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567A5">
      <w:pPr>
        <w:pStyle w:val="13"/>
        <w:keepNext w:val="0"/>
        <w:keepLines w:val="0"/>
        <w:pageBreakBefore w:val="0"/>
        <w:widowControl/>
        <w:kinsoku/>
        <w:wordWrap/>
        <w:overflowPunct/>
        <w:topLinePunct w:val="0"/>
        <w:autoSpaceDE/>
        <w:autoSpaceDN/>
        <w:bidi w:val="0"/>
        <w:adjustRightInd/>
        <w:snapToGrid/>
        <w:spacing w:after="0" w:line="269" w:lineRule="auto"/>
        <w:jc w:val="center"/>
        <w:textAlignment w:val="auto"/>
      </w:pPr>
      <w:r>
        <w:rPr>
          <w:b/>
          <w:color w:val="000000"/>
          <w:sz w:val="48"/>
        </w:rPr>
        <w:t>Max Liu</w:t>
      </w:r>
    </w:p>
    <w:p w14:paraId="305ECEEF">
      <w:pPr>
        <w:pStyle w:val="13"/>
        <w:spacing w:line="269" w:lineRule="auto"/>
        <w:jc w:val="center"/>
      </w:pPr>
      <w:r>
        <w:rPr>
          <w:color w:val="000000"/>
          <w:sz w:val="21"/>
        </w:rPr>
        <w:t>0426 582 002 | jirong.liu@outlook.com</w:t>
      </w:r>
    </w:p>
    <w:p w14:paraId="583D49D9">
      <w:pPr>
        <w:pStyle w:val="36"/>
        <w:keepNext w:val="0"/>
        <w:keepLines w:val="0"/>
        <w:pageBreakBefore w:val="0"/>
        <w:widowControl w:val="0"/>
        <w:pBdr>
          <w:top w:val="single" w:color="EEECE1" w:themeColor="background2" w:sz="4" w:space="1"/>
          <w:bottom w:val="single" w:color="EEECE1" w:themeColor="background2" w:sz="4" w:space="1"/>
        </w:pBdr>
        <w:kinsoku/>
        <w:wordWrap/>
        <w:overflowPunct/>
        <w:topLinePunct w:val="0"/>
        <w:autoSpaceDE w:val="0"/>
        <w:autoSpaceDN w:val="0"/>
        <w:bidi w:val="0"/>
        <w:adjustRightInd/>
        <w:snapToGrid/>
        <w:spacing w:before="0" w:beforeLines="100" w:after="0" w:line="269" w:lineRule="auto"/>
        <w:ind w:left="0"/>
        <w:contextualSpacing w:val="0"/>
        <w:jc w:val="center"/>
        <w:textAlignment w:val="auto"/>
        <w:rPr>
          <w:rFonts w:hint="default" w:eastAsia="Calibri (Body)" w:cs="Calibri (Body)" w:asciiTheme="majorAscii" w:hAnsiTheme="majorAscii"/>
          <w:b/>
          <w:bCs/>
          <w:smallCaps/>
          <w:color w:val="44526A"/>
          <w:spacing w:val="24"/>
          <w:kern w:val="0"/>
          <w:sz w:val="32"/>
          <w:szCs w:val="32"/>
          <w:lang w:val="en-US"/>
        </w:rPr>
      </w:pPr>
      <w:r>
        <w:rPr>
          <w:rFonts w:hint="default" w:eastAsia="Calibri (Body)" w:cs="Calibri (Body)" w:asciiTheme="majorAscii" w:hAnsiTheme="majorAscii"/>
          <w:b/>
          <w:bCs/>
          <w:smallCaps/>
          <w:color w:val="44526A"/>
          <w:spacing w:val="24"/>
          <w:kern w:val="0"/>
          <w:sz w:val="32"/>
          <w:szCs w:val="32"/>
          <w:lang w:val="en-US"/>
        </w:rPr>
        <w:t>Data &amp; Analytics Leader</w:t>
      </w:r>
    </w:p>
    <w:p w14:paraId="05B89B2E">
      <w:pPr>
        <w:pStyle w:val="13"/>
        <w:spacing w:before="120" w:line="264" w:lineRule="auto"/>
        <w:jc w:val="both"/>
      </w:pPr>
      <w:r>
        <w:rPr>
          <w:sz w:val="20"/>
        </w:rPr>
        <w:t xml:space="preserve">Strategic data and analytics leader with over 10 years of experience building and scaling analytics functions, leading cross-functional teams, and translating complex datasets into commercial and customer outcomes. Proven track record of designing reporting and measurement frameworks that drive strategic decision-making and operational </w:t>
      </w:r>
      <w:r>
        <w:rPr>
          <w:color w:val="auto"/>
          <w:sz w:val="20"/>
        </w:rPr>
        <w:t xml:space="preserve">efficiency. Adept at partnering with senior leadership to define data strategy, champion data-driven cultures, and </w:t>
      </w:r>
      <w:r>
        <w:rPr>
          <w:sz w:val="20"/>
        </w:rPr>
        <w:t xml:space="preserve">deliver actionable insights — including unlocking $5B in retail funding through advanced analytics. Skilled at conveying complex quantitative concepts in simple, compelling language to influence diverse stakeholders across </w:t>
      </w:r>
      <w:r>
        <w:rPr>
          <w:rFonts w:asciiTheme="minorHAnsi" w:hAnsiTheme="minorHAnsi" w:cstheme="minorHAnsi"/>
          <w:lang w:val="en-AU"/>
        </w:rPr>
        <mc:AlternateContent>
          <mc:Choice Requires="wps">
            <w:drawing>
              <wp:anchor distT="0" distB="0" distL="114300" distR="114300" simplePos="0" relativeHeight="251659264" behindDoc="1" locked="0" layoutInCell="1" allowOverlap="1">
                <wp:simplePos x="0" y="0"/>
                <wp:positionH relativeFrom="page">
                  <wp:posOffset>-73660</wp:posOffset>
                </wp:positionH>
                <wp:positionV relativeFrom="paragraph">
                  <wp:posOffset>-1609090</wp:posOffset>
                </wp:positionV>
                <wp:extent cx="7713345" cy="893445"/>
                <wp:effectExtent l="0" t="0" r="8255" b="20955"/>
                <wp:wrapNone/>
                <wp:docPr id="2" name="Graphic 2"/>
                <wp:cNvGraphicFramePr/>
                <a:graphic xmlns:a="http://schemas.openxmlformats.org/drawingml/2006/main">
                  <a:graphicData uri="http://schemas.microsoft.com/office/word/2010/wordprocessingShape">
                    <wps:wsp>
                      <wps:cNvSpPr/>
                      <wps:spPr>
                        <a:xfrm>
                          <a:off x="0" y="0"/>
                          <a:ext cx="7713345" cy="893445"/>
                        </a:xfrm>
                        <a:custGeom>
                          <a:avLst/>
                          <a:gdLst/>
                          <a:ahLst/>
                          <a:cxnLst/>
                          <a:rect l="l" t="t" r="r" b="b"/>
                          <a:pathLst>
                            <a:path w="7560945" h="554990">
                              <a:moveTo>
                                <a:pt x="0" y="554735"/>
                              </a:moveTo>
                              <a:lnTo>
                                <a:pt x="7560564" y="554735"/>
                              </a:lnTo>
                              <a:lnTo>
                                <a:pt x="7560564" y="0"/>
                              </a:lnTo>
                              <a:lnTo>
                                <a:pt x="0" y="0"/>
                              </a:lnTo>
                              <a:lnTo>
                                <a:pt x="0" y="554735"/>
                              </a:lnTo>
                              <a:close/>
                            </a:path>
                          </a:pathLst>
                        </a:custGeom>
                        <a:solidFill>
                          <a:srgbClr val="44526A"/>
                        </a:solidFill>
                      </wps:spPr>
                      <wps:bodyPr wrap="square" lIns="0" tIns="0" rIns="0" bIns="0" rtlCol="0"/>
                    </wps:wsp>
                  </a:graphicData>
                </a:graphic>
              </wp:anchor>
            </w:drawing>
          </mc:Choice>
          <mc:Fallback>
            <w:pict>
              <v:shape id="Graphic 2" o:spid="_x0000_s1026" o:spt="100" style="position:absolute;left:0pt;margin-left:-5.8pt;margin-top:-126.7pt;height:70.35pt;width:607.35pt;mso-position-horizontal-relative:page;z-index:-251657216;mso-width-relative:page;mso-height-relative:page;" fillcolor="#44526A" filled="t" stroked="f" coordsize="7560945,554990" o:gfxdata="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0&#10;xqi52AAAAA4BAAAPAAAAAAAAAAEAIAAAACIAAABkcnMvZG93bnJldi54bWxQSwECFAAUAAAACACH&#10;TuJAypoPVSQCAADJBAAADgAAAAAAAAABACAAAAAnAQAAZHJzL2Uyb0RvYy54bWxQSwUGAAAAAAYA&#10;BgBZAQAAvQUAAAAA&#10;" path="m0,554735l7560564,554735,7560564,0,0,0,0,554735xe">
                <v:fill on="t" focussize="0,0"/>
                <v:stroke on="f"/>
                <v:imagedata o:title=""/>
                <o:lock v:ext="edit" aspectratio="f"/>
                <v:textbox inset="0mm,0mm,0mm,0mm"/>
              </v:shape>
            </w:pict>
          </mc:Fallback>
        </mc:AlternateContent>
      </w:r>
      <w:r>
        <w:rPr>
          <w:sz w:val="20"/>
        </w:rPr>
        <w:t>matrix organisations.</w:t>
      </w:r>
    </w:p>
    <w:p w14:paraId="1B239CEC">
      <w:pPr>
        <w:keepNext w:val="0"/>
        <w:keepLines w:val="0"/>
        <w:pageBreakBefore w:val="0"/>
        <w:widowControl/>
        <w:shd w:val="clear" w:fill="44526A"/>
        <w:kinsoku/>
        <w:wordWrap/>
        <w:overflowPunct/>
        <w:topLinePunct w:val="0"/>
        <w:autoSpaceDE/>
        <w:autoSpaceDN/>
        <w:bidi w:val="0"/>
        <w:adjustRightInd/>
        <w:snapToGrid/>
        <w:spacing w:before="240" w:after="0" w:line="269" w:lineRule="auto"/>
        <w:jc w:val="center"/>
        <w:textAlignment w:val="auto"/>
        <w:rPr>
          <w:b/>
          <w:color w:val="FFFFFF"/>
          <w:sz w:val="24"/>
        </w:rPr>
      </w:pPr>
      <w:r>
        <w:rPr>
          <w:b/>
          <w:color w:val="FFFFFF"/>
          <w:sz w:val="24"/>
        </w:rPr>
        <w:t>AREAS OF EXPERTISE</w:t>
      </w:r>
    </w:p>
    <w:p w14:paraId="440214C5">
      <w:pPr>
        <w:pStyle w:val="13"/>
        <w:keepNext w:val="0"/>
        <w:keepLines w:val="0"/>
        <w:pageBreakBefore w:val="0"/>
        <w:widowControl/>
        <w:kinsoku/>
        <w:wordWrap/>
        <w:overflowPunct/>
        <w:topLinePunct w:val="0"/>
        <w:autoSpaceDE/>
        <w:autoSpaceDN/>
        <w:bidi w:val="0"/>
        <w:adjustRightInd/>
        <w:snapToGrid/>
        <w:spacing w:before="120" w:line="288" w:lineRule="auto"/>
        <w:jc w:val="both"/>
        <w:textAlignment w:val="auto"/>
      </w:pPr>
      <w:r>
        <w:rPr>
          <w:sz w:val="20"/>
        </w:rPr>
        <w:t>Team Building &amp; Scaling</w:t>
      </w:r>
      <w:r>
        <w:rPr>
          <w:rFonts w:ascii="Wingdings" w:hAnsi="Wingdings"/>
          <w:color w:val="1D4575"/>
          <w:sz w:val="20"/>
        </w:rPr>
        <w:t xml:space="preserve"> l </w:t>
      </w:r>
      <w:r>
        <w:rPr>
          <w:sz w:val="20"/>
        </w:rPr>
        <w:t>Analytics Strategy &amp; Roadmap</w:t>
      </w:r>
      <w:r>
        <w:rPr>
          <w:rFonts w:ascii="Wingdings" w:hAnsi="Wingdings"/>
          <w:color w:val="1D4575"/>
          <w:sz w:val="20"/>
        </w:rPr>
        <w:t xml:space="preserve"> l </w:t>
      </w:r>
      <w:r>
        <w:rPr>
          <w:sz w:val="20"/>
        </w:rPr>
        <w:t>Thought Leadership</w:t>
      </w:r>
      <w:r>
        <w:rPr>
          <w:rFonts w:ascii="Wingdings" w:hAnsi="Wingdings"/>
          <w:color w:val="1D4575"/>
          <w:sz w:val="20"/>
        </w:rPr>
        <w:t xml:space="preserve"> l </w:t>
      </w:r>
      <w:r>
        <w:rPr>
          <w:sz w:val="20"/>
        </w:rPr>
        <w:t>Cross-Functional Team Leadership</w:t>
      </w:r>
      <w:r>
        <w:rPr>
          <w:rFonts w:ascii="Wingdings" w:hAnsi="Wingdings"/>
          <w:color w:val="1D4575"/>
          <w:sz w:val="20"/>
        </w:rPr>
        <w:t xml:space="preserve"> l </w:t>
      </w:r>
      <w:r>
        <w:rPr>
          <w:sz w:val="20"/>
        </w:rPr>
        <w:t>Complex Data Analysis &amp; Interrogation</w:t>
      </w:r>
      <w:r>
        <w:rPr>
          <w:rFonts w:ascii="Wingdings" w:hAnsi="Wingdings"/>
          <w:color w:val="1D4575"/>
          <w:sz w:val="20"/>
        </w:rPr>
        <w:t xml:space="preserve"> l </w:t>
      </w:r>
      <w:r>
        <w:rPr>
          <w:sz w:val="20"/>
        </w:rPr>
        <w:t>Measurement, Attribution &amp; Econometric Modelling</w:t>
      </w:r>
      <w:r>
        <w:rPr>
          <w:rFonts w:ascii="Wingdings" w:hAnsi="Wingdings"/>
          <w:color w:val="1D4575"/>
          <w:sz w:val="20"/>
        </w:rPr>
        <w:t xml:space="preserve"> l </w:t>
      </w:r>
      <w:r>
        <w:rPr>
          <w:rFonts w:asciiTheme="minorHAnsi" w:hAnsiTheme="minorHAnsi" w:cstheme="minorHAnsi"/>
          <w:lang w:val="en-AU"/>
        </w:rPr>
        <mc:AlternateContent>
          <mc:Choice Requires="wps">
            <w:drawing>
              <wp:anchor distT="0" distB="0" distL="114300" distR="114300" simplePos="0" relativeHeight="251660288" behindDoc="1" locked="0" layoutInCell="1" allowOverlap="1">
                <wp:simplePos x="0" y="0"/>
                <wp:positionH relativeFrom="margin">
                  <wp:posOffset>287020</wp:posOffset>
                </wp:positionH>
                <wp:positionV relativeFrom="paragraph">
                  <wp:posOffset>-2739390</wp:posOffset>
                </wp:positionV>
                <wp:extent cx="6036310" cy="714375"/>
                <wp:effectExtent l="0" t="0" r="8890" b="22225"/>
                <wp:wrapNone/>
                <wp:docPr id="3" name="Graphic 3"/>
                <wp:cNvGraphicFramePr/>
                <a:graphic xmlns:a="http://schemas.openxmlformats.org/drawingml/2006/main">
                  <a:graphicData uri="http://schemas.microsoft.com/office/word/2010/wordprocessingShape">
                    <wps:wsp>
                      <wps:cNvSpPr/>
                      <wps:spPr>
                        <a:xfrm>
                          <a:off x="0" y="0"/>
                          <a:ext cx="6036310" cy="714375"/>
                        </a:xfrm>
                        <a:custGeom>
                          <a:avLst/>
                          <a:gdLst/>
                          <a:ahLst/>
                          <a:cxnLst/>
                          <a:rect l="l" t="t" r="r" b="b"/>
                          <a:pathLst>
                            <a:path w="6219825" h="620395">
                              <a:moveTo>
                                <a:pt x="6219444" y="0"/>
                              </a:moveTo>
                              <a:lnTo>
                                <a:pt x="0" y="0"/>
                              </a:lnTo>
                              <a:lnTo>
                                <a:pt x="0" y="620268"/>
                              </a:lnTo>
                              <a:lnTo>
                                <a:pt x="6219444" y="620268"/>
                              </a:lnTo>
                              <a:lnTo>
                                <a:pt x="6219444" y="0"/>
                              </a:lnTo>
                              <a:close/>
                            </a:path>
                          </a:pathLst>
                        </a:custGeom>
                        <a:solidFill>
                          <a:srgbClr val="D4DCE3"/>
                        </a:solidFill>
                      </wps:spPr>
                      <wps:bodyPr wrap="square" lIns="0" tIns="0" rIns="0" bIns="0" rtlCol="0"/>
                    </wps:wsp>
                  </a:graphicData>
                </a:graphic>
              </wp:anchor>
            </w:drawing>
          </mc:Choice>
          <mc:Fallback>
            <w:pict>
              <v:shape id="Graphic 3" o:spid="_x0000_s1026" o:spt="100" style="position:absolute;left:0pt;margin-left:22.6pt;margin-top:-215.7pt;height:56.25pt;width:475.3pt;mso-position-horizontal-relative:margin;z-index:-251656192;mso-width-relative:page;mso-height-relative:page;" fillcolor="#D4DCE3" filled="t" stroked="f" coordsize="6219825,620395" o:gfxdata="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w1gl33AAAAAwBAAAPAAAAAAAAAAEAIAAAACIAAABkcnMvZG93bnJldi54bWxQSwECFAAU&#10;AAAACACHTuJAKBVYUCYCAADKBAAADgAAAAAAAAABACAAAAArAQAAZHJzL2Uyb0RvYy54bWxQSwUG&#10;AAAAAAYABgBZAQAAwwUAAAAA&#10;" path="m6219444,0l0,0,0,620268,6219444,620268,6219444,0xe">
                <v:fill on="t" focussize="0,0"/>
                <v:stroke on="f"/>
                <v:imagedata o:title=""/>
                <o:lock v:ext="edit" aspectratio="f"/>
                <v:textbox inset="0mm,0mm,0mm,0mm"/>
              </v:shape>
            </w:pict>
          </mc:Fallback>
        </mc:AlternateContent>
      </w:r>
      <w:r>
        <w:rPr>
          <w:sz w:val="20"/>
        </w:rPr>
        <w:t>Customer Segmentation &amp; Insights</w:t>
      </w:r>
      <w:r>
        <w:rPr>
          <w:rFonts w:ascii="Wingdings" w:hAnsi="Wingdings"/>
          <w:color w:val="1D4575"/>
          <w:sz w:val="20"/>
        </w:rPr>
        <w:t xml:space="preserve"> l </w:t>
      </w:r>
      <w:r>
        <w:rPr>
          <w:sz w:val="20"/>
        </w:rPr>
        <w:t>Enterprise Reporting &amp; Dashboards</w:t>
      </w:r>
      <w:r>
        <w:rPr>
          <w:rFonts w:ascii="Wingdings" w:hAnsi="Wingdings"/>
          <w:color w:val="1D4575"/>
          <w:sz w:val="20"/>
        </w:rPr>
        <w:t xml:space="preserve"> l </w:t>
      </w:r>
      <w:r>
        <w:rPr>
          <w:sz w:val="20"/>
        </w:rPr>
        <w:t>Commercial &amp; Strategic Insight Generation</w:t>
      </w:r>
      <w:r>
        <w:rPr>
          <w:rFonts w:ascii="Wingdings" w:hAnsi="Wingdings"/>
          <w:color w:val="1D4575"/>
          <w:sz w:val="20"/>
        </w:rPr>
        <w:t xml:space="preserve"> l </w:t>
      </w:r>
      <w:r>
        <w:rPr>
          <w:sz w:val="20"/>
        </w:rPr>
        <w:t>Reporting Framework Design</w:t>
      </w:r>
      <w:r>
        <w:rPr>
          <w:rFonts w:ascii="Wingdings" w:hAnsi="Wingdings"/>
          <w:color w:val="1D4575"/>
          <w:sz w:val="20"/>
        </w:rPr>
        <w:t xml:space="preserve"> l </w:t>
      </w:r>
      <w:r>
        <w:rPr>
          <w:sz w:val="20"/>
        </w:rPr>
        <w:t>Real-Time Data Enablement</w:t>
      </w:r>
      <w:r>
        <w:rPr>
          <w:rFonts w:ascii="Wingdings" w:hAnsi="Wingdings"/>
          <w:color w:val="1D4575"/>
          <w:sz w:val="20"/>
        </w:rPr>
        <w:t xml:space="preserve"> l </w:t>
      </w:r>
      <w:r>
        <w:rPr>
          <w:sz w:val="20"/>
        </w:rPr>
        <w:t>Stakeholder Management &amp; Influence</w:t>
      </w:r>
      <w:r>
        <w:rPr>
          <w:rFonts w:ascii="Wingdings" w:hAnsi="Wingdings"/>
          <w:color w:val="1D4575"/>
          <w:sz w:val="20"/>
        </w:rPr>
        <w:t xml:space="preserve"> l </w:t>
      </w:r>
      <w:r>
        <w:rPr>
          <w:sz w:val="20"/>
        </w:rPr>
        <w:t>Python, SQL, Alteryx, Dataiku, Power BI, Tableau</w:t>
      </w:r>
      <w:r>
        <w:rPr>
          <w:rFonts w:ascii="Wingdings" w:hAnsi="Wingdings"/>
          <w:color w:val="1D4575"/>
          <w:sz w:val="20"/>
        </w:rPr>
        <w:t xml:space="preserve"> l </w:t>
      </w:r>
      <w:r>
        <w:rPr>
          <w:sz w:val="20"/>
        </w:rPr>
        <w:t>Agile Project Management</w:t>
      </w:r>
      <w:r>
        <w:rPr>
          <w:rFonts w:ascii="Wingdings" w:hAnsi="Wingdings"/>
          <w:color w:val="1D4575"/>
          <w:sz w:val="20"/>
        </w:rPr>
        <w:t xml:space="preserve"> l </w:t>
      </w:r>
      <w:r>
        <w:rPr>
          <w:sz w:val="20"/>
        </w:rPr>
        <w:t>Data Governance &amp; Compliance</w:t>
      </w:r>
    </w:p>
    <w:p w14:paraId="630D5F08">
      <w:pPr>
        <w:keepNext w:val="0"/>
        <w:keepLines w:val="0"/>
        <w:pageBreakBefore w:val="0"/>
        <w:widowControl/>
        <w:shd w:val="clear" w:fill="44526A"/>
        <w:kinsoku/>
        <w:wordWrap/>
        <w:overflowPunct/>
        <w:topLinePunct w:val="0"/>
        <w:autoSpaceDE/>
        <w:autoSpaceDN/>
        <w:bidi w:val="0"/>
        <w:adjustRightInd/>
        <w:snapToGrid/>
        <w:spacing w:before="240" w:after="0" w:line="269" w:lineRule="auto"/>
        <w:jc w:val="center"/>
        <w:textAlignment w:val="auto"/>
        <w:rPr>
          <w:b/>
          <w:color w:val="FFFFFF"/>
          <w:sz w:val="24"/>
        </w:rPr>
      </w:pPr>
      <w:r>
        <w:rPr>
          <w:b/>
          <w:color w:val="FFFFFF"/>
          <w:sz w:val="24"/>
        </w:rPr>
        <w:t>PROFESSIONAL EXPERIENCE</w:t>
      </w:r>
    </w:p>
    <w:p w14:paraId="77647853">
      <w:pPr>
        <w:pStyle w:val="2"/>
        <w:keepNext/>
        <w:keepLines/>
        <w:pageBreakBefore w:val="0"/>
        <w:widowControl/>
        <w:kinsoku/>
        <w:wordWrap/>
        <w:overflowPunct/>
        <w:topLinePunct w:val="0"/>
        <w:autoSpaceDE/>
        <w:autoSpaceDN/>
        <w:bidi w:val="0"/>
        <w:adjustRightInd/>
        <w:snapToGrid/>
        <w:spacing w:before="240" w:after="60" w:line="269" w:lineRule="auto"/>
        <w:jc w:val="center"/>
        <w:textAlignment w:val="auto"/>
      </w:pPr>
      <w:r>
        <w:rPr>
          <w:color w:val="44526A"/>
          <w:sz w:val="24"/>
        </w:rPr>
        <w:t>Macquarie Group</w:t>
      </w:r>
    </w:p>
    <w:p w14:paraId="6644DEEE">
      <w:pPr>
        <w:pStyle w:val="2"/>
        <w:keepNext/>
        <w:keepLines/>
        <w:pageBreakBefore w:val="0"/>
        <w:widowControl/>
        <w:shd w:val="clear" w:fill="D4DCE3"/>
        <w:kinsoku/>
        <w:wordWrap/>
        <w:overflowPunct/>
        <w:topLinePunct w:val="0"/>
        <w:autoSpaceDE/>
        <w:autoSpaceDN/>
        <w:bidi w:val="0"/>
        <w:adjustRightInd/>
        <w:snapToGrid/>
        <w:spacing w:before="120" w:after="120" w:line="269" w:lineRule="auto"/>
        <w:jc w:val="center"/>
        <w:textAlignment w:val="auto"/>
      </w:pPr>
      <w:r>
        <w:rPr>
          <w:color w:val="auto"/>
          <w:sz w:val="20"/>
        </w:rPr>
        <w:t>Senior Manager - Data Analytics and Digital Transformation, Group Treasury | Mar 2018 – Present</w:t>
      </w:r>
    </w:p>
    <w:p w14:paraId="45035112">
      <w:pPr>
        <w:pStyle w:val="143"/>
        <w:keepNext w:val="0"/>
        <w:keepLines w:val="0"/>
        <w:pageBreakBefore w:val="0"/>
        <w:widowControl/>
        <w:kinsoku/>
        <w:wordWrap/>
        <w:overflowPunct/>
        <w:topLinePunct w:val="0"/>
        <w:autoSpaceDE/>
        <w:autoSpaceDN/>
        <w:bidi w:val="0"/>
        <w:adjustRightInd/>
        <w:snapToGrid/>
        <w:spacing w:before="120" w:after="240" w:line="240" w:lineRule="auto"/>
        <w:ind w:left="0" w:leftChars="0" w:hanging="14" w:firstLineChars="0"/>
        <w:jc w:val="both"/>
        <w:textAlignment w:val="auto"/>
        <w:rPr>
          <w:sz w:val="20"/>
        </w:rPr>
      </w:pPr>
      <w:r>
        <w:rPr>
          <w:sz w:val="20"/>
        </w:rPr>
        <w:t>Lead a team of analysts and data professionals to design and deliver analytics, reporting, and data solutions that drive strategic and commercial outcomes. Define and execute data and analytics strategy, serving as a trusted advisor to senior leadership on measurement frameworks, emerging technologies, and target operating models. Partner cross-functionally with business, finance, risk, and technology teams to translate complex business requirements into scalable, automated data products and enterprise dashboards. Champion data-driven decision-making and real-time insight generation across the organisation.</w:t>
      </w:r>
    </w:p>
    <w:p w14:paraId="22BB3A2F">
      <w:pPr>
        <w:spacing w:before="120" w:line="269" w:lineRule="auto"/>
        <w:jc w:val="both"/>
        <w:rPr>
          <w:sz w:val="20"/>
        </w:rPr>
      </w:pPr>
      <w:r>
        <w:rPr>
          <w:b/>
          <w:i/>
          <w:sz w:val="20"/>
        </w:rPr>
        <w:t>Key Contributions:</w:t>
      </w:r>
    </w:p>
    <w:p w14:paraId="19478D82">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Designed and Executed Analytics Operating Model and Reporting Framework: </w:t>
      </w:r>
      <w:r>
        <w:rPr>
          <w:sz w:val="20"/>
        </w:rPr>
        <w:t xml:space="preserve">Defined and implemented the end-to-end data and analytics strategy for Group Treasury, including designing reporting frameworks, establishing a data champions network, and automating key management reporting processes. </w:t>
      </w:r>
    </w:p>
    <w:p w14:paraId="1B7BA218">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p>
    <w:p w14:paraId="07BE1041">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Served as Trusted Strategic Advisor to Senior Leadership: </w:t>
      </w:r>
      <w:r>
        <w:rPr>
          <w:sz w:val="20"/>
        </w:rPr>
        <w:t>Provided expert consultation to executive stakeholders across the organisation, translating complex data insights into clear, actionable strategic recommendations. Drove leadership priorities based on a holistic view of data, analytics, and commercial opportunities — influencing decisions on operating models, technology investments, and AI adoption at the group level.</w:t>
      </w:r>
    </w:p>
    <w:p w14:paraId="6041456B">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p>
    <w:p w14:paraId="273E4D24">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Scaled Analytics Capability and Data Literacy Across the Organisation: </w:t>
      </w:r>
      <w:r>
        <w:rPr>
          <w:sz w:val="20"/>
        </w:rPr>
        <w:t xml:space="preserve">Co-led the enterprise-wide onboarding and adoption of Alteryx and Power BI, growing the analytics community from under 30 to 200+ licensed practitioners </w:t>
      </w:r>
      <w:r>
        <w:rPr>
          <w:rFonts w:hint="default"/>
          <w:sz w:val="20"/>
          <w:lang w:val="en-US"/>
        </w:rPr>
        <w:t>in Group Treasury</w:t>
      </w:r>
      <w:r>
        <w:rPr>
          <w:sz w:val="20"/>
        </w:rPr>
        <w:t xml:space="preserve"> within two years. Designed and delivered comprehensive learning pathways, frameworks, and best practices — including 200+ hours of training and social learning programs — ultimately reaching </w:t>
      </w:r>
      <w:r>
        <w:rPr>
          <w:rFonts w:hint="default"/>
          <w:sz w:val="20"/>
          <w:lang w:val="en-US"/>
        </w:rPr>
        <w:t>20</w:t>
      </w:r>
      <w:r>
        <w:rPr>
          <w:sz w:val="20"/>
        </w:rPr>
        <w:t>00+ attendees Macquarie-wide and transforming the organisation’s analytics maturity.</w:t>
      </w:r>
    </w:p>
    <w:p w14:paraId="525900C4">
      <w:pPr>
        <w:pStyle w:val="143"/>
        <w:keepNext w:val="0"/>
        <w:keepLines w:val="0"/>
        <w:pageBreakBefore w:val="0"/>
        <w:widowControl/>
        <w:kinsoku/>
        <w:wordWrap/>
        <w:overflowPunct/>
        <w:topLinePunct w:val="0"/>
        <w:autoSpaceDE/>
        <w:autoSpaceDN/>
        <w:bidi w:val="0"/>
        <w:adjustRightInd/>
        <w:snapToGrid/>
        <w:spacing w:before="120" w:after="240" w:line="240" w:lineRule="auto"/>
        <w:ind w:left="0" w:leftChars="0" w:firstLine="0" w:firstLineChars="0"/>
        <w:textAlignment w:val="auto"/>
        <w:rPr>
          <w:sz w:val="20"/>
        </w:rPr>
      </w:pPr>
    </w:p>
    <w:p w14:paraId="56D9697A">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Led and Scaled High-Value Analytics &amp; Transformation Projects: </w:t>
      </w:r>
      <w:r>
        <w:rPr>
          <w:sz w:val="20"/>
        </w:rPr>
        <w:t xml:space="preserve">Spearheaded </w:t>
      </w:r>
      <w:r>
        <w:rPr>
          <w:rFonts w:hint="default"/>
          <w:sz w:val="20"/>
          <w:lang w:val="en-US"/>
        </w:rPr>
        <w:t>2</w:t>
      </w:r>
      <w:r>
        <w:rPr>
          <w:sz w:val="20"/>
        </w:rPr>
        <w:t>0+ data and analytics initiatives in agile environments, leading cross-functional teams of 10+ professionals spanning business, risk, operations, and technology. Delivered measurable commercial impact — automating 30+ manual processes, building 30+ Power BI dashboards for enterprise reporting, implementing 30+ workflows, resolving 100+ data quality issues, and establishing 100+ controls to ensure data integrity.</w:t>
      </w:r>
    </w:p>
    <w:p w14:paraId="29AD3587">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p>
    <w:p w14:paraId="47E1D7EC">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Unlocked $5B in Commercial Value through Advanced Analytics: </w:t>
      </w:r>
      <w:r>
        <w:rPr>
          <w:sz w:val="20"/>
        </w:rPr>
        <w:t xml:space="preserve">Led the creation of the </w:t>
      </w:r>
      <w:r>
        <w:rPr>
          <w:rFonts w:hint="default"/>
          <w:sz w:val="20"/>
          <w:lang w:val="en-US"/>
        </w:rPr>
        <w:t xml:space="preserve">retail banking </w:t>
      </w:r>
      <w:r>
        <w:rPr>
          <w:sz w:val="20"/>
        </w:rPr>
        <w:t>Sticky Factors data solution, enabling account-level customer deposit behaviour analysis under user-defined scenarios. Leveraged Dataiku, Power BI, and enterprise data platforms to deliver customer segmentation insights that informed methodology reviews and released $5B in deposits for business utilisation.</w:t>
      </w:r>
    </w:p>
    <w:p w14:paraId="25D9B59F">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bookmarkStart w:id="0" w:name="_GoBack"/>
      <w:bookmarkEnd w:id="0"/>
    </w:p>
    <w:p w14:paraId="0F56917D">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Transformed Predictive Analysis for Commercial Decision-Making: </w:t>
      </w:r>
      <w:r>
        <w:rPr>
          <w:sz w:val="20"/>
        </w:rPr>
        <w:t>Led the Target Funding Profile Automation project, architecting a predictive modelling solution that automated monthly analysis of balance sheet behaviour under stressed conditions for daily execution. Interrogated and modelled large, complex datasets to generate actionable insights, saving 80,000+ FTE hours and ~$120M in annual funding costs.</w:t>
      </w:r>
    </w:p>
    <w:p w14:paraId="21EC2405">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p>
    <w:p w14:paraId="14798A8A">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r>
        <w:rPr>
          <w:rFonts w:ascii="Wingdings" w:hAnsi="Wingdings"/>
          <w:color w:val="1D4575"/>
          <w:sz w:val="20"/>
        </w:rPr>
        <w:t>l</w:t>
      </w:r>
      <w:r>
        <w:rPr>
          <w:sz w:val="20"/>
        </w:rPr>
        <w:t xml:space="preserve">  </w:t>
      </w:r>
      <w:r>
        <w:rPr>
          <w:b/>
          <w:sz w:val="20"/>
        </w:rPr>
        <w:t xml:space="preserve">Established Independent Data Solution Review &amp; Validation Function: </w:t>
      </w:r>
      <w:r>
        <w:rPr>
          <w:sz w:val="20"/>
        </w:rPr>
        <w:t>Built and led a dedicated team providing independent review, validation, and constructive challenge of data solutions, methodologies, and analytical outputs throughout the full development lifecycle. Articulated complex technical findings in clear, actionable language to diverse audiences — from developers and data architects to product owners and executive stakeholders — ensuring alignment with business requirements and commercial objectives.</w:t>
      </w:r>
    </w:p>
    <w:p w14:paraId="53410DE0">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rPr>
          <w:sz w:val="20"/>
        </w:rPr>
      </w:pPr>
    </w:p>
    <w:p w14:paraId="10E4D9AF">
      <w:pPr>
        <w:pStyle w:val="143"/>
        <w:keepNext w:val="0"/>
        <w:keepLines w:val="0"/>
        <w:pageBreakBefore w:val="0"/>
        <w:widowControl/>
        <w:kinsoku/>
        <w:wordWrap/>
        <w:overflowPunct/>
        <w:topLinePunct w:val="0"/>
        <w:autoSpaceDE/>
        <w:autoSpaceDN/>
        <w:bidi w:val="0"/>
        <w:adjustRightInd/>
        <w:snapToGrid/>
        <w:spacing w:before="120" w:after="240" w:line="240" w:lineRule="auto"/>
        <w:ind w:left="461" w:hanging="274"/>
        <w:textAlignment w:val="auto"/>
      </w:pPr>
      <w:r>
        <w:rPr>
          <w:rFonts w:ascii="Wingdings" w:hAnsi="Wingdings"/>
          <w:color w:val="1D4575"/>
          <w:sz w:val="20"/>
        </w:rPr>
        <w:t>l</w:t>
      </w:r>
      <w:r>
        <w:rPr>
          <w:sz w:val="20"/>
        </w:rPr>
        <w:t xml:space="preserve">  </w:t>
      </w:r>
      <w:r>
        <w:rPr>
          <w:b/>
          <w:sz w:val="20"/>
        </w:rPr>
        <w:t xml:space="preserve">Championed AI Innovation as a Thought Leader: </w:t>
      </w:r>
      <w:r>
        <w:rPr>
          <w:sz w:val="20"/>
        </w:rPr>
        <w:t>Proactively explored and developed AI agents and Gen AI applications to identify practical use cases and drive innovation. Contributed to group-wide AI strategy, roadmap, and governance, and founded the Group Treasury AI Forum to raise AI awareness, share knowledge, and build organisational readiness for emerging technologies.</w:t>
      </w:r>
    </w:p>
    <w:p w14:paraId="5212D947">
      <w:pPr>
        <w:pStyle w:val="2"/>
        <w:keepNext/>
        <w:keepLines/>
        <w:pageBreakBefore w:val="0"/>
        <w:widowControl/>
        <w:kinsoku/>
        <w:wordWrap/>
        <w:overflowPunct/>
        <w:topLinePunct w:val="0"/>
        <w:autoSpaceDE/>
        <w:autoSpaceDN/>
        <w:bidi w:val="0"/>
        <w:adjustRightInd/>
        <w:snapToGrid/>
        <w:spacing w:before="240" w:after="60" w:line="269" w:lineRule="auto"/>
        <w:jc w:val="center"/>
        <w:textAlignment w:val="auto"/>
        <w:rPr>
          <w:color w:val="44526A"/>
          <w:sz w:val="24"/>
        </w:rPr>
      </w:pPr>
      <w:r>
        <w:rPr>
          <w:color w:val="44526A"/>
          <w:sz w:val="24"/>
        </w:rPr>
        <w:t>Commonwealth Bank of Australia</w:t>
      </w:r>
    </w:p>
    <w:p w14:paraId="4F2C73C7">
      <w:pPr>
        <w:pStyle w:val="2"/>
        <w:keepNext/>
        <w:keepLines/>
        <w:pageBreakBefore w:val="0"/>
        <w:widowControl/>
        <w:shd w:val="clear" w:fill="D4DCE3"/>
        <w:kinsoku/>
        <w:wordWrap/>
        <w:overflowPunct/>
        <w:topLinePunct w:val="0"/>
        <w:autoSpaceDE/>
        <w:autoSpaceDN/>
        <w:bidi w:val="0"/>
        <w:adjustRightInd/>
        <w:snapToGrid/>
        <w:spacing w:before="120" w:after="120" w:line="269" w:lineRule="auto"/>
        <w:jc w:val="center"/>
        <w:textAlignment w:val="auto"/>
        <w:rPr>
          <w:color w:val="auto"/>
          <w:sz w:val="20"/>
        </w:rPr>
      </w:pPr>
      <w:r>
        <w:rPr>
          <w:color w:val="auto"/>
          <w:sz w:val="20"/>
        </w:rPr>
        <w:t>Analyst – Financial Planning &amp; Analysis, Institutional Bank &amp; Markets | Mar 2017 – Aug 2018</w:t>
      </w:r>
    </w:p>
    <w:p w14:paraId="7D7B7A1B">
      <w:pPr>
        <w:pStyle w:val="143"/>
        <w:keepNext w:val="0"/>
        <w:keepLines w:val="0"/>
        <w:pageBreakBefore w:val="0"/>
        <w:widowControl/>
        <w:kinsoku/>
        <w:wordWrap/>
        <w:overflowPunct/>
        <w:topLinePunct w:val="0"/>
        <w:autoSpaceDE/>
        <w:autoSpaceDN/>
        <w:bidi w:val="0"/>
        <w:adjustRightInd/>
        <w:snapToGrid/>
        <w:spacing w:before="120" w:after="240" w:line="240" w:lineRule="auto"/>
        <w:ind w:left="0" w:leftChars="0" w:hanging="14" w:firstLineChars="0"/>
        <w:jc w:val="both"/>
        <w:textAlignment w:val="auto"/>
        <w:rPr>
          <w:sz w:val="20"/>
        </w:rPr>
      </w:pPr>
      <w:r>
        <w:rPr>
          <w:sz w:val="20"/>
        </w:rPr>
        <w:t>Partnered with business unit leaders, product managers, and cross-functional stakeholders to deliver financial and operational data analysis that informed strategic planning and commercial decision-making. Translated complex datasets into clear, actionable insights through concise management reports, regularly presented to senior leadership.</w:t>
      </w:r>
    </w:p>
    <w:p w14:paraId="704BFF4A">
      <w:pPr>
        <w:spacing w:before="120" w:line="269" w:lineRule="auto"/>
        <w:jc w:val="both"/>
      </w:pPr>
      <w:r>
        <w:rPr>
          <w:b/>
          <w:i/>
          <w:sz w:val="20"/>
        </w:rPr>
        <w:t>Key Contributions:</w:t>
      </w:r>
    </w:p>
    <w:p w14:paraId="0BB9239F">
      <w:pPr>
        <w:pStyle w:val="143"/>
        <w:spacing w:after="60" w:line="252" w:lineRule="auto"/>
        <w:ind w:left="461" w:hanging="274"/>
        <w:rPr>
          <w:sz w:val="20"/>
        </w:rPr>
      </w:pPr>
      <w:r>
        <w:rPr>
          <w:rFonts w:ascii="Wingdings" w:hAnsi="Wingdings"/>
          <w:color w:val="1D4575"/>
          <w:sz w:val="20"/>
        </w:rPr>
        <w:t>l</w:t>
      </w:r>
      <w:r>
        <w:rPr>
          <w:sz w:val="20"/>
        </w:rPr>
        <w:t xml:space="preserve">  </w:t>
      </w:r>
      <w:r>
        <w:rPr>
          <w:b/>
          <w:sz w:val="20"/>
        </w:rPr>
        <w:t xml:space="preserve">Designed and Maintained KPI and Performance Measurement Frameworks: </w:t>
      </w:r>
      <w:r>
        <w:rPr>
          <w:sz w:val="20"/>
        </w:rPr>
        <w:t>Tracked and evaluated key financial and operational performance indicators across business units, identified performance variances, investigated root causes through data interrogation, and recommended corrective actions to improve efficiency, profitability, and goal attainment.</w:t>
      </w:r>
    </w:p>
    <w:p w14:paraId="55BD20FB">
      <w:pPr>
        <w:pStyle w:val="143"/>
        <w:spacing w:after="60" w:line="252" w:lineRule="auto"/>
        <w:ind w:left="461" w:hanging="274"/>
        <w:rPr>
          <w:sz w:val="20"/>
        </w:rPr>
      </w:pPr>
    </w:p>
    <w:p w14:paraId="20AA9364">
      <w:pPr>
        <w:pStyle w:val="143"/>
        <w:spacing w:after="60" w:line="252" w:lineRule="auto"/>
        <w:ind w:left="461" w:hanging="274"/>
        <w:rPr>
          <w:sz w:val="20"/>
        </w:rPr>
      </w:pPr>
      <w:r>
        <w:rPr>
          <w:rFonts w:ascii="Wingdings" w:hAnsi="Wingdings"/>
          <w:color w:val="1D4575"/>
          <w:sz w:val="20"/>
        </w:rPr>
        <w:t>l</w:t>
      </w:r>
      <w:r>
        <w:rPr>
          <w:sz w:val="20"/>
        </w:rPr>
        <w:t xml:space="preserve">  </w:t>
      </w:r>
      <w:r>
        <w:rPr>
          <w:b/>
          <w:sz w:val="20"/>
        </w:rPr>
        <w:t xml:space="preserve">Provided Data-Driven Consultation to Business Leaders: </w:t>
      </w:r>
      <w:r>
        <w:rPr>
          <w:sz w:val="20"/>
        </w:rPr>
        <w:t>Partnered with business unit leaders and product managers to develop annual budgets and rolling financial forecasts — gathering inputs, validating assumptions, and updating forecasts in response to evolving business conditions. Served as a trusted analytics partner, translating quantitative findings into practical commercial recommendations.</w:t>
      </w:r>
    </w:p>
    <w:p w14:paraId="7A59245A">
      <w:pPr>
        <w:pStyle w:val="143"/>
        <w:spacing w:after="60" w:line="252" w:lineRule="auto"/>
        <w:ind w:left="461" w:hanging="274"/>
        <w:rPr>
          <w:sz w:val="20"/>
        </w:rPr>
      </w:pPr>
    </w:p>
    <w:p w14:paraId="1C19DBA0">
      <w:pPr>
        <w:pStyle w:val="143"/>
        <w:spacing w:after="60" w:line="252" w:lineRule="auto"/>
        <w:ind w:left="461" w:hanging="274"/>
      </w:pPr>
      <w:r>
        <w:rPr>
          <w:rFonts w:ascii="Wingdings" w:hAnsi="Wingdings"/>
          <w:color w:val="1D4575"/>
          <w:sz w:val="20"/>
        </w:rPr>
        <w:t>l</w:t>
      </w:r>
      <w:r>
        <w:rPr>
          <w:sz w:val="20"/>
        </w:rPr>
        <w:t xml:space="preserve">  </w:t>
      </w:r>
      <w:r>
        <w:rPr>
          <w:b/>
          <w:sz w:val="20"/>
        </w:rPr>
        <w:t xml:space="preserve">Delivered Analytics to Drive Strategy and Commercial Outcomes: </w:t>
      </w:r>
      <w:r>
        <w:rPr>
          <w:sz w:val="20"/>
        </w:rPr>
        <w:t>Contributed to divisional strategic initiatives through detailed financial evaluations, scenario modelling, and business case development for new investments and growth projects — directly linking data analysis to commercial outcomes.</w:t>
      </w:r>
    </w:p>
    <w:p w14:paraId="6A238359">
      <w:pPr>
        <w:pStyle w:val="2"/>
        <w:keepNext/>
        <w:keepLines/>
        <w:pageBreakBefore w:val="0"/>
        <w:widowControl/>
        <w:kinsoku/>
        <w:wordWrap/>
        <w:overflowPunct/>
        <w:topLinePunct w:val="0"/>
        <w:autoSpaceDE/>
        <w:autoSpaceDN/>
        <w:bidi w:val="0"/>
        <w:adjustRightInd/>
        <w:snapToGrid/>
        <w:spacing w:before="240" w:after="60" w:line="269" w:lineRule="auto"/>
        <w:jc w:val="center"/>
        <w:textAlignment w:val="auto"/>
        <w:rPr>
          <w:color w:val="44526A"/>
          <w:sz w:val="24"/>
        </w:rPr>
      </w:pPr>
      <w:r>
        <w:rPr>
          <w:color w:val="44526A"/>
          <w:sz w:val="24"/>
        </w:rPr>
        <w:t>Charter Hall Group</w:t>
      </w:r>
    </w:p>
    <w:p w14:paraId="11BC5A9D">
      <w:pPr>
        <w:pStyle w:val="2"/>
        <w:keepNext/>
        <w:keepLines/>
        <w:pageBreakBefore w:val="0"/>
        <w:widowControl/>
        <w:shd w:val="clear" w:fill="D4DCE3"/>
        <w:kinsoku/>
        <w:wordWrap/>
        <w:overflowPunct/>
        <w:topLinePunct w:val="0"/>
        <w:autoSpaceDE/>
        <w:autoSpaceDN/>
        <w:bidi w:val="0"/>
        <w:adjustRightInd/>
        <w:snapToGrid/>
        <w:spacing w:before="120" w:after="120" w:line="269" w:lineRule="auto"/>
        <w:jc w:val="center"/>
        <w:textAlignment w:val="auto"/>
        <w:rPr>
          <w:color w:val="auto"/>
          <w:sz w:val="20"/>
        </w:rPr>
      </w:pPr>
      <w:r>
        <w:rPr>
          <w:color w:val="auto"/>
          <w:sz w:val="20"/>
        </w:rPr>
        <w:t>Treasury Officer | Oct 2016 – Mar 2017</w:t>
      </w:r>
    </w:p>
    <w:p w14:paraId="779B38B6">
      <w:pPr>
        <w:pStyle w:val="143"/>
        <w:keepNext w:val="0"/>
        <w:keepLines w:val="0"/>
        <w:pageBreakBefore w:val="0"/>
        <w:widowControl/>
        <w:kinsoku/>
        <w:wordWrap/>
        <w:overflowPunct/>
        <w:topLinePunct w:val="0"/>
        <w:autoSpaceDE/>
        <w:autoSpaceDN/>
        <w:bidi w:val="0"/>
        <w:adjustRightInd/>
        <w:snapToGrid/>
        <w:spacing w:before="120" w:after="240" w:line="240" w:lineRule="auto"/>
        <w:ind w:left="0" w:leftChars="0" w:hanging="14" w:firstLineChars="0"/>
        <w:jc w:val="both"/>
        <w:textAlignment w:val="auto"/>
        <w:rPr>
          <w:sz w:val="20"/>
        </w:rPr>
      </w:pPr>
      <w:r>
        <w:rPr>
          <w:sz w:val="20"/>
        </w:rPr>
        <w:t>Managed cash flow forecasting, liquidity analysis, and funding operations across a portfolio of property funds, delivering timely data-driven reporting to senior stakeholders to support commercial decision-making.</w:t>
      </w:r>
    </w:p>
    <w:p w14:paraId="69F7F7EC">
      <w:pPr>
        <w:spacing w:before="120" w:line="269" w:lineRule="auto"/>
        <w:jc w:val="both"/>
      </w:pPr>
      <w:r>
        <w:rPr>
          <w:b/>
          <w:i/>
          <w:sz w:val="20"/>
        </w:rPr>
        <w:t>Key Contributions:</w:t>
      </w:r>
    </w:p>
    <w:p w14:paraId="770AA074">
      <w:pPr>
        <w:pStyle w:val="143"/>
        <w:spacing w:after="60" w:line="252" w:lineRule="auto"/>
        <w:ind w:left="461" w:hanging="274"/>
      </w:pPr>
      <w:r>
        <w:rPr>
          <w:rFonts w:ascii="Wingdings" w:hAnsi="Wingdings"/>
          <w:color w:val="1D4575"/>
          <w:sz w:val="20"/>
        </w:rPr>
        <w:t>l</w:t>
      </w:r>
      <w:r>
        <w:rPr>
          <w:sz w:val="20"/>
        </w:rPr>
        <w:t xml:space="preserve">  </w:t>
      </w:r>
      <w:r>
        <w:rPr>
          <w:b/>
          <w:sz w:val="20"/>
        </w:rPr>
        <w:t xml:space="preserve">Identified Financial Risks through Quantitative Analysis: </w:t>
      </w:r>
      <w:r>
        <w:rPr>
          <w:sz w:val="20"/>
        </w:rPr>
        <w:t>Conducted financial analysis and modelling to assess the impact of market movements on fund performance. Identified and mitigated interest rate, FX, and liquidity risks using derivatives and other instruments, ensuring regulatory compliance.</w:t>
      </w:r>
    </w:p>
    <w:p w14:paraId="51820E41">
      <w:pPr>
        <w:pStyle w:val="2"/>
        <w:keepNext/>
        <w:keepLines/>
        <w:pageBreakBefore w:val="0"/>
        <w:widowControl/>
        <w:kinsoku/>
        <w:wordWrap/>
        <w:overflowPunct/>
        <w:topLinePunct w:val="0"/>
        <w:autoSpaceDE/>
        <w:autoSpaceDN/>
        <w:bidi w:val="0"/>
        <w:adjustRightInd/>
        <w:snapToGrid/>
        <w:spacing w:before="240" w:after="60" w:line="269" w:lineRule="auto"/>
        <w:jc w:val="center"/>
        <w:textAlignment w:val="auto"/>
        <w:rPr>
          <w:color w:val="44526A"/>
          <w:sz w:val="24"/>
        </w:rPr>
      </w:pPr>
      <w:r>
        <w:rPr>
          <w:color w:val="44526A"/>
          <w:sz w:val="24"/>
        </w:rPr>
        <w:t>PwC</w:t>
      </w:r>
    </w:p>
    <w:p w14:paraId="7A1CDEC7">
      <w:pPr>
        <w:pStyle w:val="2"/>
        <w:keepNext/>
        <w:keepLines/>
        <w:pageBreakBefore w:val="0"/>
        <w:widowControl/>
        <w:shd w:val="clear" w:fill="D4DCE3"/>
        <w:kinsoku/>
        <w:wordWrap/>
        <w:overflowPunct/>
        <w:topLinePunct w:val="0"/>
        <w:autoSpaceDE/>
        <w:autoSpaceDN/>
        <w:bidi w:val="0"/>
        <w:adjustRightInd/>
        <w:snapToGrid/>
        <w:spacing w:before="120" w:after="120" w:line="269" w:lineRule="auto"/>
        <w:jc w:val="center"/>
        <w:textAlignment w:val="auto"/>
        <w:rPr>
          <w:color w:val="auto"/>
          <w:sz w:val="20"/>
        </w:rPr>
      </w:pPr>
      <w:r>
        <w:rPr>
          <w:color w:val="auto"/>
          <w:sz w:val="20"/>
        </w:rPr>
        <w:t>Senior Auditor | June 2014 – Oct 2016</w:t>
      </w:r>
    </w:p>
    <w:p w14:paraId="780BFC29">
      <w:pPr>
        <w:pStyle w:val="143"/>
        <w:keepNext w:val="0"/>
        <w:keepLines w:val="0"/>
        <w:pageBreakBefore w:val="0"/>
        <w:widowControl/>
        <w:kinsoku/>
        <w:wordWrap/>
        <w:overflowPunct/>
        <w:topLinePunct w:val="0"/>
        <w:autoSpaceDE/>
        <w:autoSpaceDN/>
        <w:bidi w:val="0"/>
        <w:adjustRightInd/>
        <w:snapToGrid/>
        <w:spacing w:before="120" w:after="240" w:line="240" w:lineRule="auto"/>
        <w:ind w:left="0" w:leftChars="0" w:hanging="14" w:firstLineChars="0"/>
        <w:jc w:val="both"/>
        <w:textAlignment w:val="auto"/>
        <w:rPr>
          <w:sz w:val="20"/>
        </w:rPr>
      </w:pPr>
      <w:r>
        <w:rPr>
          <w:sz w:val="20"/>
        </w:rPr>
        <w:t>Delivered independent assurance and data-driven advisory services to top-tier financial services clients. Assessed risks, defined analytical scope, and translated complex findings into clear, actionable reports for executive stakeholders and regulatory submissions.</w:t>
      </w:r>
    </w:p>
    <w:p w14:paraId="7D5F0E99">
      <w:pPr>
        <w:spacing w:before="120" w:line="269" w:lineRule="auto"/>
        <w:jc w:val="both"/>
      </w:pPr>
      <w:r>
        <w:rPr>
          <w:b/>
          <w:i/>
          <w:sz w:val="20"/>
        </w:rPr>
        <w:t>Key Contributions:</w:t>
      </w:r>
    </w:p>
    <w:p w14:paraId="139C41C4">
      <w:pPr>
        <w:pStyle w:val="143"/>
        <w:spacing w:after="60" w:line="252" w:lineRule="auto"/>
        <w:ind w:left="461" w:hanging="274"/>
        <w:rPr>
          <w:sz w:val="20"/>
        </w:rPr>
      </w:pPr>
      <w:r>
        <w:rPr>
          <w:rFonts w:ascii="Wingdings" w:hAnsi="Wingdings"/>
          <w:color w:val="1D4575"/>
          <w:sz w:val="20"/>
        </w:rPr>
        <w:t>l</w:t>
      </w:r>
      <w:r>
        <w:rPr>
          <w:sz w:val="20"/>
        </w:rPr>
        <w:t xml:space="preserve">  </w:t>
      </w:r>
      <w:r>
        <w:rPr>
          <w:b/>
          <w:sz w:val="20"/>
        </w:rPr>
        <w:t xml:space="preserve">Executed Independent Reviews through Data-Driven Analysis: </w:t>
      </w:r>
      <w:r>
        <w:rPr>
          <w:sz w:val="20"/>
        </w:rPr>
        <w:t>Performed end-to-end reviews encompassing control testing, substantive testing, and analytical procedures. Interrogated large datasets to verify compliance with Australian Accounting Standards and IFRS.</w:t>
      </w:r>
    </w:p>
    <w:p w14:paraId="25405EAA">
      <w:pPr>
        <w:pStyle w:val="143"/>
        <w:spacing w:after="60" w:line="252" w:lineRule="auto"/>
        <w:ind w:left="461" w:hanging="274"/>
        <w:rPr>
          <w:sz w:val="20"/>
        </w:rPr>
      </w:pPr>
    </w:p>
    <w:p w14:paraId="374CE4F6">
      <w:pPr>
        <w:pStyle w:val="143"/>
        <w:spacing w:after="60" w:line="252" w:lineRule="auto"/>
        <w:ind w:left="461" w:hanging="274"/>
        <w:rPr>
          <w:sz w:val="20"/>
        </w:rPr>
      </w:pPr>
      <w:r>
        <w:rPr>
          <w:rFonts w:ascii="Wingdings" w:hAnsi="Wingdings"/>
          <w:color w:val="1D4575"/>
          <w:sz w:val="20"/>
        </w:rPr>
        <w:t>l</w:t>
      </w:r>
      <w:r>
        <w:rPr>
          <w:sz w:val="20"/>
        </w:rPr>
        <w:t xml:space="preserve">  </w:t>
      </w:r>
      <w:r>
        <w:rPr>
          <w:b/>
          <w:sz w:val="20"/>
        </w:rPr>
        <w:t xml:space="preserve">Translated Complex Regulatory Requirements into Practical Assessments: </w:t>
      </w:r>
      <w:r>
        <w:rPr>
          <w:sz w:val="20"/>
        </w:rPr>
        <w:t>Conducted compliance reviews across multiple frameworks (SOX, Pillar 3, LCR, NSFR), distilling complex regulatory obligations into structured, auditable assessments for clients.</w:t>
      </w:r>
    </w:p>
    <w:p w14:paraId="3A5B09D3">
      <w:pPr>
        <w:pStyle w:val="143"/>
        <w:spacing w:after="60" w:line="252" w:lineRule="auto"/>
        <w:ind w:left="461" w:hanging="274"/>
        <w:rPr>
          <w:sz w:val="20"/>
        </w:rPr>
      </w:pPr>
    </w:p>
    <w:p w14:paraId="2A719854">
      <w:pPr>
        <w:pStyle w:val="143"/>
        <w:spacing w:after="60" w:line="252" w:lineRule="auto"/>
        <w:ind w:left="461" w:hanging="274"/>
      </w:pPr>
      <w:r>
        <w:rPr>
          <w:rFonts w:ascii="Wingdings" w:hAnsi="Wingdings"/>
          <w:color w:val="1D4575"/>
          <w:sz w:val="20"/>
        </w:rPr>
        <w:t>l</w:t>
      </w:r>
      <w:r>
        <w:rPr>
          <w:sz w:val="20"/>
        </w:rPr>
        <w:t xml:space="preserve">  </w:t>
      </w:r>
      <w:r>
        <w:rPr>
          <w:b/>
          <w:sz w:val="20"/>
        </w:rPr>
        <w:t xml:space="preserve">Led and Developed Audit Teams: </w:t>
      </w:r>
      <w:r>
        <w:rPr>
          <w:sz w:val="20"/>
        </w:rPr>
        <w:t>Supervised teams during fieldwork, ensuring high-quality execution of procedures. Maintained strong client relationships through regular communication, expectation management, and the delivery of clear findings and recommendations to diverse audiences.</w:t>
      </w:r>
    </w:p>
    <w:p w14:paraId="1F21443F">
      <w:pPr>
        <w:pStyle w:val="13"/>
        <w:spacing w:before="360" w:line="269" w:lineRule="auto"/>
      </w:pPr>
      <w:r>
        <w:rPr>
          <w:b/>
          <w:i w:val="0"/>
          <w:sz w:val="20"/>
          <w:u w:val="single"/>
        </w:rPr>
        <w:t>ADDITIONAL EXPERIENCES:</w:t>
      </w:r>
    </w:p>
    <w:p w14:paraId="15CAF5FA">
      <w:pPr>
        <w:pStyle w:val="143"/>
        <w:spacing w:line="269" w:lineRule="auto"/>
        <w:ind w:left="200" w:leftChars="0" w:firstLine="0" w:firstLineChars="0"/>
        <w:rPr>
          <w:b/>
          <w:color w:val="FFFFFF"/>
          <w:sz w:val="24"/>
        </w:rPr>
      </w:pPr>
      <w:r>
        <w:rPr>
          <w:rFonts w:ascii="Wingdings" w:hAnsi="Wingdings"/>
          <w:color w:val="1D4575"/>
          <w:sz w:val="20"/>
        </w:rPr>
        <w:t>l</w:t>
      </w:r>
      <w:r>
        <w:rPr>
          <w:sz w:val="20"/>
        </w:rPr>
        <w:t xml:space="preserve">  Analyst – Financial Planning &amp; Analysis | Agricultural Bank of China, Aug 2011 – Nov 2013</w:t>
      </w:r>
    </w:p>
    <w:p w14:paraId="2F94DFCC">
      <w:pPr>
        <w:keepNext w:val="0"/>
        <w:keepLines w:val="0"/>
        <w:pageBreakBefore w:val="0"/>
        <w:widowControl/>
        <w:shd w:val="clear" w:fill="44526A"/>
        <w:kinsoku/>
        <w:wordWrap/>
        <w:overflowPunct/>
        <w:topLinePunct w:val="0"/>
        <w:autoSpaceDE/>
        <w:autoSpaceDN/>
        <w:bidi w:val="0"/>
        <w:adjustRightInd/>
        <w:snapToGrid/>
        <w:spacing w:after="0" w:line="240" w:lineRule="auto"/>
        <w:jc w:val="center"/>
        <w:textAlignment w:val="auto"/>
        <w:rPr>
          <w:b/>
          <w:color w:val="FFFFFF"/>
          <w:sz w:val="8"/>
          <w:szCs w:val="6"/>
        </w:rPr>
      </w:pPr>
    </w:p>
    <w:p w14:paraId="29F342E9">
      <w:pPr>
        <w:keepNext w:val="0"/>
        <w:keepLines w:val="0"/>
        <w:pageBreakBefore w:val="0"/>
        <w:widowControl/>
        <w:shd w:val="clear" w:fill="44526A"/>
        <w:kinsoku/>
        <w:wordWrap/>
        <w:overflowPunct/>
        <w:topLinePunct w:val="0"/>
        <w:autoSpaceDE/>
        <w:autoSpaceDN/>
        <w:bidi w:val="0"/>
        <w:adjustRightInd/>
        <w:snapToGrid/>
        <w:spacing w:after="60" w:line="240" w:lineRule="auto"/>
        <w:jc w:val="center"/>
        <w:textAlignment w:val="auto"/>
        <w:rPr>
          <w:b/>
          <w:color w:val="FFFFFF"/>
          <w:sz w:val="24"/>
        </w:rPr>
      </w:pPr>
      <w:r>
        <w:rPr>
          <w:b/>
          <w:color w:val="FFFFFF"/>
          <w:sz w:val="24"/>
        </w:rPr>
        <w:t>EDUCATION &amp; QUALIFICATIONS</w:t>
      </w:r>
    </w:p>
    <w:p w14:paraId="0480E9BC">
      <w:pPr>
        <w:pStyle w:val="13"/>
        <w:keepNext w:val="0"/>
        <w:keepLines w:val="0"/>
        <w:pageBreakBefore w:val="0"/>
        <w:widowControl/>
        <w:kinsoku/>
        <w:wordWrap/>
        <w:overflowPunct/>
        <w:topLinePunct w:val="0"/>
        <w:autoSpaceDE/>
        <w:autoSpaceDN/>
        <w:bidi w:val="0"/>
        <w:adjustRightInd/>
        <w:snapToGrid/>
        <w:spacing w:before="120" w:line="269" w:lineRule="auto"/>
        <w:textAlignment w:val="auto"/>
        <w:rPr>
          <w:b w:val="0"/>
          <w:bCs/>
          <w:u w:val="none"/>
        </w:rPr>
      </w:pPr>
      <w:r>
        <w:rPr>
          <w:b w:val="0"/>
          <w:bCs/>
          <w:i w:val="0"/>
          <w:sz w:val="20"/>
          <w:u w:val="none"/>
        </w:rPr>
        <w:t>EDUCATION</w:t>
      </w:r>
    </w:p>
    <w:p w14:paraId="791555E7">
      <w:pPr>
        <w:pStyle w:val="13"/>
        <w:numPr>
          <w:numId w:val="0"/>
        </w:numPr>
        <w:spacing w:before="120" w:line="269" w:lineRule="auto"/>
        <w:ind w:left="200" w:leftChars="100" w:firstLine="0" w:firstLineChars="0"/>
        <w:rPr>
          <w:b w:val="0"/>
          <w:bCs/>
        </w:rPr>
      </w:pPr>
      <w:r>
        <w:rPr>
          <w:rFonts w:ascii="Wingdings" w:hAnsi="Wingdings"/>
          <w:color w:val="1D4575"/>
          <w:sz w:val="20"/>
        </w:rPr>
        <w:t>l</w:t>
      </w:r>
      <w:r>
        <w:rPr>
          <w:sz w:val="20"/>
        </w:rPr>
        <w:t xml:space="preserve">  </w:t>
      </w:r>
      <w:r>
        <w:rPr>
          <w:b w:val="0"/>
          <w:bCs/>
          <w:sz w:val="20"/>
        </w:rPr>
        <w:t>Master of Data Science, The University of Sydney (2021)</w:t>
      </w:r>
    </w:p>
    <w:p w14:paraId="1569A7DB">
      <w:pPr>
        <w:pStyle w:val="13"/>
        <w:numPr>
          <w:numId w:val="0"/>
        </w:numPr>
        <w:spacing w:before="120" w:line="269" w:lineRule="auto"/>
        <w:ind w:left="200" w:leftChars="100" w:firstLine="0" w:firstLineChars="0"/>
        <w:rPr>
          <w:b w:val="0"/>
          <w:bCs/>
        </w:rPr>
      </w:pPr>
      <w:r>
        <w:rPr>
          <w:rFonts w:ascii="Wingdings" w:hAnsi="Wingdings"/>
          <w:color w:val="1D4575"/>
          <w:sz w:val="20"/>
        </w:rPr>
        <w:t>l</w:t>
      </w:r>
      <w:r>
        <w:rPr>
          <w:sz w:val="20"/>
        </w:rPr>
        <w:t xml:space="preserve">  </w:t>
      </w:r>
      <w:r>
        <w:rPr>
          <w:b w:val="0"/>
          <w:bCs/>
          <w:sz w:val="20"/>
        </w:rPr>
        <w:t>Master of Accounting, Macquarie University (2011)</w:t>
      </w:r>
    </w:p>
    <w:p w14:paraId="0936B9C7">
      <w:pPr>
        <w:pStyle w:val="13"/>
        <w:spacing w:before="120" w:line="269" w:lineRule="auto"/>
        <w:rPr>
          <w:b w:val="0"/>
          <w:bCs/>
          <w:u w:val="none"/>
        </w:rPr>
      </w:pPr>
      <w:r>
        <w:rPr>
          <w:b w:val="0"/>
          <w:bCs/>
          <w:i w:val="0"/>
          <w:sz w:val="20"/>
          <w:u w:val="none"/>
        </w:rPr>
        <w:t>PROFESSIONAL QUALIFICATIONS</w:t>
      </w:r>
    </w:p>
    <w:p w14:paraId="3A089466">
      <w:pPr>
        <w:pStyle w:val="13"/>
        <w:numPr>
          <w:ilvl w:val="0"/>
          <w:numId w:val="0"/>
        </w:numPr>
        <w:spacing w:before="120" w:line="269" w:lineRule="auto"/>
        <w:ind w:left="200" w:leftChars="100" w:firstLine="0" w:firstLineChars="0"/>
        <w:rPr>
          <w:b w:val="0"/>
          <w:bCs/>
          <w:sz w:val="20"/>
        </w:rPr>
      </w:pPr>
      <w:r>
        <w:rPr>
          <w:rFonts w:ascii="Wingdings" w:hAnsi="Wingdings"/>
          <w:color w:val="1D4575"/>
          <w:sz w:val="20"/>
        </w:rPr>
        <w:t>l</w:t>
      </w:r>
      <w:r>
        <w:rPr>
          <w:sz w:val="20"/>
        </w:rPr>
        <w:t xml:space="preserve">  </w:t>
      </w:r>
      <w:r>
        <w:rPr>
          <w:b w:val="0"/>
          <w:bCs/>
          <w:sz w:val="20"/>
        </w:rPr>
        <w:t>Chartered Accountant (CA)</w:t>
      </w:r>
    </w:p>
    <w:p w14:paraId="0BC91E2F">
      <w:pPr>
        <w:pStyle w:val="13"/>
        <w:numPr>
          <w:ilvl w:val="0"/>
          <w:numId w:val="0"/>
        </w:numPr>
        <w:spacing w:before="120" w:line="269" w:lineRule="auto"/>
        <w:ind w:left="200" w:leftChars="100" w:firstLine="0" w:firstLineChars="0"/>
        <w:rPr>
          <w:b w:val="0"/>
          <w:bCs/>
          <w:sz w:val="20"/>
        </w:rPr>
      </w:pPr>
      <w:r>
        <w:rPr>
          <w:rFonts w:ascii="Wingdings" w:hAnsi="Wingdings"/>
          <w:color w:val="1D4575"/>
          <w:sz w:val="20"/>
        </w:rPr>
        <w:t>l</w:t>
      </w:r>
      <w:r>
        <w:rPr>
          <w:sz w:val="20"/>
        </w:rPr>
        <w:t xml:space="preserve">  </w:t>
      </w:r>
      <w:r>
        <w:rPr>
          <w:b w:val="0"/>
          <w:bCs/>
          <w:sz w:val="20"/>
        </w:rPr>
        <w:t>Certified Public Accountant (CPA)</w:t>
      </w:r>
    </w:p>
    <w:p w14:paraId="79FBC8E8">
      <w:pPr>
        <w:pStyle w:val="13"/>
        <w:numPr>
          <w:ilvl w:val="0"/>
          <w:numId w:val="0"/>
        </w:numPr>
        <w:spacing w:before="120" w:line="269" w:lineRule="auto"/>
        <w:ind w:left="200" w:leftChars="100" w:firstLine="0" w:firstLineChars="0"/>
        <w:rPr>
          <w:b w:val="0"/>
          <w:bCs/>
          <w:sz w:val="20"/>
        </w:rPr>
      </w:pPr>
      <w:r>
        <w:rPr>
          <w:rFonts w:ascii="Wingdings" w:hAnsi="Wingdings"/>
          <w:color w:val="1D4575"/>
          <w:sz w:val="20"/>
        </w:rPr>
        <w:t>l</w:t>
      </w:r>
      <w:r>
        <w:rPr>
          <w:sz w:val="20"/>
        </w:rPr>
        <w:t xml:space="preserve">  </w:t>
      </w:r>
      <w:r>
        <w:rPr>
          <w:b w:val="0"/>
          <w:bCs/>
          <w:sz w:val="20"/>
        </w:rPr>
        <w:t>Chartered Institute of Management Accountants (CIMA)</w:t>
      </w:r>
    </w:p>
    <w:p w14:paraId="0E50B556">
      <w:pPr>
        <w:keepNext w:val="0"/>
        <w:keepLines w:val="0"/>
        <w:pageBreakBefore w:val="0"/>
        <w:widowControl/>
        <w:shd w:val="clear" w:fill="44526A"/>
        <w:kinsoku/>
        <w:wordWrap/>
        <w:overflowPunct/>
        <w:topLinePunct w:val="0"/>
        <w:autoSpaceDE/>
        <w:autoSpaceDN/>
        <w:bidi w:val="0"/>
        <w:adjustRightInd/>
        <w:snapToGrid/>
        <w:spacing w:before="240" w:after="0" w:line="269" w:lineRule="auto"/>
        <w:jc w:val="center"/>
        <w:textAlignment w:val="auto"/>
        <w:rPr>
          <w:b/>
          <w:color w:val="FFFFFF"/>
          <w:sz w:val="24"/>
        </w:rPr>
      </w:pPr>
      <w:r>
        <w:rPr>
          <w:b/>
          <w:color w:val="FFFFFF"/>
          <w:sz w:val="24"/>
        </w:rPr>
        <w:t>TECHNOLOGY STACK</w:t>
      </w:r>
    </w:p>
    <w:tbl>
      <w:tblPr>
        <w:tblStyle w:val="12"/>
        <w:tblpPr w:leftFromText="180" w:rightFromText="180" w:vertAnchor="text" w:horzAnchor="page" w:tblpX="972" w:tblpY="402"/>
        <w:tblOverlap w:val="never"/>
        <w:tblW w:w="0" w:type="auto"/>
        <w:tblInd w:w="0" w:type="dxa"/>
        <w:tblLayout w:type="autofit"/>
        <w:tblCellMar>
          <w:top w:w="0" w:type="dxa"/>
          <w:left w:w="108" w:type="dxa"/>
          <w:bottom w:w="0" w:type="dxa"/>
          <w:right w:w="108" w:type="dxa"/>
        </w:tblCellMar>
      </w:tblPr>
      <w:tblGrid>
        <w:gridCol w:w="2831"/>
        <w:gridCol w:w="7451"/>
      </w:tblGrid>
      <w:tr w14:paraId="38113732">
        <w:tc>
          <w:tcPr>
            <w:tcW w:w="2831" w:type="dxa"/>
          </w:tcPr>
          <w:p w14:paraId="755A36B5">
            <w:pPr>
              <w:spacing w:line="269" w:lineRule="auto"/>
            </w:pPr>
            <w:r>
              <w:rPr>
                <w:b/>
                <w:sz w:val="20"/>
              </w:rPr>
              <w:t>Data Viz &amp; Reporting:</w:t>
            </w:r>
          </w:p>
        </w:tc>
        <w:tc>
          <w:tcPr>
            <w:tcW w:w="7451" w:type="dxa"/>
          </w:tcPr>
          <w:p w14:paraId="531F7118">
            <w:pPr>
              <w:spacing w:line="269" w:lineRule="auto"/>
            </w:pPr>
            <w:r>
              <w:rPr>
                <w:sz w:val="20"/>
              </w:rPr>
              <w:t>Power BI, Tableau</w:t>
            </w:r>
          </w:p>
        </w:tc>
      </w:tr>
      <w:tr w14:paraId="67CB4A3D">
        <w:tc>
          <w:tcPr>
            <w:tcW w:w="2831" w:type="dxa"/>
          </w:tcPr>
          <w:p w14:paraId="75DB40E9">
            <w:pPr>
              <w:spacing w:line="269" w:lineRule="auto"/>
            </w:pPr>
            <w:r>
              <w:rPr>
                <w:b/>
                <w:sz w:val="20"/>
              </w:rPr>
              <w:t>Analytics &amp; Data Science:</w:t>
            </w:r>
          </w:p>
        </w:tc>
        <w:tc>
          <w:tcPr>
            <w:tcW w:w="7451" w:type="dxa"/>
          </w:tcPr>
          <w:p w14:paraId="2136A9DB">
            <w:pPr>
              <w:spacing w:line="269" w:lineRule="auto"/>
            </w:pPr>
            <w:r>
              <w:rPr>
                <w:sz w:val="20"/>
              </w:rPr>
              <w:t>Python, SQL, Alteryx, Dataiku</w:t>
            </w:r>
          </w:p>
        </w:tc>
      </w:tr>
      <w:tr w14:paraId="12DE7D6E">
        <w:tc>
          <w:tcPr>
            <w:tcW w:w="2831" w:type="dxa"/>
          </w:tcPr>
          <w:p w14:paraId="0829E9A1">
            <w:pPr>
              <w:spacing w:line="269" w:lineRule="auto"/>
            </w:pPr>
            <w:r>
              <w:rPr>
                <w:b/>
                <w:sz w:val="20"/>
              </w:rPr>
              <w:t>AI &amp; Emerging Tech:</w:t>
            </w:r>
          </w:p>
        </w:tc>
        <w:tc>
          <w:tcPr>
            <w:tcW w:w="7451" w:type="dxa"/>
          </w:tcPr>
          <w:p w14:paraId="714A87AE">
            <w:pPr>
              <w:spacing w:line="269" w:lineRule="auto"/>
            </w:pPr>
            <w:r>
              <w:rPr>
                <w:sz w:val="20"/>
              </w:rPr>
              <w:t>Generative AI / LLMs, Claude Code, GitHub Copilot</w:t>
            </w:r>
          </w:p>
        </w:tc>
      </w:tr>
      <w:tr w14:paraId="670DBC3B">
        <w:tc>
          <w:tcPr>
            <w:tcW w:w="2831" w:type="dxa"/>
          </w:tcPr>
          <w:p w14:paraId="116816FE">
            <w:pPr>
              <w:spacing w:line="269" w:lineRule="auto"/>
            </w:pPr>
            <w:r>
              <w:rPr>
                <w:b/>
                <w:sz w:val="20"/>
              </w:rPr>
              <w:t>Enterprise Data Platforms:</w:t>
            </w:r>
          </w:p>
        </w:tc>
        <w:tc>
          <w:tcPr>
            <w:tcW w:w="7451" w:type="dxa"/>
          </w:tcPr>
          <w:p w14:paraId="07C74FC5">
            <w:pPr>
              <w:spacing w:line="269" w:lineRule="auto"/>
              <w:rPr>
                <w:rFonts w:hint="default"/>
                <w:lang w:val="en-US"/>
              </w:rPr>
            </w:pPr>
            <w:r>
              <w:rPr>
                <w:sz w:val="20"/>
              </w:rPr>
              <w:t>Hadoop Data Lake</w:t>
            </w:r>
            <w:r>
              <w:rPr>
                <w:rFonts w:hint="default"/>
                <w:sz w:val="20"/>
                <w:lang w:val="en-US"/>
              </w:rPr>
              <w:t>, Data Warehouse</w:t>
            </w:r>
          </w:p>
        </w:tc>
      </w:tr>
      <w:tr w14:paraId="66F7E17A">
        <w:tc>
          <w:tcPr>
            <w:tcW w:w="2831" w:type="dxa"/>
          </w:tcPr>
          <w:p w14:paraId="238E6320">
            <w:pPr>
              <w:spacing w:line="269" w:lineRule="auto"/>
            </w:pPr>
            <w:r>
              <w:rPr>
                <w:b/>
                <w:sz w:val="20"/>
              </w:rPr>
              <w:t>Collaboration &amp; Delivery:</w:t>
            </w:r>
          </w:p>
        </w:tc>
        <w:tc>
          <w:tcPr>
            <w:tcW w:w="7451" w:type="dxa"/>
          </w:tcPr>
          <w:p w14:paraId="681EA0A2">
            <w:pPr>
              <w:spacing w:line="269" w:lineRule="auto"/>
            </w:pPr>
            <w:r>
              <w:rPr>
                <w:sz w:val="20"/>
              </w:rPr>
              <w:t>Jira, Confluence, Bitbucket, Agile, SDLC</w:t>
            </w:r>
          </w:p>
        </w:tc>
      </w:tr>
      <w:tr w14:paraId="1E3368A6">
        <w:tc>
          <w:tcPr>
            <w:tcW w:w="2831" w:type="dxa"/>
          </w:tcPr>
          <w:p w14:paraId="28FC318F">
            <w:pPr>
              <w:spacing w:line="269" w:lineRule="auto"/>
            </w:pPr>
            <w:r>
              <w:rPr>
                <w:b/>
                <w:sz w:val="20"/>
              </w:rPr>
              <w:t>Governance Frameworks:</w:t>
            </w:r>
          </w:p>
        </w:tc>
        <w:tc>
          <w:tcPr>
            <w:tcW w:w="7451" w:type="dxa"/>
          </w:tcPr>
          <w:p w14:paraId="43BFBA69">
            <w:pPr>
              <w:spacing w:line="269" w:lineRule="auto"/>
            </w:pPr>
            <w:r>
              <w:rPr>
                <w:sz w:val="20"/>
              </w:rPr>
              <w:t>Data Governance, Three Lines of Defence (3LoD), APRA Data Risk Guidelines (CPG 235)</w:t>
            </w:r>
          </w:p>
        </w:tc>
      </w:tr>
    </w:tbl>
    <w:p w14:paraId="1BEB1BA2">
      <w:pPr>
        <w:spacing w:before="60"/>
      </w:pPr>
    </w:p>
    <w:p w14:paraId="3F27C778">
      <w:pPr>
        <w:pStyle w:val="13"/>
        <w:spacing w:before="360" w:line="269" w:lineRule="auto"/>
        <w:jc w:val="center"/>
      </w:pPr>
      <w:r>
        <w:rPr>
          <w:b/>
          <w:i/>
          <w:sz w:val="20"/>
          <w:u w:val="none"/>
        </w:rPr>
        <w:t>-References available upon request-</w:t>
      </w:r>
    </w:p>
    <w:sectPr>
      <w:pgSz w:w="11910" w:h="16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Calibri (Body)">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Baloo Bhaijaan">
    <w:panose1 w:val="03080902040302020200"/>
    <w:charset w:val="00"/>
    <w:family w:val="auto"/>
    <w:pitch w:val="default"/>
    <w:sig w:usb0="A000207F" w:usb1="4000207B" w:usb2="00000000" w:usb3="00000000" w:csb0="200001D3" w:csb1="00000000"/>
  </w:font>
  <w:font w:name="Baloo Chettan 2 Regular">
    <w:panose1 w:val="03080502040302020200"/>
    <w:charset w:val="00"/>
    <w:family w:val="auto"/>
    <w:pitch w:val="default"/>
    <w:sig w:usb0="A080007F" w:usb1="4000207B" w:usb2="00000000" w:usb3="00000000" w:csb0="20000193" w:csb1="00000000"/>
  </w:font>
  <w:font w:name="Baloo Bhai 2 Regular">
    <w:panose1 w:val="03080502040302020200"/>
    <w:charset w:val="00"/>
    <w:family w:val="auto"/>
    <w:pitch w:val="default"/>
    <w:sig w:usb0="A004007F" w:usb1="4000207B" w:usb2="00000000" w:usb3="00000000" w:csb0="20000193" w:csb1="00000000"/>
  </w:font>
  <w:font w:name="BM Hanna Pro">
    <w:panose1 w:val="020B0600000101010101"/>
    <w:charset w:val="81"/>
    <w:family w:val="auto"/>
    <w:pitch w:val="default"/>
    <w:sig w:usb0="800002A7" w:usb1="29D7FCFB" w:usb2="00000010" w:usb3="00000000" w:csb0="00280005" w:csb1="00000000"/>
  </w:font>
  <w:font w:name="Chalkboard SE Regular">
    <w:panose1 w:val="03050602040202020205"/>
    <w:charset w:val="00"/>
    <w:family w:val="auto"/>
    <w:pitch w:val="default"/>
    <w:sig w:usb0="80000023" w:usb1="00000000" w:usb2="00000000" w:usb3="00000000" w:csb0="20000001" w:csb1="00000000"/>
  </w:font>
  <w:font w:name="Chalkboard Regular">
    <w:panose1 w:val="03050602040202020205"/>
    <w:charset w:val="00"/>
    <w:family w:val="auto"/>
    <w:pitch w:val="default"/>
    <w:sig w:usb0="80000023" w:usb1="00000000" w:usb2="00000000" w:usb3="00000000" w:csb0="20000001" w:csb1="00000000"/>
  </w:font>
  <w:font w:name="Gujarati Sangam MN Regular">
    <w:panose1 w:val="00000500000000000000"/>
    <w:charset w:val="00"/>
    <w:family w:val="auto"/>
    <w:pitch w:val="default"/>
    <w:sig w:usb0="00040001" w:usb1="00000000" w:usb2="00000000" w:usb3="00000000" w:csb0="00000000" w:csb1="00000000"/>
  </w:font>
  <w:font w:name="Gujarati MT Regular">
    <w:panose1 w:val="00000500070000000000"/>
    <w:charset w:val="00"/>
    <w:family w:val="auto"/>
    <w:pitch w:val="default"/>
    <w:sig w:usb0="80048003" w:usb1="1000C0C1" w:usb2="00000000" w:usb3="00000000" w:csb0="00000001" w:csb1="00000000"/>
  </w:font>
  <w:font w:name="HanziPen TC Regular">
    <w:panose1 w:val="03000300000000000000"/>
    <w:charset w:val="86"/>
    <w:family w:val="auto"/>
    <w:pitch w:val="default"/>
    <w:sig w:usb0="A00002FF" w:usb1="7ACF7CFB" w:usb2="00000016" w:usb3="00000000" w:csb0="00040001" w:csb1="00000000"/>
  </w:font>
  <w:font w:name="HeadLineA">
    <w:panose1 w:val="00000000000000000000"/>
    <w:charset w:val="00"/>
    <w:family w:val="auto"/>
    <w:pitch w:val="default"/>
    <w:sig w:usb0="90000043" w:usb1="11100002" w:usb2="00000010" w:usb3="00000000" w:csb0="00000001" w:csb1="00000000"/>
  </w:font>
  <w:font w:name="Helvetica Regular">
    <w:panose1 w:val="00000000000000000000"/>
    <w:charset w:val="00"/>
    <w:family w:val="auto"/>
    <w:pitch w:val="default"/>
    <w:sig w:usb0="E00002FF" w:usb1="5000785B" w:usb2="00000000" w:usb3="00000000" w:csb0="2000019F" w:csb1="4F010000"/>
  </w:font>
  <w:font w:name="Helvetica Neue Regular">
    <w:panose1 w:val="02000503000000020004"/>
    <w:charset w:val="00"/>
    <w:family w:val="auto"/>
    <w:pitch w:val="default"/>
    <w:sig w:usb0="E50002FF" w:usb1="500079DB" w:usb2="00000010" w:usb3="00000000" w:csb0="00000000" w:csb1="00000000"/>
  </w:font>
  <w:font w:name="Hiragino Kaku Gothic Std">
    <w:panose1 w:val="020B0800000000000000"/>
    <w:charset w:val="80"/>
    <w:family w:val="auto"/>
    <w:pitch w:val="default"/>
    <w:sig w:usb0="800002CF" w:usb1="68C7FCFC" w:usb2="00000012" w:usb3="00000000" w:csb0="0002000D" w:csb1="00000000"/>
  </w:font>
  <w:font w:name="Hiragino Maru Gothic Pro">
    <w:panose1 w:val="020F0400000000000000"/>
    <w:charset w:val="80"/>
    <w:family w:val="auto"/>
    <w:pitch w:val="default"/>
    <w:sig w:usb0="E00002FF" w:usb1="7AE7FFFF" w:usb2="00000012" w:usb3="00000000" w:csb0="0002000D" w:csb1="00000000"/>
  </w:font>
  <w:font w:name="InaiMathi Regular">
    <w:panose1 w:val="00000500000000000000"/>
    <w:charset w:val="00"/>
    <w:family w:val="auto"/>
    <w:pitch w:val="default"/>
    <w:sig w:usb0="00100001" w:usb1="00000000" w:usb2="00000000" w:usb3="00000000" w:csb0="00000001" w:csb1="00000000"/>
  </w:font>
  <w:font w:name="ITF Devanagari Book">
    <w:panose1 w:val="02000000000000000000"/>
    <w:charset w:val="00"/>
    <w:family w:val="auto"/>
    <w:pitch w:val="default"/>
    <w:sig w:usb0="00008000" w:usb1="00000000" w:usb2="00000000" w:usb3="00000000" w:csb0="00000000" w:csb1="00000000"/>
  </w:font>
  <w:font w:name="Krungthep">
    <w:panose1 w:val="02000400000000000000"/>
    <w:charset w:val="00"/>
    <w:family w:val="auto"/>
    <w:pitch w:val="default"/>
    <w:sig w:usb0="810000FF" w:usb1="5000204A" w:usb2="00000020" w:usb3="00000000" w:csb0="20000193" w:csb1="4D000000"/>
  </w:font>
  <w:font w:name="Lahore Gurmukhi Regular">
    <w:panose1 w:val="00000500000000000000"/>
    <w:charset w:val="00"/>
    <w:family w:val="auto"/>
    <w:pitch w:val="default"/>
    <w:sig w:usb0="00020000" w:usb1="00000000" w:usb2="00000000" w:usb3="00000000" w:csb0="00000000" w:csb1="00000000"/>
  </w:font>
  <w:font w:name="Lantinghei SC Extralight">
    <w:panose1 w:val="02000000000000000000"/>
    <w:charset w:val="86"/>
    <w:family w:val="auto"/>
    <w:pitch w:val="default"/>
    <w:sig w:usb0="00000001" w:usb1="08000000" w:usb2="00000000" w:usb3="00000000" w:csb0="00040000" w:csb1="00000000"/>
  </w:font>
  <w:font w:name="Lantinghei TC Extralight">
    <w:panose1 w:val="03000509000000000000"/>
    <w:charset w:val="88"/>
    <w:family w:val="auto"/>
    <w:pitch w:val="default"/>
    <w:sig w:usb0="00000001" w:usb1="080E0000" w:usb2="00000000" w:usb3="00000000" w:csb0="00100000" w:csb1="00000000"/>
  </w:font>
  <w:font w:name="Lava Telugu Regular">
    <w:panose1 w:val="00000000000000000000"/>
    <w:charset w:val="00"/>
    <w:family w:val="auto"/>
    <w:pitch w:val="default"/>
    <w:sig w:usb0="80200023" w:usb1="00000042" w:usb2="00000000" w:usb3="00000000" w:csb0="20000001" w:csb1="00000000"/>
  </w:font>
  <w:font w:name="Lava Kannada Regular">
    <w:panose1 w:val="00000000000000000000"/>
    <w:charset w:val="00"/>
    <w:family w:val="auto"/>
    <w:pitch w:val="default"/>
    <w:sig w:usb0="80400023" w:usb1="00000042"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1EE395"/>
    <w:rsid w:val="65E632E9"/>
    <w:rsid w:val="6D3FE8D6"/>
    <w:rsid w:val="9B4F030E"/>
    <w:rsid w:val="FFFB11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WPS_1767227127</cp:lastModifiedBy>
  <dcterms:modified xsi:type="dcterms:W3CDTF">2026-05-28T23:55:14Z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B588EF7F3AF6750A1746186A0D5EA590_42</vt:lpwstr>
  </property>
</Properties>
</file>