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DB408">
      <w:pPr>
        <w:pStyle w:val="6"/>
        <w:spacing w:line="269" w:lineRule="auto"/>
        <w:jc w:val="center"/>
        <w:rPr>
          <w:rFonts w:asciiTheme="minorHAnsi" w:hAnsiTheme="minorHAnsi" w:cstheme="minorHAnsi"/>
          <w:b/>
          <w:smallCaps/>
          <w:color w:val="000000"/>
          <w:sz w:val="48"/>
          <w:szCs w:val="48"/>
        </w:rPr>
      </w:pPr>
      <w:r>
        <w:rPr>
          <w:rFonts w:asciiTheme="minorHAnsi" w:hAnsiTheme="minorHAnsi" w:cstheme="minorHAnsi"/>
          <w:lang w:val="en-AU"/>
        </w:rPr>
        <mc:AlternateContent>
          <mc:Choice Requires="wps">
            <w:drawing>
              <wp:anchor distT="0" distB="0" distL="114300" distR="114300" simplePos="0" relativeHeight="251659264" behindDoc="1" locked="0" layoutInCell="1" allowOverlap="1">
                <wp:simplePos x="0" y="0"/>
                <wp:positionH relativeFrom="page">
                  <wp:posOffset>-73660</wp:posOffset>
                </wp:positionH>
                <wp:positionV relativeFrom="paragraph">
                  <wp:posOffset>-545465</wp:posOffset>
                </wp:positionV>
                <wp:extent cx="7713345" cy="893445"/>
                <wp:effectExtent l="0" t="0" r="1905" b="1905"/>
                <wp:wrapNone/>
                <wp:docPr id="2" name="Graphic 2"/>
                <wp:cNvGraphicFramePr/>
                <a:graphic xmlns:a="http://schemas.openxmlformats.org/drawingml/2006/main">
                  <a:graphicData uri="http://schemas.microsoft.com/office/word/2010/wordprocessingShape">
                    <wps:wsp>
                      <wps:cNvSpPr/>
                      <wps:spPr>
                        <a:xfrm>
                          <a:off x="0" y="0"/>
                          <a:ext cx="7713407" cy="893445"/>
                        </a:xfrm>
                        <a:custGeom>
                          <a:avLst/>
                          <a:gdLst/>
                          <a:ahLst/>
                          <a:cxnLst/>
                          <a:rect l="l" t="t" r="r" b="b"/>
                          <a:pathLst>
                            <a:path w="7560945" h="554990">
                              <a:moveTo>
                                <a:pt x="0" y="554735"/>
                              </a:moveTo>
                              <a:lnTo>
                                <a:pt x="7560564" y="554735"/>
                              </a:lnTo>
                              <a:lnTo>
                                <a:pt x="7560564" y="0"/>
                              </a:lnTo>
                              <a:lnTo>
                                <a:pt x="0" y="0"/>
                              </a:lnTo>
                              <a:lnTo>
                                <a:pt x="0" y="554735"/>
                              </a:lnTo>
                              <a:close/>
                            </a:path>
                          </a:pathLst>
                        </a:custGeom>
                        <a:solidFill>
                          <a:srgbClr val="44526A"/>
                        </a:solidFill>
                      </wps:spPr>
                      <wps:bodyPr wrap="square" lIns="0" tIns="0" rIns="0" bIns="0" rtlCol="0"/>
                    </wps:wsp>
                  </a:graphicData>
                </a:graphic>
              </wp:anchor>
            </w:drawing>
          </mc:Choice>
          <mc:Fallback>
            <w:pict>
              <v:shape id="Graphic 2" o:spid="_x0000_s1026" o:spt="100" style="position:absolute;left:0pt;margin-left:-5.8pt;margin-top:-42.95pt;height:70.35pt;width:607.35pt;mso-position-horizontal-relative:page;z-index:-251657216;mso-width-relative:page;mso-height-relative:page;" fillcolor="#44526A" filled="t" stroked="f" coordsize="7560945,554990" o:gfxdata="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jJR8dgAAAALAQAADwAAAAAAAAABACAAAAAiAAAAZHJzL2Rvd25yZXYueG1sUEsBAhQAFAAAAAgA&#10;h07iQCQCI9olAgAAyQQAAA4AAAAAAAAAAQAgAAAAJwEAAGRycy9lMm9Eb2MueG1sUEsFBgAAAAAG&#10;AAYAWQEAAL4FAAAAAA==&#10;" path="m0,554735l7560564,554735,7560564,0,0,0,0,554735xe">
                <v:fill on="t" focussize="0,0"/>
                <v:stroke on="f"/>
                <v:imagedata o:title=""/>
                <o:lock v:ext="edit" aspectratio="f"/>
                <v:textbox inset="0mm,0mm,0mm,0mm"/>
              </v:shape>
            </w:pict>
          </mc:Fallback>
        </mc:AlternateContent>
      </w:r>
      <w:r>
        <w:rPr>
          <w:rFonts w:asciiTheme="minorHAnsi" w:hAnsiTheme="minorHAnsi" w:cstheme="minorHAnsi"/>
          <w:lang w:val="en-AU"/>
        </w:rPr>
        <mc:AlternateContent>
          <mc:Choice Requires="wps">
            <w:drawing>
              <wp:anchor distT="0" distB="0" distL="114300" distR="114300" simplePos="0" relativeHeight="251660288" behindDoc="1" locked="0" layoutInCell="1" allowOverlap="1">
                <wp:simplePos x="0" y="0"/>
                <wp:positionH relativeFrom="margin">
                  <wp:posOffset>287020</wp:posOffset>
                </wp:positionH>
                <wp:positionV relativeFrom="paragraph">
                  <wp:posOffset>4445</wp:posOffset>
                </wp:positionV>
                <wp:extent cx="6036310" cy="634365"/>
                <wp:effectExtent l="0" t="0" r="2540" b="0"/>
                <wp:wrapNone/>
                <wp:docPr id="3" name="Graphic 3"/>
                <wp:cNvGraphicFramePr/>
                <a:graphic xmlns:a="http://schemas.openxmlformats.org/drawingml/2006/main">
                  <a:graphicData uri="http://schemas.microsoft.com/office/word/2010/wordprocessingShape">
                    <wps:wsp>
                      <wps:cNvSpPr/>
                      <wps:spPr>
                        <a:xfrm>
                          <a:off x="0" y="0"/>
                          <a:ext cx="6036319" cy="634181"/>
                        </a:xfrm>
                        <a:custGeom>
                          <a:avLst/>
                          <a:gdLst/>
                          <a:ahLst/>
                          <a:cxnLst/>
                          <a:rect l="l" t="t" r="r" b="b"/>
                          <a:pathLst>
                            <a:path w="6219825" h="620395">
                              <a:moveTo>
                                <a:pt x="6219444" y="0"/>
                              </a:moveTo>
                              <a:lnTo>
                                <a:pt x="0" y="0"/>
                              </a:lnTo>
                              <a:lnTo>
                                <a:pt x="0" y="620268"/>
                              </a:lnTo>
                              <a:lnTo>
                                <a:pt x="6219444" y="620268"/>
                              </a:lnTo>
                              <a:lnTo>
                                <a:pt x="6219444" y="0"/>
                              </a:lnTo>
                              <a:close/>
                            </a:path>
                          </a:pathLst>
                        </a:custGeom>
                        <a:solidFill>
                          <a:srgbClr val="D4DCE3"/>
                        </a:solidFill>
                      </wps:spPr>
                      <wps:bodyPr wrap="square" lIns="0" tIns="0" rIns="0" bIns="0" rtlCol="0"/>
                    </wps:wsp>
                  </a:graphicData>
                </a:graphic>
              </wp:anchor>
            </w:drawing>
          </mc:Choice>
          <mc:Fallback>
            <w:pict>
              <v:shape id="Graphic 3" o:spid="_x0000_s1026" o:spt="100" style="position:absolute;left:0pt;margin-left:22.6pt;margin-top:0.35pt;height:49.95pt;width:475.3pt;mso-position-horizontal-relative:margin;z-index:-251656192;mso-width-relative:page;mso-height-relative:page;" fillcolor="#D4DCE3" filled="t" stroked="f" coordsize="6219825,620395" o:gfxdata="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g&#10;aifH1gAAAAcBAAAPAAAAAAAAAAEAIAAAACIAAABkcnMvZG93bnJldi54bWxQSwECFAAUAAAACACH&#10;TuJA0uKIPCYCAADKBAAADgAAAAAAAAABACAAAAAlAQAAZHJzL2Uyb0RvYy54bWxQSwUGAAAAAAYA&#10;BgBZAQAAvQUAAAAA&#10;" path="m6219444,0l0,0,0,620268,6219444,620268,6219444,0xe">
                <v:fill on="t" focussize="0,0"/>
                <v:stroke on="f"/>
                <v:imagedata o:title=""/>
                <o:lock v:ext="edit" aspectratio="f"/>
                <v:textbox inset="0mm,0mm,0mm,0mm"/>
              </v:shape>
            </w:pict>
          </mc:Fallback>
        </mc:AlternateContent>
      </w:r>
      <w:r>
        <w:rPr>
          <w:rFonts w:asciiTheme="minorHAnsi" w:hAnsiTheme="minorHAnsi" w:cstheme="minorHAnsi"/>
          <w:b/>
          <w:smallCaps/>
          <w:color w:val="000000"/>
          <w:sz w:val="48"/>
          <w:szCs w:val="48"/>
        </w:rPr>
        <w:t>Max Liu</w:t>
      </w:r>
    </w:p>
    <w:p w14:paraId="0B106343">
      <w:pPr>
        <w:pStyle w:val="6"/>
        <w:spacing w:line="269" w:lineRule="auto"/>
        <w:jc w:val="center"/>
        <w:rPr>
          <w:rFonts w:asciiTheme="minorHAnsi" w:hAnsiTheme="minorHAnsi" w:cstheme="minorHAnsi"/>
          <w:sz w:val="21"/>
          <w:szCs w:val="21"/>
          <w:lang w:val="en-AU"/>
        </w:rPr>
      </w:pPr>
      <w:r>
        <w:rPr>
          <w:color w:val="000000"/>
          <w:sz w:val="21"/>
          <w:szCs w:val="21"/>
        </w:rPr>
        <w:t xml:space="preserve">0426 582 002 | </w:t>
      </w:r>
      <w:r>
        <w:fldChar w:fldCharType="begin"/>
      </w:r>
      <w:r>
        <w:instrText xml:space="preserve"> HYPERLINK "mailto:jirong.liu@outlook.com" </w:instrText>
      </w:r>
      <w:r>
        <w:fldChar w:fldCharType="separate"/>
      </w:r>
      <w:r>
        <w:rPr>
          <w:rStyle w:val="12"/>
          <w:sz w:val="21"/>
          <w:szCs w:val="21"/>
        </w:rPr>
        <w:t>jirong.liu@outlook.com</w:t>
      </w:r>
      <w:r>
        <w:rPr>
          <w:rStyle w:val="12"/>
          <w:sz w:val="21"/>
          <w:szCs w:val="21"/>
        </w:rPr>
        <w:fldChar w:fldCharType="end"/>
      </w:r>
    </w:p>
    <w:p w14:paraId="78F8A184">
      <w:pPr>
        <w:pStyle w:val="16"/>
        <w:keepNext w:val="0"/>
        <w:keepLines w:val="0"/>
        <w:pageBreakBefore w:val="0"/>
        <w:widowControl w:val="0"/>
        <w:pBdr>
          <w:top w:val="single" w:color="EEECE1" w:themeColor="background2" w:sz="4" w:space="1"/>
          <w:bottom w:val="single" w:color="EEECE1" w:themeColor="background2" w:sz="4" w:space="1"/>
        </w:pBdr>
        <w:kinsoku/>
        <w:wordWrap/>
        <w:overflowPunct/>
        <w:topLinePunct w:val="0"/>
        <w:autoSpaceDE w:val="0"/>
        <w:autoSpaceDN w:val="0"/>
        <w:bidi w:val="0"/>
        <w:adjustRightInd/>
        <w:snapToGrid/>
        <w:spacing w:before="0" w:beforeLines="100" w:line="269" w:lineRule="auto"/>
        <w:ind w:left="0"/>
        <w:jc w:val="center"/>
        <w:textAlignment w:val="auto"/>
        <w:rPr>
          <w:rFonts w:asciiTheme="minorHAnsi" w:hAnsiTheme="minorHAnsi" w:cstheme="minorHAnsi"/>
          <w:smallCaps/>
          <w:color w:val="44526A"/>
          <w:spacing w:val="24"/>
          <w:sz w:val="26"/>
          <w:szCs w:val="26"/>
          <w:lang w:val="en-AU"/>
        </w:rPr>
      </w:pPr>
      <w:r>
        <w:rPr>
          <w:rFonts w:hint="default" w:asciiTheme="minorHAnsi" w:hAnsiTheme="minorHAnsi" w:cstheme="minorHAnsi"/>
          <w:smallCaps/>
          <w:color w:val="44526A"/>
          <w:spacing w:val="24"/>
          <w:sz w:val="26"/>
          <w:szCs w:val="26"/>
          <w:lang w:val="en-US"/>
        </w:rPr>
        <w:t xml:space="preserve">Data &amp; Platforms Stategry Leader </w:t>
      </w:r>
    </w:p>
    <w:p w14:paraId="5A7C71FA">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AU"/>
        </w:rPr>
        <w:t>Strategic and impact-driven data professional with over 10 years of experience transforming complex analytics into commercial growth strategies within financial services. Proven ability to build and shape data and platform strategies from the ground up, delivering transformative initiatives that drive competitive advantage. Expert at turning intricate data into actionable insights and unlocking significant business value (including enabling $5B in retail funding). Demonstrated success in fostering strategic relationships with external vendors and cross-functional internal teams. A strong communicator and "data storyteller," passionate about exploring data details to shape market approaches and build lasting strategic partnerships.</w:t>
      </w:r>
    </w:p>
    <w:p w14:paraId="22A68744">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p>
    <w:p w14:paraId="7C65C535">
      <w:pPr>
        <w:shd w:val="clear" w:color="auto" w:fill="44526A"/>
        <w:spacing w:before="240" w:line="269" w:lineRule="auto"/>
        <w:jc w:val="center"/>
        <w:rPr>
          <w:rFonts w:asciiTheme="minorHAnsi" w:hAnsiTheme="minorHAnsi" w:cstheme="minorHAnsi"/>
          <w:b/>
          <w:color w:val="000000"/>
          <w:sz w:val="24"/>
          <w:szCs w:val="24"/>
        </w:rPr>
      </w:pPr>
      <w:r>
        <w:rPr>
          <w:rFonts w:asciiTheme="minorHAnsi" w:hAnsiTheme="minorHAnsi" w:cstheme="minorHAnsi"/>
          <w:b/>
          <w:smallCaps/>
          <w:color w:val="FFFFFF"/>
          <w:sz w:val="24"/>
          <w:szCs w:val="24"/>
        </w:rPr>
        <w:t>AREAS OF EXPERTISE</w:t>
      </w:r>
    </w:p>
    <w:tbl>
      <w:tblPr>
        <w:tblW w:w="1053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3151"/>
        <w:gridCol w:w="4070"/>
        <w:gridCol w:w="3310"/>
      </w:tblGrid>
      <w:tr w14:paraId="75F7F7E7">
        <w:trPr>
          <w:trHeight w:val="352" w:hRule="atLeast"/>
        </w:trPr>
        <w:tc>
          <w:tcPr>
            <w:tcW w:w="3151" w:type="dxa"/>
            <w:tcBorders>
              <w:top w:val="nil"/>
              <w:left w:val="nil"/>
              <w:bottom w:val="nil"/>
              <w:right w:val="nil"/>
            </w:tcBorders>
            <w:shd w:val="clear"/>
            <w:noWrap/>
            <w:vAlign w:val="center"/>
          </w:tcPr>
          <w:p w14:paraId="1945645C">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Data &amp; Platform Strategy</w:t>
            </w:r>
          </w:p>
        </w:tc>
        <w:tc>
          <w:tcPr>
            <w:tcW w:w="4070" w:type="dxa"/>
            <w:tcBorders>
              <w:top w:val="nil"/>
              <w:left w:val="nil"/>
              <w:bottom w:val="nil"/>
              <w:right w:val="nil"/>
            </w:tcBorders>
            <w:shd w:val="clear"/>
            <w:noWrap/>
            <w:vAlign w:val="center"/>
          </w:tcPr>
          <w:p w14:paraId="7BB1E72A">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Complex Data Interrogation</w:t>
            </w:r>
          </w:p>
        </w:tc>
        <w:tc>
          <w:tcPr>
            <w:tcW w:w="3310" w:type="dxa"/>
            <w:tcBorders>
              <w:top w:val="nil"/>
              <w:left w:val="nil"/>
              <w:bottom w:val="nil"/>
              <w:right w:val="nil"/>
            </w:tcBorders>
            <w:shd w:val="clear"/>
            <w:noWrap/>
            <w:vAlign w:val="center"/>
          </w:tcPr>
          <w:p w14:paraId="1D92CC8B">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Technology Enablement</w:t>
            </w:r>
          </w:p>
        </w:tc>
      </w:tr>
      <w:tr w14:paraId="4FCA9F24">
        <w:trPr>
          <w:trHeight w:val="352" w:hRule="atLeast"/>
        </w:trPr>
        <w:tc>
          <w:tcPr>
            <w:tcW w:w="3151" w:type="dxa"/>
            <w:tcBorders>
              <w:top w:val="nil"/>
              <w:left w:val="nil"/>
              <w:bottom w:val="nil"/>
              <w:right w:val="nil"/>
            </w:tcBorders>
            <w:shd w:val="clear"/>
            <w:noWrap/>
            <w:vAlign w:val="center"/>
          </w:tcPr>
          <w:p w14:paraId="06F3BFC8">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Data Storytelling &amp; Analytics</w:t>
            </w:r>
          </w:p>
        </w:tc>
        <w:tc>
          <w:tcPr>
            <w:tcW w:w="4070" w:type="dxa"/>
            <w:tcBorders>
              <w:top w:val="nil"/>
              <w:left w:val="nil"/>
              <w:bottom w:val="nil"/>
              <w:right w:val="nil"/>
            </w:tcBorders>
            <w:shd w:val="clear"/>
            <w:noWrap/>
            <w:vAlign w:val="center"/>
          </w:tcPr>
          <w:p w14:paraId="3393DB2A">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External/Internal Stakeholder Management</w:t>
            </w:r>
          </w:p>
        </w:tc>
        <w:tc>
          <w:tcPr>
            <w:tcW w:w="3310" w:type="dxa"/>
            <w:tcBorders>
              <w:top w:val="nil"/>
              <w:left w:val="nil"/>
              <w:bottom w:val="nil"/>
              <w:right w:val="nil"/>
            </w:tcBorders>
            <w:shd w:val="clear"/>
            <w:noWrap/>
            <w:vAlign w:val="center"/>
          </w:tcPr>
          <w:p w14:paraId="5D1EA721">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Data Architecture &amp; Design</w:t>
            </w:r>
          </w:p>
        </w:tc>
      </w:tr>
      <w:tr w14:paraId="493C05A3">
        <w:trPr>
          <w:trHeight w:val="352" w:hRule="atLeast"/>
        </w:trPr>
        <w:tc>
          <w:tcPr>
            <w:tcW w:w="3151" w:type="dxa"/>
            <w:tcBorders>
              <w:top w:val="nil"/>
              <w:left w:val="nil"/>
              <w:bottom w:val="nil"/>
              <w:right w:val="nil"/>
            </w:tcBorders>
            <w:shd w:val="clear"/>
            <w:noWrap/>
            <w:vAlign w:val="center"/>
          </w:tcPr>
          <w:p w14:paraId="3C4211FB">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Strategic Partnerships</w:t>
            </w:r>
          </w:p>
        </w:tc>
        <w:tc>
          <w:tcPr>
            <w:tcW w:w="4070" w:type="dxa"/>
            <w:tcBorders>
              <w:top w:val="nil"/>
              <w:left w:val="nil"/>
              <w:bottom w:val="nil"/>
              <w:right w:val="nil"/>
            </w:tcBorders>
            <w:shd w:val="clear"/>
            <w:noWrap/>
            <w:vAlign w:val="center"/>
          </w:tcPr>
          <w:p w14:paraId="1852AC8C">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Strategic Initiative Leadership</w:t>
            </w:r>
          </w:p>
        </w:tc>
        <w:tc>
          <w:tcPr>
            <w:tcW w:w="3310" w:type="dxa"/>
            <w:tcBorders>
              <w:top w:val="nil"/>
              <w:left w:val="nil"/>
              <w:bottom w:val="nil"/>
              <w:right w:val="nil"/>
            </w:tcBorders>
            <w:shd w:val="clear"/>
            <w:noWrap/>
            <w:vAlign w:val="center"/>
          </w:tcPr>
          <w:p w14:paraId="5DD96518">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Python, SQL, Alteryx, Power BI</w:t>
            </w:r>
          </w:p>
        </w:tc>
      </w:tr>
      <w:tr w14:paraId="616AD46A">
        <w:trPr>
          <w:trHeight w:val="352" w:hRule="atLeast"/>
        </w:trPr>
        <w:tc>
          <w:tcPr>
            <w:tcW w:w="3151" w:type="dxa"/>
            <w:tcBorders>
              <w:top w:val="nil"/>
              <w:left w:val="nil"/>
              <w:bottom w:val="nil"/>
              <w:right w:val="nil"/>
            </w:tcBorders>
            <w:shd w:val="clear"/>
            <w:noWrap/>
            <w:vAlign w:val="center"/>
          </w:tcPr>
          <w:p w14:paraId="5D5F8575">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Agile Project Management</w:t>
            </w:r>
          </w:p>
        </w:tc>
        <w:tc>
          <w:tcPr>
            <w:tcW w:w="4070" w:type="dxa"/>
            <w:tcBorders>
              <w:top w:val="nil"/>
              <w:left w:val="nil"/>
              <w:bottom w:val="nil"/>
              <w:right w:val="nil"/>
            </w:tcBorders>
            <w:shd w:val="clear"/>
            <w:noWrap/>
            <w:vAlign w:val="center"/>
          </w:tcPr>
          <w:p w14:paraId="5FE5B28D">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Data and Tech Governance</w:t>
            </w:r>
          </w:p>
        </w:tc>
        <w:tc>
          <w:tcPr>
            <w:tcW w:w="3310" w:type="dxa"/>
            <w:tcBorders>
              <w:top w:val="nil"/>
              <w:left w:val="nil"/>
              <w:bottom w:val="nil"/>
              <w:right w:val="nil"/>
            </w:tcBorders>
            <w:shd w:val="clear"/>
            <w:noWrap/>
            <w:vAlign w:val="center"/>
          </w:tcPr>
          <w:p w14:paraId="365E4D5E">
            <w:pPr>
              <w:pStyle w:val="6"/>
              <w:keepNext w:val="0"/>
              <w:keepLines w:val="0"/>
              <w:pageBreakBefore w:val="0"/>
              <w:widowControl w:val="0"/>
              <w:kinsoku/>
              <w:wordWrap/>
              <w:overflowPunct/>
              <w:topLinePunct w:val="0"/>
              <w:autoSpaceDE w:val="0"/>
              <w:autoSpaceDN w:val="0"/>
              <w:bidi w:val="0"/>
              <w:adjustRightInd/>
              <w:snapToGrid/>
              <w:spacing w:before="120" w:line="264" w:lineRule="auto"/>
              <w:jc w:val="both"/>
              <w:textAlignment w:val="auto"/>
              <w:rPr>
                <w:rFonts w:hint="default" w:asciiTheme="minorHAnsi" w:hAnsiTheme="minorHAnsi" w:cstheme="minorHAnsi"/>
                <w:lang w:val="en-AU"/>
              </w:rPr>
            </w:pPr>
            <w:r>
              <w:rPr>
                <w:rFonts w:hint="default" w:asciiTheme="minorHAnsi" w:hAnsiTheme="minorHAnsi" w:cstheme="minorHAnsi"/>
                <w:lang w:val="en-US" w:eastAsia="zh-CN"/>
              </w:rPr>
              <w:t>Cross-Functional Collaboration</w:t>
            </w:r>
          </w:p>
        </w:tc>
      </w:tr>
    </w:tbl>
    <w:p w14:paraId="5DFF3D60">
      <w:pPr>
        <w:pStyle w:val="6"/>
        <w:keepNext w:val="0"/>
        <w:keepLines w:val="0"/>
        <w:pageBreakBefore w:val="0"/>
        <w:widowControl w:val="0"/>
        <w:kinsoku/>
        <w:wordWrap/>
        <w:overflowPunct/>
        <w:topLinePunct w:val="0"/>
        <w:autoSpaceDE w:val="0"/>
        <w:autoSpaceDN w:val="0"/>
        <w:bidi w:val="0"/>
        <w:adjustRightInd/>
        <w:snapToGrid/>
        <w:spacing w:before="120" w:line="269" w:lineRule="auto"/>
        <w:jc w:val="center"/>
        <w:textAlignment w:val="auto"/>
        <w:rPr>
          <w:rFonts w:hint="default" w:asciiTheme="minorHAnsi" w:hAnsiTheme="minorHAnsi" w:cstheme="minorHAnsi"/>
          <w:lang w:val="en-US"/>
        </w:rPr>
      </w:pPr>
    </w:p>
    <w:p w14:paraId="2CE5FED0">
      <w:pPr>
        <w:shd w:val="clear" w:color="auto" w:fill="44526A"/>
        <w:spacing w:before="240" w:line="269" w:lineRule="auto"/>
        <w:jc w:val="center"/>
        <w:rPr>
          <w:rFonts w:hint="default" w:asciiTheme="minorHAnsi" w:hAnsiTheme="minorHAnsi" w:cstheme="minorHAnsi"/>
          <w:b/>
          <w:smallCaps/>
          <w:color w:val="FFFFFF"/>
          <w:sz w:val="24"/>
          <w:szCs w:val="24"/>
          <w:lang w:val="en-US"/>
        </w:rPr>
      </w:pPr>
      <w:r>
        <w:rPr>
          <w:rFonts w:hint="default" w:asciiTheme="minorHAnsi" w:hAnsiTheme="minorHAnsi" w:cstheme="minorHAnsi"/>
          <w:b/>
          <w:smallCaps/>
          <w:color w:val="FFFFFF"/>
          <w:sz w:val="24"/>
          <w:szCs w:val="24"/>
          <w:lang w:val="en-US"/>
        </w:rPr>
        <w:t xml:space="preserve"> </w:t>
      </w:r>
      <w:r>
        <w:rPr>
          <w:rFonts w:asciiTheme="minorHAnsi" w:hAnsiTheme="minorHAnsi" w:cstheme="minorHAnsi"/>
          <w:b/>
          <w:smallCaps/>
          <w:color w:val="FFFFFF"/>
          <w:sz w:val="24"/>
          <w:szCs w:val="24"/>
        </w:rPr>
        <w:t>PROFESSIONAL EXPERIENCE</w:t>
      </w:r>
    </w:p>
    <w:p w14:paraId="7AA44415">
      <w:pPr>
        <w:pStyle w:val="2"/>
        <w:keepNext w:val="0"/>
        <w:keepLines w:val="0"/>
        <w:pageBreakBefore w:val="0"/>
        <w:widowControl w:val="0"/>
        <w:kinsoku/>
        <w:wordWrap/>
        <w:overflowPunct/>
        <w:topLinePunct w:val="0"/>
        <w:autoSpaceDE w:val="0"/>
        <w:autoSpaceDN w:val="0"/>
        <w:bidi w:val="0"/>
        <w:adjustRightInd/>
        <w:snapToGrid/>
        <w:spacing w:before="0" w:beforeLines="100" w:after="60" w:line="269" w:lineRule="auto"/>
        <w:ind w:left="0"/>
        <w:jc w:val="center"/>
        <w:textAlignment w:val="auto"/>
        <w:rPr>
          <w:rFonts w:asciiTheme="minorHAnsi" w:hAnsiTheme="minorHAnsi" w:cstheme="minorHAnsi"/>
          <w:color w:val="44526A"/>
          <w:sz w:val="24"/>
          <w:szCs w:val="24"/>
          <w:lang w:val="en-AU"/>
        </w:rPr>
      </w:pPr>
      <w:r>
        <w:rPr>
          <w:rFonts w:asciiTheme="minorHAnsi" w:hAnsiTheme="minorHAnsi" w:cstheme="minorHAnsi"/>
          <w:color w:val="44526A"/>
          <w:sz w:val="24"/>
          <w:szCs w:val="24"/>
          <w:lang w:val="en-AU"/>
        </w:rPr>
        <w:t>Macquarie Group</w:t>
      </w:r>
    </w:p>
    <w:p w14:paraId="46B4F2A0">
      <w:pPr>
        <w:pStyle w:val="2"/>
        <w:shd w:val="clear" w:color="auto" w:fill="D4DCE3"/>
        <w:spacing w:before="0" w:after="120" w:line="269" w:lineRule="auto"/>
        <w:ind w:left="0"/>
        <w:jc w:val="center"/>
        <w:rPr>
          <w:rFonts w:hint="default" w:asciiTheme="minorHAnsi" w:hAnsiTheme="minorHAnsi" w:cstheme="minorHAnsi"/>
          <w:color w:val="44526A"/>
          <w:sz w:val="24"/>
          <w:szCs w:val="24"/>
          <w:lang w:val="en-US"/>
        </w:rPr>
      </w:pPr>
      <w:r>
        <w:rPr>
          <w:rFonts w:hint="default" w:asciiTheme="minorHAnsi" w:hAnsiTheme="minorHAnsi" w:cstheme="minorHAnsi"/>
          <w:lang w:val="en-US"/>
        </w:rPr>
        <w:t>Senior Manager - Data Analytics and Digital Transformation, Group Treasury</w:t>
      </w:r>
      <w:r>
        <w:rPr>
          <w:rFonts w:asciiTheme="minorHAnsi" w:hAnsiTheme="minorHAnsi" w:cstheme="minorHAnsi"/>
        </w:rPr>
        <w:t xml:space="preserve"> | Mar 201</w:t>
      </w:r>
      <w:r>
        <w:rPr>
          <w:rFonts w:hint="default" w:asciiTheme="minorHAnsi" w:hAnsiTheme="minorHAnsi" w:cstheme="minorHAnsi"/>
          <w:lang w:val="en-US"/>
        </w:rPr>
        <w:t>8</w:t>
      </w:r>
      <w:r>
        <w:rPr>
          <w:rFonts w:asciiTheme="minorHAnsi" w:hAnsiTheme="minorHAnsi" w:cstheme="minorHAnsi"/>
        </w:rPr>
        <w:t xml:space="preserve"> – </w:t>
      </w:r>
      <w:r>
        <w:rPr>
          <w:rFonts w:hint="default" w:asciiTheme="minorHAnsi" w:hAnsiTheme="minorHAnsi" w:cstheme="minorHAnsi"/>
          <w:lang w:val="en-US"/>
        </w:rPr>
        <w:t>Present</w:t>
      </w:r>
    </w:p>
    <w:p w14:paraId="6E4A4F2B">
      <w:pPr>
        <w:pStyle w:val="17"/>
        <w:numPr>
          <w:ilvl w:val="0"/>
          <w:numId w:val="0"/>
        </w:numPr>
        <w:tabs>
          <w:tab w:val="left" w:pos="630"/>
        </w:tabs>
        <w:spacing w:line="269" w:lineRule="auto"/>
        <w:ind w:left="0" w:leftChars="0" w:firstLine="0" w:firstLineChars="0"/>
        <w:rPr>
          <w:rFonts w:asciiTheme="minorHAnsi" w:hAnsiTheme="minorHAnsi" w:cstheme="minorHAnsi"/>
          <w:sz w:val="20"/>
          <w:szCs w:val="20"/>
          <w:lang w:val="en-AU"/>
        </w:rPr>
      </w:pPr>
      <w:r>
        <w:rPr>
          <w:rFonts w:asciiTheme="minorHAnsi" w:hAnsiTheme="minorHAnsi" w:cstheme="minorHAnsi"/>
          <w:sz w:val="20"/>
          <w:szCs w:val="20"/>
          <w:lang w:val="en-AU"/>
        </w:rPr>
        <w:t>Lead strategic initiatives to uplift governance, technology, processes, data capability, and digital literacy</w:t>
      </w:r>
      <w:r>
        <w:rPr>
          <w:rFonts w:hint="default" w:asciiTheme="minorHAnsi" w:hAnsiTheme="minorHAnsi" w:cstheme="minorHAnsi"/>
          <w:sz w:val="20"/>
          <w:szCs w:val="20"/>
          <w:lang w:val="en-US"/>
        </w:rPr>
        <w:t xml:space="preserve">. Define </w:t>
      </w:r>
      <w:r>
        <w:rPr>
          <w:rFonts w:asciiTheme="minorHAnsi" w:hAnsiTheme="minorHAnsi" w:cstheme="minorHAnsi"/>
          <w:sz w:val="20"/>
          <w:szCs w:val="20"/>
          <w:lang w:val="en-AU"/>
        </w:rPr>
        <w:t>and execute data and transformation strategies. Serve as a strategic advisor to</w:t>
      </w:r>
      <w:r>
        <w:rPr>
          <w:rFonts w:hint="default" w:asciiTheme="minorHAnsi" w:hAnsiTheme="minorHAnsi" w:cstheme="minorHAnsi"/>
          <w:sz w:val="20"/>
          <w:szCs w:val="20"/>
          <w:lang w:val="en-US"/>
        </w:rPr>
        <w:t xml:space="preserve"> the leadership team </w:t>
      </w:r>
      <w:r>
        <w:rPr>
          <w:rFonts w:asciiTheme="minorHAnsi" w:hAnsiTheme="minorHAnsi" w:cstheme="minorHAnsi"/>
          <w:sz w:val="20"/>
          <w:szCs w:val="20"/>
          <w:lang w:val="en-AU"/>
        </w:rPr>
        <w:t>on transformation opportunities, emerging technologies, governance frameworks, data management, and target operating models. Le</w:t>
      </w:r>
      <w:r>
        <w:rPr>
          <w:rFonts w:hint="default" w:asciiTheme="minorHAnsi" w:hAnsiTheme="minorHAnsi" w:cstheme="minorHAnsi"/>
          <w:sz w:val="20"/>
          <w:szCs w:val="20"/>
          <w:lang w:val="en-US"/>
        </w:rPr>
        <w:t>a</w:t>
      </w:r>
      <w:r>
        <w:rPr>
          <w:rFonts w:asciiTheme="minorHAnsi" w:hAnsiTheme="minorHAnsi" w:cstheme="minorHAnsi"/>
          <w:sz w:val="20"/>
          <w:szCs w:val="20"/>
          <w:lang w:val="en-AU"/>
        </w:rPr>
        <w:t xml:space="preserve">d end-to-end </w:t>
      </w:r>
      <w:r>
        <w:rPr>
          <w:rFonts w:hint="default" w:asciiTheme="minorHAnsi" w:hAnsiTheme="minorHAnsi" w:cstheme="minorHAnsi"/>
          <w:sz w:val="20"/>
          <w:szCs w:val="20"/>
          <w:lang w:val="en-US"/>
        </w:rPr>
        <w:t xml:space="preserve">transformation </w:t>
      </w:r>
      <w:r>
        <w:rPr>
          <w:rFonts w:asciiTheme="minorHAnsi" w:hAnsiTheme="minorHAnsi" w:cstheme="minorHAnsi"/>
          <w:sz w:val="20"/>
          <w:szCs w:val="20"/>
          <w:lang w:val="en-AU"/>
        </w:rPr>
        <w:t>projects in collaboration with business, finance, risk, and technology teams</w:t>
      </w:r>
      <w:r>
        <w:rPr>
          <w:rFonts w:hint="default" w:asciiTheme="minorHAnsi" w:hAnsiTheme="minorHAnsi" w:cstheme="minorHAnsi"/>
          <w:sz w:val="20"/>
          <w:szCs w:val="20"/>
          <w:lang w:val="en-US"/>
        </w:rPr>
        <w:t xml:space="preserve"> to covert ideas/policies/calculations into fully automated data products/procedures</w:t>
      </w:r>
      <w:r>
        <w:rPr>
          <w:rFonts w:asciiTheme="minorHAnsi" w:hAnsiTheme="minorHAnsi" w:cstheme="minorHAnsi"/>
          <w:sz w:val="20"/>
          <w:szCs w:val="20"/>
          <w:lang w:val="en-AU"/>
        </w:rPr>
        <w:t xml:space="preserve">. </w:t>
      </w:r>
      <w:r>
        <w:rPr>
          <w:rFonts w:hint="default" w:asciiTheme="minorHAnsi" w:hAnsiTheme="minorHAnsi" w:cstheme="minorHAnsi"/>
          <w:sz w:val="20"/>
          <w:szCs w:val="20"/>
          <w:lang w:val="en-US"/>
        </w:rPr>
        <w:t xml:space="preserve">Create </w:t>
      </w:r>
      <w:r>
        <w:rPr>
          <w:rFonts w:asciiTheme="minorHAnsi" w:hAnsiTheme="minorHAnsi" w:cstheme="minorHAnsi"/>
          <w:sz w:val="20"/>
          <w:szCs w:val="20"/>
          <w:lang w:val="en-AU"/>
        </w:rPr>
        <w:t>governance-compliant data solutions and digital products to enhance analysis, modernise reporting, and enable data-driven decision-making.</w:t>
      </w:r>
    </w:p>
    <w:p w14:paraId="4E85E78C">
      <w:pPr>
        <w:tabs>
          <w:tab w:val="left" w:pos="630"/>
        </w:tabs>
        <w:spacing w:before="120" w:line="269" w:lineRule="auto"/>
        <w:jc w:val="both"/>
      </w:pPr>
      <w:r>
        <w:rPr>
          <w:rFonts w:asciiTheme="minorHAnsi" w:hAnsiTheme="minorHAnsi" w:cstheme="minorHAnsi"/>
          <w:b/>
          <w:bCs/>
          <w:i/>
          <w:iCs/>
          <w:sz w:val="20"/>
          <w:szCs w:val="20"/>
        </w:rPr>
        <w:t>Key Contributions</w:t>
      </w:r>
      <w:r>
        <w:rPr>
          <w:rFonts w:hint="default" w:asciiTheme="minorHAnsi" w:hAnsiTheme="minorHAnsi" w:cstheme="minorHAnsi"/>
          <w:b/>
          <w:bCs/>
          <w:i/>
          <w:iCs/>
          <w:sz w:val="20"/>
          <w:szCs w:val="20"/>
          <w:lang w:val="en-US"/>
        </w:rPr>
        <w:t>:</w:t>
      </w:r>
    </w:p>
    <w:p w14:paraId="7A560E1A">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hint="default" w:asciiTheme="minorHAnsi" w:hAnsiTheme="minorHAnsi" w:cstheme="minorHAnsi"/>
          <w:b w:val="0"/>
          <w:bCs w:val="0"/>
          <w:sz w:val="20"/>
          <w:szCs w:val="20"/>
          <w:lang w:val="en-AU"/>
        </w:rPr>
      </w:pPr>
      <w:r>
        <w:rPr>
          <w:rFonts w:hint="default" w:asciiTheme="minorHAnsi" w:hAnsiTheme="minorHAnsi" w:cstheme="minorHAnsi"/>
          <w:b/>
          <w:bCs/>
          <w:sz w:val="20"/>
          <w:szCs w:val="20"/>
          <w:lang w:val="en-AU"/>
        </w:rPr>
        <w:t>Established Independent Data Solution Review Function</w:t>
      </w:r>
      <w:r>
        <w:rPr>
          <w:rFonts w:hint="default" w:asciiTheme="minorHAnsi" w:hAnsiTheme="minorHAnsi" w:cstheme="minorHAnsi"/>
          <w:b w:val="0"/>
          <w:bCs w:val="0"/>
          <w:sz w:val="20"/>
          <w:szCs w:val="20"/>
          <w:lang w:val="en-AU"/>
        </w:rPr>
        <w:t>: Created and led a Business Tech team to provide independent oversight of data solutions throughout the SDLC. Constructively reviewed and challenged methodologies, assumptions, architecture, solution design and outputs to ensure alignment with business requirements and drive the timely remediation of identified risks and observations prior to deployment. Articulated findings to technical and non-technical stakeholders across all levels including developers, product owners, business stakeholders, data architects, etc.</w:t>
      </w:r>
    </w:p>
    <w:p w14:paraId="4088D39F">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hint="default" w:asciiTheme="minorHAnsi" w:hAnsiTheme="minorHAnsi" w:cstheme="minorHAnsi"/>
          <w:b w:val="0"/>
          <w:bCs w:val="0"/>
          <w:sz w:val="20"/>
          <w:szCs w:val="20"/>
          <w:lang w:val="en-AU"/>
        </w:rPr>
      </w:pPr>
      <w:r>
        <w:rPr>
          <w:rFonts w:hint="default" w:asciiTheme="minorHAnsi" w:hAnsiTheme="minorHAnsi" w:cstheme="minorHAnsi"/>
          <w:b/>
          <w:bCs/>
          <w:sz w:val="20"/>
          <w:szCs w:val="20"/>
          <w:lang w:val="en-US"/>
        </w:rPr>
        <w:t xml:space="preserve">Managed Data, UDA and Model Risks Across Processes and Projects: </w:t>
      </w:r>
      <w:r>
        <w:rPr>
          <w:rFonts w:hint="default" w:asciiTheme="minorHAnsi" w:hAnsiTheme="minorHAnsi" w:cstheme="minorHAnsi"/>
          <w:b w:val="0"/>
          <w:bCs w:val="0"/>
          <w:sz w:val="20"/>
          <w:szCs w:val="20"/>
          <w:lang w:val="en-US"/>
        </w:rPr>
        <w:t>Addressed risks with Macquarie regulatory reporting processes under project Archibald. Worked closely with FPE NFR and GT risk teams in uplifting control design and operation via transformation projects. Contributed to Financial Control Standards on UDA and model risk management.</w:t>
      </w:r>
    </w:p>
    <w:p w14:paraId="53BF7D89">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hint="default" w:asciiTheme="minorHAnsi" w:hAnsiTheme="minorHAnsi" w:cstheme="minorHAnsi"/>
          <w:sz w:val="20"/>
          <w:szCs w:val="20"/>
          <w:lang w:val="en-AU"/>
        </w:rPr>
      </w:pPr>
      <w:r>
        <w:rPr>
          <w:rFonts w:hint="default" w:asciiTheme="minorHAnsi" w:hAnsiTheme="minorHAnsi" w:cstheme="minorHAnsi"/>
          <w:b/>
          <w:bCs/>
          <w:sz w:val="20"/>
          <w:szCs w:val="20"/>
          <w:lang w:val="en-US"/>
        </w:rPr>
        <w:t xml:space="preserve">Led </w:t>
      </w:r>
      <w:r>
        <w:rPr>
          <w:rFonts w:asciiTheme="minorHAnsi" w:hAnsiTheme="minorHAnsi" w:cstheme="minorHAnsi"/>
          <w:b/>
          <w:bCs/>
          <w:sz w:val="20"/>
          <w:szCs w:val="20"/>
          <w:lang w:val="en-AU"/>
        </w:rPr>
        <w:t>High-Value Strategic Transformation Projects:</w:t>
      </w:r>
      <w:r>
        <w:rPr>
          <w:rFonts w:hint="default" w:asciiTheme="minorHAnsi" w:hAnsiTheme="minorHAnsi" w:cstheme="minorHAnsi"/>
          <w:b/>
          <w:bCs/>
          <w:sz w:val="20"/>
          <w:szCs w:val="20"/>
          <w:lang w:val="en-US"/>
        </w:rPr>
        <w:t xml:space="preserve"> </w:t>
      </w:r>
      <w:r>
        <w:rPr>
          <w:rFonts w:asciiTheme="minorHAnsi" w:hAnsiTheme="minorHAnsi" w:cstheme="minorHAnsi"/>
          <w:sz w:val="20"/>
          <w:szCs w:val="20"/>
          <w:lang w:val="en-AU"/>
        </w:rPr>
        <w:t xml:space="preserve">Spearheaded and </w:t>
      </w:r>
      <w:r>
        <w:rPr>
          <w:rFonts w:hint="default" w:asciiTheme="minorHAnsi" w:hAnsiTheme="minorHAnsi" w:cstheme="minorHAnsi"/>
          <w:sz w:val="20"/>
          <w:szCs w:val="20"/>
          <w:lang w:val="en-AU"/>
        </w:rPr>
        <w:t xml:space="preserve">delivered 10+ </w:t>
      </w:r>
      <w:r>
        <w:rPr>
          <w:rFonts w:hint="default" w:asciiTheme="minorHAnsi" w:hAnsiTheme="minorHAnsi" w:cstheme="minorHAnsi"/>
          <w:sz w:val="20"/>
          <w:szCs w:val="20"/>
          <w:lang w:val="en-US"/>
        </w:rPr>
        <w:t>transformation projects</w:t>
      </w:r>
      <w:r>
        <w:rPr>
          <w:rFonts w:asciiTheme="minorHAnsi" w:hAnsiTheme="minorHAnsi" w:cstheme="minorHAnsi"/>
          <w:sz w:val="20"/>
          <w:szCs w:val="20"/>
          <w:lang w:val="en-AU"/>
        </w:rPr>
        <w:t xml:space="preserve"> in agile environments and successfully managed cross-functional teams of 10+ professionals across </w:t>
      </w:r>
      <w:r>
        <w:rPr>
          <w:rFonts w:hint="default" w:asciiTheme="minorHAnsi" w:hAnsiTheme="minorHAnsi" w:cstheme="minorHAnsi"/>
          <w:sz w:val="20"/>
          <w:szCs w:val="20"/>
          <w:lang w:val="en-AU"/>
        </w:rPr>
        <w:t>Group Treasury</w:t>
      </w:r>
      <w:r>
        <w:rPr>
          <w:rFonts w:asciiTheme="minorHAnsi" w:hAnsiTheme="minorHAnsi" w:cstheme="minorHAnsi"/>
          <w:sz w:val="20"/>
          <w:szCs w:val="20"/>
          <w:lang w:val="en-AU"/>
        </w:rPr>
        <w:t xml:space="preserve">, </w:t>
      </w:r>
      <w:r>
        <w:rPr>
          <w:rFonts w:hint="default" w:asciiTheme="minorHAnsi" w:hAnsiTheme="minorHAnsi" w:cstheme="minorHAnsi"/>
          <w:sz w:val="20"/>
          <w:szCs w:val="20"/>
          <w:lang w:val="en-US"/>
        </w:rPr>
        <w:t>PMO, R</w:t>
      </w:r>
      <w:r>
        <w:rPr>
          <w:rFonts w:asciiTheme="minorHAnsi" w:hAnsiTheme="minorHAnsi" w:cstheme="minorHAnsi"/>
          <w:sz w:val="20"/>
          <w:szCs w:val="20"/>
          <w:lang w:val="en-AU"/>
        </w:rPr>
        <w:t xml:space="preserve">isk, </w:t>
      </w:r>
      <w:r>
        <w:rPr>
          <w:rFonts w:hint="default" w:asciiTheme="minorHAnsi" w:hAnsiTheme="minorHAnsi" w:cstheme="minorHAnsi"/>
          <w:sz w:val="20"/>
          <w:szCs w:val="20"/>
          <w:lang w:val="en-US"/>
        </w:rPr>
        <w:t>COG</w:t>
      </w:r>
      <w:r>
        <w:rPr>
          <w:rFonts w:asciiTheme="minorHAnsi" w:hAnsiTheme="minorHAnsi" w:cstheme="minorHAnsi"/>
          <w:sz w:val="20"/>
          <w:szCs w:val="20"/>
          <w:lang w:val="en-AU"/>
        </w:rPr>
        <w:t xml:space="preserve">, and </w:t>
      </w:r>
      <w:r>
        <w:rPr>
          <w:rFonts w:hint="default" w:asciiTheme="minorHAnsi" w:hAnsiTheme="minorHAnsi" w:cstheme="minorHAnsi"/>
          <w:sz w:val="20"/>
          <w:szCs w:val="20"/>
          <w:lang w:val="en-US"/>
        </w:rPr>
        <w:t>B</w:t>
      </w:r>
      <w:r>
        <w:rPr>
          <w:rFonts w:asciiTheme="minorHAnsi" w:hAnsiTheme="minorHAnsi" w:cstheme="minorHAnsi"/>
          <w:sz w:val="20"/>
          <w:szCs w:val="20"/>
          <w:lang w:val="en-AU"/>
        </w:rPr>
        <w:t>usiness</w:t>
      </w:r>
      <w:r>
        <w:rPr>
          <w:rFonts w:hint="default" w:asciiTheme="minorHAnsi" w:hAnsiTheme="minorHAnsi" w:cstheme="minorHAnsi"/>
          <w:sz w:val="20"/>
          <w:szCs w:val="20"/>
          <w:lang w:val="en-US"/>
        </w:rPr>
        <w:t xml:space="preserve">. The projects automated 30+ BAU processes, eliminated 100+ manual adjustments, created 10+ Power BI dashboards, addressed 100+ data quality issues, and </w:t>
      </w:r>
      <w:r>
        <w:rPr>
          <w:rFonts w:hint="default" w:asciiTheme="minorHAnsi" w:hAnsiTheme="minorHAnsi" w:cstheme="minorHAnsi"/>
          <w:sz w:val="20"/>
          <w:szCs w:val="20"/>
          <w:lang w:val="en-AU"/>
        </w:rPr>
        <w:t xml:space="preserve">created/enhanced </w:t>
      </w:r>
      <w:r>
        <w:rPr>
          <w:rFonts w:hint="default" w:asciiTheme="minorHAnsi" w:hAnsiTheme="minorHAnsi" w:cstheme="minorHAnsi"/>
          <w:sz w:val="20"/>
          <w:szCs w:val="20"/>
          <w:lang w:val="en-US"/>
        </w:rPr>
        <w:t>10</w:t>
      </w:r>
      <w:r>
        <w:rPr>
          <w:rFonts w:hint="default" w:asciiTheme="minorHAnsi" w:hAnsiTheme="minorHAnsi" w:cstheme="minorHAnsi"/>
          <w:sz w:val="20"/>
          <w:szCs w:val="20"/>
          <w:lang w:val="en-AU"/>
        </w:rPr>
        <w:t>0+ controls</w:t>
      </w:r>
      <w:r>
        <w:rPr>
          <w:rFonts w:hint="default" w:asciiTheme="minorHAnsi" w:hAnsiTheme="minorHAnsi" w:cstheme="minorHAnsi"/>
          <w:sz w:val="20"/>
          <w:szCs w:val="20"/>
          <w:lang w:val="en-US"/>
        </w:rPr>
        <w:t>.</w:t>
      </w:r>
    </w:p>
    <w:p w14:paraId="4A10301C">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hint="default" w:asciiTheme="minorHAnsi" w:hAnsiTheme="minorHAnsi" w:cstheme="minorHAnsi"/>
          <w:sz w:val="20"/>
          <w:szCs w:val="20"/>
          <w:lang w:val="en-AU"/>
        </w:rPr>
      </w:pPr>
      <w:r>
        <w:rPr>
          <w:rFonts w:hint="default" w:asciiTheme="minorHAnsi" w:hAnsiTheme="minorHAnsi" w:cstheme="minorHAnsi"/>
          <w:b/>
          <w:bCs/>
          <w:sz w:val="20"/>
          <w:szCs w:val="20"/>
          <w:lang w:val="en-US"/>
        </w:rPr>
        <w:t>Transformed Funding Analysis:</w:t>
      </w:r>
      <w:r>
        <w:rPr>
          <w:rFonts w:hint="default" w:asciiTheme="minorHAnsi" w:hAnsiTheme="minorHAnsi" w:cstheme="minorHAnsi"/>
          <w:sz w:val="20"/>
          <w:szCs w:val="20"/>
          <w:lang w:val="en-US"/>
        </w:rPr>
        <w:t xml:space="preserve"> Led </w:t>
      </w:r>
      <w:r>
        <w:rPr>
          <w:rFonts w:hint="default" w:asciiTheme="minorHAnsi" w:hAnsiTheme="minorHAnsi" w:cstheme="minorHAnsi"/>
          <w:sz w:val="20"/>
          <w:szCs w:val="20"/>
          <w:lang w:val="en-AU"/>
        </w:rPr>
        <w:t xml:space="preserve">Target Funding Profile Automation project </w:t>
      </w:r>
      <w:r>
        <w:rPr>
          <w:rFonts w:hint="default" w:asciiTheme="minorHAnsi" w:hAnsiTheme="minorHAnsi" w:cstheme="minorHAnsi"/>
          <w:sz w:val="20"/>
          <w:szCs w:val="20"/>
          <w:lang w:val="en-US"/>
        </w:rPr>
        <w:t xml:space="preserve">as the tech lead </w:t>
      </w:r>
      <w:r>
        <w:rPr>
          <w:rFonts w:hint="default" w:asciiTheme="minorHAnsi" w:hAnsiTheme="minorHAnsi" w:cstheme="minorHAnsi"/>
          <w:sz w:val="20"/>
          <w:szCs w:val="20"/>
          <w:lang w:val="en-AU"/>
        </w:rPr>
        <w:t>which automate monthly predictive analysis of balance sheet runoff under stressed conditions for daily execution. Delivered a solution that saved 80,000</w:t>
      </w:r>
      <w:r>
        <w:rPr>
          <w:rFonts w:hint="default" w:asciiTheme="minorHAnsi" w:hAnsiTheme="minorHAnsi" w:cstheme="minorHAnsi"/>
          <w:sz w:val="20"/>
          <w:szCs w:val="20"/>
          <w:lang w:val="en-US"/>
        </w:rPr>
        <w:t>+</w:t>
      </w:r>
      <w:r>
        <w:rPr>
          <w:rFonts w:hint="default" w:asciiTheme="minorHAnsi" w:hAnsiTheme="minorHAnsi" w:cstheme="minorHAnsi"/>
          <w:sz w:val="20"/>
          <w:szCs w:val="20"/>
          <w:lang w:val="en-AU"/>
        </w:rPr>
        <w:t xml:space="preserve"> FTE hours and </w:t>
      </w:r>
      <w:r>
        <w:rPr>
          <w:rFonts w:hint="default" w:asciiTheme="minorHAnsi" w:hAnsiTheme="minorHAnsi" w:cstheme="minorHAnsi"/>
          <w:sz w:val="20"/>
          <w:szCs w:val="20"/>
          <w:lang w:val="en-US"/>
        </w:rPr>
        <w:t>~</w:t>
      </w:r>
      <w:r>
        <w:rPr>
          <w:rFonts w:hint="default" w:asciiTheme="minorHAnsi" w:hAnsiTheme="minorHAnsi" w:cstheme="minorHAnsi"/>
          <w:sz w:val="20"/>
          <w:szCs w:val="20"/>
          <w:lang w:val="en-AU"/>
        </w:rPr>
        <w:t>$120M in annual funding costs.</w:t>
      </w:r>
    </w:p>
    <w:p w14:paraId="00E285BA">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hint="default" w:asciiTheme="minorHAnsi" w:hAnsiTheme="minorHAnsi" w:cstheme="minorHAnsi"/>
          <w:sz w:val="20"/>
          <w:szCs w:val="20"/>
          <w:lang w:val="en-US"/>
        </w:rPr>
      </w:pPr>
      <w:r>
        <w:rPr>
          <w:rFonts w:asciiTheme="minorHAnsi" w:hAnsiTheme="minorHAnsi" w:cstheme="minorHAnsi"/>
          <w:b/>
          <w:bCs/>
          <w:sz w:val="20"/>
          <w:szCs w:val="20"/>
          <w:lang w:val="en-AU"/>
        </w:rPr>
        <w:t>Unlocked $</w:t>
      </w:r>
      <w:r>
        <w:rPr>
          <w:rFonts w:hint="default" w:asciiTheme="minorHAnsi" w:hAnsiTheme="minorHAnsi" w:cstheme="minorHAnsi"/>
          <w:b/>
          <w:bCs/>
          <w:sz w:val="20"/>
          <w:szCs w:val="20"/>
          <w:lang w:val="en-US"/>
        </w:rPr>
        <w:t>5</w:t>
      </w:r>
      <w:r>
        <w:rPr>
          <w:rFonts w:asciiTheme="minorHAnsi" w:hAnsiTheme="minorHAnsi" w:cstheme="minorHAnsi"/>
          <w:b/>
          <w:bCs/>
          <w:sz w:val="20"/>
          <w:szCs w:val="20"/>
          <w:lang w:val="en-AU"/>
        </w:rPr>
        <w:t>B in Funding via Deposit Runoff Modelling</w:t>
      </w:r>
      <w:r>
        <w:rPr>
          <w:rFonts w:hint="default" w:asciiTheme="minorHAnsi" w:hAnsiTheme="minorHAnsi" w:cstheme="minorHAnsi"/>
          <w:b/>
          <w:bCs/>
          <w:sz w:val="20"/>
          <w:szCs w:val="20"/>
          <w:lang w:val="en-US"/>
        </w:rPr>
        <w:t>:</w:t>
      </w:r>
      <w:r>
        <w:rPr>
          <w:rFonts w:asciiTheme="minorHAnsi" w:hAnsiTheme="minorHAnsi" w:cstheme="minorHAnsi"/>
          <w:b/>
          <w:bCs/>
          <w:sz w:val="20"/>
          <w:szCs w:val="20"/>
          <w:lang w:val="en-AU"/>
        </w:rPr>
        <w:t xml:space="preserve"> </w:t>
      </w:r>
      <w:r>
        <w:rPr>
          <w:rFonts w:hint="default" w:asciiTheme="minorHAnsi" w:hAnsiTheme="minorHAnsi" w:cstheme="minorHAnsi"/>
          <w:sz w:val="20"/>
          <w:szCs w:val="20"/>
          <w:lang w:val="en-US"/>
        </w:rPr>
        <w:t xml:space="preserve">Led the creation of BFS Sticky Factors data solution which enabled account-level deposit runoff analysis under user-defined scenarios </w:t>
      </w:r>
      <w:r>
        <w:rPr>
          <w:rFonts w:hint="default" w:asciiTheme="minorHAnsi" w:hAnsiTheme="minorHAnsi" w:cstheme="minorHAnsi"/>
          <w:sz w:val="20"/>
          <w:szCs w:val="20"/>
          <w:lang w:val="en-AU"/>
        </w:rPr>
        <w:t xml:space="preserve">leveraging Dataiku, </w:t>
      </w:r>
      <w:r>
        <w:rPr>
          <w:rFonts w:hint="default" w:asciiTheme="minorHAnsi" w:hAnsiTheme="minorHAnsi" w:cstheme="minorHAnsi"/>
          <w:sz w:val="20"/>
          <w:szCs w:val="20"/>
          <w:lang w:val="en-US"/>
        </w:rPr>
        <w:t>Corporate Data Hub and</w:t>
      </w:r>
      <w:r>
        <w:rPr>
          <w:rFonts w:hint="default" w:asciiTheme="minorHAnsi" w:hAnsiTheme="minorHAnsi" w:cstheme="minorHAnsi"/>
          <w:sz w:val="20"/>
          <w:szCs w:val="20"/>
          <w:lang w:val="en-AU"/>
        </w:rPr>
        <w:t xml:space="preserve"> Power BI</w:t>
      </w:r>
      <w:r>
        <w:rPr>
          <w:rFonts w:hint="default" w:asciiTheme="minorHAnsi" w:hAnsiTheme="minorHAnsi" w:cstheme="minorHAnsi"/>
          <w:sz w:val="20"/>
          <w:szCs w:val="20"/>
          <w:lang w:val="en-US"/>
        </w:rPr>
        <w:t xml:space="preserve">. The solution has been used for sticky factors methodology review and implementation, </w:t>
      </w:r>
      <w:r>
        <w:rPr>
          <w:rFonts w:hint="default" w:asciiTheme="minorHAnsi" w:hAnsiTheme="minorHAnsi" w:cstheme="minorHAnsi"/>
          <w:sz w:val="20"/>
          <w:szCs w:val="20"/>
          <w:lang w:val="en-AU"/>
        </w:rPr>
        <w:t>releasing $</w:t>
      </w:r>
      <w:r>
        <w:rPr>
          <w:rFonts w:hint="default" w:asciiTheme="minorHAnsi" w:hAnsiTheme="minorHAnsi" w:cstheme="minorHAnsi"/>
          <w:sz w:val="20"/>
          <w:szCs w:val="20"/>
          <w:lang w:val="en-US"/>
        </w:rPr>
        <w:t>5</w:t>
      </w:r>
      <w:r>
        <w:rPr>
          <w:rFonts w:hint="default" w:asciiTheme="minorHAnsi" w:hAnsiTheme="minorHAnsi" w:cstheme="minorHAnsi"/>
          <w:sz w:val="20"/>
          <w:szCs w:val="20"/>
          <w:lang w:val="en-AU"/>
        </w:rPr>
        <w:t>B deposit for</w:t>
      </w:r>
      <w:r>
        <w:rPr>
          <w:rFonts w:hint="default" w:asciiTheme="minorHAnsi" w:hAnsiTheme="minorHAnsi" w:cstheme="minorHAnsi"/>
          <w:sz w:val="20"/>
          <w:szCs w:val="20"/>
          <w:lang w:val="en-US"/>
        </w:rPr>
        <w:t xml:space="preserve"> usability for BFS. </w:t>
      </w:r>
    </w:p>
    <w:p w14:paraId="58B161D1">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asciiTheme="minorHAnsi" w:hAnsiTheme="minorHAnsi" w:cstheme="minorHAnsi"/>
          <w:b/>
          <w:bCs/>
          <w:sz w:val="20"/>
          <w:szCs w:val="20"/>
          <w:lang w:val="en-AU"/>
        </w:rPr>
      </w:pPr>
      <w:r>
        <w:rPr>
          <w:rFonts w:hint="default" w:asciiTheme="minorHAnsi" w:hAnsiTheme="minorHAnsi" w:cstheme="minorHAnsi"/>
          <w:b/>
          <w:bCs/>
          <w:sz w:val="20"/>
          <w:szCs w:val="20"/>
          <w:lang w:val="en-US"/>
        </w:rPr>
        <w:t xml:space="preserve">Drove the Integration of New Technologies: </w:t>
      </w:r>
      <w:r>
        <w:rPr>
          <w:rFonts w:hint="default" w:asciiTheme="minorHAnsi" w:hAnsiTheme="minorHAnsi" w:cstheme="minorHAnsi"/>
          <w:b w:val="0"/>
          <w:bCs w:val="0"/>
          <w:sz w:val="20"/>
          <w:szCs w:val="20"/>
          <w:lang w:val="en-US"/>
        </w:rPr>
        <w:t xml:space="preserve">Co-led the onboarding of Alteryx and Power BI in Group Treasury from 2019 to 2021, including the delivery of frameworks and best practices, learning pathways with </w:t>
      </w:r>
      <w:r>
        <w:rPr>
          <w:rFonts w:asciiTheme="minorHAnsi" w:hAnsiTheme="minorHAnsi" w:cstheme="minorHAnsi"/>
          <w:b w:val="0"/>
          <w:bCs w:val="0"/>
          <w:sz w:val="20"/>
          <w:szCs w:val="20"/>
          <w:lang w:val="en-AU"/>
        </w:rPr>
        <w:t xml:space="preserve">200+ hours of </w:t>
      </w:r>
      <w:r>
        <w:rPr>
          <w:rFonts w:hint="default" w:asciiTheme="minorHAnsi" w:hAnsiTheme="minorHAnsi" w:cstheme="minorHAnsi"/>
          <w:b w:val="0"/>
          <w:bCs w:val="0"/>
          <w:sz w:val="20"/>
          <w:szCs w:val="20"/>
          <w:lang w:val="en-US"/>
        </w:rPr>
        <w:t xml:space="preserve">digital skills </w:t>
      </w:r>
      <w:r>
        <w:rPr>
          <w:rFonts w:asciiTheme="minorHAnsi" w:hAnsiTheme="minorHAnsi" w:cstheme="minorHAnsi"/>
          <w:b w:val="0"/>
          <w:bCs w:val="0"/>
          <w:sz w:val="20"/>
          <w:szCs w:val="20"/>
          <w:lang w:val="en-AU"/>
        </w:rPr>
        <w:t>training</w:t>
      </w:r>
      <w:r>
        <w:rPr>
          <w:rFonts w:hint="default" w:asciiTheme="minorHAnsi" w:hAnsiTheme="minorHAnsi" w:cstheme="minorHAnsi"/>
          <w:b w:val="0"/>
          <w:bCs w:val="0"/>
          <w:sz w:val="20"/>
          <w:szCs w:val="20"/>
          <w:lang w:val="en-US"/>
        </w:rPr>
        <w:t>, user enablement channels, social learning activities etc.  By 2021, the number of Alteryx and Power BI licensees reached 200+ (from less than 30) with over 150 certifications (from less than 10) across Group Treasury and the learning pathways were made available Macquarie-wide with 500+ attendees.</w:t>
      </w:r>
    </w:p>
    <w:p w14:paraId="522E22C6">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asciiTheme="minorHAnsi" w:hAnsiTheme="minorHAnsi" w:cstheme="minorHAnsi"/>
          <w:sz w:val="20"/>
          <w:szCs w:val="20"/>
          <w:lang w:val="en-AU"/>
        </w:rPr>
      </w:pPr>
      <w:r>
        <w:rPr>
          <w:rFonts w:hint="default" w:asciiTheme="minorHAnsi" w:hAnsiTheme="minorHAnsi" w:cstheme="minorHAnsi"/>
          <w:b/>
          <w:bCs/>
          <w:sz w:val="20"/>
          <w:szCs w:val="20"/>
          <w:lang w:val="en-AU"/>
        </w:rPr>
        <w:t>Led Data and Transformation</w:t>
      </w:r>
      <w:r>
        <w:rPr>
          <w:rFonts w:hint="default" w:asciiTheme="minorHAnsi" w:hAnsiTheme="minorHAnsi" w:cstheme="minorHAnsi"/>
          <w:b/>
          <w:bCs/>
          <w:sz w:val="20"/>
          <w:szCs w:val="20"/>
          <w:lang w:val="en-US"/>
        </w:rPr>
        <w:t xml:space="preserve"> </w:t>
      </w:r>
      <w:r>
        <w:rPr>
          <w:rFonts w:hint="default" w:asciiTheme="minorHAnsi" w:hAnsiTheme="minorHAnsi" w:cstheme="minorHAnsi"/>
          <w:b/>
          <w:bCs/>
          <w:sz w:val="20"/>
          <w:szCs w:val="20"/>
          <w:lang w:val="en-AU"/>
        </w:rPr>
        <w:t>Strategy</w:t>
      </w:r>
      <w:r>
        <w:rPr>
          <w:rFonts w:hint="default" w:asciiTheme="minorHAnsi" w:hAnsiTheme="minorHAnsi" w:cstheme="minorHAnsi"/>
          <w:b w:val="0"/>
          <w:bCs w:val="0"/>
          <w:sz w:val="20"/>
          <w:szCs w:val="20"/>
          <w:lang w:val="en-AU"/>
        </w:rPr>
        <w:t xml:space="preserve">: Defined and executed the </w:t>
      </w:r>
      <w:r>
        <w:rPr>
          <w:rFonts w:hint="default" w:asciiTheme="minorHAnsi" w:hAnsiTheme="minorHAnsi" w:cstheme="minorHAnsi"/>
          <w:b w:val="0"/>
          <w:bCs w:val="0"/>
          <w:sz w:val="20"/>
          <w:szCs w:val="20"/>
          <w:lang w:val="en-US"/>
        </w:rPr>
        <w:t xml:space="preserve">data and transformation </w:t>
      </w:r>
      <w:r>
        <w:rPr>
          <w:rFonts w:hint="default" w:asciiTheme="minorHAnsi" w:hAnsiTheme="minorHAnsi" w:cstheme="minorHAnsi"/>
          <w:b w:val="0"/>
          <w:bCs w:val="0"/>
          <w:sz w:val="20"/>
          <w:szCs w:val="20"/>
          <w:lang w:val="en-AU"/>
        </w:rPr>
        <w:t>strategy for Group Treasury BFS Aligned</w:t>
      </w:r>
      <w:r>
        <w:rPr>
          <w:rFonts w:hint="default" w:asciiTheme="minorHAnsi" w:hAnsiTheme="minorHAnsi" w:cstheme="minorHAnsi"/>
          <w:b w:val="0"/>
          <w:bCs w:val="0"/>
          <w:sz w:val="20"/>
          <w:szCs w:val="20"/>
          <w:lang w:val="en-US"/>
        </w:rPr>
        <w:t xml:space="preserve"> team, including establishing data champions team, onboarding advanced data tools and digital governance, automating key management reporting processes and creating learning pathways on key digital skills. The strategy transformed the team from a finance team into a finance transformation team which is capable of working with big data, delivering data solutions, and managing digital risks within 12 months. </w:t>
      </w:r>
    </w:p>
    <w:p w14:paraId="6D4FE64F">
      <w:pPr>
        <w:pStyle w:val="17"/>
        <w:keepNext w:val="0"/>
        <w:keepLines w:val="0"/>
        <w:pageBreakBefore w:val="0"/>
        <w:widowControl w:val="0"/>
        <w:numPr>
          <w:ilvl w:val="0"/>
          <w:numId w:val="1"/>
        </w:numPr>
        <w:tabs>
          <w:tab w:val="left" w:pos="630"/>
        </w:tabs>
        <w:kinsoku/>
        <w:wordWrap/>
        <w:overflowPunct/>
        <w:topLinePunct w:val="0"/>
        <w:autoSpaceDE w:val="0"/>
        <w:autoSpaceDN w:val="0"/>
        <w:bidi w:val="0"/>
        <w:adjustRightInd/>
        <w:snapToGrid/>
        <w:spacing w:after="60" w:line="252" w:lineRule="auto"/>
        <w:ind w:left="461" w:hanging="274"/>
        <w:textAlignment w:val="auto"/>
        <w:rPr>
          <w:rFonts w:asciiTheme="minorHAnsi" w:hAnsiTheme="minorHAnsi" w:cstheme="minorHAnsi"/>
          <w:sz w:val="20"/>
          <w:szCs w:val="20"/>
          <w:lang w:val="en-AU"/>
        </w:rPr>
      </w:pPr>
      <w:r>
        <w:rPr>
          <w:rFonts w:hint="default" w:asciiTheme="minorHAnsi" w:hAnsiTheme="minorHAnsi" w:cstheme="minorHAnsi"/>
          <w:b/>
          <w:bCs/>
          <w:sz w:val="20"/>
          <w:szCs w:val="20"/>
          <w:lang w:val="en-US"/>
        </w:rPr>
        <w:t>Promoted Gen AI Application</w:t>
      </w:r>
      <w:r>
        <w:rPr>
          <w:rFonts w:hint="default" w:asciiTheme="minorHAnsi" w:hAnsiTheme="minorHAnsi" w:cstheme="minorHAnsi"/>
          <w:b w:val="0"/>
          <w:bCs w:val="0"/>
          <w:sz w:val="20"/>
          <w:szCs w:val="20"/>
          <w:lang w:val="en-US"/>
        </w:rPr>
        <w:t xml:space="preserve">: Developed AI agents and applications (outside Macquarie tech environments) to explore opportunities for Gen AI application; connected with COG AI teams to contribute to group-wide AI products, roadmap and governance; raised Gen AI awareness by knowledge sharing and Group Treasury AI Forum. </w:t>
      </w:r>
    </w:p>
    <w:p w14:paraId="511832D2">
      <w:pPr>
        <w:pStyle w:val="17"/>
        <w:numPr>
          <w:ilvl w:val="0"/>
          <w:numId w:val="1"/>
        </w:numPr>
        <w:tabs>
          <w:tab w:val="left" w:pos="630"/>
        </w:tabs>
        <w:spacing w:line="269" w:lineRule="auto"/>
        <w:ind w:left="450"/>
        <w:rPr>
          <w:rFonts w:asciiTheme="minorHAnsi" w:hAnsiTheme="minorHAnsi" w:cstheme="minorHAnsi"/>
          <w:sz w:val="20"/>
          <w:szCs w:val="20"/>
          <w:lang w:val="en-AU"/>
        </w:rPr>
      </w:pPr>
      <w:r>
        <w:rPr>
          <w:rFonts w:hint="default" w:asciiTheme="minorHAnsi" w:hAnsiTheme="minorHAnsi" w:cstheme="minorHAnsi"/>
          <w:b/>
          <w:bCs/>
          <w:sz w:val="20"/>
          <w:szCs w:val="20"/>
          <w:lang w:val="en-US"/>
        </w:rPr>
        <w:t>Enhanced User Developed Application (</w:t>
      </w:r>
      <w:r>
        <w:rPr>
          <w:rFonts w:asciiTheme="minorHAnsi" w:hAnsiTheme="minorHAnsi" w:cstheme="minorHAnsi"/>
          <w:b/>
          <w:bCs/>
          <w:sz w:val="20"/>
          <w:szCs w:val="20"/>
          <w:lang w:val="en-AU"/>
        </w:rPr>
        <w:t>UDA</w:t>
      </w:r>
      <w:r>
        <w:rPr>
          <w:rFonts w:hint="default" w:asciiTheme="minorHAnsi" w:hAnsiTheme="minorHAnsi" w:cstheme="minorHAnsi"/>
          <w:b/>
          <w:bCs/>
          <w:sz w:val="20"/>
          <w:szCs w:val="20"/>
          <w:lang w:val="en-US"/>
        </w:rPr>
        <w:t>)</w:t>
      </w:r>
      <w:r>
        <w:rPr>
          <w:rFonts w:asciiTheme="minorHAnsi" w:hAnsiTheme="minorHAnsi" w:cstheme="minorHAnsi"/>
          <w:b/>
          <w:bCs/>
          <w:sz w:val="20"/>
          <w:szCs w:val="20"/>
          <w:lang w:val="en-AU"/>
        </w:rPr>
        <w:t xml:space="preserve"> </w:t>
      </w:r>
      <w:r>
        <w:rPr>
          <w:rFonts w:hint="default" w:asciiTheme="minorHAnsi" w:hAnsiTheme="minorHAnsi" w:cstheme="minorHAnsi"/>
          <w:b/>
          <w:bCs/>
          <w:sz w:val="20"/>
          <w:szCs w:val="20"/>
          <w:lang w:val="en-US"/>
        </w:rPr>
        <w:t>G</w:t>
      </w:r>
      <w:r>
        <w:rPr>
          <w:rFonts w:asciiTheme="minorHAnsi" w:hAnsiTheme="minorHAnsi" w:cstheme="minorHAnsi"/>
          <w:b/>
          <w:bCs/>
          <w:sz w:val="20"/>
          <w:szCs w:val="20"/>
          <w:lang w:val="en-AU"/>
        </w:rPr>
        <w:t>overnance</w:t>
      </w:r>
      <w:r>
        <w:rPr>
          <w:rFonts w:hint="default" w:asciiTheme="minorHAnsi" w:hAnsiTheme="minorHAnsi" w:cstheme="minorHAnsi"/>
          <w:b w:val="0"/>
          <w:bCs w:val="0"/>
          <w:sz w:val="20"/>
          <w:szCs w:val="20"/>
          <w:lang w:val="en-US"/>
        </w:rPr>
        <w:t>: Co-led the review of UDAs used in key processes at Group Treasury and uplifted 30+ UDAs in design, development, documentation, ownership etc.</w:t>
      </w:r>
    </w:p>
    <w:p w14:paraId="640402A2">
      <w:pPr>
        <w:pStyle w:val="2"/>
        <w:spacing w:before="360" w:after="60" w:line="269" w:lineRule="auto"/>
        <w:ind w:left="0"/>
        <w:jc w:val="center"/>
        <w:rPr>
          <w:rFonts w:asciiTheme="minorHAnsi" w:hAnsiTheme="minorHAnsi" w:cstheme="minorHAnsi"/>
          <w:color w:val="44526A"/>
          <w:sz w:val="24"/>
          <w:szCs w:val="24"/>
          <w:lang w:val="en-AU"/>
        </w:rPr>
      </w:pPr>
      <w:r>
        <w:rPr>
          <w:rFonts w:asciiTheme="minorHAnsi" w:hAnsiTheme="minorHAnsi" w:cstheme="minorHAnsi"/>
          <w:color w:val="44526A"/>
          <w:sz w:val="24"/>
          <w:szCs w:val="24"/>
          <w:lang w:val="en-AU"/>
        </w:rPr>
        <w:t xml:space="preserve">Commonwealth Bank of Australia </w:t>
      </w:r>
    </w:p>
    <w:p w14:paraId="08E5F3B8">
      <w:pPr>
        <w:pStyle w:val="2"/>
        <w:shd w:val="clear" w:color="auto" w:fill="D4DCE3"/>
        <w:spacing w:before="0" w:after="120" w:line="269" w:lineRule="auto"/>
        <w:ind w:left="0"/>
        <w:jc w:val="center"/>
        <w:rPr>
          <w:rFonts w:asciiTheme="minorHAnsi" w:hAnsiTheme="minorHAnsi" w:cstheme="minorHAnsi"/>
        </w:rPr>
      </w:pPr>
      <w:r>
        <w:rPr>
          <w:rFonts w:asciiTheme="minorHAnsi" w:hAnsiTheme="minorHAnsi" w:cstheme="minorHAnsi"/>
        </w:rPr>
        <w:t>Analyst – Financial Planning &amp; Analysis, Institutional Bank &amp; Markets | Mar 2017 – Aug 2018</w:t>
      </w:r>
    </w:p>
    <w:p w14:paraId="78C39EC6">
      <w:pPr>
        <w:tabs>
          <w:tab w:val="left" w:pos="630"/>
        </w:tabs>
        <w:spacing w:line="269" w:lineRule="auto"/>
        <w:jc w:val="both"/>
        <w:rPr>
          <w:rFonts w:asciiTheme="minorHAnsi" w:hAnsiTheme="minorHAnsi" w:cstheme="minorHAnsi"/>
          <w:sz w:val="20"/>
          <w:szCs w:val="20"/>
        </w:rPr>
      </w:pPr>
      <w:r>
        <w:rPr>
          <w:rFonts w:asciiTheme="minorHAnsi" w:hAnsiTheme="minorHAnsi" w:cstheme="minorHAnsi"/>
          <w:sz w:val="20"/>
          <w:szCs w:val="20"/>
        </w:rPr>
        <w:t>Managed budgeting, forecasting, and data analysis processes by collaborating closely with the Global Trade Finance division. Provided critical financial insights to support strategic planning and enhance business decision-making. Performed comprehensive financial and operational data analysis to assess business performance, health, and profitability. Translated complex datasets into meaningful insights through clear, concise management reports regularly presented to senior leadership.</w:t>
      </w:r>
    </w:p>
    <w:p w14:paraId="03AF1655">
      <w:pPr>
        <w:tabs>
          <w:tab w:val="left" w:pos="630"/>
        </w:tabs>
        <w:spacing w:before="120" w:line="269" w:lineRule="auto"/>
        <w:jc w:val="both"/>
        <w:rPr>
          <w:rFonts w:asciiTheme="minorHAnsi" w:hAnsiTheme="minorHAnsi" w:cstheme="minorHAnsi"/>
          <w:b/>
          <w:bCs/>
          <w:i/>
          <w:iCs/>
          <w:sz w:val="20"/>
          <w:szCs w:val="20"/>
        </w:rPr>
      </w:pPr>
      <w:r>
        <w:rPr>
          <w:rFonts w:asciiTheme="minorHAnsi" w:hAnsiTheme="minorHAnsi" w:cstheme="minorHAnsi"/>
          <w:b/>
          <w:bCs/>
          <w:i/>
          <w:iCs/>
          <w:sz w:val="20"/>
          <w:szCs w:val="20"/>
        </w:rPr>
        <w:t>Key Contributions:</w:t>
      </w:r>
    </w:p>
    <w:p w14:paraId="6EF86CDB">
      <w:pPr>
        <w:pStyle w:val="17"/>
        <w:numPr>
          <w:ilvl w:val="0"/>
          <w:numId w:val="1"/>
        </w:numPr>
        <w:tabs>
          <w:tab w:val="left" w:pos="630"/>
        </w:tabs>
        <w:spacing w:line="269" w:lineRule="auto"/>
        <w:ind w:left="450"/>
        <w:rPr>
          <w:rFonts w:asciiTheme="minorHAnsi" w:hAnsiTheme="minorHAnsi" w:cstheme="minorHAnsi"/>
          <w:sz w:val="20"/>
          <w:szCs w:val="20"/>
        </w:rPr>
      </w:pPr>
      <w:r>
        <w:rPr>
          <w:rFonts w:asciiTheme="minorHAnsi" w:hAnsiTheme="minorHAnsi" w:cstheme="minorHAnsi"/>
          <w:sz w:val="20"/>
          <w:szCs w:val="20"/>
        </w:rPr>
        <w:t>Contributed to the success of enterprise-wide strategic initiatives by delivering detailed financial evaluations and scenario modelling, while also supporting the preparation of business cases for new investments and growth projects.</w:t>
      </w:r>
    </w:p>
    <w:p w14:paraId="4B74ED51">
      <w:pPr>
        <w:pStyle w:val="17"/>
        <w:numPr>
          <w:ilvl w:val="0"/>
          <w:numId w:val="1"/>
        </w:numPr>
        <w:tabs>
          <w:tab w:val="left" w:pos="630"/>
        </w:tabs>
        <w:spacing w:line="269" w:lineRule="auto"/>
        <w:ind w:left="450"/>
        <w:rPr>
          <w:rFonts w:asciiTheme="minorHAnsi" w:hAnsiTheme="minorHAnsi" w:cstheme="minorHAnsi"/>
          <w:sz w:val="20"/>
          <w:szCs w:val="20"/>
          <w:lang w:val="en-AU"/>
        </w:rPr>
      </w:pPr>
      <w:r>
        <w:rPr>
          <w:rFonts w:asciiTheme="minorHAnsi" w:hAnsiTheme="minorHAnsi" w:cstheme="minorHAnsi"/>
          <w:sz w:val="20"/>
          <w:szCs w:val="20"/>
          <w:lang w:val="en-AU"/>
        </w:rPr>
        <w:t>Supported business unit leaders and product managers in developing annual budgets and rolling financial forecasts by gathering inputs, validating assumptions, and updating forecasts in response to evolving business conditions.</w:t>
      </w:r>
    </w:p>
    <w:p w14:paraId="5FC11B82">
      <w:pPr>
        <w:pStyle w:val="17"/>
        <w:numPr>
          <w:ilvl w:val="0"/>
          <w:numId w:val="1"/>
        </w:numPr>
        <w:tabs>
          <w:tab w:val="left" w:pos="630"/>
        </w:tabs>
        <w:spacing w:line="269" w:lineRule="auto"/>
        <w:ind w:left="450"/>
        <w:rPr>
          <w:rFonts w:asciiTheme="minorHAnsi" w:hAnsiTheme="minorHAnsi" w:cstheme="minorHAnsi"/>
          <w:sz w:val="20"/>
          <w:szCs w:val="20"/>
        </w:rPr>
      </w:pPr>
      <w:r>
        <w:rPr>
          <w:rFonts w:asciiTheme="minorHAnsi" w:hAnsiTheme="minorHAnsi" w:cstheme="minorHAnsi"/>
          <w:sz w:val="20"/>
          <w:szCs w:val="20"/>
          <w:lang w:val="en-AU"/>
        </w:rPr>
        <w:t>Tracked and evaluated key financial and operational performance indicators (KPIs), identified performance variances, investigated root causes, and recommended corrective actions to improve efficiency, profitability, and goal attainment</w:t>
      </w:r>
      <w:r>
        <w:rPr>
          <w:rFonts w:asciiTheme="minorHAnsi" w:hAnsiTheme="minorHAnsi" w:cstheme="minorHAnsi"/>
          <w:sz w:val="20"/>
          <w:szCs w:val="20"/>
        </w:rPr>
        <w:t>.</w:t>
      </w:r>
    </w:p>
    <w:p w14:paraId="1F4513A4">
      <w:pPr>
        <w:pStyle w:val="2"/>
        <w:spacing w:before="360" w:after="60" w:line="264" w:lineRule="auto"/>
        <w:ind w:left="0"/>
        <w:jc w:val="center"/>
        <w:rPr>
          <w:rFonts w:asciiTheme="minorHAnsi" w:hAnsiTheme="minorHAnsi" w:cstheme="minorHAnsi"/>
          <w:color w:val="44526A"/>
          <w:sz w:val="21"/>
          <w:szCs w:val="21"/>
          <w:lang w:val="en-AU"/>
        </w:rPr>
      </w:pPr>
      <w:r>
        <w:rPr>
          <w:rFonts w:asciiTheme="minorHAnsi" w:hAnsiTheme="minorHAnsi" w:cstheme="minorHAnsi"/>
          <w:color w:val="44526A"/>
          <w:sz w:val="21"/>
          <w:szCs w:val="21"/>
          <w:lang w:val="en-AU"/>
        </w:rPr>
        <w:t xml:space="preserve">Charter Hall Group </w:t>
      </w:r>
    </w:p>
    <w:p w14:paraId="380F4116">
      <w:pPr>
        <w:pStyle w:val="2"/>
        <w:shd w:val="clear" w:color="auto" w:fill="D4DCE3"/>
        <w:spacing w:before="0" w:after="120" w:line="264" w:lineRule="auto"/>
        <w:ind w:left="0"/>
        <w:jc w:val="center"/>
        <w:rPr>
          <w:rFonts w:hint="default" w:asciiTheme="minorHAnsi" w:hAnsiTheme="minorHAnsi" w:cstheme="minorHAnsi"/>
          <w:lang w:val="en-US"/>
        </w:rPr>
      </w:pPr>
      <w:r>
        <w:rPr>
          <w:rFonts w:asciiTheme="minorHAnsi" w:hAnsiTheme="minorHAnsi" w:cstheme="minorHAnsi"/>
          <w:sz w:val="21"/>
          <w:szCs w:val="21"/>
        </w:rPr>
        <w:t>Treasury Officer</w:t>
      </w:r>
      <w:r>
        <w:rPr>
          <w:rFonts w:hint="default" w:asciiTheme="minorHAnsi" w:hAnsiTheme="minorHAnsi" w:cstheme="minorHAnsi"/>
          <w:sz w:val="21"/>
          <w:szCs w:val="21"/>
          <w:lang w:val="en-US"/>
        </w:rPr>
        <w:t xml:space="preserve"> </w:t>
      </w:r>
      <w:r>
        <w:rPr>
          <w:rFonts w:asciiTheme="minorHAnsi" w:hAnsiTheme="minorHAnsi" w:cstheme="minorHAnsi"/>
          <w:color w:val="auto"/>
          <w:sz w:val="21"/>
          <w:szCs w:val="21"/>
          <w:lang w:val="en-AU"/>
        </w:rPr>
        <w:t>| Oct 2016 – Mar 2017</w:t>
      </w:r>
    </w:p>
    <w:p w14:paraId="7E9174AE">
      <w:pPr>
        <w:tabs>
          <w:tab w:val="left" w:pos="630"/>
        </w:tabs>
        <w:spacing w:line="264" w:lineRule="auto"/>
        <w:jc w:val="both"/>
        <w:rPr>
          <w:rFonts w:asciiTheme="minorHAnsi" w:hAnsiTheme="minorHAnsi" w:cstheme="minorHAnsi"/>
          <w:sz w:val="20"/>
          <w:szCs w:val="20"/>
        </w:rPr>
      </w:pPr>
      <w:r>
        <w:rPr>
          <w:rFonts w:asciiTheme="minorHAnsi" w:hAnsiTheme="minorHAnsi" w:cstheme="minorHAnsi"/>
          <w:sz w:val="20"/>
          <w:szCs w:val="20"/>
        </w:rPr>
        <w:t>Managed daily cash flow, liquidity, and funding operations across multiple property funds to ensure availability of financial resources for operational and strategic requirements. Prepared and maintained short- and medium-term cash flow forecasts to support proactive financial planning and fund management. Delivered timely reporting on cash position, liquidity status, and debt exposure to fund managers and senior stakeholders to support data-driven decision-making. Ensured compliance with internal treasury policies and external regulatory requirements related to debt and liquidity management.</w:t>
      </w:r>
    </w:p>
    <w:p w14:paraId="1B0F1C19">
      <w:pPr>
        <w:tabs>
          <w:tab w:val="left" w:pos="630"/>
        </w:tabs>
        <w:spacing w:before="120" w:after="120" w:line="264" w:lineRule="auto"/>
        <w:jc w:val="both"/>
        <w:rPr>
          <w:rFonts w:asciiTheme="minorHAnsi" w:hAnsiTheme="minorHAnsi" w:cstheme="minorHAnsi"/>
          <w:b/>
          <w:bCs/>
          <w:i/>
          <w:iCs/>
          <w:sz w:val="20"/>
          <w:szCs w:val="20"/>
        </w:rPr>
      </w:pPr>
      <w:r>
        <w:rPr>
          <w:rFonts w:asciiTheme="minorHAnsi" w:hAnsiTheme="minorHAnsi" w:cstheme="minorHAnsi"/>
          <w:b/>
          <w:bCs/>
          <w:i/>
          <w:iCs/>
          <w:sz w:val="20"/>
          <w:szCs w:val="20"/>
        </w:rPr>
        <w:t>Key Contributions:</w:t>
      </w:r>
    </w:p>
    <w:p w14:paraId="440D1FD8">
      <w:pPr>
        <w:pStyle w:val="17"/>
        <w:numPr>
          <w:ilvl w:val="0"/>
          <w:numId w:val="1"/>
        </w:numPr>
        <w:tabs>
          <w:tab w:val="left" w:pos="630"/>
        </w:tabs>
        <w:spacing w:line="264" w:lineRule="auto"/>
        <w:ind w:left="450"/>
        <w:rPr>
          <w:rFonts w:asciiTheme="minorHAnsi" w:hAnsiTheme="minorHAnsi" w:cstheme="minorHAnsi"/>
          <w:sz w:val="20"/>
          <w:szCs w:val="20"/>
          <w:lang w:val="en-AU"/>
        </w:rPr>
      </w:pPr>
      <w:r>
        <w:rPr>
          <w:rFonts w:asciiTheme="minorHAnsi" w:hAnsiTheme="minorHAnsi" w:cstheme="minorHAnsi"/>
          <w:sz w:val="20"/>
          <w:szCs w:val="20"/>
          <w:lang w:val="en-AU"/>
        </w:rPr>
        <w:t>Administered the full debt portfolio lifecycle, including debt applications, drawdowns, repayments, and covenant compliance, in coordination with lenders and internal teams.</w:t>
      </w:r>
    </w:p>
    <w:p w14:paraId="468B6B33">
      <w:pPr>
        <w:pStyle w:val="17"/>
        <w:numPr>
          <w:ilvl w:val="0"/>
          <w:numId w:val="1"/>
        </w:numPr>
        <w:tabs>
          <w:tab w:val="left" w:pos="630"/>
        </w:tabs>
        <w:spacing w:line="264" w:lineRule="auto"/>
        <w:ind w:left="450"/>
        <w:rPr>
          <w:rFonts w:asciiTheme="minorHAnsi" w:hAnsiTheme="minorHAnsi" w:cstheme="minorHAnsi"/>
          <w:sz w:val="20"/>
          <w:szCs w:val="20"/>
          <w:lang w:val="en-AU"/>
        </w:rPr>
      </w:pPr>
      <w:r>
        <w:rPr>
          <w:rFonts w:asciiTheme="minorHAnsi" w:hAnsiTheme="minorHAnsi" w:cstheme="minorHAnsi"/>
          <w:sz w:val="20"/>
          <w:szCs w:val="20"/>
          <w:lang w:val="en-AU"/>
        </w:rPr>
        <w:t>Conducted financial analysis to support funding strategies and assess the impact of cash movements and borrowing activities on fund performance.</w:t>
      </w:r>
    </w:p>
    <w:p w14:paraId="2DB5A561">
      <w:pPr>
        <w:pStyle w:val="17"/>
        <w:numPr>
          <w:ilvl w:val="0"/>
          <w:numId w:val="1"/>
        </w:numPr>
        <w:tabs>
          <w:tab w:val="left" w:pos="630"/>
        </w:tabs>
        <w:spacing w:line="264" w:lineRule="auto"/>
        <w:ind w:left="450"/>
        <w:rPr>
          <w:rFonts w:asciiTheme="minorHAnsi" w:hAnsiTheme="minorHAnsi" w:cstheme="minorHAnsi"/>
          <w:sz w:val="20"/>
          <w:szCs w:val="20"/>
          <w:lang w:val="en-AU"/>
        </w:rPr>
      </w:pPr>
      <w:r>
        <w:rPr>
          <w:rFonts w:asciiTheme="minorHAnsi" w:hAnsiTheme="minorHAnsi" w:cstheme="minorHAnsi"/>
          <w:sz w:val="20"/>
          <w:szCs w:val="20"/>
          <w:lang w:val="en-AU"/>
        </w:rPr>
        <w:t>Identified financial risks, including interest rate, foreign exchange, and liquidity risk, and implemented risk mitigation strategies using derivatives and financial instruments.</w:t>
      </w:r>
    </w:p>
    <w:p w14:paraId="1C0EC946">
      <w:pPr>
        <w:pStyle w:val="17"/>
        <w:widowControl w:val="0"/>
        <w:numPr>
          <w:ilvl w:val="0"/>
          <w:numId w:val="0"/>
        </w:numPr>
        <w:tabs>
          <w:tab w:val="left" w:pos="630"/>
        </w:tabs>
        <w:autoSpaceDE w:val="0"/>
        <w:autoSpaceDN w:val="0"/>
        <w:spacing w:line="269" w:lineRule="auto"/>
        <w:jc w:val="both"/>
        <w:rPr>
          <w:rFonts w:asciiTheme="minorHAnsi" w:hAnsiTheme="minorHAnsi" w:cstheme="minorHAnsi"/>
          <w:sz w:val="20"/>
          <w:szCs w:val="20"/>
        </w:rPr>
      </w:pPr>
    </w:p>
    <w:p w14:paraId="0E493753">
      <w:pPr>
        <w:pStyle w:val="2"/>
        <w:spacing w:before="0" w:after="60" w:line="269" w:lineRule="auto"/>
        <w:ind w:left="0"/>
        <w:jc w:val="center"/>
        <w:rPr>
          <w:rFonts w:asciiTheme="minorHAnsi" w:hAnsiTheme="minorHAnsi" w:cstheme="minorHAnsi"/>
          <w:color w:val="44526A"/>
          <w:sz w:val="24"/>
          <w:szCs w:val="24"/>
          <w:lang w:val="en-AU"/>
        </w:rPr>
      </w:pPr>
      <w:r>
        <w:rPr>
          <w:rFonts w:asciiTheme="minorHAnsi" w:hAnsiTheme="minorHAnsi" w:cstheme="minorHAnsi"/>
          <w:color w:val="44526A"/>
          <w:sz w:val="24"/>
          <w:szCs w:val="24"/>
          <w:lang w:val="en-AU"/>
        </w:rPr>
        <w:t xml:space="preserve">PwC </w:t>
      </w:r>
    </w:p>
    <w:p w14:paraId="012DA27A">
      <w:pPr>
        <w:pStyle w:val="2"/>
        <w:shd w:val="clear" w:color="auto" w:fill="D4DCE3"/>
        <w:spacing w:before="0" w:after="120" w:line="269" w:lineRule="auto"/>
        <w:ind w:left="0"/>
        <w:jc w:val="center"/>
        <w:rPr>
          <w:rFonts w:asciiTheme="minorHAnsi" w:hAnsiTheme="minorHAnsi" w:cstheme="minorHAnsi"/>
        </w:rPr>
      </w:pPr>
      <w:r>
        <w:rPr>
          <w:rFonts w:asciiTheme="minorHAnsi" w:hAnsiTheme="minorHAnsi" w:cstheme="minorHAnsi"/>
        </w:rPr>
        <w:t>Senior Auditor | June 2014 – Oct 2016</w:t>
      </w:r>
    </w:p>
    <w:p w14:paraId="7F41B91E">
      <w:pPr>
        <w:tabs>
          <w:tab w:val="left" w:pos="630"/>
        </w:tabs>
        <w:spacing w:line="269" w:lineRule="auto"/>
        <w:jc w:val="both"/>
        <w:rPr>
          <w:rFonts w:asciiTheme="minorHAnsi" w:hAnsiTheme="minorHAnsi" w:cstheme="minorHAnsi"/>
          <w:sz w:val="20"/>
          <w:szCs w:val="20"/>
        </w:rPr>
      </w:pPr>
      <w:r>
        <w:rPr>
          <w:rFonts w:asciiTheme="minorHAnsi" w:hAnsiTheme="minorHAnsi" w:cstheme="minorHAnsi"/>
          <w:sz w:val="20"/>
          <w:szCs w:val="20"/>
        </w:rPr>
        <w:t>Delivered assurance and advisory services to top-tier financial services clients in Australia and contributed to the integrity and reliability of financial reporting and compliance. Assessed client-specific risks, defined scope and objectives, and developed audit work programs aligned with regulatory and stakeholder expectations. Drafted clear, actionable audit reports outlining key findings, risk impacts, and management responses. Supported executive-level decision-making and regulatory submissions.</w:t>
      </w:r>
    </w:p>
    <w:p w14:paraId="1767BC0C">
      <w:pPr>
        <w:tabs>
          <w:tab w:val="left" w:pos="630"/>
        </w:tabs>
        <w:spacing w:before="120" w:after="120" w:line="269" w:lineRule="auto"/>
        <w:jc w:val="both"/>
        <w:rPr>
          <w:rFonts w:asciiTheme="minorHAnsi" w:hAnsiTheme="minorHAnsi" w:cstheme="minorHAnsi"/>
          <w:b/>
          <w:bCs/>
          <w:i/>
          <w:iCs/>
          <w:sz w:val="20"/>
          <w:szCs w:val="20"/>
        </w:rPr>
      </w:pPr>
      <w:r>
        <w:rPr>
          <w:rFonts w:asciiTheme="minorHAnsi" w:hAnsiTheme="minorHAnsi" w:cstheme="minorHAnsi"/>
          <w:b/>
          <w:bCs/>
          <w:i/>
          <w:iCs/>
          <w:sz w:val="20"/>
          <w:szCs w:val="20"/>
        </w:rPr>
        <w:t>Key Contributions:</w:t>
      </w:r>
    </w:p>
    <w:p w14:paraId="01A5CD7D">
      <w:pPr>
        <w:pStyle w:val="17"/>
        <w:numPr>
          <w:ilvl w:val="0"/>
          <w:numId w:val="1"/>
        </w:numPr>
        <w:tabs>
          <w:tab w:val="left" w:pos="630"/>
        </w:tabs>
        <w:spacing w:line="269" w:lineRule="auto"/>
        <w:ind w:left="450"/>
        <w:rPr>
          <w:rFonts w:asciiTheme="minorHAnsi" w:hAnsiTheme="minorHAnsi" w:cstheme="minorHAnsi"/>
          <w:sz w:val="20"/>
          <w:szCs w:val="20"/>
          <w:lang w:val="en-AU"/>
        </w:rPr>
      </w:pPr>
      <w:r>
        <w:rPr>
          <w:rFonts w:asciiTheme="minorHAnsi" w:hAnsiTheme="minorHAnsi" w:cstheme="minorHAnsi"/>
          <w:sz w:val="20"/>
          <w:szCs w:val="20"/>
          <w:lang w:val="en-AU"/>
        </w:rPr>
        <w:t>Executed end-to-end financial audits, including control testing, substantive testing, and analytical procedures to check compliance with Australian Accounting Standards and International Financial Reporting Standards (IFRS).</w:t>
      </w:r>
    </w:p>
    <w:p w14:paraId="50C8DF91">
      <w:pPr>
        <w:pStyle w:val="17"/>
        <w:numPr>
          <w:ilvl w:val="0"/>
          <w:numId w:val="1"/>
        </w:numPr>
        <w:tabs>
          <w:tab w:val="left" w:pos="630"/>
        </w:tabs>
        <w:spacing w:line="269" w:lineRule="auto"/>
        <w:ind w:left="450"/>
        <w:rPr>
          <w:rFonts w:asciiTheme="minorHAnsi" w:hAnsiTheme="minorHAnsi" w:cstheme="minorHAnsi"/>
          <w:sz w:val="20"/>
          <w:szCs w:val="20"/>
          <w:lang w:val="en-AU"/>
        </w:rPr>
      </w:pPr>
      <w:r>
        <w:rPr>
          <w:rFonts w:asciiTheme="minorHAnsi" w:hAnsiTheme="minorHAnsi" w:cstheme="minorHAnsi"/>
          <w:sz w:val="20"/>
          <w:szCs w:val="20"/>
          <w:lang w:val="en-AU"/>
        </w:rPr>
        <w:t>Conducted compliance reviews across regulatory frameworks, such as the Sarbanes-Oxley Act (SOX), Pillar 3 disclosures, Liquidity Coverage Ratio (LCR), and Net Stable Funding Ratio (NSFR).</w:t>
      </w:r>
    </w:p>
    <w:p w14:paraId="4535AF7E">
      <w:pPr>
        <w:pStyle w:val="17"/>
        <w:numPr>
          <w:ilvl w:val="0"/>
          <w:numId w:val="1"/>
        </w:numPr>
        <w:tabs>
          <w:tab w:val="left" w:pos="630"/>
        </w:tabs>
        <w:spacing w:line="269" w:lineRule="auto"/>
        <w:ind w:left="450"/>
        <w:rPr>
          <w:rFonts w:asciiTheme="minorHAnsi" w:hAnsiTheme="minorHAnsi" w:cstheme="minorHAnsi"/>
          <w:sz w:val="20"/>
          <w:szCs w:val="20"/>
          <w:lang w:val="en-AU"/>
        </w:rPr>
      </w:pPr>
      <w:r>
        <w:rPr>
          <w:rFonts w:asciiTheme="minorHAnsi" w:hAnsiTheme="minorHAnsi" w:cstheme="minorHAnsi"/>
          <w:sz w:val="20"/>
          <w:szCs w:val="20"/>
          <w:lang w:val="en-AU"/>
        </w:rPr>
        <w:t>Performed data-driven analysis of business processes and internal controls to identify operational risks, inefficiencies, and improvement opportunities, while also providing strategic recommendations grounded in PwC’s best practices.</w:t>
      </w:r>
    </w:p>
    <w:p w14:paraId="379A56B5">
      <w:pPr>
        <w:pStyle w:val="17"/>
        <w:numPr>
          <w:ilvl w:val="0"/>
          <w:numId w:val="1"/>
        </w:numPr>
        <w:tabs>
          <w:tab w:val="left" w:pos="630"/>
        </w:tabs>
        <w:spacing w:line="269" w:lineRule="auto"/>
        <w:ind w:left="450"/>
        <w:rPr>
          <w:rFonts w:asciiTheme="minorHAnsi" w:hAnsiTheme="minorHAnsi" w:cstheme="minorHAnsi"/>
          <w:sz w:val="20"/>
          <w:szCs w:val="20"/>
          <w:lang w:val="en-AU"/>
        </w:rPr>
      </w:pPr>
      <w:r>
        <w:rPr>
          <w:rFonts w:asciiTheme="minorHAnsi" w:hAnsiTheme="minorHAnsi" w:cstheme="minorHAnsi"/>
          <w:sz w:val="20"/>
          <w:szCs w:val="20"/>
          <w:lang w:val="en-AU"/>
        </w:rPr>
        <w:t>Supervised audit teams during fieldwork for high-quality execution of procedures, while maintaining strong client relationships, facilitating regular communications, and managing expectations.</w:t>
      </w:r>
    </w:p>
    <w:p w14:paraId="36FD20BE">
      <w:pPr>
        <w:tabs>
          <w:tab w:val="left" w:pos="630"/>
        </w:tabs>
        <w:spacing w:before="360" w:after="120" w:line="269" w:lineRule="auto"/>
        <w:rPr>
          <w:rFonts w:asciiTheme="minorHAnsi" w:hAnsiTheme="minorHAnsi" w:cstheme="minorHAnsi"/>
          <w:b/>
          <w:bCs/>
          <w:sz w:val="20"/>
          <w:szCs w:val="20"/>
          <w:u w:val="single"/>
        </w:rPr>
      </w:pPr>
      <w:r>
        <w:rPr>
          <w:rFonts w:asciiTheme="minorHAnsi" w:hAnsiTheme="minorHAnsi" w:cstheme="minorHAnsi"/>
          <w:b/>
          <w:bCs/>
          <w:sz w:val="20"/>
          <w:szCs w:val="20"/>
          <w:u w:val="single"/>
        </w:rPr>
        <w:t>ADDITIONAL EXPERIENCES:</w:t>
      </w:r>
    </w:p>
    <w:p w14:paraId="05344292">
      <w:pPr>
        <w:pStyle w:val="17"/>
        <w:numPr>
          <w:ilvl w:val="0"/>
          <w:numId w:val="1"/>
        </w:numPr>
        <w:tabs>
          <w:tab w:val="left" w:pos="630"/>
        </w:tabs>
        <w:spacing w:before="60" w:line="269" w:lineRule="auto"/>
        <w:ind w:left="450"/>
        <w:rPr>
          <w:rFonts w:asciiTheme="minorHAnsi" w:hAnsiTheme="minorHAnsi" w:cstheme="minorHAnsi"/>
          <w:sz w:val="20"/>
          <w:szCs w:val="20"/>
          <w:lang w:val="en-AU"/>
        </w:rPr>
      </w:pPr>
      <w:r>
        <w:rPr>
          <w:rFonts w:asciiTheme="minorHAnsi" w:hAnsiTheme="minorHAnsi" w:cstheme="minorHAnsi"/>
          <w:b/>
          <w:bCs/>
          <w:sz w:val="20"/>
          <w:szCs w:val="20"/>
          <w:lang w:val="en-AU"/>
        </w:rPr>
        <w:t>Analyst – Financial Planning &amp; Analysis |</w:t>
      </w:r>
      <w:r>
        <w:rPr>
          <w:rFonts w:asciiTheme="minorHAnsi" w:hAnsiTheme="minorHAnsi" w:cstheme="minorHAnsi"/>
          <w:sz w:val="20"/>
          <w:szCs w:val="20"/>
          <w:lang w:val="en-AU"/>
        </w:rPr>
        <w:t xml:space="preserve"> Agricultural Bank of China, Aug 2011 – Nov 2013</w:t>
      </w:r>
    </w:p>
    <w:p w14:paraId="60893483">
      <w:pPr>
        <w:pStyle w:val="17"/>
        <w:numPr>
          <w:ilvl w:val="0"/>
          <w:numId w:val="0"/>
        </w:numPr>
        <w:tabs>
          <w:tab w:val="left" w:pos="630"/>
        </w:tabs>
        <w:spacing w:before="60" w:line="269" w:lineRule="auto"/>
        <w:rPr>
          <w:rFonts w:asciiTheme="minorHAnsi" w:hAnsiTheme="minorHAnsi" w:cstheme="minorHAnsi"/>
          <w:sz w:val="20"/>
          <w:szCs w:val="20"/>
          <w:lang w:val="en-AU"/>
        </w:rPr>
      </w:pPr>
    </w:p>
    <w:p w14:paraId="40EA83BA">
      <w:pPr>
        <w:keepNext w:val="0"/>
        <w:keepLines w:val="0"/>
        <w:pageBreakBefore w:val="0"/>
        <w:widowControl w:val="0"/>
        <w:shd w:val="clear" w:color="auto" w:fill="44526A"/>
        <w:kinsoku/>
        <w:wordWrap/>
        <w:overflowPunct/>
        <w:topLinePunct w:val="0"/>
        <w:autoSpaceDE w:val="0"/>
        <w:autoSpaceDN w:val="0"/>
        <w:bidi w:val="0"/>
        <w:adjustRightInd/>
        <w:snapToGrid/>
        <w:spacing w:before="240" w:line="269" w:lineRule="auto"/>
        <w:jc w:val="center"/>
        <w:textAlignment w:val="auto"/>
        <w:rPr>
          <w:rFonts w:asciiTheme="minorHAnsi" w:hAnsiTheme="minorHAnsi" w:cstheme="minorHAnsi"/>
          <w:b/>
          <w:smallCaps/>
          <w:color w:val="FFFFFF"/>
          <w:sz w:val="24"/>
          <w:szCs w:val="24"/>
        </w:rPr>
      </w:pPr>
      <w:r>
        <w:rPr>
          <w:rFonts w:asciiTheme="minorHAnsi" w:hAnsiTheme="minorHAnsi" w:cstheme="minorHAnsi"/>
          <w:b/>
          <w:smallCaps/>
          <w:color w:val="FFFFFF"/>
          <w:sz w:val="24"/>
          <w:szCs w:val="24"/>
        </w:rPr>
        <w:t>EDUCATION &amp; QUALIFICATIONS</w:t>
      </w:r>
    </w:p>
    <w:p w14:paraId="16FABCE0">
      <w:pPr>
        <w:tabs>
          <w:tab w:val="left" w:pos="630"/>
        </w:tabs>
        <w:spacing w:line="269" w:lineRule="auto"/>
        <w:jc w:val="both"/>
        <w:rPr>
          <w:rFonts w:asciiTheme="minorHAnsi" w:hAnsiTheme="minorHAnsi" w:cstheme="minorHAnsi"/>
          <w:sz w:val="20"/>
          <w:szCs w:val="20"/>
        </w:rPr>
      </w:pPr>
      <w:r>
        <w:rPr>
          <w:rFonts w:hint="default" w:asciiTheme="minorHAnsi" w:hAnsiTheme="minorHAnsi" w:cstheme="minorHAnsi"/>
          <w:sz w:val="20"/>
          <w:szCs w:val="20"/>
          <w:lang w:val="en-US" w:eastAsia="zh-CN"/>
        </w:rPr>
        <w:t>EDUCATION</w:t>
      </w:r>
    </w:p>
    <w:p w14:paraId="7BCED21D">
      <w:pPr>
        <w:pStyle w:val="17"/>
        <w:numPr>
          <w:ilvl w:val="0"/>
          <w:numId w:val="1"/>
        </w:numPr>
        <w:tabs>
          <w:tab w:val="left" w:pos="630"/>
        </w:tabs>
        <w:spacing w:line="269" w:lineRule="auto"/>
        <w:ind w:left="450"/>
        <w:rPr>
          <w:rFonts w:hint="default" w:asciiTheme="minorHAnsi" w:hAnsiTheme="minorHAnsi" w:cstheme="minorHAnsi"/>
          <w:sz w:val="20"/>
          <w:szCs w:val="20"/>
          <w:lang w:val="en-US"/>
        </w:rPr>
      </w:pPr>
      <w:r>
        <w:rPr>
          <w:rFonts w:hint="default" w:asciiTheme="minorHAnsi" w:hAnsiTheme="minorHAnsi" w:cstheme="minorHAnsi"/>
          <w:sz w:val="20"/>
          <w:szCs w:val="20"/>
          <w:lang w:val="en-US"/>
        </w:rPr>
        <w:t>Master of Data Science, The University of Sydney (2021)</w:t>
      </w:r>
    </w:p>
    <w:p w14:paraId="0D3CE8CC">
      <w:pPr>
        <w:pStyle w:val="17"/>
        <w:numPr>
          <w:ilvl w:val="0"/>
          <w:numId w:val="1"/>
        </w:numPr>
        <w:tabs>
          <w:tab w:val="left" w:pos="630"/>
        </w:tabs>
        <w:spacing w:line="269" w:lineRule="auto"/>
        <w:ind w:left="450"/>
        <w:rPr>
          <w:rFonts w:hint="default" w:asciiTheme="minorHAnsi" w:hAnsiTheme="minorHAnsi" w:cstheme="minorHAnsi"/>
          <w:sz w:val="20"/>
          <w:szCs w:val="20"/>
          <w:lang w:val="en-US"/>
        </w:rPr>
      </w:pPr>
      <w:r>
        <w:rPr>
          <w:rFonts w:hint="default" w:asciiTheme="minorHAnsi" w:hAnsiTheme="minorHAnsi" w:cstheme="minorHAnsi"/>
          <w:sz w:val="20"/>
          <w:szCs w:val="20"/>
          <w:lang w:val="en-US"/>
        </w:rPr>
        <w:t>Master of Accounting, Macquarie University (2011)</w:t>
      </w:r>
    </w:p>
    <w:p w14:paraId="567A060D">
      <w:pPr>
        <w:tabs>
          <w:tab w:val="left" w:pos="630"/>
        </w:tabs>
        <w:spacing w:line="269" w:lineRule="auto"/>
        <w:jc w:val="both"/>
        <w:rPr>
          <w:rFonts w:hint="default" w:asciiTheme="minorHAnsi" w:hAnsiTheme="minorHAnsi" w:cstheme="minorHAnsi"/>
          <w:sz w:val="20"/>
          <w:szCs w:val="20"/>
          <w:lang w:val="en-US" w:eastAsia="zh-CN"/>
        </w:rPr>
      </w:pPr>
      <w:r>
        <w:rPr>
          <w:rFonts w:hint="default" w:asciiTheme="minorHAnsi" w:hAnsiTheme="minorHAnsi" w:cstheme="minorHAnsi"/>
          <w:sz w:val="20"/>
          <w:szCs w:val="20"/>
          <w:lang w:val="en-US" w:eastAsia="zh-CN"/>
        </w:rPr>
        <w:t>PROFESSIONAL QUALIFICATIONS</w:t>
      </w:r>
    </w:p>
    <w:p w14:paraId="2CFC7EFD">
      <w:pPr>
        <w:pStyle w:val="17"/>
        <w:numPr>
          <w:ilvl w:val="0"/>
          <w:numId w:val="1"/>
        </w:numPr>
        <w:tabs>
          <w:tab w:val="left" w:pos="630"/>
        </w:tabs>
        <w:spacing w:line="269" w:lineRule="auto"/>
        <w:ind w:left="450"/>
        <w:rPr>
          <w:rFonts w:hint="default" w:asciiTheme="minorHAnsi" w:hAnsiTheme="minorHAnsi" w:cstheme="minorHAnsi"/>
          <w:sz w:val="20"/>
          <w:szCs w:val="20"/>
          <w:lang w:val="en-AU"/>
        </w:rPr>
      </w:pPr>
      <w:r>
        <w:rPr>
          <w:rFonts w:hint="default" w:asciiTheme="minorHAnsi" w:hAnsiTheme="minorHAnsi" w:cstheme="minorHAnsi"/>
          <w:sz w:val="20"/>
          <w:szCs w:val="20"/>
          <w:lang w:val="en-US"/>
        </w:rPr>
        <w:t>Chartered Accountant (CA)</w:t>
      </w:r>
    </w:p>
    <w:p w14:paraId="3918AF09">
      <w:pPr>
        <w:pStyle w:val="17"/>
        <w:numPr>
          <w:ilvl w:val="0"/>
          <w:numId w:val="1"/>
        </w:numPr>
        <w:tabs>
          <w:tab w:val="left" w:pos="630"/>
        </w:tabs>
        <w:spacing w:line="269" w:lineRule="auto"/>
        <w:ind w:left="450"/>
        <w:rPr>
          <w:rFonts w:hint="default" w:asciiTheme="minorHAnsi" w:hAnsiTheme="minorHAnsi" w:cstheme="minorHAnsi"/>
          <w:sz w:val="20"/>
          <w:szCs w:val="20"/>
          <w:lang w:val="en-AU"/>
        </w:rPr>
      </w:pPr>
      <w:r>
        <w:rPr>
          <w:rFonts w:hint="default" w:asciiTheme="minorHAnsi" w:hAnsiTheme="minorHAnsi" w:cstheme="minorHAnsi"/>
          <w:sz w:val="20"/>
          <w:szCs w:val="20"/>
          <w:lang w:val="en-US"/>
        </w:rPr>
        <w:t>Certified Public Accountant (CPA)</w:t>
      </w:r>
    </w:p>
    <w:p w14:paraId="6C18725D">
      <w:pPr>
        <w:pStyle w:val="17"/>
        <w:numPr>
          <w:ilvl w:val="0"/>
          <w:numId w:val="1"/>
        </w:numPr>
        <w:tabs>
          <w:tab w:val="left" w:pos="630"/>
        </w:tabs>
        <w:spacing w:line="269" w:lineRule="auto"/>
        <w:ind w:left="450"/>
        <w:rPr>
          <w:rFonts w:hint="default" w:asciiTheme="minorHAnsi" w:hAnsiTheme="minorHAnsi" w:cstheme="minorHAnsi"/>
          <w:sz w:val="20"/>
          <w:szCs w:val="20"/>
          <w:lang w:val="en-AU"/>
        </w:rPr>
      </w:pPr>
      <w:r>
        <w:rPr>
          <w:rFonts w:hint="default" w:asciiTheme="minorHAnsi" w:hAnsiTheme="minorHAnsi" w:cstheme="minorHAnsi"/>
          <w:sz w:val="20"/>
          <w:szCs w:val="20"/>
          <w:lang w:val="en-US"/>
        </w:rPr>
        <w:t>Chartered Institute of Management Accountants (CIMA)</w:t>
      </w:r>
    </w:p>
    <w:p w14:paraId="2EA5A054">
      <w:pPr>
        <w:pStyle w:val="18"/>
        <w:spacing w:before="120" w:line="269" w:lineRule="auto"/>
        <w:jc w:val="center"/>
        <w:rPr>
          <w:rFonts w:asciiTheme="minorHAnsi" w:hAnsiTheme="minorHAnsi" w:cstheme="minorHAnsi"/>
          <w:bCs/>
          <w:sz w:val="20"/>
          <w:szCs w:val="20"/>
          <w:lang w:val="en-AU"/>
        </w:rPr>
      </w:pPr>
    </w:p>
    <w:p w14:paraId="18BA6D1A">
      <w:pPr>
        <w:keepNext w:val="0"/>
        <w:keepLines w:val="0"/>
        <w:pageBreakBefore w:val="0"/>
        <w:widowControl w:val="0"/>
        <w:shd w:val="clear" w:color="auto" w:fill="44526A"/>
        <w:kinsoku/>
        <w:wordWrap/>
        <w:overflowPunct/>
        <w:topLinePunct w:val="0"/>
        <w:autoSpaceDE w:val="0"/>
        <w:autoSpaceDN w:val="0"/>
        <w:bidi w:val="0"/>
        <w:adjustRightInd/>
        <w:snapToGrid/>
        <w:spacing w:before="240" w:line="269" w:lineRule="auto"/>
        <w:jc w:val="center"/>
        <w:textAlignment w:val="auto"/>
        <w:rPr>
          <w:rFonts w:asciiTheme="minorHAnsi" w:hAnsiTheme="minorHAnsi" w:cstheme="minorHAnsi"/>
          <w:b/>
          <w:smallCaps/>
          <w:color w:val="FFFFFF"/>
          <w:sz w:val="24"/>
          <w:szCs w:val="24"/>
        </w:rPr>
      </w:pPr>
      <w:r>
        <w:rPr>
          <w:rFonts w:asciiTheme="minorHAnsi" w:hAnsiTheme="minorHAnsi" w:cstheme="minorHAnsi"/>
          <w:b/>
          <w:smallCaps/>
          <w:color w:val="FFFFFF"/>
          <w:sz w:val="24"/>
          <w:szCs w:val="24"/>
        </w:rPr>
        <w:t>TECHNOLOGY STACK</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2"/>
        <w:gridCol w:w="8270"/>
      </w:tblGrid>
      <w:tr w14:paraId="5B6206D3">
        <w:tc>
          <w:tcPr>
            <w:tcW w:w="2302" w:type="dxa"/>
          </w:tcPr>
          <w:p w14:paraId="42F82CAD">
            <w:pPr>
              <w:pStyle w:val="18"/>
              <w:spacing w:line="269" w:lineRule="auto"/>
              <w:rPr>
                <w:rFonts w:asciiTheme="minorHAnsi" w:hAnsiTheme="minorHAnsi" w:cstheme="minorHAnsi"/>
                <w:b/>
                <w:sz w:val="20"/>
                <w:szCs w:val="20"/>
                <w:lang w:val="en-AU"/>
              </w:rPr>
            </w:pPr>
            <w:r>
              <w:rPr>
                <w:rFonts w:asciiTheme="minorHAnsi" w:hAnsiTheme="minorHAnsi" w:cstheme="minorHAnsi"/>
                <w:b/>
                <w:sz w:val="20"/>
                <w:szCs w:val="20"/>
                <w:lang w:val="en-AU"/>
              </w:rPr>
              <w:t>Languages &amp; Tools:</w:t>
            </w:r>
          </w:p>
        </w:tc>
        <w:tc>
          <w:tcPr>
            <w:tcW w:w="8270" w:type="dxa"/>
          </w:tcPr>
          <w:p w14:paraId="45D6C576">
            <w:pPr>
              <w:pStyle w:val="18"/>
              <w:spacing w:line="269" w:lineRule="auto"/>
              <w:rPr>
                <w:rFonts w:hint="default" w:asciiTheme="minorHAnsi" w:hAnsiTheme="minorHAnsi" w:cstheme="minorHAnsi"/>
                <w:bCs/>
                <w:sz w:val="20"/>
                <w:szCs w:val="20"/>
                <w:lang w:val="en-US"/>
              </w:rPr>
            </w:pPr>
            <w:r>
              <w:rPr>
                <w:rFonts w:hint="default" w:asciiTheme="minorHAnsi" w:hAnsiTheme="minorHAnsi" w:cstheme="minorHAnsi"/>
                <w:bCs/>
                <w:sz w:val="20"/>
                <w:szCs w:val="20"/>
                <w:lang w:val="en-US"/>
              </w:rPr>
              <w:t>Claude Code, Github Copilot, Python,</w:t>
            </w:r>
            <w:r>
              <w:rPr>
                <w:rFonts w:asciiTheme="minorHAnsi" w:hAnsiTheme="minorHAnsi" w:cstheme="minorHAnsi"/>
                <w:bCs/>
                <w:sz w:val="20"/>
                <w:szCs w:val="20"/>
                <w:lang w:val="en-AU"/>
              </w:rPr>
              <w:t xml:space="preserve"> SQL,  Alteryx, Power BI, Dataiku,</w:t>
            </w:r>
            <w:r>
              <w:rPr>
                <w:rFonts w:hint="default" w:asciiTheme="minorHAnsi" w:hAnsiTheme="minorHAnsi" w:cstheme="minorHAnsi"/>
                <w:bCs/>
                <w:sz w:val="20"/>
                <w:szCs w:val="20"/>
                <w:lang w:val="en-US"/>
              </w:rPr>
              <w:t xml:space="preserve"> </w:t>
            </w:r>
            <w:r>
              <w:rPr>
                <w:rFonts w:asciiTheme="minorHAnsi" w:hAnsiTheme="minorHAnsi" w:cstheme="minorHAnsi"/>
                <w:bCs/>
                <w:sz w:val="20"/>
                <w:szCs w:val="20"/>
                <w:lang w:val="en-AU"/>
              </w:rPr>
              <w:t>Tablea</w:t>
            </w:r>
          </w:p>
        </w:tc>
      </w:tr>
      <w:tr w14:paraId="303D310A">
        <w:tc>
          <w:tcPr>
            <w:tcW w:w="2302" w:type="dxa"/>
          </w:tcPr>
          <w:p w14:paraId="5AACA704">
            <w:pPr>
              <w:pStyle w:val="18"/>
              <w:spacing w:before="40" w:line="269" w:lineRule="auto"/>
              <w:rPr>
                <w:rFonts w:asciiTheme="minorHAnsi" w:hAnsiTheme="minorHAnsi" w:cstheme="minorHAnsi"/>
                <w:b/>
                <w:sz w:val="20"/>
                <w:szCs w:val="20"/>
                <w:lang w:val="en-AU"/>
              </w:rPr>
            </w:pPr>
            <w:r>
              <w:rPr>
                <w:rFonts w:asciiTheme="minorHAnsi" w:hAnsiTheme="minorHAnsi" w:cstheme="minorHAnsi"/>
                <w:b/>
                <w:sz w:val="20"/>
                <w:szCs w:val="20"/>
                <w:lang w:val="en-AU"/>
              </w:rPr>
              <w:t>Platforms:</w:t>
            </w:r>
          </w:p>
        </w:tc>
        <w:tc>
          <w:tcPr>
            <w:tcW w:w="8270" w:type="dxa"/>
          </w:tcPr>
          <w:p w14:paraId="2C90208B">
            <w:pPr>
              <w:pStyle w:val="18"/>
              <w:spacing w:before="40" w:line="269" w:lineRule="auto"/>
              <w:rPr>
                <w:rFonts w:hint="default" w:asciiTheme="minorHAnsi" w:hAnsiTheme="minorHAnsi" w:cstheme="minorHAnsi"/>
                <w:bCs/>
                <w:sz w:val="20"/>
                <w:szCs w:val="20"/>
                <w:lang w:val="en-US"/>
              </w:rPr>
            </w:pPr>
            <w:r>
              <w:rPr>
                <w:rFonts w:hint="default" w:asciiTheme="minorHAnsi" w:hAnsiTheme="minorHAnsi" w:cstheme="minorHAnsi"/>
                <w:bCs/>
                <w:sz w:val="20"/>
                <w:szCs w:val="20"/>
                <w:lang w:val="en-US"/>
              </w:rPr>
              <w:t xml:space="preserve">Data Lake, </w:t>
            </w:r>
            <w:r>
              <w:rPr>
                <w:rFonts w:asciiTheme="minorHAnsi" w:hAnsiTheme="minorHAnsi" w:cstheme="minorHAnsi"/>
                <w:bCs/>
                <w:sz w:val="20"/>
                <w:szCs w:val="20"/>
                <w:lang w:val="en-AU"/>
              </w:rPr>
              <w:t>Jira, Confluence</w:t>
            </w:r>
            <w:r>
              <w:rPr>
                <w:rFonts w:hint="default" w:asciiTheme="minorHAnsi" w:hAnsiTheme="minorHAnsi" w:cstheme="minorHAnsi"/>
                <w:bCs/>
                <w:sz w:val="20"/>
                <w:szCs w:val="20"/>
                <w:lang w:val="en-US"/>
              </w:rPr>
              <w:t>, Git</w:t>
            </w:r>
          </w:p>
        </w:tc>
      </w:tr>
      <w:tr w14:paraId="3BE67400">
        <w:tc>
          <w:tcPr>
            <w:tcW w:w="2302" w:type="dxa"/>
          </w:tcPr>
          <w:p w14:paraId="368F1D7B">
            <w:pPr>
              <w:pStyle w:val="18"/>
              <w:spacing w:before="40" w:line="269" w:lineRule="auto"/>
              <w:rPr>
                <w:rFonts w:asciiTheme="minorHAnsi" w:hAnsiTheme="minorHAnsi" w:cstheme="minorHAnsi"/>
                <w:b/>
                <w:sz w:val="20"/>
                <w:szCs w:val="20"/>
                <w:lang w:val="en-AU"/>
              </w:rPr>
            </w:pPr>
            <w:r>
              <w:rPr>
                <w:rFonts w:asciiTheme="minorHAnsi" w:hAnsiTheme="minorHAnsi" w:cstheme="minorHAnsi"/>
                <w:b/>
                <w:sz w:val="20"/>
                <w:szCs w:val="20"/>
                <w:lang w:val="en-AU"/>
              </w:rPr>
              <w:t>Frameworks:</w:t>
            </w:r>
          </w:p>
        </w:tc>
        <w:tc>
          <w:tcPr>
            <w:tcW w:w="8270" w:type="dxa"/>
          </w:tcPr>
          <w:p w14:paraId="2B6AD126">
            <w:pPr>
              <w:pStyle w:val="18"/>
              <w:spacing w:before="40" w:line="269" w:lineRule="auto"/>
              <w:rPr>
                <w:rFonts w:asciiTheme="minorHAnsi" w:hAnsiTheme="minorHAnsi" w:cstheme="minorHAnsi"/>
                <w:bCs/>
                <w:sz w:val="20"/>
                <w:szCs w:val="20"/>
                <w:lang w:val="en-AU"/>
              </w:rPr>
            </w:pPr>
            <w:r>
              <w:rPr>
                <w:rFonts w:asciiTheme="minorHAnsi" w:hAnsiTheme="minorHAnsi" w:cstheme="minorHAnsi"/>
                <w:bCs/>
                <w:sz w:val="20"/>
                <w:szCs w:val="20"/>
                <w:lang w:val="en-AU"/>
              </w:rPr>
              <w:t>Agile, Software Development Lifecycle Management, Product Lifecycle Management</w:t>
            </w:r>
          </w:p>
        </w:tc>
      </w:tr>
      <w:tr w14:paraId="0BA96A16">
        <w:tc>
          <w:tcPr>
            <w:tcW w:w="2302" w:type="dxa"/>
          </w:tcPr>
          <w:p w14:paraId="07DAB0C1">
            <w:pPr>
              <w:pStyle w:val="18"/>
              <w:spacing w:before="40" w:line="269" w:lineRule="auto"/>
              <w:rPr>
                <w:rFonts w:hint="default" w:asciiTheme="minorHAnsi" w:hAnsiTheme="minorHAnsi" w:cstheme="minorHAnsi"/>
                <w:b/>
                <w:sz w:val="20"/>
                <w:szCs w:val="20"/>
                <w:lang w:val="en-US"/>
              </w:rPr>
            </w:pPr>
            <w:r>
              <w:rPr>
                <w:rFonts w:hint="default" w:asciiTheme="minorHAnsi" w:hAnsiTheme="minorHAnsi" w:cstheme="minorHAnsi"/>
                <w:b/>
                <w:sz w:val="20"/>
                <w:szCs w:val="20"/>
                <w:lang w:val="en-US"/>
              </w:rPr>
              <w:t>Governance:</w:t>
            </w:r>
          </w:p>
        </w:tc>
        <w:tc>
          <w:tcPr>
            <w:tcW w:w="8270" w:type="dxa"/>
          </w:tcPr>
          <w:p w14:paraId="220BD3C9">
            <w:pPr>
              <w:pStyle w:val="18"/>
              <w:spacing w:before="40" w:line="269" w:lineRule="auto"/>
              <w:rPr>
                <w:rFonts w:asciiTheme="minorHAnsi" w:hAnsiTheme="minorHAnsi" w:cstheme="minorHAnsi"/>
                <w:bCs/>
                <w:sz w:val="20"/>
                <w:szCs w:val="20"/>
                <w:lang w:val="en-AU"/>
              </w:rPr>
            </w:pPr>
            <w:r>
              <w:rPr>
                <w:rFonts w:hint="default" w:asciiTheme="minorHAnsi" w:hAnsiTheme="minorHAnsi" w:cstheme="minorHAnsi"/>
                <w:bCs/>
                <w:sz w:val="20"/>
                <w:szCs w:val="20"/>
                <w:lang w:val="en-AU"/>
              </w:rPr>
              <w:t xml:space="preserve"> Three Lines of Defence (3LoD), APRA Data Risk Guidelines (CPG 235), Data Under Governance (DUG)</w:t>
            </w:r>
            <w:bookmarkStart w:id="0" w:name="_GoBack"/>
            <w:bookmarkEnd w:id="0"/>
          </w:p>
        </w:tc>
      </w:tr>
    </w:tbl>
    <w:p w14:paraId="12FCEBA2">
      <w:pPr>
        <w:pStyle w:val="18"/>
        <w:spacing w:before="360" w:line="269" w:lineRule="auto"/>
        <w:jc w:val="center"/>
        <w:rPr>
          <w:rFonts w:asciiTheme="minorHAnsi" w:hAnsiTheme="minorHAnsi" w:cstheme="minorHAnsi"/>
          <w:b/>
          <w:i/>
          <w:iCs/>
          <w:sz w:val="20"/>
          <w:szCs w:val="20"/>
          <w:lang w:val="en-AU"/>
        </w:rPr>
      </w:pPr>
      <w:r>
        <w:rPr>
          <w:rFonts w:asciiTheme="minorHAnsi" w:hAnsiTheme="minorHAnsi" w:cstheme="minorHAnsi"/>
          <w:b/>
          <w:i/>
          <w:iCs/>
          <w:sz w:val="20"/>
          <w:szCs w:val="20"/>
          <w:lang w:val="en-AU"/>
        </w:rPr>
        <w:t>-References available upon request-</w:t>
      </w:r>
    </w:p>
    <w:sectPr>
      <w:pgSz w:w="11910" w:h="16840"/>
      <w:pgMar w:top="720" w:right="720" w:bottom="720" w:left="7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57E6C"/>
    <w:multiLevelType w:val="multilevel"/>
    <w:tmpl w:val="05857E6C"/>
    <w:lvl w:ilvl="0" w:tentative="0">
      <w:start w:val="0"/>
      <w:numFmt w:val="bullet"/>
      <w:lvlText w:val=""/>
      <w:lvlJc w:val="left"/>
      <w:pPr>
        <w:ind w:left="820" w:hanging="270"/>
      </w:pPr>
      <w:rPr>
        <w:rFonts w:hint="default" w:ascii="Wingdings" w:hAnsi="Wingdings" w:eastAsia="Wingdings" w:cs="Wingdings"/>
        <w:b w:val="0"/>
        <w:bCs w:val="0"/>
        <w:i w:val="0"/>
        <w:iCs w:val="0"/>
        <w:color w:val="404040"/>
        <w:spacing w:val="0"/>
        <w:w w:val="98"/>
        <w:sz w:val="20"/>
        <w:szCs w:val="20"/>
        <w:lang w:val="en-US" w:eastAsia="en-US" w:bidi="ar-SA"/>
      </w:rPr>
    </w:lvl>
    <w:lvl w:ilvl="1" w:tentative="0">
      <w:start w:val="0"/>
      <w:numFmt w:val="bullet"/>
      <w:lvlText w:val="•"/>
      <w:lvlJc w:val="left"/>
      <w:pPr>
        <w:ind w:left="1832" w:hanging="270"/>
      </w:pPr>
      <w:rPr>
        <w:rFonts w:hint="default"/>
        <w:lang w:val="en-US" w:eastAsia="en-US" w:bidi="ar-SA"/>
      </w:rPr>
    </w:lvl>
    <w:lvl w:ilvl="2" w:tentative="0">
      <w:start w:val="0"/>
      <w:numFmt w:val="bullet"/>
      <w:lvlText w:val="•"/>
      <w:lvlJc w:val="left"/>
      <w:pPr>
        <w:ind w:left="2845" w:hanging="270"/>
      </w:pPr>
      <w:rPr>
        <w:rFonts w:hint="default"/>
        <w:lang w:val="en-US" w:eastAsia="en-US" w:bidi="ar-SA"/>
      </w:rPr>
    </w:lvl>
    <w:lvl w:ilvl="3" w:tentative="0">
      <w:start w:val="0"/>
      <w:numFmt w:val="bullet"/>
      <w:lvlText w:val="•"/>
      <w:lvlJc w:val="left"/>
      <w:pPr>
        <w:ind w:left="3857" w:hanging="270"/>
      </w:pPr>
      <w:rPr>
        <w:rFonts w:hint="default"/>
        <w:lang w:val="en-US" w:eastAsia="en-US" w:bidi="ar-SA"/>
      </w:rPr>
    </w:lvl>
    <w:lvl w:ilvl="4" w:tentative="0">
      <w:start w:val="0"/>
      <w:numFmt w:val="bullet"/>
      <w:lvlText w:val="•"/>
      <w:lvlJc w:val="left"/>
      <w:pPr>
        <w:ind w:left="4870" w:hanging="270"/>
      </w:pPr>
      <w:rPr>
        <w:rFonts w:hint="default"/>
        <w:lang w:val="en-US" w:eastAsia="en-US" w:bidi="ar-SA"/>
      </w:rPr>
    </w:lvl>
    <w:lvl w:ilvl="5" w:tentative="0">
      <w:start w:val="0"/>
      <w:numFmt w:val="bullet"/>
      <w:lvlText w:val="•"/>
      <w:lvlJc w:val="left"/>
      <w:pPr>
        <w:ind w:left="5883" w:hanging="270"/>
      </w:pPr>
      <w:rPr>
        <w:rFonts w:hint="default"/>
        <w:lang w:val="en-US" w:eastAsia="en-US" w:bidi="ar-SA"/>
      </w:rPr>
    </w:lvl>
    <w:lvl w:ilvl="6" w:tentative="0">
      <w:start w:val="0"/>
      <w:numFmt w:val="bullet"/>
      <w:lvlText w:val="•"/>
      <w:lvlJc w:val="left"/>
      <w:pPr>
        <w:ind w:left="6895" w:hanging="270"/>
      </w:pPr>
      <w:rPr>
        <w:rFonts w:hint="default"/>
        <w:lang w:val="en-US" w:eastAsia="en-US" w:bidi="ar-SA"/>
      </w:rPr>
    </w:lvl>
    <w:lvl w:ilvl="7" w:tentative="0">
      <w:start w:val="0"/>
      <w:numFmt w:val="bullet"/>
      <w:lvlText w:val="•"/>
      <w:lvlJc w:val="left"/>
      <w:pPr>
        <w:ind w:left="7908" w:hanging="270"/>
      </w:pPr>
      <w:rPr>
        <w:rFonts w:hint="default"/>
        <w:lang w:val="en-US" w:eastAsia="en-US" w:bidi="ar-SA"/>
      </w:rPr>
    </w:lvl>
    <w:lvl w:ilvl="8" w:tentative="0">
      <w:start w:val="0"/>
      <w:numFmt w:val="bullet"/>
      <w:lvlText w:val="•"/>
      <w:lvlJc w:val="left"/>
      <w:pPr>
        <w:ind w:left="8921" w:hanging="27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A58"/>
    <w:rsid w:val="0000018E"/>
    <w:rsid w:val="00012C70"/>
    <w:rsid w:val="00020601"/>
    <w:rsid w:val="0002394B"/>
    <w:rsid w:val="00023C42"/>
    <w:rsid w:val="000364AA"/>
    <w:rsid w:val="0004464B"/>
    <w:rsid w:val="000561F2"/>
    <w:rsid w:val="00056706"/>
    <w:rsid w:val="00063FBD"/>
    <w:rsid w:val="000703D3"/>
    <w:rsid w:val="00073D9D"/>
    <w:rsid w:val="000A521F"/>
    <w:rsid w:val="000D2B16"/>
    <w:rsid w:val="000D4309"/>
    <w:rsid w:val="000F3C71"/>
    <w:rsid w:val="00122273"/>
    <w:rsid w:val="00130A84"/>
    <w:rsid w:val="00160A87"/>
    <w:rsid w:val="00167968"/>
    <w:rsid w:val="0017453B"/>
    <w:rsid w:val="0019052F"/>
    <w:rsid w:val="00194409"/>
    <w:rsid w:val="001F01B9"/>
    <w:rsid w:val="001F2E43"/>
    <w:rsid w:val="00201188"/>
    <w:rsid w:val="00213233"/>
    <w:rsid w:val="00224B40"/>
    <w:rsid w:val="00232E9A"/>
    <w:rsid w:val="00241402"/>
    <w:rsid w:val="002561CC"/>
    <w:rsid w:val="00270FB3"/>
    <w:rsid w:val="00272A99"/>
    <w:rsid w:val="002B289C"/>
    <w:rsid w:val="002C2082"/>
    <w:rsid w:val="002F0792"/>
    <w:rsid w:val="00303D2B"/>
    <w:rsid w:val="00316118"/>
    <w:rsid w:val="00321899"/>
    <w:rsid w:val="003360B3"/>
    <w:rsid w:val="00340BF0"/>
    <w:rsid w:val="00390607"/>
    <w:rsid w:val="003A3B89"/>
    <w:rsid w:val="003A3EF1"/>
    <w:rsid w:val="003B30D6"/>
    <w:rsid w:val="003B3A7F"/>
    <w:rsid w:val="003D6EBA"/>
    <w:rsid w:val="003F436F"/>
    <w:rsid w:val="00401341"/>
    <w:rsid w:val="0041787B"/>
    <w:rsid w:val="00417DFB"/>
    <w:rsid w:val="00422AF0"/>
    <w:rsid w:val="0042376D"/>
    <w:rsid w:val="00427EF6"/>
    <w:rsid w:val="00445EF0"/>
    <w:rsid w:val="004611FE"/>
    <w:rsid w:val="00461D3F"/>
    <w:rsid w:val="00471888"/>
    <w:rsid w:val="00471DEC"/>
    <w:rsid w:val="00480915"/>
    <w:rsid w:val="004823FE"/>
    <w:rsid w:val="004826B7"/>
    <w:rsid w:val="00487D95"/>
    <w:rsid w:val="00493C26"/>
    <w:rsid w:val="004A597F"/>
    <w:rsid w:val="004B4244"/>
    <w:rsid w:val="004D611E"/>
    <w:rsid w:val="004F7AB1"/>
    <w:rsid w:val="00513A6F"/>
    <w:rsid w:val="00514052"/>
    <w:rsid w:val="00515BAD"/>
    <w:rsid w:val="00515BE7"/>
    <w:rsid w:val="005529C2"/>
    <w:rsid w:val="00552C98"/>
    <w:rsid w:val="00553B36"/>
    <w:rsid w:val="00557E3E"/>
    <w:rsid w:val="0056018A"/>
    <w:rsid w:val="005624EA"/>
    <w:rsid w:val="00566B38"/>
    <w:rsid w:val="00586C7A"/>
    <w:rsid w:val="005A149C"/>
    <w:rsid w:val="005B019B"/>
    <w:rsid w:val="005C0059"/>
    <w:rsid w:val="005C7F38"/>
    <w:rsid w:val="005E006F"/>
    <w:rsid w:val="005E18CA"/>
    <w:rsid w:val="005E1CB8"/>
    <w:rsid w:val="00607693"/>
    <w:rsid w:val="00666FA0"/>
    <w:rsid w:val="0068318F"/>
    <w:rsid w:val="006872B8"/>
    <w:rsid w:val="006924D3"/>
    <w:rsid w:val="00695361"/>
    <w:rsid w:val="006A2AA8"/>
    <w:rsid w:val="006B0C3F"/>
    <w:rsid w:val="006B7107"/>
    <w:rsid w:val="006C0B3B"/>
    <w:rsid w:val="006C3425"/>
    <w:rsid w:val="006D70F5"/>
    <w:rsid w:val="006E0D27"/>
    <w:rsid w:val="006E66D8"/>
    <w:rsid w:val="006F48BB"/>
    <w:rsid w:val="00711494"/>
    <w:rsid w:val="00711E7A"/>
    <w:rsid w:val="00714AA4"/>
    <w:rsid w:val="00715548"/>
    <w:rsid w:val="00717FE0"/>
    <w:rsid w:val="0074080D"/>
    <w:rsid w:val="007455A0"/>
    <w:rsid w:val="00745B1A"/>
    <w:rsid w:val="007460AB"/>
    <w:rsid w:val="00763E4C"/>
    <w:rsid w:val="007873BA"/>
    <w:rsid w:val="00797BF1"/>
    <w:rsid w:val="007B012B"/>
    <w:rsid w:val="007B6FF3"/>
    <w:rsid w:val="007C728B"/>
    <w:rsid w:val="007D292B"/>
    <w:rsid w:val="007D7292"/>
    <w:rsid w:val="007E55DD"/>
    <w:rsid w:val="007F3127"/>
    <w:rsid w:val="0081298B"/>
    <w:rsid w:val="008340B6"/>
    <w:rsid w:val="0083622D"/>
    <w:rsid w:val="00864C38"/>
    <w:rsid w:val="00876C36"/>
    <w:rsid w:val="008832FE"/>
    <w:rsid w:val="008A35EE"/>
    <w:rsid w:val="008C5808"/>
    <w:rsid w:val="008D6EC4"/>
    <w:rsid w:val="008E20B9"/>
    <w:rsid w:val="008E22CD"/>
    <w:rsid w:val="008E55FD"/>
    <w:rsid w:val="008F35E3"/>
    <w:rsid w:val="0090103B"/>
    <w:rsid w:val="009010E0"/>
    <w:rsid w:val="009100D9"/>
    <w:rsid w:val="00931945"/>
    <w:rsid w:val="00945B15"/>
    <w:rsid w:val="009534F1"/>
    <w:rsid w:val="00960D3E"/>
    <w:rsid w:val="00993505"/>
    <w:rsid w:val="00994721"/>
    <w:rsid w:val="00995080"/>
    <w:rsid w:val="00995AC3"/>
    <w:rsid w:val="0099798E"/>
    <w:rsid w:val="009A7BE2"/>
    <w:rsid w:val="009B5494"/>
    <w:rsid w:val="009B6176"/>
    <w:rsid w:val="009B6849"/>
    <w:rsid w:val="009E60E4"/>
    <w:rsid w:val="009F4E6B"/>
    <w:rsid w:val="00A13A31"/>
    <w:rsid w:val="00A16BDE"/>
    <w:rsid w:val="00A33C96"/>
    <w:rsid w:val="00A47824"/>
    <w:rsid w:val="00A50644"/>
    <w:rsid w:val="00A512C2"/>
    <w:rsid w:val="00A52B98"/>
    <w:rsid w:val="00A53CC5"/>
    <w:rsid w:val="00A67D17"/>
    <w:rsid w:val="00A768DF"/>
    <w:rsid w:val="00A80E35"/>
    <w:rsid w:val="00A93ADC"/>
    <w:rsid w:val="00AA078D"/>
    <w:rsid w:val="00AB0818"/>
    <w:rsid w:val="00AB0FAF"/>
    <w:rsid w:val="00AB152F"/>
    <w:rsid w:val="00AB29D4"/>
    <w:rsid w:val="00AE4A6C"/>
    <w:rsid w:val="00AF1D45"/>
    <w:rsid w:val="00B046E7"/>
    <w:rsid w:val="00B10E48"/>
    <w:rsid w:val="00B24295"/>
    <w:rsid w:val="00B3238B"/>
    <w:rsid w:val="00B5109D"/>
    <w:rsid w:val="00B52710"/>
    <w:rsid w:val="00B538DE"/>
    <w:rsid w:val="00B54BF5"/>
    <w:rsid w:val="00B615F5"/>
    <w:rsid w:val="00B8003C"/>
    <w:rsid w:val="00B92DFE"/>
    <w:rsid w:val="00B936D1"/>
    <w:rsid w:val="00BB185F"/>
    <w:rsid w:val="00BB4FF3"/>
    <w:rsid w:val="00BB68EA"/>
    <w:rsid w:val="00BD3E57"/>
    <w:rsid w:val="00BE13FA"/>
    <w:rsid w:val="00BE254B"/>
    <w:rsid w:val="00BE6C54"/>
    <w:rsid w:val="00BF0129"/>
    <w:rsid w:val="00BF5E0D"/>
    <w:rsid w:val="00C14B74"/>
    <w:rsid w:val="00C21861"/>
    <w:rsid w:val="00C23FE0"/>
    <w:rsid w:val="00C31AF2"/>
    <w:rsid w:val="00C32234"/>
    <w:rsid w:val="00C377C0"/>
    <w:rsid w:val="00C4013C"/>
    <w:rsid w:val="00C5424F"/>
    <w:rsid w:val="00C85A58"/>
    <w:rsid w:val="00C85EC1"/>
    <w:rsid w:val="00CA0DD6"/>
    <w:rsid w:val="00CD0E3C"/>
    <w:rsid w:val="00CE3779"/>
    <w:rsid w:val="00D20AA5"/>
    <w:rsid w:val="00D20F2F"/>
    <w:rsid w:val="00D31267"/>
    <w:rsid w:val="00D36E58"/>
    <w:rsid w:val="00D41AD9"/>
    <w:rsid w:val="00D44849"/>
    <w:rsid w:val="00D45ACC"/>
    <w:rsid w:val="00D55CBB"/>
    <w:rsid w:val="00D633FB"/>
    <w:rsid w:val="00D653AA"/>
    <w:rsid w:val="00D81715"/>
    <w:rsid w:val="00D836F8"/>
    <w:rsid w:val="00DB1C3D"/>
    <w:rsid w:val="00DB4AF9"/>
    <w:rsid w:val="00DB4C1E"/>
    <w:rsid w:val="00DC3D40"/>
    <w:rsid w:val="00DD4771"/>
    <w:rsid w:val="00DF2B9A"/>
    <w:rsid w:val="00DF348A"/>
    <w:rsid w:val="00E10724"/>
    <w:rsid w:val="00E14523"/>
    <w:rsid w:val="00E16351"/>
    <w:rsid w:val="00E24B6F"/>
    <w:rsid w:val="00E35ED7"/>
    <w:rsid w:val="00E361CA"/>
    <w:rsid w:val="00E409B1"/>
    <w:rsid w:val="00E444F7"/>
    <w:rsid w:val="00E55FBC"/>
    <w:rsid w:val="00E572DF"/>
    <w:rsid w:val="00E60932"/>
    <w:rsid w:val="00E66C0A"/>
    <w:rsid w:val="00E82CEA"/>
    <w:rsid w:val="00E83976"/>
    <w:rsid w:val="00EA1E04"/>
    <w:rsid w:val="00EC161E"/>
    <w:rsid w:val="00ED386C"/>
    <w:rsid w:val="00EE3DEB"/>
    <w:rsid w:val="00EE5BDA"/>
    <w:rsid w:val="00EF2448"/>
    <w:rsid w:val="00EF4E40"/>
    <w:rsid w:val="00EF64D3"/>
    <w:rsid w:val="00EF66FB"/>
    <w:rsid w:val="00F01167"/>
    <w:rsid w:val="00F070A4"/>
    <w:rsid w:val="00F16337"/>
    <w:rsid w:val="00F20786"/>
    <w:rsid w:val="00F41837"/>
    <w:rsid w:val="00F74421"/>
    <w:rsid w:val="00FA370B"/>
    <w:rsid w:val="00FA5853"/>
    <w:rsid w:val="00FA75BD"/>
    <w:rsid w:val="00FB7228"/>
    <w:rsid w:val="00FC5B71"/>
    <w:rsid w:val="00FE48EE"/>
    <w:rsid w:val="00FF026B"/>
    <w:rsid w:val="00FF14EF"/>
    <w:rsid w:val="00FF6967"/>
    <w:rsid w:val="09C71761"/>
    <w:rsid w:val="142B47A0"/>
    <w:rsid w:val="1A431464"/>
    <w:rsid w:val="2E877C2C"/>
    <w:rsid w:val="2F2B2156"/>
    <w:rsid w:val="37DFA6BA"/>
    <w:rsid w:val="39176B02"/>
    <w:rsid w:val="3ED6C3BE"/>
    <w:rsid w:val="4EF53B40"/>
    <w:rsid w:val="53FB5B94"/>
    <w:rsid w:val="57F940E4"/>
    <w:rsid w:val="65312B91"/>
    <w:rsid w:val="6C5B79F2"/>
    <w:rsid w:val="72885A23"/>
    <w:rsid w:val="77FC9755"/>
    <w:rsid w:val="77FF39D3"/>
    <w:rsid w:val="7B253811"/>
    <w:rsid w:val="7B7CD205"/>
    <w:rsid w:val="7E6A1171"/>
    <w:rsid w:val="ADFEAF19"/>
    <w:rsid w:val="BDBFFD15"/>
    <w:rsid w:val="BFB3FA16"/>
    <w:rsid w:val="BFFF553B"/>
    <w:rsid w:val="DEFBBFB0"/>
    <w:rsid w:val="EE769C2F"/>
    <w:rsid w:val="F73F24F7"/>
    <w:rsid w:val="F7DFB1CF"/>
    <w:rsid w:val="FD7746E1"/>
    <w:rsid w:val="FDF1E4F5"/>
    <w:rsid w:val="FEFBD1C5"/>
    <w:rsid w:val="FFFD46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AU" w:eastAsia="en-US" w:bidi="ar-SA"/>
    </w:rPr>
  </w:style>
  <w:style w:type="paragraph" w:styleId="2">
    <w:name w:val="heading 1"/>
    <w:basedOn w:val="1"/>
    <w:qFormat/>
    <w:uiPriority w:val="1"/>
    <w:pPr>
      <w:spacing w:before="1"/>
      <w:ind w:left="244"/>
      <w:outlineLvl w:val="0"/>
    </w:pPr>
    <w:rPr>
      <w:b/>
      <w:bCs/>
      <w:sz w:val="20"/>
      <w:szCs w:val="20"/>
      <w:lang w:val="en-US"/>
    </w:rPr>
  </w:style>
  <w:style w:type="paragraph" w:styleId="3">
    <w:name w:val="heading 2"/>
    <w:basedOn w:val="1"/>
    <w:qFormat/>
    <w:uiPriority w:val="1"/>
    <w:pPr>
      <w:spacing w:before="4"/>
      <w:ind w:left="244"/>
      <w:outlineLvl w:val="1"/>
    </w:pPr>
    <w:rPr>
      <w:b/>
      <w:bCs/>
      <w:sz w:val="20"/>
      <w:szCs w:val="20"/>
      <w:lang w:val="en-US"/>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9"/>
    <w:qFormat/>
    <w:uiPriority w:val="1"/>
    <w:rPr>
      <w:sz w:val="20"/>
      <w:szCs w:val="20"/>
      <w:lang w:val="en-US"/>
    </w:rPr>
  </w:style>
  <w:style w:type="character" w:styleId="7">
    <w:name w:val="annotation reference"/>
    <w:basedOn w:val="4"/>
    <w:semiHidden/>
    <w:unhideWhenUsed/>
    <w:uiPriority w:val="99"/>
    <w:rPr>
      <w:sz w:val="16"/>
      <w:szCs w:val="16"/>
    </w:rPr>
  </w:style>
  <w:style w:type="paragraph" w:styleId="8">
    <w:name w:val="annotation text"/>
    <w:basedOn w:val="1"/>
    <w:semiHidden/>
    <w:unhideWhenUsed/>
    <w:qFormat/>
    <w:uiPriority w:val="99"/>
  </w:style>
  <w:style w:type="character" w:styleId="9">
    <w:name w:val="Emphasis"/>
    <w:basedOn w:val="4"/>
    <w:qFormat/>
    <w:uiPriority w:val="20"/>
    <w:rPr>
      <w:i/>
      <w:iCs/>
    </w:rPr>
  </w:style>
  <w:style w:type="paragraph" w:styleId="10">
    <w:name w:val="footer"/>
    <w:basedOn w:val="1"/>
    <w:link w:val="21"/>
    <w:unhideWhenUsed/>
    <w:qFormat/>
    <w:uiPriority w:val="99"/>
    <w:pPr>
      <w:tabs>
        <w:tab w:val="center" w:pos="4680"/>
        <w:tab w:val="right" w:pos="9360"/>
      </w:tabs>
    </w:pPr>
  </w:style>
  <w:style w:type="paragraph" w:styleId="11">
    <w:name w:val="header"/>
    <w:basedOn w:val="1"/>
    <w:link w:val="20"/>
    <w:unhideWhenUsed/>
    <w:qFormat/>
    <w:uiPriority w:val="99"/>
    <w:pPr>
      <w:tabs>
        <w:tab w:val="center" w:pos="4680"/>
        <w:tab w:val="right" w:pos="9360"/>
      </w:tabs>
    </w:pPr>
  </w:style>
  <w:style w:type="character" w:styleId="12">
    <w:name w:val="Hyperlink"/>
    <w:basedOn w:val="4"/>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eastAsia="en-GB"/>
    </w:rPr>
  </w:style>
  <w:style w:type="character" w:styleId="14">
    <w:name w:val="Strong"/>
    <w:basedOn w:val="4"/>
    <w:qFormat/>
    <w:uiPriority w:val="22"/>
    <w:rPr>
      <w:b/>
      <w:bCs/>
    </w:rPr>
  </w:style>
  <w:style w:type="table" w:styleId="15">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qFormat/>
    <w:uiPriority w:val="1"/>
    <w:pPr>
      <w:spacing w:before="1"/>
      <w:ind w:left="1127"/>
    </w:pPr>
    <w:rPr>
      <w:rFonts w:ascii="Times New Roman" w:hAnsi="Times New Roman" w:eastAsia="Times New Roman" w:cs="Times New Roman"/>
      <w:b/>
      <w:bCs/>
      <w:sz w:val="32"/>
      <w:szCs w:val="32"/>
      <w:lang w:val="en-US"/>
    </w:rPr>
  </w:style>
  <w:style w:type="paragraph" w:styleId="17">
    <w:name w:val="List Paragraph"/>
    <w:basedOn w:val="1"/>
    <w:qFormat/>
    <w:uiPriority w:val="1"/>
    <w:pPr>
      <w:ind w:left="820" w:hanging="270"/>
      <w:jc w:val="both"/>
    </w:pPr>
    <w:rPr>
      <w:lang w:val="en-US"/>
    </w:rPr>
  </w:style>
  <w:style w:type="paragraph" w:customStyle="1" w:styleId="18">
    <w:name w:val="Table Paragraph"/>
    <w:basedOn w:val="1"/>
    <w:qFormat/>
    <w:uiPriority w:val="1"/>
    <w:rPr>
      <w:lang w:val="en-US"/>
    </w:rPr>
  </w:style>
  <w:style w:type="character" w:customStyle="1" w:styleId="19">
    <w:name w:val="Body Text Char"/>
    <w:basedOn w:val="4"/>
    <w:link w:val="6"/>
    <w:qFormat/>
    <w:uiPriority w:val="1"/>
    <w:rPr>
      <w:rFonts w:ascii="Calibri" w:hAnsi="Calibri" w:eastAsia="Calibri" w:cs="Calibri"/>
      <w:sz w:val="20"/>
      <w:szCs w:val="20"/>
    </w:rPr>
  </w:style>
  <w:style w:type="character" w:customStyle="1" w:styleId="20">
    <w:name w:val="Header Char"/>
    <w:basedOn w:val="4"/>
    <w:link w:val="11"/>
    <w:qFormat/>
    <w:uiPriority w:val="99"/>
    <w:rPr>
      <w:rFonts w:ascii="Calibri" w:hAnsi="Calibri" w:eastAsia="Calibri" w:cs="Calibri"/>
      <w:lang w:val="en-AU"/>
    </w:rPr>
  </w:style>
  <w:style w:type="character" w:customStyle="1" w:styleId="21">
    <w:name w:val="Footer Char"/>
    <w:basedOn w:val="4"/>
    <w:link w:val="10"/>
    <w:qFormat/>
    <w:uiPriority w:val="99"/>
    <w:rPr>
      <w:rFonts w:ascii="Calibri" w:hAnsi="Calibri" w:eastAsia="Calibri" w:cs="Calibri"/>
      <w:lang w:val="en-AU"/>
    </w:rPr>
  </w:style>
  <w:style w:type="character" w:customStyle="1" w:styleId="22">
    <w:name w:val="Unresolved Mention1"/>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2A462D-3234-A046-B800-6C71F0629C39}">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1610</Words>
  <Characters>9741</Characters>
  <Lines>157</Lines>
  <Paragraphs>52</Paragraphs>
  <TotalTime>10</TotalTime>
  <ScaleCrop>false</ScaleCrop>
  <LinksUpToDate>false</LinksUpToDate>
  <CharactersWithSpaces>11299</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2025-05-27T14:50:00Z</dcterms:created>
  <dc:creator>Max Liu</dc:creator>
  <cp:lastModifiedBy>WPS_1767227127</cp:lastModifiedBy>
  <cp:lastPrinted>2025-05-26T19:04:00Z</cp:lastPrinted>
  <dcterms:modified xsi:type="dcterms:W3CDTF">2026-05-28T15:28:50Z</dcterms:modified>
  <dc:title>Max Liu</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2023-08-25T10:00:00Z</vt:filetime>
  </property>
  <property fmtid="{D5CDD505-2E9C-101B-9397-08002B2CF9AE}" pid="3" name="Creator">
    <vt:lpwstr>Microsoft® Word 2013</vt:lpwstr>
  </property>
  <property fmtid="{D5CDD505-2E9C-101B-9397-08002B2CF9AE}" pid="4" name="LastSaved">
    <vt:filetime>2024-07-19T10:00:00Z</vt:filetime>
  </property>
  <property fmtid="{D5CDD505-2E9C-101B-9397-08002B2CF9AE}" pid="5" name="Producer">
    <vt:lpwstr>Microsoft® Word 2013</vt:lpwstr>
  </property>
  <property fmtid="{D5CDD505-2E9C-101B-9397-08002B2CF9AE}" pid="6" name="KSOProductBuildVer">
    <vt:lpwstr>1033-12.1.25880.25880</vt:lpwstr>
  </property>
  <property fmtid="{D5CDD505-2E9C-101B-9397-08002B2CF9AE}" pid="7" name="ICV">
    <vt:lpwstr>E1F17B4E793F4D9AC3D2D36884B19312_43</vt:lpwstr>
  </property>
</Properties>
</file>