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B3A5C"/>
          <w:sz w:val="40"/>
          <w:szCs w:val="40"/>
        </w:rPr>
        <w:t xml:space="preserve">Plataforma de Inversión Autónoma con IA</w:t>
      </w:r>
    </w:p>
    <w:p>
      <w:pPr>
        <w:spacing w:after="60"/>
        <w:jc w:val="center"/>
      </w:pPr>
      <w:r>
        <w:rPr>
          <w:color w:val="13293E"/>
          <w:sz w:val="24"/>
          <w:szCs w:val="24"/>
        </w:rPr>
        <w:t xml:space="preserve">Análisis Comparativo y Plan de Integración con la Infraestructura Existente</w:t>
      </w:r>
    </w:p>
    <w:p>
      <w:pPr>
        <w:spacing w:after="360"/>
        <w:jc w:val="center"/>
      </w:pPr>
      <w:r>
        <w:rPr>
          <w:i/>
          <w:iCs/>
          <w:color w:val="595959"/>
          <w:sz w:val="20"/>
          <w:szCs w:val="20"/>
        </w:rPr>
        <w:t xml:space="preserve">Junio 2026 · Málaga, Andalucía</w:t>
      </w:r>
    </w:p>
    <w:p>
      <w:pPr>
        <w:pBdr>
          <w:bottom w:val="single" w:color="9FC5DC" w:sz="6" w:space="4"/>
        </w:pBdr>
        <w:spacing w:after="240"/>
      </w:pPr>
    </w:p>
    <w:p>
      <w:pPr>
        <w:pStyle w:val="Heading1"/>
      </w:pPr>
      <w:r>
        <w:t xml:space="preserve">1. Resumen Ejecutivo</w:t>
      </w:r>
    </w:p>
    <w:p>
      <w:pPr>
        <w:spacing w:after="160"/>
        <w:jc w:val="both"/>
      </w:pPr>
      <w:r>
        <w:t xml:space="preserve">Este documento consolida el análisis realizado sobre la viabilidad de construir una aplicación de inversión autónoma apoyada en inteligencia artificial, evaluando tres enfoques posibles — desarrollo desde cero, adopción de un framework de trading algorítmico maduro, o un híbrido — y propone cómo encajarlo dentro de la infraestructura ya existente del ecosistema PROYECTO TRADER IA (Hermes Agent, MacBook Air, Mac mini M4 y VPS).</w:t>
      </w:r>
    </w:p>
    <w:p>
      <w:pPr>
        <w:spacing w:after="160"/>
        <w:jc w:val="both"/>
      </w:pPr>
      <w:r>
        <w:rPr>
          <w:b w:val="false"/>
          <w:bCs w:val="false"/>
        </w:rPr>
        <w:t xml:space="preserve">La conclusión principal del análisis es clara: no es necesario construir el motor de trading desde cero. Existen frameworks de código abierto maduros, ampliamente probados en producción, que resuelven los problemas difíciles (ejecución de órdenes, gestión de riesgo, conexión a brokers/exchanges, backtesting) y que pueden conectarse directamente a PostgreSQL/Supabase. El valor diferencial del proyecto debe concentrarse en la capa de IA, en la interfaz de usuario (React + React Native) y en la orquestación vía Hermes Agent, no en reinventar la fontanería del trading.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b/>
          <w:bCs/>
        </w:rPr>
        <w:t xml:space="preserve">Decisión clave: </w:t>
      </w:r>
      <w:r>
        <w:t xml:space="preserve">usar Freqtrade + FreqAI como motor de ejecución, en lugar de un backend FastAPI construido íntegramente desde cero.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b/>
          <w:bCs/>
        </w:rPr>
        <w:t xml:space="preserve">Encaje con lo existente: </w:t>
      </w:r>
      <w:r>
        <w:t xml:space="preserve">Freqtrade puede coexistir con los grid bots de Binance ya calibrados (SOL/USDT, ETH/USDT, SUI/USDT, DOGE/USDT) como una estrategia adicional dentro del mismo Hermes Orchestrator.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b/>
          <w:bCs/>
        </w:rPr>
        <w:t xml:space="preserve">Riesgo regulatorio: </w:t>
      </w:r>
      <w:r>
        <w:t xml:space="preserve">cualquier despliegue con dinero real y terceros usuarios requeriría registro ante la CNMV; en modo personal/paper trading no aplica.</w:t>
      </w:r>
    </w:p>
    <w:p>
      <w:pPr>
        <w:pStyle w:val="Heading1"/>
      </w:pPr>
      <w:r>
        <w:t xml:space="preserve">2. Viabilidad Técnica y Legal</w:t>
      </w:r>
    </w:p>
    <w:p>
      <w:pPr>
        <w:pStyle w:val="Heading2"/>
      </w:pPr>
      <w:r>
        <w:t xml:space="preserve">2.1 Viabilidad técnica</w:t>
      </w:r>
    </w:p>
    <w:p>
      <w:pPr>
        <w:spacing w:after="160"/>
        <w:jc w:val="both"/>
      </w:pPr>
      <w:r>
        <w:t xml:space="preserve">Es completamente viable técnicamente: los componentes necesarios (ingesta de datos de mercado, modelos predictivos, ejecución automatizada, interfaz de usuario) son todos terrenos ya resueltos por proyectos open-source con miles de instalaciones activas.</w:t>
      </w:r>
    </w:p>
    <w:p>
      <w:pPr>
        <w:pStyle w:val="Heading2"/>
      </w:pPr>
      <w:r>
        <w:t xml:space="preserve">2.2 Viabilidad legal</w:t>
      </w:r>
    </w:p>
    <w:p>
      <w:pPr>
        <w:spacing w:after="160"/>
        <w:jc w:val="both"/>
      </w:pPr>
      <w:r>
        <w:t xml:space="preserve">La viabilidad legal depende exclusivamente del modelo de uso: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b/>
          <w:bCs/>
        </w:rPr>
        <w:t xml:space="preserve">Uso personal con capital propio: </w:t>
      </w:r>
      <w:r>
        <w:t xml:space="preserve">no requiere licencia. Es la situación actual del proyecto.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b/>
          <w:bCs/>
        </w:rPr>
        <w:t xml:space="preserve">Paper trading / simulación: </w:t>
      </w:r>
      <w:r>
        <w:t xml:space="preserve">sin restricciones, recomendado como fase de validación obligatoria antes de operar con dinero real.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b/>
          <w:bCs/>
        </w:rPr>
        <w:t xml:space="preserve">Gestión de capital de terceros o asesoramiento a otros usuarios: </w:t>
      </w:r>
      <w:r>
        <w:t xml:space="preserve">exigiría registro ante la CNMV (España) o la SEC (EE. UU.), además de cumplimiento AML/KYC. Esto queda fuera del alcance mientras el uso sea personal.</w:t>
      </w:r>
    </w:p>
    <w:p>
      <w:pPr>
        <w:pStyle w:val="Heading1"/>
      </w:pPr>
      <w:r>
        <w:t xml:space="preserve">3. Arquitectura General del Sistema</w:t>
      </w:r>
    </w:p>
    <w:p>
      <w:pPr>
        <w:spacing w:after="160"/>
        <w:jc w:val="both"/>
      </w:pPr>
      <w:r>
        <w:t xml:space="preserve">El sistema se organiza en cuatro capas desacopladas. Esto permite sustituir cualquier capa (por ejemplo, cambiar de broker o de motor de IA) sin reescribir las demás:</w:t>
      </w:r>
    </w:p>
    <w:tbl>
      <w:tblPr>
        <w:tblW w:type="dxa" w:w="6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26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Capa</w:t>
            </w:r>
          </w:p>
        </w:tc>
        <w:tc>
          <w:tcPr>
            <w:tcW w:type="dxa" w:w="4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Función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Datos</w:t>
            </w:r>
          </w:p>
        </w:tc>
        <w:tc>
          <w:tcPr>
            <w:tcW w:type="dxa" w:w="4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APIs de mercado (Binance, Alpha Vantage, yfinance) — precios históricos y en tiempo real.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Motor de IA</w:t>
            </w:r>
          </w:p>
        </w:tc>
        <w:tc>
          <w:tcPr>
            <w:tcW w:type="dxa" w:w="4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Modelos ML/NLP que generan señales de compra/venta a partir de los datos.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Ejecución</w:t>
            </w:r>
          </w:p>
        </w:tc>
        <w:tc>
          <w:tcPr>
            <w:tcW w:type="dxa" w:w="4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Conexión con brokers/exchanges (Alpaca, Binance) para colocar órdenes reales o simuladas.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Interfaz</w:t>
            </w:r>
          </w:p>
        </w:tc>
        <w:tc>
          <w:tcPr>
            <w:tcW w:type="dxa" w:w="4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React (web) y React Native (móvil) para visualizar carteras, señales y operaciones.</w:t>
            </w:r>
          </w:p>
        </w:tc>
      </w:tr>
    </w:tbl>
    <w:p>
      <w:pPr>
        <w:spacing w:before="200"/>
      </w:pPr>
    </w:p>
    <w:p>
      <w:pPr>
        <w:spacing w:after="160"/>
        <w:jc w:val="both"/>
      </w:pPr>
      <w:r>
        <w:t xml:space="preserve">Flujo de datos propuesto: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React Web / React Native App</w:t>
            </w:r>
          </w:p>
          <w:p>
            <w:pPr>
              <w:jc w:val="center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↓  autenticación y datos en tiempo real</w:t>
            </w:r>
          </w:p>
          <w:p>
            <w:pPr>
              <w:jc w:val="center"/>
            </w:pPr>
            <w:r>
              <w:rPr>
                <w:b/>
                <w:bCs/>
              </w:rPr>
              <w:t xml:space="preserve">PostgreSQL / Supabase (local)</w:t>
            </w:r>
          </w:p>
          <w:p>
            <w:pPr>
              <w:jc w:val="center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↑ logs de operaciones      ↓ lectura de balances</w:t>
            </w:r>
          </w:p>
          <w:p>
            <w:pPr>
              <w:jc w:val="center"/>
            </w:pPr>
            <w:r>
              <w:rPr>
                <w:b/>
                <w:bCs/>
              </w:rPr>
              <w:t xml:space="preserve">Freqtrade + FreqAI  (motor de trading e IA)</w:t>
            </w:r>
          </w:p>
          <w:p>
            <w:pPr>
              <w:jc w:val="center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↓ órdenes</w:t>
            </w:r>
          </w:p>
          <w:p>
            <w:pPr>
              <w:jc w:val="center"/>
            </w:pPr>
            <w:r>
              <w:rPr>
                <w:b/>
                <w:bCs/>
              </w:rPr>
              <w:t xml:space="preserve">Broker / Exchange API (Binance, Alpaca)</w:t>
            </w:r>
          </w:p>
        </w:tc>
      </w:tr>
    </w:tbl>
    <w:p>
      <w:pPr>
        <w:pStyle w:val="Heading1"/>
      </w:pPr>
      <w:r>
        <w:t xml:space="preserve">4. Decisión Estratégica: Construir vs. Adoptar un Framework Maduro</w:t>
      </w:r>
    </w:p>
    <w:p>
      <w:pPr>
        <w:spacing w:after="160"/>
        <w:jc w:val="both"/>
      </w:pPr>
      <w:r>
        <w:t xml:space="preserve">Dado que la prioridad expresada es contar con código estable y con buenas referencias —y no necesariamente cumplir cada detalle del plan original—, se descarta construir el motor de ejecución desde cero en FastAPI y se evalúan tres frameworks de trading algorítmico con trayectoria consolidada:</w:t>
      </w:r>
    </w:p>
    <w:tbl>
      <w:tblPr>
        <w:tblW w:type="dxa" w:w="7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900"/>
        <w:gridCol w:w="2326"/>
      </w:tblGrid>
      <w:tr>
        <w:trPr>
          <w:tblHeader/>
        </w:trP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Framework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Lenguaje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Punto fuerte</w:t>
            </w:r>
          </w:p>
        </w:tc>
        <w:tc>
          <w:tcPr>
            <w:tcW w:type="dxa" w:w="2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Mejor para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Freqtrade + FreqAI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Python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+27.000 estrellas en GitHub, comunidad muy activa, módulo de ML oficial integrado</w:t>
            </w:r>
          </w:p>
        </w:tc>
        <w:tc>
          <w:tcPr>
            <w:tcW w:type="dxa" w:w="2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Cripto (Binance) y arranque rápido — recomendado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NautilusTrader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Rust + bindings Python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Núcleo en Rust: rendimiento institucional, sin fallos de concurrencia</w:t>
            </w:r>
          </w:p>
        </w:tc>
        <w:tc>
          <w:tcPr>
            <w:tcW w:type="dxa" w:w="2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Multi-mercado (forex, acciones) y baja latencia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Lean (QuantConnect)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C# / Python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Motor maduro multiactivo, gestiona splits y dividendos de forma nativa</w:t>
            </w:r>
          </w:p>
        </w:tc>
        <w:tc>
          <w:tcPr>
            <w:tcW w:type="dxa" w:w="2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Acciones, opciones y futuros a gran escala</w:t>
            </w:r>
          </w:p>
        </w:tc>
      </w:tr>
    </w:tbl>
    <w:p>
      <w:pPr>
        <w:spacing w:before="200"/>
      </w:pPr>
    </w:p>
    <w:p>
      <w:pPr>
        <w:spacing w:after="160"/>
        <w:jc w:val="both"/>
      </w:pPr>
      <w:r>
        <w:t xml:space="preserve">Recomendación: comenzar con Freqtrade + FreqAI. Es Python puro (coherente con el resto del stack y con Hermes Agent), tiene la curva de adopción más rápida, soporta nativamente el módulo de aprendizaje automático (XGBoost, CatBoost, LightGBM, redes neuronales) y ya gestiona backtesting, paper trading y control de riesgo de forma robusta. Migrar a NautilusTrader o Lean queda abierto como paso futuro si se amplía a forex o acciones.</w:t>
      </w:r>
    </w:p>
    <w:p>
      <w:pPr>
        <w:pStyle w:val="Heading1"/>
      </w:pPr>
      <w:r>
        <w:t xml:space="preserve">5. Stack Tecnológico</w:t>
      </w:r>
    </w:p>
    <w:p>
      <w:pPr>
        <w:pStyle w:val="Heading2"/>
      </w:pPr>
      <w:r>
        <w:t xml:space="preserve">5.1 Motor de trading e IA</w:t>
      </w:r>
    </w:p>
    <w:tbl>
      <w:tblPr>
        <w:tblW w:type="dxa" w:w="6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26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Componente</w:t>
            </w:r>
          </w:p>
        </w:tc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Tecnología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Motor de ejecución</w:t>
            </w:r>
          </w:p>
        </w:tc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Freqtrade (Python) en modo dry-run / paper trading inicialmente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Módulo de IA</w:t>
            </w:r>
          </w:p>
        </w:tc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FreqAI — XGBoost, CatBoost, LightGBM o redes neuronales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NLP / sentimiento</w:t>
            </w:r>
          </w:p>
        </w:tc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transformers (Hugging Face) para análisis de noticias y redes sociales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Backtesting</w:t>
            </w:r>
          </w:p>
        </w:tc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Motor de backtesting nativo de Freqtrade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Persistencia</w:t>
            </w:r>
          </w:p>
        </w:tc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PostgreSQL local vía Supabase (Freqtrade soporta PostgreSQL de forma nativa)</w:t>
            </w:r>
          </w:p>
        </w:tc>
      </w:tr>
    </w:tbl>
    <w:p>
      <w:pPr>
        <w:pStyle w:val="Heading2"/>
      </w:pPr>
      <w:r>
        <w:t xml:space="preserve">5.2 Frontend web y móvil</w:t>
      </w:r>
    </w:p>
    <w:tbl>
      <w:tblPr>
        <w:tblW w:type="dxa" w:w="6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26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Componente</w:t>
            </w:r>
          </w:p>
        </w:tc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Tecnología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Web</w:t>
            </w:r>
          </w:p>
        </w:tc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React + Vite + TypeScript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UI / estilos</w:t>
            </w:r>
          </w:p>
        </w:tc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Tailwind CSS o Shadcn UI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Gráficos web</w:t>
            </w:r>
          </w:p>
        </w:tc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Recharts o ApexCharts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Estado global</w:t>
            </w:r>
          </w:p>
        </w:tc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Zustand o Redux Toolkit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Móvil (Android / iOS)</w:t>
            </w:r>
          </w:p>
        </w:tc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React Native con Expo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Gráficos móviles</w:t>
            </w:r>
          </w:p>
        </w:tc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react-native-wagmi-charts o Victory Native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Cliente de datos</w:t>
            </w:r>
          </w:p>
        </w:tc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Supabase JS SDK (auth + websockets en tiempo real)</w:t>
            </w:r>
          </w:p>
        </w:tc>
      </w:tr>
    </w:tbl>
    <w:p>
      <w:pPr>
        <w:pStyle w:val="Heading2"/>
      </w:pPr>
      <w:r>
        <w:t xml:space="preserve">5.3 Infraestructura local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Docker Desktop para contenedorizar Supabase y servicios auxiliares.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Supabase CLI (supabase init / supabase start) para PostgreSQL, autenticación y storage en local.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Python 3.11 gestionado con poetry o miniconda para el entorno de Freqtrade/FreqAI.</w:t>
      </w:r>
    </w:p>
    <w:p>
      <w:pPr>
        <w:pStyle w:val="Heading1"/>
      </w:pPr>
      <w:r>
        <w:t xml:space="preserve">6. Integración con la Infraestructura Existente</w:t>
      </w:r>
    </w:p>
    <w:p>
      <w:pPr>
        <w:spacing w:after="160"/>
        <w:jc w:val="both"/>
      </w:pPr>
      <w:r>
        <w:t xml:space="preserve">Este análisis no sustituye el trabajo ya iniciado en PROYECTO TRADER IA; lo complementa. Propuesta de encaje: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b/>
          <w:bCs/>
        </w:rPr>
        <w:t xml:space="preserve">Mac mini M4 (16GB): </w:t>
      </w:r>
      <w:r>
        <w:t xml:space="preserve">ejecuta Freqtrade + FreqAI como proceso de fondo, junto con el Hermes Agent orquestador (processor node).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b/>
          <w:bCs/>
        </w:rPr>
        <w:t xml:space="preserve">MacBook Air (researcher node): </w:t>
      </w:r>
      <w:r>
        <w:t xml:space="preserve">se mantiene como nodo de investigación — análisis de señales, backtesting y ajuste de modelos, sin competir por RAM con el LLM local del Mac mini.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b/>
          <w:bCs/>
        </w:rPr>
        <w:t xml:space="preserve">VPS: </w:t>
      </w:r>
      <w:r>
        <w:t xml:space="preserve">candidato natural para alojar Supabase si se decide pasar de "local" a "siempre disponible", permitiendo que la app móvil consulte datos sin depender de que el Mac mini esté encendido.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b/>
          <w:bCs/>
        </w:rPr>
        <w:t xml:space="preserve">Grid bots existentes (Binance): </w:t>
      </w:r>
      <w:r>
        <w:t xml:space="preserve">pueden convivir con Freqtrade como estrategias independientes dentro del mismo Hermes Orchestrator, cada una registrando sus operaciones en las mismas tablas de PostgreSQL.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b/>
          <w:bCs/>
        </w:rPr>
        <w:t xml:space="preserve">Hermes Skills (agentskills.io): </w:t>
      </w:r>
      <w:r>
        <w:t xml:space="preserve">el catálogo de trading skills ya instalado en ~/.hermes/skills/ puede envolver las llamadas a la API de Freqtrade (REST API integrada) como una skill más.</w:t>
      </w:r>
    </w:p>
    <w:p>
      <w:pPr>
        <w:pStyle w:val="Heading1"/>
      </w:pPr>
      <w:r>
        <w:t xml:space="preserve">7. Roadmap de Desarrollo</w:t>
      </w:r>
    </w:p>
    <w:tbl>
      <w:tblPr>
        <w:tblW w:type="dxa" w:w="6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700"/>
        <w:gridCol w:w="3426"/>
      </w:tblGrid>
      <w:tr>
        <w:trPr>
          <w:tblHeader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Fase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Duración</w:t>
            </w:r>
          </w:p>
        </w:tc>
        <w:tc>
          <w:tcPr>
            <w:tcW w:type="dxa" w:w="3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Contenido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Semana 1-2</w:t>
            </w:r>
          </w:p>
        </w:tc>
        <w:tc>
          <w:tcPr>
            <w:tcW w:type="dxa" w:w="3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Instalar Docker, Supabase local, y Freqtrade en modo dry-run con un par de Binance ya conocido (ej. SOL/USDT).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2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Semana 3-5</w:t>
            </w:r>
          </w:p>
        </w:tc>
        <w:tc>
          <w:tcPr>
            <w:tcW w:type="dxa" w:w="3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Configurar FreqAI con un modelo base (LightGBM) sobre datos históricos; validar con backtesting antes de tocar capital real.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3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Semana 6-7</w:t>
            </w:r>
          </w:p>
        </w:tc>
        <w:tc>
          <w:tcPr>
            <w:tcW w:type="dxa" w:w="3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Redirigir la persistencia de Freqtrade a PostgreSQL/Supabase; diseñar el esquema de tablas (carteras, operaciones, logs de IA).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4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Semana 8-10</w:t>
            </w:r>
          </w:p>
        </w:tc>
        <w:tc>
          <w:tcPr>
            <w:tcW w:type="dxa" w:w="3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Construir el dashboard React (Vite + TS) conectado a Supabase, mostrando balance, operaciones y métricas de las estrategias.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5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Semana 11-13</w:t>
            </w:r>
          </w:p>
        </w:tc>
        <w:tc>
          <w:tcPr>
            <w:tcW w:type="dxa" w:w="3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App React Native con Expo, reutilizando el mismo backend y SDK de Supabase; autenticación biométrica.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6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Continuo</w:t>
            </w:r>
          </w:p>
        </w:tc>
        <w:tc>
          <w:tcPr>
            <w:tcW w:type="dxa" w:w="3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Paper trading prolongado, ajuste de modelos, y solo entonces evaluar el paso a capital real con límites estrictos de Stop-Loss.</w:t>
            </w:r>
          </w:p>
        </w:tc>
      </w:tr>
    </w:tbl>
    <w:p>
      <w:pPr>
        <w:pStyle w:val="Heading1"/>
      </w:pPr>
      <w:r>
        <w:t xml:space="preserve">8. Gestión de Riesgos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b/>
          <w:bCs/>
        </w:rPr>
        <w:t xml:space="preserve">Caja negra: </w:t>
      </w:r>
      <w:r>
        <w:t xml:space="preserve">Freqtrade y FreqAI registran cada señal y operación con su justificación técnica, lo que facilita la auditoría.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b/>
          <w:bCs/>
        </w:rPr>
        <w:t xml:space="preserve">Sesgo de datos históricos: </w:t>
      </w:r>
      <w:r>
        <w:t xml:space="preserve">mantener reglas de Stop-Loss fijas e independientes del modelo de IA, no delegar el control de riesgo completo en el modelo.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b/>
          <w:bCs/>
        </w:rPr>
        <w:t xml:space="preserve">Ciberseguridad: </w:t>
      </w:r>
      <w:r>
        <w:t xml:space="preserve">las claves de API de exchanges/brokers deben almacenarse cifradas y nunca expuestas en el frontend.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b/>
          <w:bCs/>
        </w:rPr>
        <w:t xml:space="preserve">Sobreajuste del modelo: </w:t>
      </w:r>
      <w:r>
        <w:t xml:space="preserve">validar siempre con backtesting fuera de muestra antes de cualquier despliegue en real.</w:t>
      </w:r>
    </w:p>
    <w:p>
      <w:pPr>
        <w:pStyle w:val="Heading1"/>
      </w:pPr>
      <w:r>
        <w:t xml:space="preserve">9. Próximos Pasos</w:t>
      </w:r>
    </w:p>
    <w:p>
      <w:pPr>
        <w:spacing w:after="160"/>
        <w:jc w:val="both"/>
      </w:pPr>
      <w:r>
        <w:t xml:space="preserve">Las siguientes decisiones quedan abiertas para la siguiente sesión de trabajo: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Confirmar si Freqtrade se instala directamente en el Mac mini M4 o en el VPS.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Definir el esquema inicial de tablas PostgreSQL (carteras, operaciones, señales de IA, logs).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Decidir el primer modelo de FreqAI a entrenar (LightGBM como punto de partida recomendado por simplicidad).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Mapear cómo se integra esta pieza dentro del Hermes Orchestrator junto a los grid bots ya activos.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Página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8"/>
        <w:szCs w:val="18"/>
      </w:rPr>
      <w:t xml:space="preserve"> de </w:t>
    </w:r>
    <w:r>
      <w:rPr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FC5DC" w:sz="4" w:space="4"/>
      </w:pBdr>
      <w:jc w:val="right"/>
    </w:pPr>
    <w:r>
      <w:rPr>
        <w:color w:val="595959"/>
        <w:sz w:val="18"/>
        <w:szCs w:val="18"/>
      </w:rPr>
      <w:t xml:space="preserve">PROYECTO TRADER IA · Análisis de Arquitectura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2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626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B3A5C" w:sz="8" w:space="4"/>
      </w:pBdr>
      <w:spacing w:after="200" w:before="360"/>
      <w:outlineLvl w:val="0"/>
    </w:pPr>
    <w:rPr>
      <w:rFonts w:ascii="Arial" w:cs="Arial" w:eastAsia="Arial" w:hAnsi="Arial"/>
      <w:b/>
      <w:bCs/>
      <w:color w:val="1B3A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Arial" w:cs="Arial" w:eastAsia="Arial" w:hAnsi="Arial"/>
      <w:b/>
      <w:bCs/>
      <w:color w:val="13293E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2026-06-27T07:08:31.353Z</dcterms:created>
  <dcterms:modified xsi:type="dcterms:W3CDTF">2026-06-27T07:08:31.353Z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