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
        <w:wordWrap/>
        <w:jc w:val="center"/>
        <w:spacing w:line="240" w:lineRule="auto"/>
        <w:rPr>
          <w:rFonts w:ascii="NanumSquare" w:eastAsia="NanumSquare" w:hAnsi="NanumSquare"/>
          <w:b/>
          <w:bCs/>
          <w:sz w:val="44"/>
          <w:szCs w:val="44"/>
        </w:rPr>
      </w:pPr>
      <w:r>
        <w:rPr>
          <w:rFonts w:ascii="NanumSquare" w:eastAsia="NanumSquare" w:hAnsi="NanumSquare" w:hint="eastAsia"/>
          <w:b/>
          <w:bCs/>
          <w:sz w:val="44"/>
          <w:szCs w:val="44"/>
        </w:rPr>
        <w:t xml:space="preserve">Graduation Project </w:t>
      </w:r>
      <w:r>
        <w:rPr>
          <w:rFonts w:ascii="NanumSquare" w:eastAsia="NanumSquare" w:hAnsi="NanumSquare"/>
          <w:b/>
          <w:bCs/>
          <w:sz w:val="44"/>
          <w:szCs w:val="44"/>
        </w:rPr>
        <w:t>Conference Report</w:t>
      </w:r>
    </w:p>
    <w:p>
      <w:pPr>
        <w:autoSpaceDE w:val="off"/>
        <w:autoSpaceDN w:val="off"/>
        <w:widowControl w:val="off"/>
        <w:jc w:val="center"/>
        <w:spacing w:after="0" w:line="240" w:lineRule="auto"/>
        <w:textAlignment w:val="baseline"/>
        <w:rPr>
          <w:rFonts w:ascii="NanumSquare" w:eastAsia="NanumSquare" w:hAnsi="NanumSquare" w:cs="Times New Roman"/>
          <w:color w:val="000000"/>
          <w:sz w:val="30"/>
          <w:szCs w:val="30"/>
        </w:rPr>
      </w:pPr>
    </w:p>
    <w:tbl>
      <w:tblPr>
        <w:tblOverlap w:val="never"/>
        <w:tblW w:w="0" w:type="auto"/>
        <w:tblLook w:val="04A0" w:firstRow="1" w:lastRow="0" w:firstColumn="1" w:lastColumn="0" w:noHBand="0" w:noVBand="1"/>
        <w:jc w:val="center"/>
        <w:tblCellMar>
          <w:top w:w="15" w:type="dxa"/>
          <w:left w:w="15" w:type="dxa"/>
          <w:bottom w:w="15" w:type="dxa"/>
          <w:right w:w="15" w:type="dxa"/>
        </w:tblCellMar>
      </w:tblPr>
      <w:tblGrid>
        <w:gridCol w:w="1383"/>
        <w:gridCol w:w="1278"/>
        <w:gridCol w:w="1399"/>
        <w:gridCol w:w="2711"/>
      </w:tblGrid>
      <w:tr>
        <w:trPr>
          <w:jc w:val="center"/>
          <w:trHeight w:val="521" w:hRule="atLeast"/>
        </w:trPr>
        <w:tc>
          <w:tcPr>
            <w:tcW w:w="13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autoSpaceDE w:val="off"/>
              <w:autoSpaceDN w:val="off"/>
              <w:widowControl w:val="off"/>
              <w:snapToGrid w:val="0"/>
              <w:jc w:val="center"/>
              <w:spacing w:after="0" w:line="240" w:lineRule="auto"/>
              <w:textAlignment w:val="baseline"/>
              <w:rPr>
                <w:rFonts w:ascii="NanumSquare" w:eastAsia="NanumSquare" w:hAnsi="NanumSquare" w:cs="Times New Roman"/>
                <w:color w:val="000000"/>
                <w:sz w:val="20"/>
                <w:szCs w:val="20"/>
              </w:rPr>
            </w:pPr>
            <w:r>
              <w:rPr>
                <w:rFonts w:ascii="NanumSquare" w:eastAsia="NanumSquare" w:hAnsi="NanumSquare" w:cs="Times New Roman" w:hint="eastAsia"/>
                <w:b/>
                <w:bCs/>
                <w:color w:val="000000"/>
                <w:sz w:val="18"/>
                <w:szCs w:val="18"/>
              </w:rPr>
              <w:t>Name</w:t>
            </w:r>
          </w:p>
        </w:tc>
        <w:tc>
          <w:tcPr>
            <w:tcW w:w="12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autoSpaceDE w:val="off"/>
              <w:autoSpaceDN w:val="off"/>
              <w:widowControl w:val="off"/>
              <w:snapToGrid w:val="0"/>
              <w:jc w:val="center"/>
              <w:spacing w:after="0" w:line="240" w:lineRule="auto"/>
              <w:textAlignment w:val="baseline"/>
              <w:rPr>
                <w:rFonts w:ascii="NanumSquare" w:eastAsia="NanumSquare" w:hAnsi="NanumSquare" w:cs="Times New Roman"/>
                <w:color w:val="000000"/>
                <w:sz w:val="20"/>
                <w:szCs w:val="20"/>
              </w:rPr>
            </w:pPr>
            <w:r>
              <w:rPr>
                <w:rFonts w:ascii="NanumSquare" w:eastAsia="NanumSquare" w:hAnsi="NanumSquare" w:cs="Times New Roman" w:hint="eastAsia"/>
                <w:b/>
                <w:bCs/>
                <w:color w:val="000000"/>
                <w:sz w:val="18"/>
                <w:szCs w:val="18"/>
              </w:rPr>
              <w:t>Department</w:t>
            </w:r>
          </w:p>
        </w:tc>
        <w:tc>
          <w:tcPr>
            <w:tcW w:w="13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autoSpaceDE w:val="off"/>
              <w:autoSpaceDN w:val="off"/>
              <w:widowControl w:val="off"/>
              <w:snapToGrid w:val="0"/>
              <w:jc w:val="center"/>
              <w:spacing w:after="0" w:line="240" w:lineRule="auto"/>
              <w:textAlignment w:val="baseline"/>
              <w:rPr>
                <w:rFonts w:ascii="NanumSquare" w:eastAsia="NanumSquare" w:hAnsi="NanumSquare" w:cs="Times New Roman"/>
                <w:color w:val="000000"/>
                <w:sz w:val="20"/>
                <w:szCs w:val="20"/>
              </w:rPr>
            </w:pPr>
            <w:r>
              <w:rPr>
                <w:rFonts w:ascii="NanumSquare" w:eastAsia="NanumSquare" w:hAnsi="NanumSquare" w:cs="Times New Roman" w:hint="eastAsia"/>
                <w:b/>
                <w:bCs/>
                <w:color w:val="000000"/>
                <w:sz w:val="18"/>
                <w:szCs w:val="18"/>
              </w:rPr>
              <w:t>Student ID</w:t>
            </w:r>
          </w:p>
        </w:tc>
        <w:tc>
          <w:tcPr>
            <w:tcW w:w="2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autoSpaceDE w:val="off"/>
              <w:autoSpaceDN w:val="off"/>
              <w:widowControl w:val="off"/>
              <w:snapToGrid w:val="0"/>
              <w:jc w:val="center"/>
              <w:spacing w:after="0" w:line="240" w:lineRule="auto"/>
              <w:textAlignment w:val="baseline"/>
              <w:rPr>
                <w:rFonts w:ascii="NanumSquare" w:eastAsia="NanumSquare" w:hAnsi="NanumSquare" w:cs="Times New Roman"/>
                <w:color w:val="000000"/>
                <w:sz w:val="20"/>
                <w:szCs w:val="20"/>
              </w:rPr>
            </w:pPr>
            <w:r>
              <w:rPr>
                <w:rFonts w:ascii="NanumSquare" w:eastAsia="NanumSquare" w:hAnsi="NanumSquare" w:cs="Times New Roman" w:hint="eastAsia"/>
                <w:b/>
                <w:bCs/>
                <w:color w:val="000000"/>
                <w:sz w:val="18"/>
                <w:szCs w:val="18"/>
              </w:rPr>
              <w:t>Hanyang</w:t>
            </w:r>
            <w:r>
              <w:rPr>
                <w:rFonts w:ascii="NanumSquare" w:eastAsia="NanumSquare" w:hAnsi="NanumSquare" w:cs="Times New Roman" w:hint="eastAsia"/>
                <w:b/>
                <w:bCs/>
                <w:color w:val="000000"/>
                <w:sz w:val="18"/>
                <w:szCs w:val="18"/>
              </w:rPr>
              <w:t xml:space="preserve"> email</w:t>
            </w:r>
          </w:p>
        </w:tc>
      </w:tr>
      <w:tr>
        <w:trPr>
          <w:jc w:val="center"/>
          <w:trHeight w:val="521" w:hRule="atLeast"/>
        </w:trPr>
        <w:tc>
          <w:tcPr>
            <w:tcW w:w="13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autoSpaceDE w:val="off"/>
              <w:autoSpaceDN w:val="off"/>
              <w:widowControl w:val="off"/>
              <w:snapToGrid w:val="0"/>
              <w:jc w:val="center"/>
              <w:spacing w:after="0" w:line="240" w:lineRule="auto"/>
              <w:textAlignment w:val="baseline"/>
              <w:rPr>
                <w:rFonts w:ascii="NanumSquare" w:eastAsia="NanumSquare" w:hAnsi="NanumSquare" w:cs="Times New Roman"/>
                <w:color w:val="000000"/>
                <w:sz w:val="20"/>
                <w:szCs w:val="20"/>
              </w:rPr>
            </w:pPr>
            <w:r>
              <w:rPr>
                <w:lang w:eastAsia="ko-KR"/>
                <w:rFonts w:ascii="NanumSquare" w:eastAsia="NanumSquare" w:hAnsi="NanumSquare" w:cs="Times New Roman"/>
                <w:color w:val="000000"/>
                <w:sz w:val="20"/>
                <w:szCs w:val="20"/>
                <w:rtl w:val="off"/>
              </w:rPr>
              <w:t>정병윤</w:t>
            </w:r>
          </w:p>
        </w:tc>
        <w:tc>
          <w:tcPr>
            <w:tcW w:w="12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autoSpaceDE w:val="off"/>
              <w:autoSpaceDN w:val="off"/>
              <w:widowControl w:val="off"/>
              <w:snapToGrid w:val="0"/>
              <w:jc w:val="center"/>
              <w:spacing w:after="0" w:line="240" w:lineRule="auto"/>
              <w:textAlignment w:val="baseline"/>
              <w:rPr>
                <w:rFonts w:ascii="NanumSquare" w:eastAsia="NanumSquare" w:hAnsi="NanumSquare" w:cs="Times New Roman"/>
                <w:color w:val="000000"/>
                <w:sz w:val="20"/>
                <w:szCs w:val="20"/>
              </w:rPr>
            </w:pPr>
            <w:r>
              <w:rPr>
                <w:lang w:eastAsia="ko-KR"/>
                <w:rFonts w:ascii="NanumSquare" w:eastAsia="NanumSquare" w:hAnsi="NanumSquare" w:cs="Times New Roman"/>
                <w:color w:val="000000"/>
                <w:sz w:val="14"/>
                <w:szCs w:val="14"/>
                <w:rtl w:val="off"/>
              </w:rPr>
              <w:t>데이터사이언스</w:t>
            </w:r>
          </w:p>
        </w:tc>
        <w:tc>
          <w:tcPr>
            <w:tcW w:w="13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autoSpaceDE w:val="off"/>
              <w:autoSpaceDN w:val="off"/>
              <w:widowControl w:val="off"/>
              <w:snapToGrid w:val="0"/>
              <w:jc w:val="center"/>
              <w:spacing w:after="0" w:line="240" w:lineRule="auto"/>
              <w:textAlignment w:val="baseline"/>
              <w:rPr>
                <w:rFonts w:ascii="NanumSquare" w:eastAsia="NanumSquare" w:hAnsi="NanumSquare" w:cs="Times New Roman"/>
                <w:color w:val="000000"/>
                <w:sz w:val="20"/>
                <w:szCs w:val="20"/>
              </w:rPr>
            </w:pPr>
            <w:r>
              <w:rPr>
                <w:lang w:eastAsia="ko-KR"/>
                <w:rFonts w:ascii="NanumSquare" w:eastAsia="NanumSquare" w:hAnsi="NanumSquare" w:cs="Times New Roman"/>
                <w:color w:val="000000"/>
                <w:sz w:val="20"/>
                <w:szCs w:val="20"/>
                <w:rtl w:val="off"/>
              </w:rPr>
              <w:t>2023062760</w:t>
            </w:r>
          </w:p>
        </w:tc>
        <w:tc>
          <w:tcPr>
            <w:tcW w:w="2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autoSpaceDE w:val="off"/>
              <w:autoSpaceDN w:val="off"/>
              <w:widowControl w:val="off"/>
              <w:snapToGrid w:val="0"/>
              <w:jc w:val="center"/>
              <w:spacing w:after="0" w:line="240" w:lineRule="auto"/>
              <w:textAlignment w:val="baseline"/>
              <w:rPr>
                <w:rFonts w:ascii="NanumSquare" w:eastAsia="NanumSquare" w:hAnsi="NanumSquare" w:cs="Times New Roman"/>
                <w:color w:val="000000"/>
                <w:sz w:val="20"/>
                <w:szCs w:val="20"/>
              </w:rPr>
            </w:pPr>
            <w:r>
              <w:rPr>
                <w:lang w:eastAsia="ko-KR"/>
                <w:rFonts w:ascii="NanumSquare" w:eastAsia="NanumSquare" w:hAnsi="NanumSquare" w:cs="Times New Roman"/>
                <w:color w:val="000000"/>
                <w:sz w:val="20"/>
                <w:szCs w:val="20"/>
                <w:rtl w:val="off"/>
              </w:rPr>
              <w:t>burnix159@hanyang.ac.kr</w:t>
            </w:r>
          </w:p>
        </w:tc>
      </w:tr>
      <w:tr>
        <w:trPr>
          <w:jc w:val="center"/>
          <w:trHeight w:val="521" w:hRule="atLeast"/>
        </w:trPr>
        <w:tc>
          <w:tcPr>
            <w:tcW w:w="13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autoSpaceDE w:val="off"/>
              <w:autoSpaceDN w:val="off"/>
              <w:widowControl w:val="off"/>
              <w:snapToGrid w:val="0"/>
              <w:jc w:val="center"/>
              <w:spacing w:after="0" w:line="240" w:lineRule="auto"/>
              <w:textAlignment w:val="baseline"/>
              <w:rPr>
                <w:rFonts w:ascii="NanumSquare" w:eastAsia="NanumSquare" w:hAnsi="NanumSquare" w:cs="Times New Roman"/>
                <w:color w:val="000000"/>
                <w:sz w:val="20"/>
                <w:szCs w:val="20"/>
              </w:rPr>
            </w:pPr>
            <w:r>
              <w:rPr>
                <w:lang w:eastAsia="ko-KR"/>
                <w:rFonts w:ascii="NanumSquare" w:eastAsia="NanumSquare" w:hAnsi="NanumSquare" w:cs="Times New Roman"/>
                <w:color w:val="000000"/>
                <w:sz w:val="20"/>
                <w:szCs w:val="20"/>
                <w:rtl w:val="off"/>
              </w:rPr>
              <w:t>민지홍</w:t>
            </w:r>
          </w:p>
        </w:tc>
        <w:tc>
          <w:tcPr>
            <w:tcW w:w="12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autoSpaceDE w:val="off"/>
              <w:autoSpaceDN w:val="off"/>
              <w:widowControl w:val="off"/>
              <w:snapToGrid w:val="0"/>
              <w:jc w:val="center"/>
              <w:spacing w:after="0" w:line="240" w:lineRule="auto"/>
              <w:textAlignment w:val="baseline"/>
              <w:rPr>
                <w:rFonts w:ascii="NanumSquare" w:eastAsia="NanumSquare" w:hAnsi="NanumSquare" w:cs="Times New Roman"/>
                <w:color w:val="000000"/>
                <w:sz w:val="16"/>
                <w:szCs w:val="16"/>
              </w:rPr>
            </w:pPr>
            <w:r>
              <w:rPr>
                <w:lang w:eastAsia="ko-KR"/>
                <w:rFonts w:ascii="NanumSquare" w:eastAsia="NanumSquare" w:hAnsi="NanumSquare" w:cs="Times New Roman"/>
                <w:color w:val="000000"/>
                <w:sz w:val="14"/>
                <w:szCs w:val="14"/>
                <w:rtl w:val="off"/>
              </w:rPr>
              <w:t>데이터사이언스</w:t>
            </w:r>
          </w:p>
        </w:tc>
        <w:tc>
          <w:tcPr>
            <w:tcW w:w="13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autoSpaceDE w:val="off"/>
              <w:autoSpaceDN w:val="off"/>
              <w:widowControl w:val="off"/>
              <w:snapToGrid w:val="0"/>
              <w:jc w:val="center"/>
              <w:spacing w:after="0" w:line="240" w:lineRule="auto"/>
              <w:textAlignment w:val="baseline"/>
              <w:rPr>
                <w:rFonts w:ascii="NanumSquare" w:eastAsia="NanumSquare" w:hAnsi="NanumSquare" w:cs="Times New Roman"/>
                <w:color w:val="000000"/>
                <w:sz w:val="20"/>
                <w:szCs w:val="20"/>
              </w:rPr>
            </w:pPr>
            <w:r>
              <w:rPr>
                <w:lang w:eastAsia="ko-KR"/>
                <w:rFonts w:ascii="NanumSquare" w:eastAsia="NanumSquare" w:hAnsi="NanumSquare" w:cs="Times New Roman"/>
                <w:color w:val="000000"/>
                <w:sz w:val="20"/>
                <w:szCs w:val="20"/>
                <w:rtl w:val="off"/>
              </w:rPr>
              <w:t>2021012660</w:t>
            </w:r>
          </w:p>
        </w:tc>
        <w:tc>
          <w:tcPr>
            <w:tcW w:w="2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autoSpaceDE w:val="off"/>
              <w:autoSpaceDN w:val="off"/>
              <w:widowControl w:val="off"/>
              <w:snapToGrid w:val="0"/>
              <w:jc w:val="center"/>
              <w:spacing w:after="0" w:line="240" w:lineRule="auto"/>
              <w:textAlignment w:val="baseline"/>
              <w:rPr>
                <w:rFonts w:ascii="NanumSquare" w:eastAsia="NanumSquare" w:hAnsi="NanumSquare" w:cs="Times New Roman"/>
                <w:color w:val="000000"/>
                <w:sz w:val="20"/>
                <w:szCs w:val="20"/>
              </w:rPr>
            </w:pPr>
            <w:r>
              <w:rPr>
                <w:lang w:eastAsia="ko-KR"/>
                <w:rFonts w:ascii="NanumSquare" w:eastAsia="NanumSquare" w:hAnsi="NanumSquare" w:cs="Times New Roman"/>
                <w:color w:val="000000"/>
                <w:sz w:val="20"/>
                <w:szCs w:val="20"/>
                <w:rtl w:val="off"/>
              </w:rPr>
              <w:t>mjh2856@hanyang.ac.kr</w:t>
            </w:r>
          </w:p>
        </w:tc>
      </w:tr>
    </w:tbl>
    <w:p>
      <w:pPr>
        <w:autoSpaceDE w:val="off"/>
        <w:autoSpaceDN w:val="off"/>
        <w:widowControl w:val="off"/>
        <w:jc w:val="center"/>
        <w:spacing w:after="0" w:line="240" w:lineRule="auto"/>
        <w:textAlignment w:val="baseline"/>
        <w:rPr>
          <w:rFonts w:ascii="NanumSquare" w:eastAsia="NanumSquare" w:hAnsi="NanumSquare" w:cs="Times New Roman"/>
          <w:color w:val="000000"/>
          <w:sz w:val="30"/>
          <w:szCs w:val="30"/>
        </w:rPr>
      </w:pPr>
    </w:p>
    <w:p>
      <w:pPr>
        <w:pStyle w:val="a"/>
        <w:wordWrap/>
        <w:snapToGrid/>
        <w:jc w:val="left"/>
        <w:spacing w:line="240" w:lineRule="auto"/>
        <w:rPr>
          <w:rFonts w:ascii="NanumSquare" w:eastAsia="NanumSquare" w:hAnsi="NanumSquare"/>
          <w:b/>
          <w:sz w:val="28"/>
          <w:szCs w:val="28"/>
        </w:rPr>
      </w:pPr>
      <w:r>
        <w:rPr>
          <w:rFonts w:ascii="NanumSquare" w:eastAsia="NanumSquare" w:hAnsi="NanumSquare"/>
          <w:b/>
          <w:sz w:val="28"/>
          <w:szCs w:val="28"/>
        </w:rPr>
        <w:t>Pick at least two posters that were interesting. (1) Summarize the methods and findings of the poster, (2) discuss the impact or implications of the result, and (3) take a photo of the poster</w:t>
      </w:r>
    </w:p>
    <w:p>
      <w:pPr>
        <w:pStyle w:val="a"/>
        <w:wordWrap/>
        <w:snapToGrid/>
        <w:jc w:val="left"/>
        <w:spacing w:line="240" w:lineRule="auto"/>
        <w:rPr>
          <w:rFonts w:ascii="NanumSquare" w:eastAsia="NanumSquare" w:hAnsi="NanumSquare"/>
          <w:b/>
          <w:sz w:val="28"/>
          <w:szCs w:val="28"/>
        </w:rPr>
      </w:pPr>
    </w:p>
    <w:p>
      <w:pPr>
        <w:pStyle w:val="a"/>
        <w:wordWrap/>
        <w:snapToGrid/>
        <w:jc w:val="left"/>
        <w:spacing w:line="240" w:lineRule="auto"/>
        <w:rPr>
          <w:lang w:eastAsia="ko-KR"/>
          <w:rFonts w:ascii="NanumSquare" w:eastAsia="NanumSquare" w:hAnsi="NanumSquare" w:hint="eastAsia"/>
          <w:b/>
          <w:sz w:val="28"/>
          <w:szCs w:val="28"/>
          <w:rtl w:val="off"/>
        </w:rPr>
      </w:pPr>
      <w:r>
        <w:rPr>
          <w:rFonts w:ascii="NanumSquare" w:eastAsia="NanumSquare" w:hAnsi="NanumSquare"/>
          <w:b/>
          <w:sz w:val="28"/>
          <w:szCs w:val="28"/>
        </w:rPr>
        <w:t xml:space="preserve">Poster pick </w:t>
      </w:r>
      <w:r>
        <w:rPr>
          <w:rFonts w:ascii="NanumSquare" w:eastAsia="NanumSquare" w:hAnsi="NanumSquare" w:hint="eastAsia"/>
          <w:b/>
          <w:sz w:val="28"/>
          <w:szCs w:val="28"/>
        </w:rPr>
        <w:t>1</w:t>
      </w:r>
      <w:r>
        <w:rPr>
          <w:rFonts w:ascii="NanumSquare" w:eastAsia="NanumSquare" w:hAnsi="NanumSquare" w:hint="eastAsia"/>
          <w:b/>
          <w:sz w:val="28"/>
          <w:szCs w:val="28"/>
        </w:rPr>
        <w:t xml:space="preserve"> </w:t>
      </w:r>
    </w:p>
    <w:p>
      <w:pPr>
        <w:pStyle w:val="a"/>
        <w:wordWrap/>
        <w:snapToGrid/>
        <w:jc w:val="left"/>
        <w:spacing w:line="240" w:lineRule="auto"/>
        <w:rPr>
          <w:lang w:eastAsia="ko-KR"/>
          <w:rFonts w:ascii="NanumSquare" w:eastAsia="NanumSquare" w:hAnsi="NanumSquare" w:hint="eastAsia"/>
          <w:b/>
          <w:sz w:val="28"/>
          <w:szCs w:val="28"/>
          <w:rtl w:val="off"/>
        </w:rPr>
      </w:pPr>
    </w:p>
    <w:p>
      <w:pPr>
        <w:rPr>
          <w:lang w:eastAsia="ko-KR"/>
          <w:rFonts w:ascii="NanumSquare" w:eastAsia="NanumSquare" w:hAnsi="NanumSquare" w:hint="eastAsia"/>
          <w:b/>
          <w:sz w:val="28"/>
          <w:szCs w:val="28"/>
          <w:rtl w:val="off"/>
        </w:rPr>
      </w:pPr>
      <w:r>
        <w:rPr>
          <w:rFonts w:ascii="NanumSquare" w:eastAsia="NanumSquare" w:hAnsi="NanumSquare"/>
          <w:b/>
          <w:sz w:val="28"/>
          <w:szCs w:val="28"/>
        </w:rPr>
        <w:t>Summary</w:t>
      </w:r>
    </w:p>
    <w:p>
      <w:pPr>
        <w:rPr>
          <w:lang w:eastAsia="ko-KR"/>
          <w:rFonts w:hint="eastAsia"/>
          <w:rtl w:val="off"/>
        </w:rPr>
      </w:pPr>
      <w:r>
        <w:rPr/>
        <w:t>Methods</w:t>
      </w:r>
    </w:p>
    <w:p>
      <w:pPr>
        <w:rPr>
          <w:b w:val="0"/>
        </w:rPr>
      </w:pPr>
      <w:r>
        <w:rPr/>
        <w:t>This study proposed a</w:t>
      </w:r>
      <w:r>
        <w:rPr>
          <w:lang w:eastAsia="ko-KR"/>
          <w:rtl w:val="off"/>
        </w:rPr>
        <w:t xml:space="preserve"> </w:t>
      </w:r>
      <w:r>
        <w:rPr/>
        <w:t>subject</w:t>
      </w:r>
      <w:r>
        <w:rPr>
          <w:lang w:eastAsia="ko-KR"/>
          <w:rtl w:val="off"/>
        </w:rPr>
        <w:t xml:space="preserve"> </w:t>
      </w:r>
      <w:r>
        <w:rPr/>
        <w:t>wise normalization technique to address the problem of domain shift where wearable</w:t>
      </w:r>
      <w:r>
        <w:rPr>
          <w:lang w:eastAsia="ko-KR"/>
          <w:rtl w:val="off"/>
        </w:rPr>
        <w:t xml:space="preserve"> </w:t>
      </w:r>
      <w:r>
        <w:rPr/>
        <w:t>based stress detection models experience a sharp degradation in performance when applied to new, unseen users or environments. Utilizing two independent wearable datasets (WESAD</w:t>
      </w:r>
      <w:r>
        <w:rPr>
          <w:lang w:eastAsia="ko-KR"/>
          <w:rtl w:val="off"/>
        </w:rPr>
        <w:t xml:space="preserve">, </w:t>
      </w:r>
      <w:r>
        <w:rPr/>
        <w:t>Exercise-Stress), the researchers normalized each subject's bio-signal data against their own baseline. This process successfully removed per-person and per-device offsets, extracting robust, domain</w:t>
      </w:r>
      <w:r>
        <w:rPr>
          <w:lang w:eastAsia="ko-KR"/>
          <w:rtl w:val="off"/>
        </w:rPr>
        <w:t xml:space="preserve"> </w:t>
      </w:r>
      <w:r>
        <w:rPr/>
        <w:t>invariant features. Furthermore, the detected stress levels were integrated with a LLM agent to build a mobile application system. Using RAG technology, this system is designed to provide users with appropriate psychological support and coping skills.</w:t>
      </w:r>
    </w:p>
    <w:p>
      <w:pPr>
        <w:rPr>
          <w:lang w:eastAsia="ko-KR"/>
          <w:rFonts w:hint="eastAsia"/>
          <w:rtl w:val="off"/>
        </w:rPr>
      </w:pPr>
      <w:r>
        <w:rPr/>
        <w:t>Findings</w:t>
      </w:r>
    </w:p>
    <w:p>
      <w:pPr>
        <w:rPr>
          <w:rFonts w:ascii="NanumSquare" w:eastAsia="NanumSquare" w:hAnsi="NanumSquare"/>
          <w:sz w:val="22"/>
          <w:szCs w:val="22"/>
        </w:rPr>
      </w:pPr>
      <w:r>
        <w:rPr/>
        <w:t>Experimental results showed that applying the proposed subject-wise normalization technique significantly improved the model's generalized detection performance across all evaluation settings. Most notably, the largest improvement occurred in the cross</w:t>
      </w:r>
      <w:r>
        <w:rPr>
          <w:lang w:eastAsia="ko-KR"/>
          <w:rtl w:val="off"/>
        </w:rPr>
        <w:t xml:space="preserve"> </w:t>
      </w:r>
      <w:r>
        <w:rPr/>
        <w:t>dataset transfer evaluation</w:t>
      </w:r>
      <w:r>
        <w:rPr>
          <w:lang w:eastAsia="ko-KR"/>
          <w:rtl w:val="off"/>
        </w:rPr>
        <w:t xml:space="preserve"> </w:t>
      </w:r>
      <w:r>
        <w:rPr/>
        <w:t>where a model trained on one dataset is applied to a completely different one</w:t>
      </w:r>
      <w:r>
        <w:rPr>
          <w:lang w:eastAsia="ko-KR"/>
          <w:rtl w:val="off"/>
        </w:rPr>
        <w:t xml:space="preserve"> </w:t>
      </w:r>
      <w:r>
        <w:rPr/>
        <w:t>with the macro-F1 score increasing by 0.136. This empirically proves that the baseline offset between users is the primary source of domain shift. Although the performance gap between environments was not completely closed, this study successfully demonstrated the technical feasibility of significantly enhancing model accuracy through a brief, label-free initial calibration and immediately linking this capability to a practical mental health care service.</w:t>
      </w:r>
    </w:p>
    <w:p>
      <w:pPr>
        <w:rPr>
          <w:lang w:eastAsia="ko-KR"/>
          <w:rFonts w:ascii="NanumSquare" w:eastAsia="NanumSquare" w:hAnsi="NanumSquare" w:hint="eastAsia"/>
          <w:b/>
          <w:sz w:val="28"/>
          <w:szCs w:val="28"/>
          <w:rtl w:val="off"/>
        </w:rPr>
      </w:pPr>
      <w:r>
        <w:rPr>
          <w:rFonts w:ascii="NanumSquare" w:eastAsia="NanumSquare" w:hAnsi="NanumSquare"/>
          <w:b/>
          <w:sz w:val="28"/>
          <w:szCs w:val="28"/>
        </w:rPr>
        <w:t>Implications</w:t>
      </w:r>
    </w:p>
    <w:p>
      <w:pPr>
        <w:rPr>
          <w:rFonts w:ascii="NanumSquare" w:eastAsia="NanumSquare" w:hAnsi="NanumSquare"/>
          <w:sz w:val="22"/>
          <w:szCs w:val="22"/>
        </w:rPr>
      </w:pPr>
      <w:r>
        <w:rPr/>
        <w:t>The primary impact of this study lies in mitigating the domain shift problem through label-free initial calibration and subject-wise normalization, which reduces the data collection costs required for model training and secures system scalability. This implies that utilizing relative changes against a personal baseline as features, rather than absolute physiological measurements, is a key requirement for ensuring generalizability in biosignal-based modeling. Furthermore, the study verifies the effectiveness of an active intervention pipeline that links detection results with an LLM agent and RAG technology to provide tailored psychological support, such as CBT and DBT. Finally, it outlines concrete directions for future model refinement by identifying the need for adversarial domain adaptation (DANN) to address the remaining performance gap, alongside an activity filter to distinguish physical exertion from psychological stress.</w:t>
      </w:r>
    </w:p>
    <w:p>
      <w:pPr>
        <w:spacing w:before="0"/>
        <w:rPr>
          <w:lang w:eastAsia="ko-KR"/>
          <w:rFonts w:ascii="NanumSquare" w:eastAsia="NanumSquare" w:hAnsi="NanumSquare" w:hint="eastAsia"/>
          <w:b/>
          <w:sz w:val="28"/>
          <w:szCs w:val="28"/>
          <w:rtl w:val="off"/>
        </w:rPr>
      </w:pPr>
      <w:r>
        <w:rPr>
          <w:rFonts w:ascii="NanumSquare" w:eastAsia="NanumSquare" w:hAnsi="NanumSquare"/>
          <w:b/>
          <w:sz w:val="28"/>
          <w:szCs w:val="28"/>
        </w:rPr>
        <w:t>Photo</w:t>
      </w:r>
      <w:r>
        <w:rPr>
          <w:lang/>
          <w:rFonts w:ascii="NanumSquare" w:eastAsia="NanumSquare" w:hAnsi="NanumSquare"/>
          <w:b/>
          <w:sz w:val="28"/>
          <w:szCs w:val="28"/>
          <w:rtl w:val="off"/>
        </w:rPr>
        <w:br/>
      </w:r>
      <w:r>
        <w:rPr>
          <w:rFonts w:ascii="NanumSquare" w:eastAsia="NanumSquare" w:hAnsi="NanumSquare"/>
          <w:sz w:val="22"/>
          <w:szCs w:val="22"/>
        </w:rPr>
        <w:drawing>
          <wp:inline distT="0" distB="0" distL="0" distR="0">
            <wp:extent cx="2814152" cy="3896519"/>
            <wp:effectExtent l="0" t="0" r="0" b="0"/>
            <wp:docPr id="1025" name="shape1025"/>
            <wp:cNvGraphicFramePr/>
            <a:graphic xmlns:a="http://schemas.openxmlformats.org/drawingml/2006/main">
              <a:graphicData uri="http://schemas.openxmlformats.org/drawingml/2006/picture">
                <pic:pic xmlns:pic="http://schemas.openxmlformats.org/drawingml/2006/picture">
                  <pic:nvPicPr>
                    <pic:cNvPr id="1025" name="shape1025"/>
                    <pic:cNvPicPr>
                      <a:picLocks noUngrp="1"/>
                    </pic:cNvPicPr>
                  </pic:nvPicPr>
                  <pic:blipFill>
                    <a:blip r:embed="rId1">
                      <a:extLst>
                        <a:ext uri="{28A0092B-C50C-407E-A947-70E740481C1C}">
                          <a14:useLocalDpi xmlns:a14="http://schemas.microsoft.com/office/drawing/2010/main" val="0"/>
                        </a:ext>
                      </a:extLst>
                    </a:blip>
                    <a:srcRect/>
                    <a:stretch>
                      <a:fillRect/>
                    </a:stretch>
                  </pic:blipFill>
                  <pic:spPr>
                    <a:xfrm>
                      <a:off x="0" y="0"/>
                      <a:ext cx="2814152" cy="3896519"/>
                    </a:xfrm>
                    <a:prstGeom prst="rect">
                      <a:avLst/>
                    </a:prstGeom>
                  </pic:spPr>
                </pic:pic>
              </a:graphicData>
            </a:graphic>
          </wp:inline>
        </w:drawing>
      </w:r>
    </w:p>
    <w:p>
      <w:pPr>
        <w:pStyle w:val="a"/>
        <w:wordWrap/>
        <w:snapToGrid/>
        <w:jc w:val="left"/>
        <w:spacing w:line="240" w:lineRule="auto"/>
        <w:rPr>
          <w:rFonts w:ascii="NanumSquare" w:eastAsia="NanumSquare" w:hAnsi="NanumSquare"/>
          <w:b/>
          <w:sz w:val="28"/>
          <w:szCs w:val="28"/>
        </w:rPr>
      </w:pPr>
    </w:p>
    <w:p>
      <w:pPr>
        <w:pStyle w:val="a"/>
        <w:wordWrap/>
        <w:snapToGrid/>
        <w:jc w:val="left"/>
        <w:spacing w:line="240" w:lineRule="auto"/>
        <w:rPr>
          <w:lang w:eastAsia="ko-KR"/>
          <w:rFonts w:ascii="NanumSquare" w:eastAsia="NanumSquare" w:hAnsi="NanumSquare" w:hint="eastAsia"/>
          <w:b/>
          <w:sz w:val="28"/>
          <w:szCs w:val="28"/>
          <w:rtl w:val="off"/>
        </w:rPr>
      </w:pPr>
      <w:r>
        <w:rPr>
          <w:rFonts w:ascii="NanumSquare" w:eastAsia="NanumSquare" w:hAnsi="NanumSquare"/>
          <w:b/>
          <w:sz w:val="28"/>
          <w:szCs w:val="28"/>
        </w:rPr>
        <w:t xml:space="preserve">Poster pick </w:t>
      </w:r>
      <w:r>
        <w:rPr>
          <w:rFonts w:ascii="NanumSquare" w:eastAsia="NanumSquare" w:hAnsi="NanumSquare" w:hint="eastAsia"/>
          <w:b/>
          <w:sz w:val="28"/>
          <w:szCs w:val="28"/>
        </w:rPr>
        <w:t>2</w:t>
      </w:r>
    </w:p>
    <w:p>
      <w:pPr>
        <w:pStyle w:val="a"/>
        <w:wordWrap/>
        <w:snapToGrid/>
        <w:jc w:val="left"/>
        <w:spacing w:line="240" w:lineRule="auto"/>
        <w:rPr>
          <w:lang w:eastAsia="ko-KR"/>
          <w:rFonts w:ascii="NanumSquare" w:eastAsia="NanumSquare" w:hAnsi="NanumSquare" w:hint="eastAsia"/>
          <w:b/>
          <w:sz w:val="28"/>
          <w:szCs w:val="28"/>
          <w:rtl w:val="off"/>
        </w:rPr>
      </w:pPr>
    </w:p>
    <w:p>
      <w:pPr>
        <w:rPr>
          <w:lang w:eastAsia="ko-KR"/>
          <w:rFonts w:ascii="NanumSquare" w:eastAsia="NanumSquare" w:hAnsi="NanumSquare" w:hint="eastAsia"/>
          <w:b/>
          <w:sz w:val="28"/>
          <w:szCs w:val="28"/>
          <w:rtl w:val="off"/>
        </w:rPr>
      </w:pPr>
      <w:r>
        <w:rPr>
          <w:rFonts w:ascii="NanumSquare" w:eastAsia="NanumSquare" w:hAnsi="NanumSquare"/>
          <w:b/>
          <w:sz w:val="28"/>
          <w:szCs w:val="28"/>
        </w:rPr>
        <w:t>Summary</w:t>
      </w:r>
    </w:p>
    <w:p>
      <w:pPr>
        <w:rPr>
          <w:lang w:eastAsia="ko-KR"/>
          <w:rFonts w:hint="eastAsia"/>
          <w:rtl w:val="off"/>
        </w:rPr>
      </w:pPr>
      <w:r>
        <w:rPr/>
        <w:t>Methods</w:t>
      </w:r>
    </w:p>
    <w:p>
      <w:pPr>
        <w:spacing w:before="0"/>
        <w:rPr/>
      </w:pPr>
      <w:r>
        <w:rPr/>
        <w:t xml:space="preserve">This </w:t>
      </w:r>
      <w:r>
        <w:rPr>
          <w:rFonts w:ascii="Google Sans Text" w:eastAsia="Google Sans Text" w:hAnsi="Google Sans Text" w:cs="Google Sans Text"/>
        </w:rPr>
        <w:t>study proposed a data-driven decision-support system that combines classical forecasting with an extended Vision-Language Model (VLM) for anomaly detection in a District Heating (DH) network</w:t>
      </w:r>
      <w:r>
        <w:rPr>
          <w:rFonts w:ascii="Google Sans Text" w:eastAsia="Google Sans Text" w:hAnsi="Google Sans Text" w:cs="Google Sans Text"/>
        </w:rPr>
        <w:t>. Using a proprietary dataset consisting of 32,547 hourly records from a real PNS-8 station (2021–2024) across 9 variables, the researchers faced the core obstacle of having nested seasonality without any expert anomaly labels</w:t>
      </w:r>
      <w:r>
        <w:rPr>
          <w:rFonts w:ascii="Google Sans Text" w:eastAsia="Google Sans Text" w:hAnsi="Google Sans Text" w:cs="Google Sans Text"/>
        </w:rPr>
        <w:t>. To overcome this, the study introduced a multi-detector corroboration pipeline based on the thesis that classical forecasting and pretrained multimodal models are complementary rather than competing</w:t>
      </w:r>
      <w:r>
        <w:rPr>
          <w:rFonts w:ascii="Google Sans Text" w:eastAsia="Google Sans Text" w:hAnsi="Google Sans Text" w:cs="Google Sans Text"/>
        </w:rPr>
        <w:t>.</w:t>
      </w:r>
    </w:p>
    <w:p>
      <w:pPr>
        <w:spacing w:before="0"/>
        <w:rPr/>
      </w:pPr>
      <w:r>
        <w:rPr/>
        <w:t>The methodology is divided into two main tracks:</w:t>
      </w:r>
    </w:p>
    <w:p>
      <w:pPr>
        <w:numPr>
          <w:ilvl w:val="0"/>
          <w:numId w:val="1"/>
        </w:numPr>
        <w:spacing w:before="0"/>
        <w:rPr/>
      </w:pPr>
      <w:r>
        <w:rPr>
          <w:rFonts w:ascii="Google Sans Text" w:eastAsia="Google Sans Text" w:hAnsi="Google Sans Text" w:cs="Google Sans Text"/>
          <w:b/>
        </w:rPr>
        <w:t>Track A (Forecasting)</w:t>
      </w:r>
      <w:r>
        <w:rPr>
          <w:lang w:eastAsia="ko-KR"/>
          <w:rFonts w:ascii="Google Sans Text" w:eastAsia="Google Sans Text" w:hAnsi="Google Sans Text" w:cs="Google Sans Text"/>
          <w:b/>
          <w:rtl w:val="off"/>
        </w:rPr>
        <w:t xml:space="preserve"> </w:t>
      </w:r>
      <w:r>
        <w:rPr>
          <w:rFonts w:ascii="Google Sans Text" w:eastAsia="Google Sans Text" w:hAnsi="Google Sans Text" w:cs="Google Sans Text"/>
          <w:b/>
        </w:rPr>
        <w:t>:</w:t>
      </w:r>
      <w:r>
        <w:rPr>
          <w:lang w:eastAsia="ko-KR"/>
          <w:rFonts w:ascii="Google Sans Text" w:eastAsia="Google Sans Text" w:hAnsi="Google Sans Text" w:cs="Google Sans Text"/>
          <w:b/>
          <w:rtl w:val="off"/>
        </w:rPr>
        <w:t xml:space="preserve"> </w:t>
      </w:r>
      <w:r>
        <w:rPr>
          <w:rFonts w:ascii="Google Sans Text" w:eastAsia="Google Sans Text" w:hAnsi="Google Sans Text" w:cs="Google Sans Text"/>
        </w:rPr>
        <w:t>The primary target was predicting the return temperature</w:t>
      </w:r>
      <w:r>
        <w:rPr>
          <w:rFonts w:ascii="Google Sans Text" w:eastAsia="Google Sans Text" w:hAnsi="Google Sans Text" w:cs="Google Sans Text"/>
        </w:rPr>
        <w:t>. The researchers utilized a Direct multi-output (MIMO) structure over a recursive one to prevent error accumulation and ensure robustness against anomalous inputs</w:t>
      </w:r>
      <w:r>
        <w:rPr>
          <w:rFonts w:ascii="Google Sans Text" w:eastAsia="Google Sans Text" w:hAnsi="Google Sans Text" w:cs="Google Sans Text"/>
        </w:rPr>
        <w:t>. The final model implemented Direct LightGBM, optimized via Hyperopt (TPE) tuning and a 24-h rolling-refit backtesting strategy</w:t>
      </w:r>
      <w:r>
        <w:rPr>
          <w:rFonts w:ascii="Google Sans Text" w:eastAsia="Google Sans Text" w:hAnsi="Google Sans Text" w:cs="Google Sans Text"/>
        </w:rPr>
        <w:t>.</w:t>
      </w:r>
    </w:p>
    <w:p>
      <w:pPr>
        <w:numPr>
          <w:ilvl w:val="0"/>
          <w:numId w:val="1"/>
        </w:numPr>
        <w:spacing w:before="0"/>
        <w:rPr>
          <w:b w:val="0"/>
        </w:rPr>
      </w:pPr>
      <w:r>
        <w:rPr>
          <w:rFonts w:ascii="Google Sans Text" w:eastAsia="Google Sans Text" w:hAnsi="Google Sans Text" w:cs="Google Sans Text"/>
          <w:b/>
        </w:rPr>
        <w:t>Track B (Anomaly Detection)</w:t>
      </w:r>
      <w:r>
        <w:rPr>
          <w:lang w:eastAsia="ko-KR"/>
          <w:rFonts w:ascii="Google Sans Text" w:eastAsia="Google Sans Text" w:hAnsi="Google Sans Text" w:cs="Google Sans Text"/>
          <w:b/>
          <w:rtl w:val="off"/>
        </w:rPr>
        <w:t xml:space="preserve"> </w:t>
      </w:r>
      <w:r>
        <w:rPr>
          <w:rFonts w:ascii="Google Sans Text" w:eastAsia="Google Sans Text" w:hAnsi="Google Sans Text" w:cs="Google Sans Text"/>
          <w:b/>
        </w:rPr>
        <w:t>:</w:t>
      </w:r>
      <w:r>
        <w:rPr>
          <w:lang w:eastAsia="ko-KR"/>
          <w:rFonts w:ascii="Google Sans Text" w:eastAsia="Google Sans Text" w:hAnsi="Google Sans Text" w:cs="Google Sans Text"/>
          <w:b/>
          <w:rtl w:val="off"/>
        </w:rPr>
        <w:t xml:space="preserve"> </w:t>
      </w:r>
      <w:r>
        <w:rPr>
          <w:rFonts w:ascii="Google Sans Text" w:eastAsia="Google Sans Text" w:hAnsi="Google Sans Text" w:cs="Google Sans Text"/>
        </w:rPr>
        <w:t>Due to the lack of ground truth labels, statistical pseudo-labels (Z-score, IQR, rate-of-change) were generated</w:t>
      </w:r>
      <w:r>
        <w:rPr>
          <w:rFonts w:ascii="Google Sans Text" w:eastAsia="Google Sans Text" w:hAnsi="Google Sans Text" w:cs="Google Sans Text"/>
        </w:rPr>
        <w:t>. The system replicated and extended VLM4TS, where a frozen CLIP ViT-B/16 model screens rendered plots</w:t>
      </w:r>
      <w:r>
        <w:rPr>
          <w:rFonts w:ascii="Google Sans Text" w:eastAsia="Google Sans Text" w:hAnsi="Google Sans Text" w:cs="Google Sans Text"/>
        </w:rPr>
        <w:t>. The extensions included multi-period STL deseasononig, overlapping 6-month slices, and a 3-channel agreement (</w:t>
      </w:r>
      <w:r>
        <w:rPr>
          <w:lang w:eastAsia="ko-KR"/>
          <w:rFonts w:ascii="Google Sans Text" w:eastAsia="Google Sans Text" w:hAnsi="Google Sans Text" w:cs="Google Sans Text"/>
          <w:u w:val="single" w:color="auto"/>
          <w:rtl w:val="off"/>
        </w:rPr>
        <w:t>&gt;</w:t>
      </w:r>
      <w:r>
        <w:rPr>
          <w:rFonts w:ascii="Google Sans Text" w:eastAsia="Google Sans Text" w:hAnsi="Google Sans Text" w:cs="Google Sans Text"/>
        </w:rPr>
        <w:t xml:space="preserve"> 2/3</w:t>
      </w:r>
      <w:r>
        <w:rPr>
          <w:rFonts w:ascii="Google Sans Text" w:eastAsia="Google Sans Text" w:hAnsi="Google Sans Text" w:cs="Google Sans Text"/>
        </w:rPr>
        <w:t>) plus a hard physics checker</w:t>
      </w:r>
      <w:r>
        <w:rPr>
          <w:rFonts w:ascii="Google Sans Text" w:eastAsia="Google Sans Text" w:hAnsi="Google Sans Text" w:cs="Google Sans Text"/>
        </w:rPr>
        <w:t>. Finally, the VLM was redesigned as an arbiter to judge 94 ambiguous intervals, resulting in a triaged 4-tier confidence system</w:t>
      </w:r>
      <w:r>
        <w:rPr>
          <w:rFonts w:ascii="Google Sans Text" w:eastAsia="Google Sans Text" w:hAnsi="Google Sans Text" w:cs="Google Sans Text"/>
        </w:rPr>
        <w:t>.</w:t>
      </w:r>
    </w:p>
    <w:p>
      <w:pPr>
        <w:rPr>
          <w:lang w:eastAsia="ko-KR"/>
          <w:rFonts w:hint="eastAsia"/>
          <w:rtl w:val="off"/>
        </w:rPr>
      </w:pPr>
      <w:r>
        <w:rPr/>
        <w:t>Findings</w:t>
      </w:r>
    </w:p>
    <w:p>
      <w:pPr>
        <w:spacing w:before="0"/>
        <w:rPr/>
      </w:pPr>
      <w:r>
        <w:rPr>
          <w:lang w:eastAsia="ko-KR"/>
          <w:rtl w:val="off"/>
        </w:rPr>
        <w:t>The</w:t>
      </w:r>
      <w:r>
        <w:rPr/>
        <w:t xml:space="preserve"> </w:t>
      </w:r>
      <w:r>
        <w:rPr>
          <w:rFonts w:ascii="Google Sans Text" w:eastAsia="Google Sans Text" w:hAnsi="Google Sans Text" w:cs="Google Sans Text"/>
        </w:rPr>
        <w:t>experimental and empirical evaluation demonstrated the high accuracy and practical reliability of the integrated pipeline</w:t>
      </w:r>
      <w:r>
        <w:rPr>
          <w:rFonts w:ascii="Google Sans Text" w:eastAsia="Google Sans Text" w:hAnsi="Google Sans Text" w:cs="Google Sans Text"/>
        </w:rPr>
        <w:t>. In Track A (Forecasting), the final Direct LightGBM model with rolling backtest achieved a highly precise symmetric Mean Absolute Percentage Error (smMAPE) of 8.31%, outperforming naive variants and recursive models that suffered from error accumulation</w:t>
      </w:r>
      <w:r>
        <w:rPr>
          <w:rFonts w:ascii="Google Sans Text" w:eastAsia="Google Sans Text" w:hAnsi="Google Sans Text" w:cs="Google Sans Text"/>
        </w:rPr>
        <w:t>.</w:t>
      </w:r>
    </w:p>
    <w:p>
      <w:pPr>
        <w:spacing w:before="0"/>
        <w:rPr/>
      </w:pPr>
      <w:r>
        <w:rPr>
          <w:rFonts w:ascii="Google Sans Text" w:eastAsia="Google Sans Text" w:hAnsi="Google Sans Text" w:cs="Google Sans Text"/>
        </w:rPr>
        <w:t>In Track B (Anomaly Detection), the system successfully identified 108 anomalies categorized into four distinct tiers based on the level of corroboration</w:t>
      </w:r>
      <w:r>
        <w:rPr>
          <w:rFonts w:ascii="Google Sans Text" w:eastAsia="Google Sans Text" w:hAnsi="Google Sans Text" w:cs="Google Sans Text"/>
        </w:rPr>
        <w:t>. Specifically:</w:t>
      </w:r>
    </w:p>
    <w:p>
      <w:pPr>
        <w:numPr>
          <w:ilvl w:val="0"/>
          <w:numId w:val="2"/>
        </w:numPr>
        <w:spacing w:before="0"/>
        <w:rPr/>
      </w:pPr>
      <w:r>
        <w:rPr>
          <w:rFonts w:ascii="Google Sans Text" w:eastAsia="Google Sans Text" w:hAnsi="Google Sans Text" w:cs="Google Sans Text"/>
        </w:rPr>
        <w:t xml:space="preserve">The system achieved an </w:t>
      </w:r>
      <w:r>
        <w:rPr>
          <w:rFonts w:ascii="Google Sans Text" w:eastAsia="Google Sans Text" w:hAnsi="Google Sans Text" w:cs="Google Sans Text"/>
        </w:rPr>
        <w:t>80.5%</w:t>
      </w:r>
      <w:r>
        <w:rPr>
          <w:lang w:eastAsia="ko-KR"/>
          <w:rFonts w:ascii="Google Sans Text" w:eastAsia="Google Sans Text" w:hAnsi="Google Sans Text" w:cs="Google Sans Text"/>
          <w:rtl w:val="off"/>
        </w:rPr>
        <w:t xml:space="preserve"> </w:t>
      </w:r>
      <w:r>
        <w:rPr>
          <w:rFonts w:ascii="Google Sans Text" w:eastAsia="Google Sans Text" w:hAnsi="Google Sans Text" w:cs="Google Sans Text"/>
        </w:rPr>
        <w:t>recall rate when compared against statistical labels (increasing the number of detected anomalies from 27 to 108)</w:t>
      </w:r>
      <w:r>
        <w:rPr>
          <w:rFonts w:ascii="Google Sans Text" w:eastAsia="Google Sans Text" w:hAnsi="Google Sans Text" w:cs="Google Sans Text"/>
        </w:rPr>
        <w:t>.</w:t>
      </w:r>
    </w:p>
    <w:p>
      <w:pPr>
        <w:numPr>
          <w:ilvl w:val="0"/>
          <w:numId w:val="2"/>
        </w:numPr>
        <w:spacing w:before="0"/>
        <w:rPr/>
      </w:pPr>
      <w:r>
        <w:rPr>
          <w:rFonts w:ascii="Google Sans Text" w:eastAsia="Google Sans Text" w:hAnsi="Google Sans Text" w:cs="Google Sans Text"/>
        </w:rPr>
        <w:t xml:space="preserve">It improved short-event recall from </w:t>
      </w:r>
      <w:r>
        <w:rPr>
          <w:rFonts w:ascii="Google Sans Text" w:eastAsia="Google Sans Text" w:hAnsi="Google Sans Text" w:cs="Google Sans Text"/>
        </w:rPr>
        <w:t>0/9</w:t>
      </w:r>
      <w:r>
        <w:rPr>
          <w:lang w:eastAsia="ko-KR"/>
          <w:rFonts w:ascii="Google Sans Text" w:eastAsia="Google Sans Text" w:hAnsi="Google Sans Text" w:cs="Google Sans Text"/>
          <w:rtl w:val="off"/>
        </w:rPr>
        <w:t xml:space="preserve"> </w:t>
      </w:r>
      <w:r>
        <w:rPr>
          <w:rFonts w:ascii="Google Sans Text" w:eastAsia="Google Sans Text" w:hAnsi="Google Sans Text" w:cs="Google Sans Text"/>
        </w:rPr>
        <w:t xml:space="preserve">to </w:t>
      </w:r>
      <w:r>
        <w:rPr>
          <w:rFonts w:ascii="Google Sans Text" w:eastAsia="Google Sans Text" w:hAnsi="Google Sans Text" w:cs="Google Sans Text"/>
        </w:rPr>
        <w:t>7/9</w:t>
      </w:r>
      <w:r>
        <w:rPr>
          <w:rFonts w:ascii="Google Sans Text" w:eastAsia="Google Sans Text" w:hAnsi="Google Sans Text" w:cs="Google Sans Text"/>
        </w:rPr>
        <w:t>.</w:t>
      </w:r>
    </w:p>
    <w:p>
      <w:pPr>
        <w:numPr>
          <w:ilvl w:val="0"/>
          <w:numId w:val="2"/>
        </w:numPr>
        <w:spacing w:before="0"/>
        <w:rPr/>
      </w:pPr>
      <w:r>
        <w:rPr>
          <w:rFonts w:ascii="Google Sans Text" w:eastAsia="Google Sans Text" w:hAnsi="Google Sans Text" w:cs="Google Sans Text"/>
        </w:rPr>
        <w:t>Out of the detected intervals, 50 anomalies were classified as "strongly corroborated"</w:t>
      </w:r>
      <w:r>
        <w:rPr>
          <w:rFonts w:ascii="Google Sans Text" w:eastAsia="Google Sans Text" w:hAnsi="Google Sans Text" w:cs="Google Sans Text"/>
        </w:rPr>
        <w:t>.</w:t>
      </w:r>
    </w:p>
    <w:p>
      <w:pPr>
        <w:numPr>
          <w:ilvl w:val="0"/>
          <w:numId w:val="2"/>
        </w:numPr>
        <w:spacing w:before="0"/>
        <w:rPr/>
      </w:pPr>
      <w:r>
        <w:rPr>
          <w:rFonts w:ascii="Google Sans Text" w:eastAsia="Google Sans Text" w:hAnsi="Google Sans Text" w:cs="Google Sans Text"/>
        </w:rPr>
        <w:t>Within the triaged tiers, 14 anomalies were classified as Tier 1 (Ironclad), which demonstrated absolute channel agreement combined with physics validation, while 36 anomalies were classified as Tier 1.5, showing clear physics and VLM coherence</w:t>
      </w:r>
      <w:r>
        <w:rPr>
          <w:rFonts w:ascii="Google Sans Text" w:eastAsia="Google Sans Text" w:hAnsi="Google Sans Text" w:cs="Google Sans Text"/>
        </w:rPr>
        <w:t>.</w:t>
      </w:r>
    </w:p>
    <w:p>
      <w:pPr>
        <w:rPr>
          <w:rFonts w:ascii="NanumSquare" w:eastAsia="NanumSquare" w:hAnsi="NanumSquare"/>
          <w:sz w:val="22"/>
          <w:szCs w:val="22"/>
        </w:rPr>
      </w:pPr>
      <w:r>
        <w:rPr>
          <w:rFonts w:ascii="Google Sans Text" w:eastAsia="Google Sans Text" w:hAnsi="Google Sans Text" w:cs="Google Sans Text"/>
        </w:rPr>
        <w:t>This proves that leveraging independent detectors (statistical, visual, and physics) can successfully unearth hidden anomalies even in the complete absence of expert-annotated ground truth</w:t>
      </w:r>
      <w:r>
        <w:rPr>
          <w:rFonts w:ascii="Google Sans Text" w:eastAsia="Google Sans Text" w:hAnsi="Google Sans Text" w:cs="Google Sans Text"/>
        </w:rPr>
        <w:t>.</w:t>
      </w:r>
    </w:p>
    <w:p>
      <w:pPr>
        <w:rPr>
          <w:lang w:eastAsia="ko-KR"/>
          <w:rFonts w:ascii="NanumSquare" w:eastAsia="NanumSquare" w:hAnsi="NanumSquare" w:hint="eastAsia"/>
          <w:b/>
          <w:sz w:val="28"/>
          <w:szCs w:val="28"/>
          <w:rtl w:val="off"/>
        </w:rPr>
      </w:pPr>
      <w:r>
        <w:rPr>
          <w:rFonts w:ascii="NanumSquare" w:eastAsia="NanumSquare" w:hAnsi="NanumSquare"/>
          <w:b/>
          <w:sz w:val="28"/>
          <w:szCs w:val="28"/>
        </w:rPr>
        <w:t>Implications</w:t>
      </w:r>
    </w:p>
    <w:p>
      <w:pPr>
        <w:spacing w:before="0"/>
        <w:rPr/>
      </w:pPr>
      <w:r>
        <w:rPr/>
        <w:t>The</w:t>
      </w:r>
      <w:r>
        <w:rPr>
          <w:rFonts w:ascii="Google Sans Text" w:eastAsia="Google Sans Text" w:hAnsi="Google Sans Text" w:cs="Google Sans Text"/>
        </w:rPr>
        <w:t xml:space="preserve"> primary impact of this study lies in establishing an actionable, triaged fault-detection tool tailored for aging Soviet-era infrastructure that is highly prone to leaks and sudden shutdowns</w:t>
      </w:r>
      <w:r>
        <w:rPr>
          <w:rFonts w:ascii="Google Sans Text" w:eastAsia="Google Sans Text" w:hAnsi="Google Sans Text" w:cs="Google Sans Text"/>
        </w:rPr>
        <w:t>. By demonstrating that classical forecasting and vision-language models are complementary, this research provides a framework for trustworthy industrial AI where critical decisions do not rely on a single black-box model but on cross-detector corroboration</w:t>
      </w:r>
      <w:r>
        <w:rPr>
          <w:rFonts w:ascii="Google Sans Text" w:eastAsia="Google Sans Text" w:hAnsi="Google Sans Text" w:cs="Google Sans Text"/>
        </w:rPr>
        <w:t>.</w:t>
      </w:r>
    </w:p>
    <w:p>
      <w:pPr>
        <w:rPr>
          <w:rFonts w:ascii="NanumSquare" w:eastAsia="NanumSquare" w:hAnsi="NanumSquare"/>
          <w:sz w:val="22"/>
          <w:szCs w:val="22"/>
        </w:rPr>
      </w:pPr>
      <w:r>
        <w:rPr>
          <w:rFonts w:ascii="Google Sans Text" w:eastAsia="Google Sans Text" w:hAnsi="Google Sans Text" w:cs="Google Sans Text"/>
        </w:rPr>
        <w:t>From a data engineering perspective, it implies that the severe limitation of lacking expert ground-truth labels can be effectively bypassed through the strategic combination of dense statistical pseudo-labels, hard physics-based rules, and the visual reasoning capabilities of pre-trained VLMs</w:t>
      </w:r>
      <w:r>
        <w:rPr>
          <w:rFonts w:ascii="Google Sans Text" w:eastAsia="Google Sans Text" w:hAnsi="Google Sans Text" w:cs="Google Sans Text"/>
        </w:rPr>
        <w:t>. Furthermore, the study outlines clear pathways for future operational deployment, highlighting the necessity of integrating weather as an exogenous driver for multivariate forecasting, infusing more physics-informed constraints, and leveraging VLM-generated narratives for the top anomalous intervals to provide human operators with easily interpretable, natural language explanations of system faults</w:t>
      </w:r>
      <w:r>
        <w:rPr>
          <w:rFonts w:ascii="Google Sans Text" w:eastAsia="Google Sans Text" w:hAnsi="Google Sans Text" w:cs="Google Sans Text"/>
        </w:rPr>
        <w:t>.</w:t>
      </w:r>
    </w:p>
    <w:p>
      <w:pPr>
        <w:spacing w:before="0"/>
        <w:rPr>
          <w:rFonts w:ascii="NanumSquare" w:eastAsia="NanumSquare" w:hAnsi="NanumSquare"/>
          <w:b/>
          <w:sz w:val="28"/>
          <w:szCs w:val="28"/>
        </w:rPr>
      </w:pPr>
      <w:r>
        <w:rPr>
          <w:rFonts w:ascii="NanumSquare" w:eastAsia="NanumSquare" w:hAnsi="NanumSquare"/>
          <w:b/>
          <w:sz w:val="28"/>
          <w:szCs w:val="28"/>
        </w:rPr>
        <w:t>Photo</w:t>
      </w:r>
    </w:p>
    <w:p>
      <w:pPr>
        <w:pStyle w:val="a"/>
        <w:wordWrap/>
        <w:snapToGrid/>
        <w:jc w:val="left"/>
        <w:spacing w:line="240" w:lineRule="auto"/>
        <w:rPr/>
      </w:pPr>
      <w:r>
        <w:rPr>
          <w:rFonts w:ascii="NanumSquare" w:eastAsia="NanumSquare" w:hAnsi="NanumSquare"/>
          <w:sz w:val="22"/>
          <w:szCs w:val="22"/>
        </w:rPr>
        <w:drawing>
          <wp:inline distT="0" distB="0" distL="180" distR="180">
            <wp:extent cx="5265646" cy="3949235"/>
            <wp:effectExtent l="-639229" t="672405" r="-639229" b="672411"/>
            <wp:docPr id="1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
                    <pic:cNvPicPr>
                      <a:picLocks noChangeAspect="1" noUngrp="1"/>
                    </pic:cNvPicPr>
                  </pic:nvPicPr>
                  <pic:blipFill>
                    <a:blip r:embed="rId2">
                      <a:extLst>
                        <a:ext uri="{28A0092B-C50C-407E-A947-70E740481C1C}">
                          <a14:useLocalDpi xmlns:a14="http://schemas.microsoft.com/office/drawing/2010/main" val="0"/>
                        </a:ext>
                      </a:extLst>
                    </a:blip>
                    <a:stretch>
                      <a:fillRect/>
                    </a:stretch>
                  </pic:blipFill>
                  <pic:spPr>
                    <a:xfrm rot="5375154">
                      <a:off x="0" y="0"/>
                      <a:ext cx="5265646" cy="3949235"/>
                    </a:xfrm>
                    <a:prstGeom prst="rect">
                      <a:avLst/>
                    </a:prstGeom>
                  </pic:spPr>
                </pic:pic>
              </a:graphicData>
            </a:graphic>
          </wp:inline>
        </w:drawing>
      </w:r>
    </w:p>
    <w:p>
      <w:pPr>
        <w:pStyle w:val="a"/>
        <w:wordWrap/>
        <w:snapToGrid/>
        <w:jc w:val="left"/>
        <w:spacing w:line="240" w:lineRule="auto"/>
        <w:rPr>
          <w:rFonts w:ascii="NanumSquare" w:eastAsia="NanumSquare" w:hAnsi="NanumSquare"/>
          <w:sz w:val="22"/>
          <w:szCs w:val="22"/>
        </w:rPr>
      </w:pPr>
    </w:p>
    <w:sectPr>
      <w:pgSz w:w="12240" w:h="15840"/>
      <w:pgMar w:top="1440" w:right="1440" w:bottom="1440" w:left="1440" w:header="720" w:footer="720" w:gutter="0"/>
      <w:cols w:space="720"/>
      <w:docGrid w:linePitch="360"/>
      <w:headerReference w:type="even" r:id="rId3"/>
      <w:headerReference w:type="default" r:id="rId4"/>
      <w:headerReference w:type="first" r:id="rId5"/>
      <w:footerReference w:type="even" r:id="rId6"/>
      <w:footerReference w:type="first" r:id="rId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anumSquare">
    <w:panose1 w:val="020B0600FFFFFFFFFFFF"/>
    <w:family w:val="swiss"/>
    <w:charset w:val="81"/>
    <w:notTrueType w:val="false"/>
    <w:pitch w:val="variable"/>
    <w:sig w:usb0="00000203" w:usb1="29D72C10" w:usb2="00000010" w:usb3="00000000" w:csb0="00280005" w:csb1="00000000"/>
  </w:font>
  <w:font w:name="Times New Roman">
    <w:panose1 w:val="02020603050405020304"/>
    <w:family w:val="Times New Roman"/>
    <w:charset w:val="00"/>
    <w:notTrueType w:val="false"/>
    <w:sig w:usb0="7FFFFFFF" w:usb1="7FFFFFFF" w:usb2="00000009" w:usb3="00000001" w:csb0="400001FF" w:csb1="7FFFFFFF"/>
  </w:font>
  <w:font w:name="Google Sans Text">
    <w:notTrueType w:val="false"/>
  </w:font>
  <w:font w:name="Batang">
    <w:panose1 w:val="02030600000101010101"/>
    <w:family w:val="Batang"/>
    <w:charset w:val="00"/>
    <w:notTrueType w:val="false"/>
    <w:sig w:usb0="7FFFFFFF" w:usb1="69D77CFB" w:usb2="00000030" w:usb3="00000001" w:csb0="4008009F" w:csb1="7FFFFF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jc w:val="right"/>
    </w:pPr>
    <w:r>
      <w:rPr>
        <w:noProof/>
      </w:rPr>
      <w:drawing>
        <wp:inline distT="0" distB="0" distL="0" distR="0">
          <wp:extent cx="982345" cy="321945"/>
          <wp:effectExtent l="0" t="0" r="0" b="0"/>
          <wp:docPr id="2049" name="shape2049"/>
          <wp:cNvGraphicFramePr/>
          <a:graphic xmlns:a="http://schemas.openxmlformats.org/drawingml/2006/main">
            <a:graphicData uri="http://schemas.openxmlformats.org/drawingml/2006/picture">
              <pic:pic xmlns:pic="http://schemas.openxmlformats.org/drawingml/2006/picture">
                <pic:nvPicPr>
                  <pic:cNvPr id="2049" name="shape2049"/>
                  <pic:cNvPicPr>
                    <a:picLocks noUngrp="1"/>
                  </pic:cNvPicPr>
                </pic:nvPicPr>
                <pic:blipFill>
                  <a:blip r:embed="rId1">
                    <a:extLst>
                      <a:ext uri="{28A0092B-C50C-407E-A947-70E740481C1C}">
                        <a14:useLocalDpi xmlns:a14="http://schemas.microsoft.com/office/drawing/2010/main" val="0"/>
                      </a:ext>
                    </a:extLst>
                  </a:blip>
                  <a:srcRect/>
                  <a:stretch>
                    <a:fillRect/>
                  </a:stretch>
                </pic:blipFill>
                <pic:spPr>
                  <a:xfrm>
                    <a:off x="0" y="0"/>
                    <a:ext cx="982345" cy="321945"/>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
    <w:multiLevelType w:val="multilevel"/>
    <w:lvl w:ilvl="0">
      <w:start w:val="1"/>
      <w:numFmt w:val="bullet"/>
      <w:lvlText w:val="•"/>
      <w:lvlJc w:val="left"/>
      <w:pPr>
        <w:ind w:left="720" w:hanging="360"/>
        <w:tabs>
          <w:tab w:val="num" w:pos="720"/>
        </w:tabs>
        <w:spacing w:before="0"/>
      </w:pPr>
    </w:lvl>
    <w:lvl w:ilvl="1">
      <w:start w:val="1"/>
      <w:numFmt w:val="bullet"/>
      <w:lvlText w:val="•"/>
      <w:lvlJc w:val="left"/>
      <w:pPr>
        <w:ind w:left="1440" w:hanging="360"/>
        <w:tabs>
          <w:tab w:val="num" w:pos="1440"/>
        </w:tabs>
        <w:spacing w:before="0"/>
      </w:pPr>
    </w:lvl>
    <w:lvl w:ilvl="2">
      <w:start w:val="1"/>
      <w:numFmt w:val="bullet"/>
      <w:lvlText w:val="•"/>
      <w:lvlJc w:val="left"/>
      <w:pPr>
        <w:ind w:left="2160" w:hanging="360"/>
        <w:tabs>
          <w:tab w:val="num" w:pos="2160"/>
        </w:tabs>
        <w:spacing w:before="0"/>
      </w:pPr>
    </w:lvl>
    <w:lvl w:ilvl="3">
      <w:start w:val="1"/>
      <w:numFmt w:val="bullet"/>
      <w:lvlText w:val="•"/>
      <w:lvlJc w:val="left"/>
      <w:pPr>
        <w:ind w:left="2880" w:hanging="360"/>
        <w:tabs>
          <w:tab w:val="num" w:pos="2880"/>
        </w:tabs>
        <w:spacing w:before="0"/>
      </w:pPr>
    </w:lvl>
    <w:lvl w:ilvl="4">
      <w:start w:val="1"/>
      <w:numFmt w:val="bullet"/>
      <w:lvlText w:val="•"/>
      <w:lvlJc w:val="left"/>
      <w:pPr>
        <w:ind w:left="3600" w:hanging="360"/>
        <w:tabs>
          <w:tab w:val="num" w:pos="3600"/>
        </w:tabs>
        <w:spacing w:before="0"/>
      </w:pPr>
    </w:lvl>
    <w:lvl w:ilvl="5">
      <w:start w:val="1"/>
      <w:numFmt w:val="bullet"/>
      <w:lvlText w:val="•"/>
      <w:lvlJc w:val="left"/>
      <w:pPr>
        <w:ind w:left="4320" w:hanging="360"/>
        <w:tabs>
          <w:tab w:val="num" w:pos="4320"/>
        </w:tabs>
        <w:spacing w:before="0"/>
      </w:pPr>
    </w:lvl>
    <w:lvl w:ilvl="6">
      <w:start w:val="1"/>
      <w:numFmt w:val="bullet"/>
      <w:lvlText w:val="•"/>
      <w:lvlJc w:val="left"/>
      <w:pPr>
        <w:ind w:left="5040" w:hanging="360"/>
        <w:tabs>
          <w:tab w:val="num" w:pos="5040"/>
        </w:tabs>
        <w:spacing w:before="0"/>
      </w:pPr>
    </w:lvl>
    <w:lvl w:ilvl="7">
      <w:start w:val="1"/>
      <w:numFmt w:val="bullet"/>
      <w:lvlText w:val="•"/>
      <w:lvlJc w:val="left"/>
      <w:pPr>
        <w:ind w:left="5760" w:hanging="360"/>
        <w:tabs>
          <w:tab w:val="num" w:pos="5760"/>
        </w:tabs>
        <w:spacing w:before="0"/>
      </w:pPr>
    </w:lvl>
    <w:lvl w:ilvl="8">
      <w:start w:val="1"/>
      <w:numFmt w:val="bullet"/>
      <w:lvlText w:val="•"/>
      <w:lvlJc w:val="left"/>
      <w:pPr>
        <w:ind w:left="6480" w:hanging="360"/>
        <w:tabs>
          <w:tab w:val="num" w:pos="6480"/>
        </w:tabs>
        <w:spacing w:before="0"/>
      </w:pPr>
    </w:lvl>
  </w:abstractNum>
  <w:abstractNum w:abstractNumId="1">
    <w:nsid w:val="3"/>
    <w:multiLevelType w:val="multilevel"/>
    <w:lvl w:ilvl="0">
      <w:start w:val="1"/>
      <w:numFmt w:val="bullet"/>
      <w:lvlText w:val="•"/>
      <w:lvlJc w:val="left"/>
      <w:pPr>
        <w:ind w:left="720" w:hanging="360"/>
        <w:tabs>
          <w:tab w:val="num" w:pos="720"/>
        </w:tabs>
        <w:spacing w:before="0"/>
      </w:pPr>
    </w:lvl>
    <w:lvl w:ilvl="1">
      <w:start w:val="1"/>
      <w:numFmt w:val="bullet"/>
      <w:lvlText w:val="•"/>
      <w:lvlJc w:val="left"/>
      <w:pPr>
        <w:ind w:left="1440" w:hanging="360"/>
        <w:tabs>
          <w:tab w:val="num" w:pos="1440"/>
        </w:tabs>
        <w:spacing w:before="0"/>
      </w:pPr>
    </w:lvl>
    <w:lvl w:ilvl="2">
      <w:start w:val="1"/>
      <w:numFmt w:val="bullet"/>
      <w:lvlText w:val="•"/>
      <w:lvlJc w:val="left"/>
      <w:pPr>
        <w:ind w:left="2160" w:hanging="360"/>
        <w:tabs>
          <w:tab w:val="num" w:pos="2160"/>
        </w:tabs>
        <w:spacing w:before="0"/>
      </w:pPr>
    </w:lvl>
    <w:lvl w:ilvl="3">
      <w:start w:val="1"/>
      <w:numFmt w:val="bullet"/>
      <w:lvlText w:val="•"/>
      <w:lvlJc w:val="left"/>
      <w:pPr>
        <w:ind w:left="2880" w:hanging="360"/>
        <w:tabs>
          <w:tab w:val="num" w:pos="2880"/>
        </w:tabs>
        <w:spacing w:before="0"/>
      </w:pPr>
    </w:lvl>
    <w:lvl w:ilvl="4">
      <w:start w:val="1"/>
      <w:numFmt w:val="bullet"/>
      <w:lvlText w:val="•"/>
      <w:lvlJc w:val="left"/>
      <w:pPr>
        <w:ind w:left="3600" w:hanging="360"/>
        <w:tabs>
          <w:tab w:val="num" w:pos="3600"/>
        </w:tabs>
        <w:spacing w:before="0"/>
      </w:pPr>
    </w:lvl>
    <w:lvl w:ilvl="5">
      <w:start w:val="1"/>
      <w:numFmt w:val="bullet"/>
      <w:lvlText w:val="•"/>
      <w:lvlJc w:val="left"/>
      <w:pPr>
        <w:ind w:left="4320" w:hanging="360"/>
        <w:tabs>
          <w:tab w:val="num" w:pos="4320"/>
        </w:tabs>
        <w:spacing w:before="0"/>
      </w:pPr>
    </w:lvl>
    <w:lvl w:ilvl="6">
      <w:start w:val="1"/>
      <w:numFmt w:val="bullet"/>
      <w:lvlText w:val="•"/>
      <w:lvlJc w:val="left"/>
      <w:pPr>
        <w:ind w:left="5040" w:hanging="360"/>
        <w:tabs>
          <w:tab w:val="num" w:pos="5040"/>
        </w:tabs>
        <w:spacing w:before="0"/>
      </w:pPr>
    </w:lvl>
    <w:lvl w:ilvl="7">
      <w:start w:val="1"/>
      <w:numFmt w:val="bullet"/>
      <w:lvlText w:val="•"/>
      <w:lvlJc w:val="left"/>
      <w:pPr>
        <w:ind w:left="5760" w:hanging="360"/>
        <w:tabs>
          <w:tab w:val="num" w:pos="5760"/>
        </w:tabs>
        <w:spacing w:before="0"/>
      </w:pPr>
    </w:lvl>
    <w:lvl w:ilvl="8">
      <w:start w:val="1"/>
      <w:numFmt w:val="bullet"/>
      <w:lvlText w:val="•"/>
      <w:lvlJc w:val="left"/>
      <w:pPr>
        <w:ind w:left="6480" w:hanging="360"/>
        <w:tabs>
          <w:tab w:val="num" w:pos="6480"/>
        </w:tabs>
        <w:spacing w:befor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2"/>
        <w:szCs w:val="22"/>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basedOn w:val="Normal"/>
    <w:pPr>
      <w:autoSpaceDE w:val="off"/>
      <w:autoSpaceDN w:val="off"/>
      <w:widowControl w:val="off"/>
      <w:wordWrap w:val="off"/>
      <w:snapToGrid w:val="0"/>
      <w:jc w:val="both"/>
      <w:spacing w:after="0" w:line="384" w:lineRule="auto"/>
      <w:textAlignment w:val="baseline"/>
    </w:pPr>
    <w:rPr>
      <w:rFonts w:ascii="Batang" w:eastAsia="Times New Roman" w:hAnsi="Times New Roman" w:cs="Times New Roman"/>
      <w:color w:val="000000"/>
      <w:sz w:val="20"/>
      <w:szCs w:val="20"/>
    </w:rPr>
  </w:style>
  <w:style w:type="paragraph"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4" Type="http://schemas.openxmlformats.org/officeDocument/2006/relationships/header" Target="header2.xml" /><Relationship Id="rId5" Type="http://schemas.openxmlformats.org/officeDocument/2006/relationships/header" Target="header3.xml" /><Relationship Id="rId6" Type="http://schemas.openxmlformats.org/officeDocument/2006/relationships/footer" Target="footer1.xml" /><Relationship Id="rId7" Type="http://schemas.openxmlformats.org/officeDocument/2006/relationships/footer" Target="footer2.xml" /><Relationship Id="rId1" Type="http://schemas.openxmlformats.org/officeDocument/2006/relationships/image" Target="media/image1.png" /><Relationship Id="rId2" Type="http://schemas.openxmlformats.org/officeDocument/2006/relationships/image" Target="media/image2.jpeg" /><Relationship Id="rId8" Type="http://schemas.openxmlformats.org/officeDocument/2006/relationships/styles" Target="styles.xml" /><Relationship Id="rId9" Type="http://schemas.openxmlformats.org/officeDocument/2006/relationships/settings" Target="settings.xml" /><Relationship Id="rId10" Type="http://schemas.openxmlformats.org/officeDocument/2006/relationships/fontTable" Target="fontTable.xml" /><Relationship Id="rId11" Type="http://schemas.openxmlformats.org/officeDocument/2006/relationships/webSettings" Target="webSettings.xml" /><Relationship Id="rId12" Type="http://schemas.openxmlformats.org/officeDocument/2006/relationships/numbering" Target="numbering.xml" /><Relationship Id="rId13" Type="http://schemas.openxmlformats.org/officeDocument/2006/relationships/theme" Target="theme/theme1.xml" /></Relationships>
</file>

<file path=word/_rels/header2.xml.rels><?xml version="1.0" encoding="UTF-8" standalone="yes"?><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hwyim</dc:creator>
  <cp:keywords/>
  <dc:description/>
  <cp:lastModifiedBy>민지홍</cp:lastModifiedBy>
  <cp:revision>1</cp:revision>
  <dcterms:created xsi:type="dcterms:W3CDTF">2025-04-30T06:14:00Z</dcterms:created>
  <dcterms:modified xsi:type="dcterms:W3CDTF">2026-06-13T22:46:37Z</dcterms:modified>
  <cp:version>1300.0100.01</cp:version>
</cp:coreProperties>
</file>