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021CA" w14:textId="77777777" w:rsidR="00132617" w:rsidRPr="00132617" w:rsidRDefault="00132617" w:rsidP="00132617">
      <w:r w:rsidRPr="00132617">
        <w:t xml:space="preserve">This project showed that developing an algorithmic trading system is not only about designing a signal, but about making strategy logic, execution assumptions, risk controls, and reporting internally consistent. At the beginning, the </w:t>
      </w:r>
      <w:proofErr w:type="gramStart"/>
      <w:r w:rsidRPr="00132617">
        <w:t>main focus</w:t>
      </w:r>
      <w:proofErr w:type="gramEnd"/>
      <w:r w:rsidRPr="00132617">
        <w:t xml:space="preserve"> was on building a regime-gated PCA residual-flow strategy with microstructure confirmation. However, as the project progressed, it became clear that the more difficult task was turning that idea into a system that was technically coherent and honest about its limitations. One major challenge was limited prior familiarity with the crypto exchange environment. Working with Binance Futures, especially through </w:t>
      </w:r>
      <w:proofErr w:type="spellStart"/>
      <w:r w:rsidRPr="00132617">
        <w:t>testnet</w:t>
      </w:r>
      <w:proofErr w:type="spellEnd"/>
      <w:r w:rsidRPr="00132617">
        <w:t xml:space="preserve">, required much more than simply connecting to the API. It was necessary to understand what the exchange and the Python package </w:t>
      </w:r>
      <w:proofErr w:type="gramStart"/>
      <w:r w:rsidRPr="00132617">
        <w:t>actually supported</w:t>
      </w:r>
      <w:proofErr w:type="gramEnd"/>
      <w:r w:rsidRPr="00132617">
        <w:t>, and this became even more important because AI-assisted coding was used extensively. The project made clear that AI output could not be treated as a black box: it had to be understood, checked, and refined against real exchange behavior and system requirements.</w:t>
      </w:r>
    </w:p>
    <w:p w14:paraId="132D394C" w14:textId="77777777" w:rsidR="00132617" w:rsidRDefault="00132617" w:rsidP="00132617">
      <w:r w:rsidRPr="00132617">
        <w:t xml:space="preserve">A second key lesson came from the architecture itself. The group gradually learned that the detailed flow of data, signals, risk checks, execution, and portfolio updates mattered as much as the strategy idea. This was especially clear in areas such as circuit breakers and risk logic, where implementation details could determine whether the system would behave safely under stress. The same applied to portfolio construction and reporting: later refinements showed that even small inconsistencies, such as a one-sided book surviving confirmation or exported return labels not matching the actual equity logic, could weaken the credibility of </w:t>
      </w:r>
      <w:proofErr w:type="gramStart"/>
      <w:r w:rsidRPr="00132617">
        <w:t>the final result</w:t>
      </w:r>
      <w:proofErr w:type="gramEnd"/>
      <w:r w:rsidRPr="00132617">
        <w:t xml:space="preserve">. Fixing these issues reinforced the importance of consistency between code, outputs, and written claims. </w:t>
      </w:r>
    </w:p>
    <w:p w14:paraId="2722D805" w14:textId="1FF71EEB" w:rsidR="00132617" w:rsidRDefault="00132617" w:rsidP="00132617">
      <w:r>
        <w:t xml:space="preserve">We also experimented with a lot of variations of our primary strategy. We tried using cross-sectional IC, tuned our parameters (turning regime gate on/off, IC gate on/off, microstructure confirmation on/off, continuation vs reversal, rebalancing frequency, smoothing, cost sweep), and have also checked cross window stability. </w:t>
      </w:r>
    </w:p>
    <w:p w14:paraId="05893A7B" w14:textId="68196905" w:rsidR="00132617" w:rsidRDefault="00132617" w:rsidP="00132617">
      <w:r>
        <w:t>From our above experiments, our conclusion is as follows. We have a real signal, but a reversal one (IC of about -0.029 with t-</w:t>
      </w:r>
      <w:proofErr w:type="gramStart"/>
      <w:r>
        <w:t>stat</w:t>
      </w:r>
      <w:proofErr w:type="gramEnd"/>
      <w:r>
        <w:t xml:space="preserve"> of about -16), meaning direction was the biggest parameter we needed to change. Smoothing/longer rebalancing destroys gross edge, meaning edge is in the fast reversion, turning the regime off </w:t>
      </w:r>
      <w:proofErr w:type="gramStart"/>
      <w:r>
        <w:t>actually significantly</w:t>
      </w:r>
      <w:proofErr w:type="gramEnd"/>
      <w:r>
        <w:t xml:space="preserve"> helped with the strategy. IC was also period dependent (-0.029 in May – Jun vs -0.01 in March), which led is to keep the IC stability gate. Our main reward was that this strategy produced a genuine gross edge, yielding a strategy with 6.5% returns over 30 days and a Sharpe ratio of 5.7. However, the turnover kills the strategy as we have extremely high turnover </w:t>
      </w:r>
      <w:proofErr w:type="gramStart"/>
      <w:r>
        <w:t>rates</w:t>
      </w:r>
      <w:proofErr w:type="gramEnd"/>
      <w:r>
        <w:t xml:space="preserve"> and it only breaks even at 0.05 </w:t>
      </w:r>
      <w:proofErr w:type="gramStart"/>
      <w:r>
        <w:t>bp</w:t>
      </w:r>
      <w:proofErr w:type="gramEnd"/>
      <w:r>
        <w:t xml:space="preserve"> which is very unrealistic. </w:t>
      </w:r>
    </w:p>
    <w:p w14:paraId="2BAB7741" w14:textId="2CAE2802" w:rsidR="00D5609C" w:rsidRPr="00132617" w:rsidRDefault="00D5609C" w:rsidP="00132617">
      <w:r>
        <w:lastRenderedPageBreak/>
        <w:t xml:space="preserve">Following this conclusion, we used economic intuition and brainstormed that this problem would be eased if instead of being the liquidity taker and paying spread and fee on every entry and exit, we would become the market maker to earn the spread instead. However, this would be a completely different execution </w:t>
      </w:r>
      <w:proofErr w:type="gramStart"/>
      <w:r>
        <w:t>model</w:t>
      </w:r>
      <w:proofErr w:type="gramEnd"/>
      <w:r>
        <w:t xml:space="preserve"> and we would need L2 depth data instead of </w:t>
      </w:r>
      <w:proofErr w:type="spellStart"/>
      <w:r>
        <w:t>klines</w:t>
      </w:r>
      <w:proofErr w:type="spellEnd"/>
      <w:r>
        <w:t xml:space="preserve"> which we are currently using. </w:t>
      </w:r>
    </w:p>
    <w:p w14:paraId="026BBE0C" w14:textId="35C73FD7" w:rsidR="002A6974" w:rsidRDefault="00D5609C">
      <w:r>
        <w:t>With this, we conclude the reflection by drawing a code structure of our repository.</w:t>
      </w:r>
      <w:r w:rsidR="00132617" w:rsidRPr="00132617">
        <w:drawing>
          <wp:inline distT="0" distB="0" distL="0" distR="0" wp14:anchorId="1F60DF26" wp14:editId="506CC075">
            <wp:extent cx="5943600" cy="2785110"/>
            <wp:effectExtent l="0" t="0" r="0" b="0"/>
            <wp:docPr id="14830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6668" name=""/>
                    <pic:cNvPicPr/>
                  </pic:nvPicPr>
                  <pic:blipFill>
                    <a:blip r:embed="rId4"/>
                    <a:stretch>
                      <a:fillRect/>
                    </a:stretch>
                  </pic:blipFill>
                  <pic:spPr>
                    <a:xfrm>
                      <a:off x="0" y="0"/>
                      <a:ext cx="5943600" cy="2785110"/>
                    </a:xfrm>
                    <a:prstGeom prst="rect">
                      <a:avLst/>
                    </a:prstGeom>
                  </pic:spPr>
                </pic:pic>
              </a:graphicData>
            </a:graphic>
          </wp:inline>
        </w:drawing>
      </w:r>
    </w:p>
    <w:sectPr w:rsidR="002A6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17"/>
    <w:rsid w:val="00000EE6"/>
    <w:rsid w:val="00132617"/>
    <w:rsid w:val="001C2A88"/>
    <w:rsid w:val="002A6974"/>
    <w:rsid w:val="00D56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AC935"/>
  <w15:chartTrackingRefBased/>
  <w15:docId w15:val="{25127E75-E20B-42F0-ADE0-72A2AFE49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617"/>
    <w:rPr>
      <w:rFonts w:eastAsiaTheme="majorEastAsia" w:cstheme="majorBidi"/>
      <w:color w:val="272727" w:themeColor="text1" w:themeTint="D8"/>
    </w:rPr>
  </w:style>
  <w:style w:type="paragraph" w:styleId="Title">
    <w:name w:val="Title"/>
    <w:basedOn w:val="Normal"/>
    <w:next w:val="Normal"/>
    <w:link w:val="TitleChar"/>
    <w:uiPriority w:val="10"/>
    <w:qFormat/>
    <w:rsid w:val="00132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617"/>
    <w:pPr>
      <w:spacing w:before="160"/>
      <w:jc w:val="center"/>
    </w:pPr>
    <w:rPr>
      <w:i/>
      <w:iCs/>
      <w:color w:val="404040" w:themeColor="text1" w:themeTint="BF"/>
    </w:rPr>
  </w:style>
  <w:style w:type="character" w:customStyle="1" w:styleId="QuoteChar">
    <w:name w:val="Quote Char"/>
    <w:basedOn w:val="DefaultParagraphFont"/>
    <w:link w:val="Quote"/>
    <w:uiPriority w:val="29"/>
    <w:rsid w:val="00132617"/>
    <w:rPr>
      <w:i/>
      <w:iCs/>
      <w:color w:val="404040" w:themeColor="text1" w:themeTint="BF"/>
    </w:rPr>
  </w:style>
  <w:style w:type="paragraph" w:styleId="ListParagraph">
    <w:name w:val="List Paragraph"/>
    <w:basedOn w:val="Normal"/>
    <w:uiPriority w:val="34"/>
    <w:qFormat/>
    <w:rsid w:val="00132617"/>
    <w:pPr>
      <w:ind w:left="720"/>
      <w:contextualSpacing/>
    </w:pPr>
  </w:style>
  <w:style w:type="character" w:styleId="IntenseEmphasis">
    <w:name w:val="Intense Emphasis"/>
    <w:basedOn w:val="DefaultParagraphFont"/>
    <w:uiPriority w:val="21"/>
    <w:qFormat/>
    <w:rsid w:val="00132617"/>
    <w:rPr>
      <w:i/>
      <w:iCs/>
      <w:color w:val="0F4761" w:themeColor="accent1" w:themeShade="BF"/>
    </w:rPr>
  </w:style>
  <w:style w:type="paragraph" w:styleId="IntenseQuote">
    <w:name w:val="Intense Quote"/>
    <w:basedOn w:val="Normal"/>
    <w:next w:val="Normal"/>
    <w:link w:val="IntenseQuoteChar"/>
    <w:uiPriority w:val="30"/>
    <w:qFormat/>
    <w:rsid w:val="00132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617"/>
    <w:rPr>
      <w:i/>
      <w:iCs/>
      <w:color w:val="0F4761" w:themeColor="accent1" w:themeShade="BF"/>
    </w:rPr>
  </w:style>
  <w:style w:type="character" w:styleId="IntenseReference">
    <w:name w:val="Intense Reference"/>
    <w:basedOn w:val="DefaultParagraphFont"/>
    <w:uiPriority w:val="32"/>
    <w:qFormat/>
    <w:rsid w:val="00132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 James</dc:creator>
  <cp:keywords/>
  <dc:description/>
  <cp:lastModifiedBy>Shen James</cp:lastModifiedBy>
  <cp:revision>1</cp:revision>
  <dcterms:created xsi:type="dcterms:W3CDTF">2026-06-23T09:11:00Z</dcterms:created>
  <dcterms:modified xsi:type="dcterms:W3CDTF">2026-06-23T09:24:00Z</dcterms:modified>
</cp:coreProperties>
</file>