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svg" ContentType="image/svg+xml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latform-regelbeheer"/>
    <w:p>
      <w:pPr>
        <w:pStyle w:val="Heading1"/>
      </w:pPr>
      <w:r>
        <w:t xml:space="preserve">Platform Regelbeheer</w:t>
      </w:r>
    </w:p>
    <w:bookmarkStart w:id="20" w:name="X8a47a45923c1055db84fb36bf498eaa21f316bb"/>
    <w:p>
      <w:pPr>
        <w:pStyle w:val="Heading2"/>
      </w:pPr>
      <w:r>
        <w:t xml:space="preserve">Op basis van regels.overheid.nl en de Leidraad Regelbeheer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 </w:t>
      </w:r>
      <w:r>
        <w:t xml:space="preserve">Concept 0.1</w:t>
      </w:r>
      <w:r>
        <w:t xml:space="preserve"> </w:t>
      </w:r>
      <w:r>
        <w:t xml:space="preserve">Datum 30-01-2025</w:t>
      </w:r>
    </w:p>
    <w:p>
      <w:pPr>
        <w:pStyle w:val="BodyText"/>
      </w:pPr>
      <w:r>
        <w:t xml:space="preserve">(Nog af te stemmen met alle stakeholders)</w:t>
      </w:r>
    </w:p>
    <w:p>
      <w:pPr>
        <w:pStyle w:val="BodyText"/>
      </w:pPr>
      <w:r>
        <w:t xml:space="preserve">TODO: plaatje</w:t>
      </w:r>
    </w:p>
    <w:bookmarkEnd w:id="20"/>
    <w:bookmarkEnd w:id="21"/>
    <w:bookmarkStart w:id="22" w:name="inhoud"/>
    <w:p>
      <w:pPr>
        <w:pStyle w:val="Heading1"/>
      </w:pPr>
      <w:r>
        <w:t xml:space="preserve">Inhoud</w:t>
      </w:r>
    </w:p>
    <w:bookmarkEnd w:id="22"/>
    <w:bookmarkStart w:id="23" w:name="Xff33aeb5942754d42ccbeaf8813e6592cc88c06"/>
    <w:p>
      <w:pPr>
        <w:pStyle w:val="Heading1"/>
      </w:pPr>
      <w:r>
        <w:t xml:space="preserve">1 Inhoudsopgave</w:t>
      </w:r>
    </w:p>
    <w:p>
      <w:pPr>
        <w:numPr>
          <w:ilvl w:val="0"/>
          <w:numId w:val="1001"/>
        </w:numPr>
      </w:pPr>
      <w:hyperlink w:anchor="managementsamenvatting">
        <w:r>
          <w:rPr>
            <w:rStyle w:val="Hyperlink"/>
          </w:rPr>
          <w:t xml:space="preserve">2 Managementsamenvatting</w:t>
        </w:r>
      </w:hyperlink>
    </w:p>
    <w:p>
      <w:pPr>
        <w:numPr>
          <w:ilvl w:val="0"/>
          <w:numId w:val="1001"/>
        </w:numPr>
      </w:pPr>
      <w:hyperlink w:anchor="inleiding">
        <w:r>
          <w:rPr>
            <w:rStyle w:val="Hyperlink"/>
          </w:rPr>
          <w:t xml:space="preserve">3 Inleiding</w:t>
        </w:r>
      </w:hyperlink>
    </w:p>
    <w:p>
      <w:pPr>
        <w:numPr>
          <w:ilvl w:val="1"/>
          <w:numId w:val="1002"/>
        </w:numPr>
      </w:pPr>
      <w:hyperlink w:anchor="aanleiding-en-doelstelling">
        <w:r>
          <w:rPr>
            <w:rStyle w:val="Hyperlink"/>
          </w:rPr>
          <w:t xml:space="preserve">3.1 Aanleiding en doelstelling</w:t>
        </w:r>
      </w:hyperlink>
    </w:p>
    <w:p>
      <w:pPr>
        <w:numPr>
          <w:ilvl w:val="1"/>
          <w:numId w:val="1002"/>
        </w:numPr>
      </w:pPr>
      <w:hyperlink w:anchor="de-verandering">
        <w:r>
          <w:rPr>
            <w:rStyle w:val="Hyperlink"/>
          </w:rPr>
          <w:t xml:space="preserve">3.2 De verandering</w:t>
        </w:r>
      </w:hyperlink>
    </w:p>
    <w:p>
      <w:pPr>
        <w:numPr>
          <w:ilvl w:val="1"/>
          <w:numId w:val="1002"/>
        </w:numPr>
      </w:pPr>
      <w:hyperlink w:anchor="stakeholders">
        <w:r>
          <w:rPr>
            <w:rStyle w:val="Hyperlink"/>
          </w:rPr>
          <w:t xml:space="preserve">3.3 Stakeholders</w:t>
        </w:r>
      </w:hyperlink>
    </w:p>
    <w:p>
      <w:pPr>
        <w:numPr>
          <w:ilvl w:val="1"/>
          <w:numId w:val="1002"/>
        </w:numPr>
      </w:pPr>
      <w:hyperlink w:anchor="relaties-met-andere-ontwikkelingen">
        <w:r>
          <w:rPr>
            <w:rStyle w:val="Hyperlink"/>
          </w:rPr>
          <w:t xml:space="preserve">3.4 Relaties met andere ontwikkelingen</w:t>
        </w:r>
      </w:hyperlink>
    </w:p>
    <w:p>
      <w:pPr>
        <w:numPr>
          <w:ilvl w:val="0"/>
          <w:numId w:val="1001"/>
        </w:numPr>
      </w:pPr>
      <w:hyperlink w:anchor="visualisatie-en-visie">
        <w:r>
          <w:rPr>
            <w:rStyle w:val="Hyperlink"/>
          </w:rPr>
          <w:t xml:space="preserve">4 Visualisatie en visie</w:t>
        </w:r>
      </w:hyperlink>
    </w:p>
    <w:p>
      <w:pPr>
        <w:numPr>
          <w:ilvl w:val="1"/>
          <w:numId w:val="1003"/>
        </w:numPr>
      </w:pPr>
      <w:hyperlink w:anchor="huidige-situatie">
        <w:r>
          <w:rPr>
            <w:rStyle w:val="Hyperlink"/>
          </w:rPr>
          <w:t xml:space="preserve">4.1 Huidige situatie</w:t>
        </w:r>
      </w:hyperlink>
    </w:p>
    <w:p>
      <w:pPr>
        <w:numPr>
          <w:ilvl w:val="1"/>
          <w:numId w:val="1003"/>
        </w:numPr>
      </w:pPr>
      <w:hyperlink w:anchor="Xa2e4fd76bab3dbaeebb54e5321b273d51407ac5">
        <w:r>
          <w:rPr>
            <w:rStyle w:val="Hyperlink"/>
          </w:rPr>
          <w:t xml:space="preserve">4.2 Platform Regelbeheer, een essentiële generieke Digitale Bouwsteen</w:t>
        </w:r>
      </w:hyperlink>
    </w:p>
    <w:p>
      <w:pPr>
        <w:numPr>
          <w:ilvl w:val="0"/>
          <w:numId w:val="1001"/>
        </w:numPr>
      </w:pPr>
      <w:hyperlink w:anchor="beschrijving-per-laag">
        <w:r>
          <w:rPr>
            <w:rStyle w:val="Hyperlink"/>
          </w:rPr>
          <w:t xml:space="preserve">5 Beschrijving per laag</w:t>
        </w:r>
      </w:hyperlink>
    </w:p>
    <w:p>
      <w:pPr>
        <w:numPr>
          <w:ilvl w:val="1"/>
          <w:numId w:val="1004"/>
        </w:numPr>
      </w:pPr>
      <w:hyperlink w:anchor="overzicht">
        <w:r>
          <w:rPr>
            <w:rStyle w:val="Hyperlink"/>
          </w:rPr>
          <w:t xml:space="preserve">5.1 Overzicht</w:t>
        </w:r>
      </w:hyperlink>
    </w:p>
    <w:p>
      <w:pPr>
        <w:numPr>
          <w:ilvl w:val="1"/>
          <w:numId w:val="1004"/>
        </w:numPr>
      </w:pPr>
      <w:hyperlink w:anchor="grondslagen">
        <w:r>
          <w:rPr>
            <w:rStyle w:val="Hyperlink"/>
          </w:rPr>
          <w:t xml:space="preserve">5.2 Grondslagen</w:t>
        </w:r>
      </w:hyperlink>
    </w:p>
    <w:p>
      <w:pPr>
        <w:numPr>
          <w:ilvl w:val="1"/>
          <w:numId w:val="1004"/>
        </w:numPr>
      </w:pPr>
      <w:hyperlink w:anchor="organisatie">
        <w:r>
          <w:rPr>
            <w:rStyle w:val="Hyperlink"/>
          </w:rPr>
          <w:t xml:space="preserve">5.3 Organisatie</w:t>
        </w:r>
      </w:hyperlink>
    </w:p>
    <w:p>
      <w:pPr>
        <w:numPr>
          <w:ilvl w:val="1"/>
          <w:numId w:val="1004"/>
        </w:numPr>
      </w:pPr>
      <w:hyperlink w:anchor="informatie">
        <w:r>
          <w:rPr>
            <w:rStyle w:val="Hyperlink"/>
          </w:rPr>
          <w:t xml:space="preserve">5.4 Informatie</w:t>
        </w:r>
      </w:hyperlink>
    </w:p>
    <w:p>
      <w:pPr>
        <w:numPr>
          <w:ilvl w:val="1"/>
          <w:numId w:val="1004"/>
        </w:numPr>
      </w:pPr>
      <w:hyperlink w:anchor="applicaties">
        <w:r>
          <w:rPr>
            <w:rStyle w:val="Hyperlink"/>
          </w:rPr>
          <w:t xml:space="preserve">5.5 Applicaties</w:t>
        </w:r>
      </w:hyperlink>
    </w:p>
    <w:p>
      <w:pPr>
        <w:numPr>
          <w:ilvl w:val="1"/>
          <w:numId w:val="1004"/>
        </w:numPr>
      </w:pPr>
      <w:hyperlink w:anchor="fysieke-infrastructuur">
        <w:r>
          <w:rPr>
            <w:rStyle w:val="Hyperlink"/>
          </w:rPr>
          <w:t xml:space="preserve">5.6 Fysieke infrastructuur</w:t>
        </w:r>
      </w:hyperlink>
    </w:p>
    <w:p>
      <w:pPr>
        <w:numPr>
          <w:ilvl w:val="0"/>
          <w:numId w:val="1001"/>
        </w:numPr>
      </w:pPr>
      <w:hyperlink w:anchor="standaarden">
        <w:r>
          <w:rPr>
            <w:rStyle w:val="Hyperlink"/>
          </w:rPr>
          <w:t xml:space="preserve">6 Standaarden</w:t>
        </w:r>
      </w:hyperlink>
    </w:p>
    <w:p>
      <w:pPr>
        <w:numPr>
          <w:ilvl w:val="0"/>
          <w:numId w:val="1001"/>
        </w:numPr>
      </w:pPr>
      <w:hyperlink w:anchor="privacy-en-informatiebeveiliging">
        <w:r>
          <w:rPr>
            <w:rStyle w:val="Hyperlink"/>
          </w:rPr>
          <w:t xml:space="preserve">7 Privacy en Informatiebeveiliging</w:t>
        </w:r>
      </w:hyperlink>
    </w:p>
    <w:p>
      <w:pPr>
        <w:numPr>
          <w:ilvl w:val="1"/>
          <w:numId w:val="1005"/>
        </w:numPr>
      </w:pPr>
      <w:hyperlink w:anchor="privacy">
        <w:r>
          <w:rPr>
            <w:rStyle w:val="Hyperlink"/>
          </w:rPr>
          <w:t xml:space="preserve">7.1 Privacy</w:t>
        </w:r>
      </w:hyperlink>
    </w:p>
    <w:p>
      <w:pPr>
        <w:numPr>
          <w:ilvl w:val="1"/>
          <w:numId w:val="1005"/>
        </w:numPr>
      </w:pPr>
      <w:hyperlink w:anchor="informatiebeveiliging">
        <w:r>
          <w:rPr>
            <w:rStyle w:val="Hyperlink"/>
          </w:rPr>
          <w:t xml:space="preserve">7.2 Informatiebeveiliging</w:t>
        </w:r>
      </w:hyperlink>
    </w:p>
    <w:p>
      <w:pPr>
        <w:numPr>
          <w:ilvl w:val="0"/>
          <w:numId w:val="1001"/>
        </w:numPr>
      </w:pPr>
      <w:hyperlink w:anchor="beheer">
        <w:r>
          <w:rPr>
            <w:rStyle w:val="Hyperlink"/>
          </w:rPr>
          <w:t xml:space="preserve">8 Beheer</w:t>
        </w:r>
      </w:hyperlink>
    </w:p>
    <w:p>
      <w:pPr>
        <w:numPr>
          <w:ilvl w:val="0"/>
          <w:numId w:val="1001"/>
        </w:numPr>
      </w:pPr>
      <w:hyperlink w:anchor="beslispunten">
        <w:r>
          <w:rPr>
            <w:rStyle w:val="Hyperlink"/>
          </w:rPr>
          <w:t xml:space="preserve">9 Beslispunten</w:t>
        </w:r>
      </w:hyperlink>
    </w:p>
    <w:p>
      <w:pPr>
        <w:pStyle w:val="Compact"/>
        <w:numPr>
          <w:ilvl w:val="1"/>
          <w:numId w:val="1006"/>
        </w:numPr>
      </w:pPr>
      <w:hyperlink w:anchor="X5c3739153c1ffcf4a46d6fec166e3debdf32b35">
        <w:r>
          <w:rPr>
            <w:rStyle w:val="Hyperlink"/>
          </w:rPr>
          <w:t xml:space="preserve">9.1 Definitie begrippen Regelbeheer, Regel en Regeltaal</w:t>
        </w:r>
      </w:hyperlink>
    </w:p>
    <w:p>
      <w:pPr>
        <w:numPr>
          <w:ilvl w:val="0"/>
          <w:numId w:val="1001"/>
        </w:numPr>
      </w:pPr>
      <w:hyperlink w:anchor="bijlage-a.-vragen-en-antwoorden">
        <w:r>
          <w:rPr>
            <w:rStyle w:val="Hyperlink"/>
          </w:rPr>
          <w:t xml:space="preserve">Bijlage A. Vragen en antwoorden</w:t>
        </w:r>
      </w:hyperlink>
    </w:p>
    <w:p>
      <w:pPr>
        <w:numPr>
          <w:ilvl w:val="0"/>
          <w:numId w:val="1001"/>
        </w:numPr>
      </w:pPr>
      <w:hyperlink w:anchor="bijlage-b.-betrokkenen">
        <w:r>
          <w:rPr>
            <w:rStyle w:val="Hyperlink"/>
          </w:rPr>
          <w:t xml:space="preserve">Bijlage B. Betrokkenen</w:t>
        </w:r>
      </w:hyperlink>
    </w:p>
    <w:p>
      <w:pPr>
        <w:numPr>
          <w:ilvl w:val="0"/>
          <w:numId w:val="1001"/>
        </w:numPr>
      </w:pPr>
      <w:hyperlink w:anchor="bijlage-c.-bronnen">
        <w:r>
          <w:rPr>
            <w:rStyle w:val="Hyperlink"/>
          </w:rPr>
          <w:t xml:space="preserve">Bijlage C. Bronnen</w:t>
        </w:r>
      </w:hyperlink>
    </w:p>
    <w:bookmarkEnd w:id="23"/>
    <w:bookmarkStart w:id="24" w:name="Xf8026291ee039f5578e9179932a1bad86124133"/>
    <w:p>
      <w:pPr>
        <w:pStyle w:val="Heading1"/>
      </w:pPr>
      <w:r>
        <w:t xml:space="preserve">2 Managementsamenvatting</w:t>
      </w:r>
    </w:p>
    <w:bookmarkEnd w:id="24"/>
    <w:bookmarkStart w:id="29" w:name="Xb1c8ac0c968665a0b184b5f885c5a45ebbff2a1"/>
    <w:p>
      <w:pPr>
        <w:pStyle w:val="Heading1"/>
      </w:pPr>
      <w:r>
        <w:t xml:space="preserve">3 Inleiding</w:t>
      </w:r>
    </w:p>
    <w:bookmarkStart w:id="25" w:name="X4cebfcf9832e2ad3d44b6fc2b241a1a1fd4399e"/>
    <w:p>
      <w:pPr>
        <w:pStyle w:val="Heading2"/>
      </w:pPr>
      <w:r>
        <w:t xml:space="preserve">3.1 Aanleiding en doelstelling</w:t>
      </w:r>
    </w:p>
    <w:p>
      <w:pPr>
        <w:pStyle w:val="FirstParagraph"/>
      </w:pPr>
      <w:r>
        <w:t xml:space="preserve">Dit document beschrijft een doelarchitectuur voor een platform waar</w:t>
      </w:r>
      <w:r>
        <w:t xml:space="preserve"> </w:t>
      </w:r>
      <w:r>
        <w:t xml:space="preserve">overheden de informatie kunnen vinden om effectief samen te kunnen</w:t>
      </w:r>
      <w:r>
        <w:t xml:space="preserve"> </w:t>
      </w:r>
      <w:r>
        <w:t xml:space="preserve">werken aan goed regelbeheer (zie 9.1 voor de</w:t>
      </w:r>
      <w:r>
        <w:t xml:space="preserve"> </w:t>
      </w:r>
      <w:hyperlink w:anchor="X5c3739153c1ffcf4a46d6fec166e3debdf32b35">
        <w:r>
          <w:rPr>
            <w:rStyle w:val="Hyperlink"/>
          </w:rPr>
          <w:t xml:space="preserve">definitie van regelbeheer</w:t>
        </w:r>
      </w:hyperlink>
      <w:r>
        <w:t xml:space="preserve">),</w:t>
      </w:r>
      <w:r>
        <w:t xml:space="preserve"> </w:t>
      </w:r>
      <w:r>
        <w:t xml:space="preserve">hetgeen het doel is van het project Platform Regelbeheer. De doelgroep</w:t>
      </w:r>
      <w:r>
        <w:t xml:space="preserve"> </w:t>
      </w:r>
      <w:r>
        <w:t xml:space="preserve">van dit document wordt uiteindelijk gevormd door alle stakeholders bij</w:t>
      </w:r>
      <w:r>
        <w:t xml:space="preserve"> </w:t>
      </w:r>
      <w:r>
        <w:t xml:space="preserve">de beoogde oplossing die worden genoemd in hoofdstuk</w:t>
      </w:r>
      <w:r>
        <w:t xml:space="preserve"> </w:t>
      </w:r>
      <w:hyperlink w:anchor="stakeholders">
        <w:r>
          <w:rPr>
            <w:rStyle w:val="Hyperlink"/>
          </w:rPr>
          <w:t xml:space="preserve">3.3 Stakeholders</w:t>
        </w:r>
      </w:hyperlink>
      <w:r>
        <w:t xml:space="preserve">. Dit document</w:t>
      </w:r>
      <w:r>
        <w:t xml:space="preserve"> </w:t>
      </w:r>
      <w:r>
        <w:t xml:space="preserve">fungeert daarbij als de Project Start Architectuur zoals die voor alle</w:t>
      </w:r>
      <w:r>
        <w:t xml:space="preserve"> </w:t>
      </w:r>
      <w:r>
        <w:t xml:space="preserve">overheidsprojecten dient te worden opgesteld en is daarmee een van de</w:t>
      </w:r>
      <w:r>
        <w:t xml:space="preserve"> </w:t>
      </w:r>
      <w:r>
        <w:t xml:space="preserve">deliverables in het project Platform Regelbeheer.</w:t>
      </w:r>
    </w:p>
    <w:bookmarkEnd w:id="25"/>
    <w:bookmarkStart w:id="26" w:name="X6e975dec6c4b2b593c84504ba6b3950aa3d8a1f"/>
    <w:p>
      <w:pPr>
        <w:pStyle w:val="Heading2"/>
      </w:pPr>
      <w:r>
        <w:t xml:space="preserve">3.2 De verandering</w:t>
      </w:r>
    </w:p>
    <w:p>
      <w:pPr>
        <w:pStyle w:val="FirstParagraph"/>
      </w:pPr>
      <w:r>
        <w:t xml:space="preserve">Het project Platform Regelbeheer werkt het werkende concept van</w:t>
      </w:r>
      <w:r>
        <w:t xml:space="preserve"> </w:t>
      </w:r>
      <w:r>
        <w:t xml:space="preserve">regels.overheid.nl en de Leidraad Regelbeheer verder uit tot een</w:t>
      </w:r>
      <w:r>
        <w:t xml:space="preserve"> </w:t>
      </w:r>
      <w:r>
        <w:t xml:space="preserve">werkende eerste versie van een passende bouwsteen waarmee overheden de</w:t>
      </w:r>
      <w:r>
        <w:t xml:space="preserve"> </w:t>
      </w:r>
      <w:r>
        <w:t xml:space="preserve">handvatten krijgen om samen te kunnen werken aan het meer precies</w:t>
      </w:r>
      <w:r>
        <w:t xml:space="preserve"> </w:t>
      </w:r>
      <w:r>
        <w:t xml:space="preserve">afspreken van toepasbare “regels” ten behoeve van een meer rechtmatige,</w:t>
      </w:r>
      <w:r>
        <w:t xml:space="preserve"> </w:t>
      </w:r>
      <w:r>
        <w:t xml:space="preserve">consistente, uitlegbare en wendbare uitvoering van dienstverlening zoals</w:t>
      </w:r>
      <w:r>
        <w:t xml:space="preserve"> </w:t>
      </w:r>
      <w:r>
        <w:t xml:space="preserve">vastgelegd in juridisch bindende afspraken (wet- en regelgeving, beleid</w:t>
      </w:r>
      <w:r>
        <w:t xml:space="preserve"> </w:t>
      </w:r>
      <w:r>
        <w:t xml:space="preserve">etc.). Deze bouwsteen noemen we binnen dit document het Platform</w:t>
      </w:r>
      <w:r>
        <w:t xml:space="preserve"> </w:t>
      </w:r>
      <w:r>
        <w:t xml:space="preserve">Regelbeheer.</w:t>
      </w:r>
    </w:p>
    <w:bookmarkEnd w:id="26"/>
    <w:bookmarkStart w:id="27" w:name="X05aa08abae5045119c10f2c14bcce923671279b"/>
    <w:p>
      <w:pPr>
        <w:pStyle w:val="Heading2"/>
      </w:pPr>
      <w:r>
        <w:t xml:space="preserve">3.3 Stakeholders</w:t>
      </w:r>
    </w:p>
    <w:p>
      <w:pPr>
        <w:pStyle w:val="FirstParagraph"/>
      </w:pPr>
      <w:r>
        <w:t xml:space="preserve">Stakeholders en hun belangen bij het beoogde platform alsook hun</w:t>
      </w:r>
      <w:r>
        <w:t xml:space="preserve"> </w:t>
      </w:r>
      <w:r>
        <w:t xml:space="preserve">bijdrage aan de architectuur ervan worden hieronder grofweg weergegeven</w:t>
      </w:r>
      <w:r>
        <w:t xml:space="preserve"> </w:t>
      </w:r>
      <w:r>
        <w:t xml:space="preserve">in tabel 1.</w:t>
      </w:r>
    </w:p>
    <w:p>
      <w:pPr>
        <w:pStyle w:val="BodyText"/>
      </w:pPr>
      <w:r>
        <w:rPr>
          <w:i/>
          <w:iCs/>
        </w:rPr>
        <w:t xml:space="preserve">Tabel 1, stakeholderbelangen overzicht</w:t>
      </w:r>
    </w:p>
    <w:p>
      <w:pPr>
        <w:pStyle w:val="BodyText"/>
      </w:pPr>
      <w:r>
        <w:t xml:space="preserve">Het project bouwt voort op een al bestaand werkend conceptplatform en</w:t>
      </w:r>
      <w:r>
        <w:t xml:space="preserve"> </w:t>
      </w:r>
      <w:r>
        <w:t xml:space="preserve">een vastgestelde leidraad en architectuur en bevat zodoende bij aanvang</w:t>
      </w:r>
      <w:r>
        <w:t xml:space="preserve"> </w:t>
      </w:r>
      <w:r>
        <w:t xml:space="preserve">van het project reeds een beschrijving van de oplossing en is zodoende</w:t>
      </w:r>
      <w:r>
        <w:t xml:space="preserve"> </w:t>
      </w:r>
      <w:r>
        <w:t xml:space="preserve">meer al gelijk een Solution Architectuur die met stakeholders getoetst</w:t>
      </w:r>
      <w:r>
        <w:t xml:space="preserve"> </w:t>
      </w:r>
      <w:r>
        <w:t xml:space="preserve">en met hun feedback verbeterd kan worden door architecten en adviseurs</w:t>
      </w:r>
      <w:r>
        <w:t xml:space="preserve"> </w:t>
      </w:r>
      <w:r>
        <w:t xml:space="preserve">binnen het project. Dit document gebruikt vooralsnog voornamelijk</w:t>
      </w:r>
      <w:r>
        <w:t xml:space="preserve"> </w:t>
      </w:r>
      <w:r>
        <w:t xml:space="preserve">Archimate visualisaties van de in dit document opgenomen</w:t>
      </w:r>
      <w:r>
        <w:t xml:space="preserve"> </w:t>
      </w:r>
      <w:r>
        <w:t xml:space="preserve">(architectuur)afspraken waarmee het Platform Regelbeheer als oplossing</w:t>
      </w:r>
      <w:r>
        <w:t xml:space="preserve"> </w:t>
      </w:r>
      <w:r>
        <w:t xml:space="preserve">beschreven wordt. Dit zal dan echter niet direct toetsbaar zijn door</w:t>
      </w:r>
      <w:r>
        <w:t xml:space="preserve"> </w:t>
      </w:r>
      <w:r>
        <w:t xml:space="preserve">veel benoemde stakeholders zonder nadere uitleg of alternatieve</w:t>
      </w:r>
      <w:r>
        <w:t xml:space="preserve"> </w:t>
      </w:r>
      <w:r>
        <w:t xml:space="preserve">visualisatie (hetgeen gaandeweg ook nog toegevoegd kan worden).</w:t>
      </w:r>
    </w:p>
    <w:p>
      <w:pPr>
        <w:pStyle w:val="BodyText"/>
      </w:pPr>
      <w:r>
        <w:t xml:space="preserve">De belangen van stakeholders op dit algemene niveau samengenomen vallen</w:t>
      </w:r>
      <w:r>
        <w:t xml:space="preserve"> </w:t>
      </w:r>
      <w:r>
        <w:t xml:space="preserve">overigens geheel samen met de kwaliteitsdoelen van de NORA alsook het</w:t>
      </w:r>
      <w:r>
        <w:t xml:space="preserve"> </w:t>
      </w:r>
      <w:r>
        <w:t xml:space="preserve">FAIR (Findable, Accessible, Interoperable, Reusable) principe hetgeen</w:t>
      </w:r>
      <w:r>
        <w:t xml:space="preserve"> </w:t>
      </w:r>
      <w:r>
        <w:t xml:space="preserve">ook voor data wordt gehanteerd. Dit zal nader in dit document worden</w:t>
      </w:r>
      <w:r>
        <w:t xml:space="preserve"> </w:t>
      </w:r>
      <w:r>
        <w:t xml:space="preserve">uitgelegd.</w:t>
      </w:r>
    </w:p>
    <w:bookmarkEnd w:id="27"/>
    <w:bookmarkStart w:id="28" w:name="X6f5d9f8faf8a57dcc65ddd094c5c5c00ab8f549"/>
    <w:p>
      <w:pPr>
        <w:pStyle w:val="Heading2"/>
      </w:pPr>
      <w:r>
        <w:t xml:space="preserve">3.4 Relaties met andere ontwikkelingen</w:t>
      </w:r>
    </w:p>
    <w:p>
      <w:pPr>
        <w:pStyle w:val="FirstParagraph"/>
      </w:pPr>
      <w:r>
        <w:t xml:space="preserve">Gelijktijdig aan het project Platform Regelbeheer zijn er andere</w:t>
      </w:r>
      <w:r>
        <w:t xml:space="preserve"> </w:t>
      </w:r>
      <w:r>
        <w:t xml:space="preserve">relevante ontwikkelingen waar dit project een groot verband mee heeft</w:t>
      </w:r>
      <w:r>
        <w:t xml:space="preserve"> </w:t>
      </w:r>
      <w:r>
        <w:t xml:space="preserve">met name omdat het project uiteindelijk een nieuwe landelijke bouwsteen</w:t>
      </w:r>
      <w:r>
        <w:t xml:space="preserve"> </w:t>
      </w:r>
      <w:r>
        <w:t xml:space="preserve">binnen de GDI beoogd:</w:t>
      </w:r>
    </w:p>
    <w:p>
      <w:pPr>
        <w:numPr>
          <w:ilvl w:val="0"/>
          <w:numId w:val="1007"/>
        </w:numPr>
      </w:pPr>
      <w:r>
        <w:t xml:space="preserve">Doorontwikkeling van de GDI (volgens ADO2030 architectuur)</w:t>
      </w:r>
    </w:p>
    <w:p>
      <w:pPr>
        <w:numPr>
          <w:ilvl w:val="0"/>
          <w:numId w:val="1007"/>
        </w:numPr>
      </w:pPr>
      <w:r>
        <w:t xml:space="preserve">Doorontwikkeling van en transitie naar TOOI en indirect daarmee zaken</w:t>
      </w:r>
      <w:r>
        <w:t xml:space="preserve"> </w:t>
      </w:r>
      <w:r>
        <w:t xml:space="preserve">uit het ISA2 EU programma, met name standaardisatie rond het</w:t>
      </w:r>
      <w:r>
        <w:t xml:space="preserve"> </w:t>
      </w:r>
      <w:r>
        <w:t xml:space="preserve">beschrijven van diensten</w:t>
      </w:r>
    </w:p>
    <w:p>
      <w:pPr>
        <w:numPr>
          <w:ilvl w:val="0"/>
          <w:numId w:val="1007"/>
        </w:numPr>
      </w:pPr>
      <w:r>
        <w:t xml:space="preserve">Doorontwikkeling NORA op het gebied van het dienstverleningsconcept en</w:t>
      </w:r>
      <w:r>
        <w:t xml:space="preserve"> </w:t>
      </w:r>
      <w:r>
        <w:t xml:space="preserve">bovenstaande ontwikkelingen.</w:t>
      </w:r>
    </w:p>
    <w:p>
      <w:pPr>
        <w:numPr>
          <w:ilvl w:val="0"/>
          <w:numId w:val="1007"/>
        </w:numPr>
      </w:pPr>
      <w:r>
        <w:t xml:space="preserve">Werkagenda Waardengedreven Digitaliseren</w:t>
      </w:r>
    </w:p>
    <w:p>
      <w:pPr>
        <w:numPr>
          <w:ilvl w:val="0"/>
          <w:numId w:val="1007"/>
        </w:numPr>
      </w:pPr>
      <w:r>
        <w:t xml:space="preserve">Nieuwe toekomstige visie van kabinet</w:t>
      </w:r>
    </w:p>
    <w:p>
      <w:pPr>
        <w:pStyle w:val="FirstParagraph"/>
      </w:pPr>
      <w:r>
        <w:t xml:space="preserve">Veel programma’s en projecten hebben van doen met het delen van data of</w:t>
      </w:r>
      <w:r>
        <w:t xml:space="preserve"> </w:t>
      </w:r>
      <w:r>
        <w:t xml:space="preserve">inzicht geven in het gebruik van data. Die data verworden pas gegevens</w:t>
      </w:r>
      <w:r>
        <w:t xml:space="preserve"> </w:t>
      </w:r>
      <w:r>
        <w:t xml:space="preserve">(en veelal persoonsgegevens) in de context van geformaliseerde regels.</w:t>
      </w:r>
      <w:r>
        <w:t xml:space="preserve"> </w:t>
      </w:r>
      <w:r>
        <w:t xml:space="preserve">Het bestaan van gegevens zit dus al bevat in regels en worden ook</w:t>
      </w:r>
      <w:r>
        <w:t xml:space="preserve"> </w:t>
      </w:r>
      <w:r>
        <w:t xml:space="preserve">verwerkt met die regels en kunnen dan misschien ook beter daaruit</w:t>
      </w:r>
      <w:r>
        <w:t xml:space="preserve"> </w:t>
      </w:r>
      <w:r>
        <w:t xml:space="preserve">geïmpliceerd gaan worden. Evenzo vormen de regels bij elkaar ook</w:t>
      </w:r>
      <w:r>
        <w:t xml:space="preserve"> </w:t>
      </w:r>
      <w:r>
        <w:t xml:space="preserve">algoritmen. Het op deze schaal toepassen en combineren van regels is</w:t>
      </w:r>
      <w:r>
        <w:t xml:space="preserve"> </w:t>
      </w:r>
      <w:r>
        <w:t xml:space="preserve">overigens zelfs ook een vorm van Artificiële Intelligentie (Symbolic</w:t>
      </w:r>
      <w:r>
        <w:t xml:space="preserve"> </w:t>
      </w:r>
      <w:r>
        <w:t xml:space="preserve">AI), ook al worden er hier vooralsnog geen technieken als LLM’s</w:t>
      </w:r>
      <w:r>
        <w:t xml:space="preserve"> </w:t>
      </w:r>
      <w:r>
        <w:t xml:space="preserve">gebruikt. Met de komst van Large Reasoning Models kan dit in de toekomst</w:t>
      </w:r>
      <w:r>
        <w:t xml:space="preserve"> </w:t>
      </w:r>
      <w:r>
        <w:t xml:space="preserve">veranderen al is het als hulp bij regelbeheer door mensen. Een doel van</w:t>
      </w:r>
      <w:r>
        <w:t xml:space="preserve"> </w:t>
      </w:r>
      <w:r>
        <w:t xml:space="preserve">goed regelbeheer is verder het uitlegbaar maken van dienstverlening. Dit</w:t>
      </w:r>
      <w:r>
        <w:t xml:space="preserve"> </w:t>
      </w:r>
      <w:r>
        <w:t xml:space="preserve">betreft ook alles daaromtrent richting burgers. Zodoende zal er als</w:t>
      </w:r>
      <w:r>
        <w:t xml:space="preserve"> </w:t>
      </w:r>
      <w:r>
        <w:t xml:space="preserve">vanzelf ook een verband ontstaan met projecten:</w:t>
      </w:r>
    </w:p>
    <w:p>
      <w:pPr>
        <w:numPr>
          <w:ilvl w:val="0"/>
          <w:numId w:val="1008"/>
        </w:numPr>
      </w:pPr>
      <w:r>
        <w:t xml:space="preserve">Gegevens Bij Besluiten</w:t>
      </w:r>
    </w:p>
    <w:p>
      <w:pPr>
        <w:numPr>
          <w:ilvl w:val="0"/>
          <w:numId w:val="1008"/>
        </w:numPr>
      </w:pPr>
      <w:r>
        <w:t xml:space="preserve">Algoritmeregister</w:t>
      </w:r>
    </w:p>
    <w:p>
      <w:pPr>
        <w:numPr>
          <w:ilvl w:val="0"/>
          <w:numId w:val="1008"/>
        </w:numPr>
      </w:pPr>
      <w:r>
        <w:t xml:space="preserve">Federatieve Data Stelsel (IBDS)</w:t>
      </w:r>
    </w:p>
    <w:p>
      <w:pPr>
        <w:numPr>
          <w:ilvl w:val="0"/>
          <w:numId w:val="1008"/>
        </w:numPr>
      </w:pPr>
      <w:r>
        <w:t xml:space="preserve">NLWallet (EiDAS 2)</w:t>
      </w:r>
    </w:p>
    <w:p>
      <w:pPr>
        <w:numPr>
          <w:ilvl w:val="0"/>
          <w:numId w:val="1008"/>
        </w:numPr>
      </w:pPr>
      <w:r>
        <w:t xml:space="preserve">Alles rond de AI Act</w:t>
      </w:r>
    </w:p>
    <w:p>
      <w:pPr>
        <w:numPr>
          <w:ilvl w:val="0"/>
          <w:numId w:val="1008"/>
        </w:numPr>
      </w:pPr>
      <w:r>
        <w:t xml:space="preserve">Informatie op overheid.nl</w:t>
      </w:r>
    </w:p>
    <w:p>
      <w:pPr>
        <w:numPr>
          <w:ilvl w:val="0"/>
          <w:numId w:val="1008"/>
        </w:numPr>
      </w:pPr>
      <w:r>
        <w:t xml:space="preserve">Gebruikercentraal waaronder ook Omnichannel strategie</w:t>
      </w:r>
    </w:p>
    <w:p>
      <w:pPr>
        <w:numPr>
          <w:ilvl w:val="0"/>
          <w:numId w:val="1008"/>
        </w:numPr>
      </w:pPr>
      <w:r>
        <w:t xml:space="preserve">Persoonlijke Digitaal Regelingenoverzicht</w:t>
      </w:r>
    </w:p>
    <w:p>
      <w:pPr>
        <w:numPr>
          <w:ilvl w:val="0"/>
          <w:numId w:val="1008"/>
        </w:numPr>
      </w:pPr>
      <w:r>
        <w:t xml:space="preserve">Standaardisatie rond regelbeheer op EU niveau (nu nog via GovTech4All</w:t>
      </w:r>
      <w:r>
        <w:t xml:space="preserve"> </w:t>
      </w:r>
      <w:r>
        <w:t xml:space="preserve">project Digicampus)</w:t>
      </w:r>
    </w:p>
    <w:p>
      <w:pPr>
        <w:numPr>
          <w:ilvl w:val="0"/>
          <w:numId w:val="1008"/>
        </w:numPr>
      </w:pPr>
      <w:r>
        <w:t xml:space="preserve">Open Overheid</w:t>
      </w:r>
    </w:p>
    <w:p>
      <w:pPr>
        <w:pStyle w:val="FirstParagraph"/>
      </w:pPr>
      <w:r>
        <w:t xml:space="preserve">En dit is geen uitputtende lijst. Het is zaak om deze grote</w:t>
      </w:r>
      <w:r>
        <w:t xml:space="preserve"> </w:t>
      </w:r>
      <w:r>
        <w:t xml:space="preserve">verbondenheid (regels van alle dienstverlening hebben al gauw een</w:t>
      </w:r>
      <w:r>
        <w:t xml:space="preserve"> </w:t>
      </w:r>
      <w:r>
        <w:t xml:space="preserve">relatie met alles) met vele andere ontwikkelingen binnen de overheid</w:t>
      </w:r>
      <w:r>
        <w:t xml:space="preserve"> </w:t>
      </w:r>
      <w:r>
        <w:t xml:space="preserve">niet de ontwikkeling van een platform Regelbeheer in de weg te laten</w:t>
      </w:r>
      <w:r>
        <w:t xml:space="preserve"> </w:t>
      </w:r>
      <w:r>
        <w:t xml:space="preserve">zitten om op tijd bij ontwikkelingen die ook elders binnen de EU</w:t>
      </w:r>
      <w:r>
        <w:t xml:space="preserve"> </w:t>
      </w:r>
      <w:r>
        <w:t xml:space="preserve">plaatsvinden bij te blijven. Het helpt wel om continu zoveel mogelijk</w:t>
      </w:r>
      <w:r>
        <w:t xml:space="preserve"> </w:t>
      </w:r>
      <w:r>
        <w:t xml:space="preserve">aansluiting te zoeken (hetgeen bij de totstandkoming van het</w:t>
      </w:r>
      <w:r>
        <w:t xml:space="preserve"> </w:t>
      </w:r>
      <w:r>
        <w:t xml:space="preserve">regels.overheid.nl concept ook al betracht is). Een passende strategie</w:t>
      </w:r>
      <w:r>
        <w:t xml:space="preserve"> </w:t>
      </w:r>
      <w:r>
        <w:t xml:space="preserve">hierbij is om met name ook deze projecten waar mogelijk als stakeholder</w:t>
      </w:r>
      <w:r>
        <w:t xml:space="preserve"> </w:t>
      </w:r>
      <w:r>
        <w:t xml:space="preserve">mee te nemen in de ontwikkeling van het Platform Regelbeheer maar de</w:t>
      </w:r>
      <w:r>
        <w:t xml:space="preserve"> </w:t>
      </w:r>
      <w:r>
        <w:t xml:space="preserve">ontwikkeling ervan niet door te laten stagneren.</w:t>
      </w:r>
    </w:p>
    <w:p>
      <w:pPr>
        <w:pStyle w:val="BodyText"/>
      </w:pPr>
      <w:r>
        <w:t xml:space="preserve">Een andere belangrijke keuze hierbij is dat het Platform Regelbeheer</w:t>
      </w:r>
      <w:r>
        <w:t xml:space="preserve"> </w:t>
      </w:r>
      <w:r>
        <w:t xml:space="preserve">eigenlijk alleen bestaat uit het bieden van algemene informatie,</w:t>
      </w:r>
      <w:r>
        <w:t xml:space="preserve"> </w:t>
      </w:r>
      <w:r>
        <w:t xml:space="preserve">waaronder ook over geschikte tooling en standaardisatie rond</w:t>
      </w:r>
      <w:r>
        <w:t xml:space="preserve"> </w:t>
      </w:r>
      <w:r>
        <w:t xml:space="preserve">Regelbeheer. Het project behelst geen platform waarin officieel te</w:t>
      </w:r>
      <w:r>
        <w:t xml:space="preserve"> </w:t>
      </w:r>
      <w:r>
        <w:t xml:space="preserve">hanteren regels zelf opgeslagen en beheert worden; dit blijft de</w:t>
      </w:r>
      <w:r>
        <w:t xml:space="preserve"> </w:t>
      </w:r>
      <w:r>
        <w:t xml:space="preserve">verantwoording van stakeholders zelf. Het Platform Regelbeheer wijst</w:t>
      </w:r>
      <w:r>
        <w:t xml:space="preserve"> </w:t>
      </w:r>
      <w:r>
        <w:t xml:space="preserve">alleen de weg om dit op een goede manier te doen en monitort of dit</w:t>
      </w:r>
      <w:r>
        <w:t xml:space="preserve"> </w:t>
      </w:r>
      <w:r>
        <w:t xml:space="preserve">gebeurd, en maakt regels vindbaar. Dit maakt een geleidelijke transitie</w:t>
      </w:r>
      <w:r>
        <w:t xml:space="preserve"> </w:t>
      </w:r>
      <w:r>
        <w:t xml:space="preserve">mogelijk en maakt het project van het platform zelf een heel stuk minder</w:t>
      </w:r>
      <w:r>
        <w:t xml:space="preserve"> </w:t>
      </w:r>
      <w:r>
        <w:t xml:space="preserve">risicovol en daarmee meer realiseerbaar in een zich continu veranderende</w:t>
      </w:r>
      <w:r>
        <w:t xml:space="preserve"> </w:t>
      </w:r>
      <w:r>
        <w:t xml:space="preserve">digitale infrastructuur.</w:t>
      </w:r>
    </w:p>
    <w:bookmarkEnd w:id="28"/>
    <w:bookmarkEnd w:id="29"/>
    <w:bookmarkStart w:id="37" w:name="X1794e3a2889f9f8c40c2956e914b64138661676"/>
    <w:p>
      <w:pPr>
        <w:pStyle w:val="Heading1"/>
      </w:pPr>
      <w:r>
        <w:t xml:space="preserve">4 Visualisatie en visie</w:t>
      </w:r>
    </w:p>
    <w:bookmarkStart w:id="30" w:name="X1dd183111e0cc5ee6503114a11e3813a9fcb5ea"/>
    <w:p>
      <w:pPr>
        <w:pStyle w:val="Heading2"/>
      </w:pPr>
      <w:r>
        <w:t xml:space="preserve">4.1 Huidige situatie</w:t>
      </w:r>
    </w:p>
    <w:p>
      <w:pPr>
        <w:pStyle w:val="FirstParagraph"/>
      </w:pPr>
      <w:r>
        <w:t xml:space="preserve">Veel overheden maken al lange tijd voor zichzelf “regels” al dan niet in</w:t>
      </w:r>
      <w:r>
        <w:t xml:space="preserve"> </w:t>
      </w:r>
      <w:r>
        <w:t xml:space="preserve">de vorm van werkinstructies of binnen Rules Based Management Systemen</w:t>
      </w:r>
      <w:r>
        <w:t xml:space="preserve"> </w:t>
      </w:r>
      <w:r>
        <w:t xml:space="preserve">voor het uitvoeren van afspraken zoals vastgelegd in wetgeving en</w:t>
      </w:r>
      <w:r>
        <w:t xml:space="preserve"> </w:t>
      </w:r>
      <w:r>
        <w:t xml:space="preserve">beleid. Regels hebben dan ook een nauw verband met wetgeving en beleid.</w:t>
      </w:r>
      <w:r>
        <w:t xml:space="preserve"> </w:t>
      </w:r>
      <w:r>
        <w:t xml:space="preserve">Het opstellen en beheren van deze regels wordt echter vooral binnen de</w:t>
      </w:r>
      <w:r>
        <w:t xml:space="preserve"> </w:t>
      </w:r>
      <w:r>
        <w:t xml:space="preserve">grenzen van een organisatie gedaan en vaak ook alleen nog in een</w:t>
      </w:r>
      <w:r>
        <w:t xml:space="preserve"> </w:t>
      </w:r>
      <w:r>
        <w:t xml:space="preserve">ontwerpfase. Het is dan achteraf soms ook niet meer goed herleidbaar</w:t>
      </w:r>
      <w:r>
        <w:t xml:space="preserve"> </w:t>
      </w:r>
      <w:r>
        <w:t xml:space="preserve">waarom regels precies zijn opgesteld zoals ze zijn opgesteld. Regels</w:t>
      </w:r>
      <w:r>
        <w:t xml:space="preserve"> </w:t>
      </w:r>
      <w:r>
        <w:t xml:space="preserve">worden vooral ook alleen benut voor de uitvoering van het afhandelen van</w:t>
      </w:r>
      <w:r>
        <w:t xml:space="preserve"> </w:t>
      </w:r>
      <w:r>
        <w:t xml:space="preserve">aanvragen en meer gelimiteerd ook voor het bieden van uitlegbaarheid en</w:t>
      </w:r>
      <w:r>
        <w:t xml:space="preserve"> </w:t>
      </w:r>
      <w:r>
        <w:t xml:space="preserve">toetsbaarheid aan burgers. Er is echter veel meer mogelijk wanneer</w:t>
      </w:r>
      <w:r>
        <w:t xml:space="preserve"> </w:t>
      </w:r>
      <w:r>
        <w:t xml:space="preserve">regels openlijk gedeeld zouden worden net zoals dat ook voor wet- en</w:t>
      </w:r>
      <w:r>
        <w:t xml:space="preserve"> </w:t>
      </w:r>
      <w:r>
        <w:t xml:space="preserve">regelgeving al gebeurd. Regels zijn ook te zien als afspraken die</w:t>
      </w:r>
      <w:r>
        <w:t xml:space="preserve"> </w:t>
      </w:r>
      <w:r>
        <w:t xml:space="preserve">officieel gepubliceerd en ook transparant dienen te zijn voor burgers.</w:t>
      </w:r>
    </w:p>
    <w:bookmarkEnd w:id="30"/>
    <w:bookmarkStart w:id="36" w:name="X5bb8fcab90e70b79a2a9891b81e9ea74d52d72d"/>
    <w:p>
      <w:pPr>
        <w:pStyle w:val="Heading2"/>
      </w:pPr>
      <w:r>
        <w:t xml:space="preserve">4.2 Platform Regelbeheer, een essentiële generieke Digitale Bouwsteen</w:t>
      </w:r>
    </w:p>
    <w:p>
      <w:pPr>
        <w:pStyle w:val="FirstParagraph"/>
      </w:pPr>
      <w:r>
        <w:t xml:space="preserve">TODO : maak plaatje (Archimate)</w:t>
      </w:r>
    </w:p>
    <w:p>
      <w:pPr>
        <w:pStyle w:val="BodyText"/>
      </w:pPr>
      <w:r>
        <w:rPr>
          <w:i/>
          <w:iCs/>
        </w:rPr>
        <w:t xml:space="preserve">Figuur 1, Platform Regelbeheer in context</w:t>
      </w:r>
    </w:p>
    <w:p>
      <w:pPr>
        <w:pStyle w:val="BodyText"/>
      </w:pPr>
      <w:r>
        <w:t xml:space="preserve">Het project Platform Regelbeheer bouwt voort op het concept van</w:t>
      </w:r>
      <w:r>
        <w:t xml:space="preserve"> </w:t>
      </w:r>
      <w:r>
        <w:t xml:space="preserve">regels.overheid.nl (reeds een werkend concept platform voor regelbeheer</w:t>
      </w:r>
      <w:r>
        <w:t xml:space="preserve"> </w:t>
      </w:r>
      <w:r>
        <w:t xml:space="preserve">in opbouw) en de Leidraad regelbeheer die door de NORA expertisegroep</w:t>
      </w:r>
      <w:r>
        <w:t xml:space="preserve"> </w:t>
      </w:r>
      <w:r>
        <w:t xml:space="preserve">Regelbeheer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eerder is opgesteld. Zie</w:t>
      </w:r>
      <w:r>
        <w:t xml:space="preserve"> </w:t>
      </w:r>
      <w:hyperlink r:id="rId33">
        <w:r>
          <w:rPr>
            <w:rStyle w:val="Hyperlink"/>
          </w:rPr>
          <w:t xml:space="preserve">https://regels.overheid.nl/regelbeheer</w:t>
        </w:r>
      </w:hyperlink>
      <w:r>
        <w:t xml:space="preserve"> </w:t>
      </w:r>
      <w:r>
        <w:t xml:space="preserve">voor de uitleg daarvan.</w:t>
      </w:r>
    </w:p>
    <w:p>
      <w:pPr>
        <w:pStyle w:val="BodyText"/>
      </w:pPr>
      <w:r>
        <w:t xml:space="preserve">Uitgangspunten in de genoemde leidraad zijn:</w:t>
      </w:r>
      <w:r>
        <w:t xml:space="preserve"> </w:t>
      </w:r>
      <w:r>
        <w:rPr>
          <w:b/>
          <w:bCs/>
        </w:rPr>
        <w:t xml:space="preserve">Rechtmatigheid</w:t>
      </w:r>
      <w:r>
        <w:t xml:space="preserve">,</w:t>
      </w:r>
      <w:r>
        <w:t xml:space="preserve"> </w:t>
      </w:r>
      <w:r>
        <w:rPr>
          <w:b/>
          <w:bCs/>
        </w:rPr>
        <w:t xml:space="preserve">Consistentie</w:t>
      </w:r>
      <w:r>
        <w:t xml:space="preserve">,</w:t>
      </w:r>
      <w:r>
        <w:t xml:space="preserve"> </w:t>
      </w:r>
      <w:r>
        <w:rPr>
          <w:b/>
          <w:bCs/>
        </w:rPr>
        <w:t xml:space="preserve">Uitlegbaarheid</w:t>
      </w:r>
      <w:r>
        <w:t xml:space="preserve"> </w:t>
      </w:r>
      <w:r>
        <w:t xml:space="preserve">en</w:t>
      </w:r>
      <w:r>
        <w:t xml:space="preserve"> </w:t>
      </w:r>
      <w:r>
        <w:rPr>
          <w:b/>
          <w:bCs/>
        </w:rPr>
        <w:t xml:space="preserve">Wendbaarheid</w:t>
      </w:r>
      <w:r>
        <w:t xml:space="preserve">. Hierbij was</w:t>
      </w:r>
      <w:r>
        <w:t xml:space="preserve"> </w:t>
      </w:r>
      <w:r>
        <w:t xml:space="preserve">reeds voorzien dat diverse stakeholders organisatiegrens overstijgend</w:t>
      </w:r>
      <w:r>
        <w:t xml:space="preserve"> </w:t>
      </w:r>
      <w:r>
        <w:t xml:space="preserve">moeten kunnen samenwerken ten behoeve van het beheren van regels. Op die</w:t>
      </w:r>
      <w:r>
        <w:t xml:space="preserve"> </w:t>
      </w:r>
      <w:r>
        <w:t xml:space="preserve">manier kan in een multidisciplinair team gewerkt worden waarbij er</w:t>
      </w:r>
      <w:r>
        <w:t xml:space="preserve"> </w:t>
      </w:r>
      <w:r>
        <w:t xml:space="preserve">gelijktijdig twee zogenoemde zichtlijnen in overweging worden gehouden:</w:t>
      </w:r>
      <w:r>
        <w:t xml:space="preserve"> </w:t>
      </w:r>
      <w:r>
        <w:t xml:space="preserve">van wet naar loket, en feedback op de wet.</w:t>
      </w:r>
    </w:p>
    <w:p>
      <w:pPr>
        <w:pStyle w:val="BodyText"/>
      </w:pPr>
      <w:r>
        <w:t xml:space="preserve">Het project Platform Regelbeheer brengt dit een stap verder door</w:t>
      </w:r>
      <w:r>
        <w:t xml:space="preserve"> </w:t>
      </w:r>
      <w:r>
        <w:t xml:space="preserve">volledige alignment te vinden met de stand van zaken en ontwikkelingen</w:t>
      </w:r>
      <w:r>
        <w:t xml:space="preserve"> </w:t>
      </w:r>
      <w:r>
        <w:t xml:space="preserve">binnen de architectuur van het geheel van de overheidsdienstverlening in</w:t>
      </w:r>
      <w:r>
        <w:t xml:space="preserve"> </w:t>
      </w:r>
      <w:r>
        <w:t xml:space="preserve">Nederland en daarmee ook binnen de EU en probeert daarbij de oplossing</w:t>
      </w:r>
      <w:r>
        <w:t xml:space="preserve"> </w:t>
      </w:r>
      <w:r>
        <w:t xml:space="preserve">te schetsen die de belangen van alle stakeholders bij een dergelijk</w:t>
      </w:r>
      <w:r>
        <w:t xml:space="preserve"> </w:t>
      </w:r>
      <w:r>
        <w:t xml:space="preserve">platform behartigt.</w:t>
      </w:r>
    </w:p>
    <w:p>
      <w:pPr>
        <w:pStyle w:val="BodyText"/>
      </w:pPr>
      <w:r>
        <w:t xml:space="preserve">Met name worden afspraken zoals vastgelegd in wet-, regelgeving en</w:t>
      </w:r>
      <w:r>
        <w:t xml:space="preserve"> </w:t>
      </w:r>
      <w:r>
        <w:t xml:space="preserve">beleid maar dus ook regels eigenlijk altijd in relatie tot diensten</w:t>
      </w:r>
      <w:r>
        <w:t xml:space="preserve"> </w:t>
      </w:r>
      <w:r>
        <w:t xml:space="preserve">beschreven en uitgewerkt, en wordt binnen de NORA het</w:t>
      </w:r>
      <w:r>
        <w:t xml:space="preserve"> </w:t>
      </w:r>
      <w:r>
        <w:t xml:space="preserve">dienstverleningsconcept uitgewerkt waarin de genoemde zichtlijnen ook</w:t>
      </w:r>
      <w:r>
        <w:t xml:space="preserve"> </w:t>
      </w:r>
      <w:r>
        <w:t xml:space="preserve">terugkomen als capability (passend bij het USM procesmodel</w:t>
      </w:r>
      <w:r>
        <w:rPr>
          <w:rStyle w:val="FootnoteReference"/>
        </w:rPr>
        <w:footnoteReference w:id="34"/>
      </w:r>
      <w:r>
        <w:t xml:space="preserve">). Van wet</w:t>
      </w:r>
      <w:r>
        <w:t xml:space="preserve"> </w:t>
      </w:r>
      <w:r>
        <w:t xml:space="preserve">naar loket gaat namelijk over het meer precies verder “afspreken” van</w:t>
      </w:r>
      <w:r>
        <w:t xml:space="preserve"> </w:t>
      </w:r>
      <w:r>
        <w:t xml:space="preserve">wetgeving en beleid in natuurlijke taal richting meer geformaliseerde</w:t>
      </w:r>
      <w:r>
        <w:t xml:space="preserve"> </w:t>
      </w:r>
      <w:r>
        <w:t xml:space="preserve">regels die door machines gehanteerd kunnen worden zodanig dat diensten</w:t>
      </w:r>
      <w:r>
        <w:t xml:space="preserve"> </w:t>
      </w:r>
      <w:r>
        <w:t xml:space="preserve">voor een groot deel geautomatiseerd geoperationaliseerd kunnen worden op</w:t>
      </w:r>
      <w:r>
        <w:t xml:space="preserve"> </w:t>
      </w:r>
      <w:r>
        <w:t xml:space="preserve">een juiste wijze. Daarbij hoort niet alleen het uitvoeren van regels,</w:t>
      </w:r>
      <w:r>
        <w:t xml:space="preserve"> </w:t>
      </w:r>
      <w:r>
        <w:t xml:space="preserve">maar ook de ondersteuning voor de aansluiting op processen voor het</w:t>
      </w:r>
      <w:r>
        <w:t xml:space="preserve"> </w:t>
      </w:r>
      <w:r>
        <w:t xml:space="preserve">kunnen herstellen, veranderen en verbeteren van ook de regels en hoe</w:t>
      </w:r>
      <w:r>
        <w:t xml:space="preserve"> </w:t>
      </w:r>
      <w:r>
        <w:t xml:space="preserve">deze uitgelegd worden. En de zichtlijn feedback op de wet gaat dus over</w:t>
      </w:r>
      <w:r>
        <w:t xml:space="preserve"> </w:t>
      </w:r>
      <w:r>
        <w:t xml:space="preserve">het “verbeteren” van een dienst als capability (hetgeen ook een rol</w:t>
      </w:r>
      <w:r>
        <w:t xml:space="preserve"> </w:t>
      </w:r>
      <w:r>
        <w:t xml:space="preserve">speelt bij het “herstellen” en “veranderen” van verleende diensten).</w:t>
      </w:r>
      <w:r>
        <w:t xml:space="preserve"> </w:t>
      </w:r>
      <w:r>
        <w:t xml:space="preserve">Regels spelen dus ook een rol bij de andere capabilities in deze context</w:t>
      </w:r>
      <w:r>
        <w:t xml:space="preserve"> </w:t>
      </w:r>
      <w:r>
        <w:t xml:space="preserve">(uitvoeren, herstellen en wijzigen), hetgeen in de Leidraad overigens</w:t>
      </w:r>
      <w:r>
        <w:t xml:space="preserve"> </w:t>
      </w:r>
      <w:r>
        <w:t xml:space="preserve">wel ook terug te vinden is in de definitie van regelbeheer.</w:t>
      </w:r>
    </w:p>
    <w:p>
      <w:pPr>
        <w:pStyle w:val="BodyText"/>
      </w:pPr>
      <w:r>
        <w:t xml:space="preserve">Goede ondersteuning van organisatiegrens overstijgend regelbeheer is</w:t>
      </w:r>
      <w:r>
        <w:t xml:space="preserve"> </w:t>
      </w:r>
      <w:r>
        <w:t xml:space="preserve">essentieel bij een doelmatige en doeltreffende operationalisatie van</w:t>
      </w:r>
      <w:r>
        <w:t xml:space="preserve"> </w:t>
      </w:r>
      <w:r>
        <w:t xml:space="preserve">(overheids)diensten in een digitale overheid. Vanuit de Wet Open</w:t>
      </w:r>
      <w:r>
        <w:t xml:space="preserve"> </w:t>
      </w:r>
      <w:r>
        <w:t xml:space="preserve">Overheid en de Wet Hergebruik Overheidsinformatie kan ook geïmpliceerd</w:t>
      </w:r>
      <w:r>
        <w:t xml:space="preserve"> </w:t>
      </w:r>
      <w:r>
        <w:t xml:space="preserve">en geëxtrapoleerd worden dat alle informatie rond regelbeheer inclusief</w:t>
      </w:r>
      <w:r>
        <w:t xml:space="preserve"> </w:t>
      </w:r>
      <w:r>
        <w:t xml:space="preserve">de regels zelf als open data ook zo interoperabel en herbruikbaar</w:t>
      </w:r>
      <w:r>
        <w:t xml:space="preserve"> </w:t>
      </w:r>
      <w:r>
        <w:t xml:space="preserve">mogelijk moeten worden gedeeld. Dit is wat een Platform Regelbeheer als</w:t>
      </w:r>
      <w:r>
        <w:t xml:space="preserve"> </w:t>
      </w:r>
      <w:r>
        <w:t xml:space="preserve">weergegeven in figuur 1 mogelijk maken moet.</w:t>
      </w:r>
    </w:p>
    <w:bookmarkEnd w:id="36"/>
    <w:bookmarkEnd w:id="37"/>
    <w:bookmarkStart w:id="49" w:name="X9ca0106e8afbf17a3ef2434f8c59d11cf61c536"/>
    <w:p>
      <w:pPr>
        <w:pStyle w:val="Heading1"/>
      </w:pPr>
      <w:r>
        <w:t xml:space="preserve">5 Beschrijving per laag</w:t>
      </w:r>
    </w:p>
    <w:bookmarkStart w:id="38" w:name="X6a5f1ec67951d5e3f77d3284f74c9d25373b0fe"/>
    <w:p>
      <w:pPr>
        <w:pStyle w:val="Heading2"/>
      </w:pPr>
      <w:r>
        <w:t xml:space="preserve">5.1 Overzicht</w:t>
      </w:r>
    </w:p>
    <w:p>
      <w:pPr>
        <w:pStyle w:val="FirstParagraph"/>
      </w:pPr>
      <w:r>
        <w:t xml:space="preserve">TODO Archimate samengevat totaaloverzicht</w:t>
      </w:r>
    </w:p>
    <w:bookmarkEnd w:id="38"/>
    <w:bookmarkStart w:id="40" w:name="Xe3e7772ad086b3d73cc58b4f23999e1274865ae"/>
    <w:p>
      <w:pPr>
        <w:pStyle w:val="Heading2"/>
      </w:pPr>
      <w:r>
        <w:t xml:space="preserve">5.2 Grondslagen</w:t>
      </w:r>
    </w:p>
    <w:p>
      <w:pPr>
        <w:pStyle w:val="FirstParagraph"/>
      </w:pPr>
      <w:r>
        <w:t xml:space="preserve">TODO Archimate grondslagen laag</w:t>
      </w:r>
    </w:p>
    <w:p>
      <w:pPr>
        <w:pStyle w:val="BodyText"/>
      </w:pPr>
      <w:r>
        <w:rPr>
          <w:b/>
          <w:bCs/>
        </w:rPr>
        <w:t xml:space="preserve">Context voor Platform Regelbeheer:</w:t>
      </w:r>
    </w:p>
    <w:p>
      <w:pPr>
        <w:pStyle w:val="BodyText"/>
      </w:pPr>
      <w:r>
        <w:t xml:space="preserve">Algemene Wet Bestuursrecht</w:t>
      </w:r>
    </w:p>
    <w:p>
      <w:pPr>
        <w:pStyle w:val="BodyText"/>
      </w:pPr>
      <w:r>
        <w:t xml:space="preserve">Wet Open Overheid =&gt; TOOI, alles rond regels is open data en moet dat</w:t>
      </w:r>
      <w:r>
        <w:t xml:space="preserve"> </w:t>
      </w:r>
      <w:r>
        <w:t xml:space="preserve">ook worden (muv persoonsgegevens)</w:t>
      </w:r>
    </w:p>
    <w:p>
      <w:pPr>
        <w:pStyle w:val="BodyText"/>
      </w:pPr>
      <w:r>
        <w:t xml:space="preserve">Wet Hergebruik Overheidsinformatie =&gt; standaarden interoperabiliteit</w:t>
      </w:r>
    </w:p>
    <w:p>
      <w:pPr>
        <w:pStyle w:val="BodyText"/>
      </w:pPr>
      <w:r>
        <w:t xml:space="preserve">AVG =&gt; platform is volledig open publieke informatie, muv evt</w:t>
      </w:r>
      <w:r>
        <w:t xml:space="preserve"> </w:t>
      </w:r>
      <w:r>
        <w:t xml:space="preserve">accountinformatie</w:t>
      </w:r>
    </w:p>
    <w:p>
      <w:pPr>
        <w:pStyle w:val="BodyText"/>
      </w:pPr>
      <w:r>
        <w:t xml:space="preserve">AI Verordening =&gt; high risk AI system conformity nodig</w:t>
      </w:r>
    </w:p>
    <w:p>
      <w:pPr>
        <w:pStyle w:val="BodyText"/>
      </w:pPr>
      <w:r>
        <w:t xml:space="preserve">Archiefwet =&gt; MDTO</w:t>
      </w:r>
    </w:p>
    <w:p>
      <w:pPr>
        <w:pStyle w:val="BodyText"/>
      </w:pPr>
      <w:r>
        <w:t xml:space="preserve">Wet Digitale Overheid : muv de verplichte conformiteit aan digitale</w:t>
      </w:r>
      <w:r>
        <w:t xml:space="preserve"> </w:t>
      </w:r>
      <w:r>
        <w:t xml:space="preserve">toegankelijkheids standaard en standaard rond het gebruik van HTTP en</w:t>
      </w:r>
      <w:r>
        <w:t xml:space="preserve"> </w:t>
      </w:r>
      <w:r>
        <w:t xml:space="preserve">HTTPS protocollen niet direct relevant aangezien het Platform</w:t>
      </w:r>
      <w:r>
        <w:t xml:space="preserve"> </w:t>
      </w:r>
      <w:r>
        <w:t xml:space="preserve">Regelbeheer geen persoonsgegevens verwerkt of publieke services biedt</w:t>
      </w:r>
      <w:r>
        <w:t xml:space="preserve"> </w:t>
      </w:r>
      <w:r>
        <w:t xml:space="preserve">waarvoor ingelogd hoeft te worden.</w:t>
      </w:r>
    </w:p>
    <w:p>
      <w:pPr>
        <w:pStyle w:val="BodyText"/>
      </w:pPr>
      <w:r>
        <w:t xml:space="preserve">De voor het niveau van deze architectuur relevante standaarden die door</w:t>
      </w:r>
      <w:r>
        <w:t xml:space="preserve"> </w:t>
      </w:r>
      <w:r>
        <w:t xml:space="preserve">Forum Standaardisatie worden aangewezen zijn met name de standaarden die</w:t>
      </w:r>
      <w:r>
        <w:t xml:space="preserve"> </w:t>
      </w:r>
      <w:r>
        <w:t xml:space="preserve">in behandeling zijn:</w:t>
      </w:r>
    </w:p>
    <w:p>
      <w:pPr>
        <w:pStyle w:val="BodyText"/>
      </w:pPr>
      <w:r>
        <w:t xml:space="preserve">NL-SBB (impliceert de aanbevolen standaarden RDF, SKOS)</w:t>
      </w:r>
    </w:p>
    <w:p>
      <w:pPr>
        <w:pStyle w:val="BodyText"/>
      </w:pPr>
      <w:r>
        <w:t xml:space="preserve">TOOI (opvolger van OWMS, impliceert NL-SBB, de PTLO standaarden zoals</w:t>
      </w:r>
      <w:r>
        <w:t xml:space="preserve"> </w:t>
      </w:r>
      <w:r>
        <w:t xml:space="preserve">ECLI, JCDR, BWB en gaat zich conformeren aan de europese CPSV-AP</w:t>
      </w:r>
      <w:r>
        <w:t xml:space="preserve"> </w:t>
      </w:r>
      <w:r>
        <w:t xml:space="preserve">standaard)</w:t>
      </w:r>
    </w:p>
    <w:p>
      <w:pPr>
        <w:pStyle w:val="BodyText"/>
      </w:pPr>
      <w:r>
        <w:t xml:space="preserve">MDTO (</w:t>
      </w:r>
      <w:hyperlink r:id="rId39">
        <w:r>
          <w:rPr>
            <w:rStyle w:val="Hyperlink"/>
          </w:rPr>
          <w:t xml:space="preserve">https://www.nationaalarchief.nl/archiveren/mdto</w:t>
        </w:r>
      </w:hyperlink>
      <w:r>
        <w:t xml:space="preserve">)</w:t>
      </w:r>
    </w:p>
    <w:p>
      <w:pPr>
        <w:pStyle w:val="BodyText"/>
      </w:pPr>
      <w:r>
        <w:t xml:space="preserve">NL-SBB wordt ook door de NORA aanbevolen voor het vastleggen van kennis</w:t>
      </w:r>
      <w:r>
        <w:t xml:space="preserve"> </w:t>
      </w:r>
      <w:r>
        <w:t xml:space="preserve">binnen de Nederlandse overheid.</w:t>
      </w:r>
    </w:p>
    <w:p>
      <w:pPr>
        <w:pStyle w:val="BodyText"/>
      </w:pPr>
      <w:r>
        <w:rPr>
          <w:b/>
          <w:bCs/>
        </w:rPr>
        <w:t xml:space="preserve">Platform Regelbeheer gaat ook over de standaardisatie rond</w:t>
      </w:r>
      <w:r>
        <w:rPr>
          <w:b/>
          <w:bCs/>
        </w:rPr>
        <w:t xml:space="preserve"> </w:t>
      </w:r>
      <w:r>
        <w:rPr>
          <w:b/>
          <w:bCs/>
        </w:rPr>
        <w:t xml:space="preserve">Regelbeheer:</w:t>
      </w:r>
    </w:p>
    <w:p>
      <w:pPr>
        <w:numPr>
          <w:ilvl w:val="0"/>
          <w:numId w:val="1009"/>
        </w:numPr>
      </w:pPr>
      <w:r>
        <w:t xml:space="preserve">Technologie agnostisch vocabulaire/standaardisatie mbt regelbeheer en</w:t>
      </w:r>
      <w:r>
        <w:t xml:space="preserve"> </w:t>
      </w:r>
      <w:r>
        <w:t xml:space="preserve">regelsets als extensie bij CPSV-AP in de context van TOOI / MDTO</w:t>
      </w:r>
    </w:p>
    <w:p>
      <w:pPr>
        <w:numPr>
          <w:ilvl w:val="0"/>
          <w:numId w:val="1009"/>
        </w:numPr>
      </w:pPr>
      <w:r>
        <w:t xml:space="preserve">Bijpassende doorontwikkeling Leidraad regelbeheer (richtinggevende</w:t>
      </w:r>
      <w:r>
        <w:t xml:space="preserve"> </w:t>
      </w:r>
      <w:r>
        <w:t xml:space="preserve">kennis) met oog voor de NORA, WDO, AI verordening etc.</w:t>
      </w:r>
    </w:p>
    <w:p>
      <w:pPr>
        <w:pStyle w:val="FirstParagraph"/>
      </w:pPr>
      <w:r>
        <w:t xml:space="preserve">NB zie hoofdstuk 5.4 voor meer informatie hierover.</w:t>
      </w:r>
    </w:p>
    <w:bookmarkEnd w:id="40"/>
    <w:bookmarkStart w:id="45" w:name="Xb0c56e9b5ed0f231bfaafa8afff4149e6c554b1"/>
    <w:p>
      <w:pPr>
        <w:pStyle w:val="Heading2"/>
      </w:pPr>
      <w:r>
        <w:t xml:space="preserve">5.3 Organisatie</w:t>
      </w:r>
    </w:p>
    <w:p>
      <w:pPr>
        <w:pStyle w:val="FirstParagraph"/>
      </w:pPr>
      <w:r>
        <w:drawing>
          <wp:inline>
            <wp:extent cx="5334000" cy="1817303"/>
            <wp:effectExtent b="0" l="0" r="0" t="0"/>
            <wp:docPr descr="Stakeholders en hun belangen" title="" id="42" name="Picture"/>
            <a:graphic>
              <a:graphicData uri="http://schemas.openxmlformats.org/drawingml/2006/picture">
                <pic:pic>
                  <pic:nvPicPr>
                    <pic:cNvPr descr="./puml/stakeholder-motivation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 Archimate organisatie laag</w:t>
      </w:r>
    </w:p>
    <w:p>
      <w:pPr>
        <w:pStyle w:val="BodyText"/>
      </w:pPr>
      <w:r>
        <w:t xml:space="preserve">Stakeholders als in hoofdstuk 3.3 met hun belangen. Meer uitgewerkt, ook</w:t>
      </w:r>
      <w:r>
        <w:t xml:space="preserve"> </w:t>
      </w:r>
      <w:r>
        <w:t xml:space="preserve">mbt beheerprocessen voor hetgeen het Platform Regelbeheer zelf biedt.</w:t>
      </w:r>
    </w:p>
    <w:p>
      <w:pPr>
        <w:pStyle w:val="BodyText"/>
      </w:pPr>
      <w:r>
        <w:t xml:space="preserve">Ook in beeld brengen : het (diverse) gebruik van regels buiten het</w:t>
      </w:r>
      <w:r>
        <w:t xml:space="preserve"> </w:t>
      </w:r>
      <w:r>
        <w:t xml:space="preserve">Platform Regelbeheer maar wel conform standaardisatie van het platform</w:t>
      </w:r>
    </w:p>
    <w:p>
      <w:pPr>
        <w:numPr>
          <w:ilvl w:val="0"/>
          <w:numId w:val="1010"/>
        </w:numPr>
      </w:pPr>
      <w:r>
        <w:t xml:space="preserve">On the Edge binnen client side apps bij burgers voor advies,</w:t>
      </w:r>
      <w:r>
        <w:t xml:space="preserve"> </w:t>
      </w:r>
      <w:r>
        <w:t xml:space="preserve">bewustwording en voorbereiding nog los van de operatie van uitvoerende</w:t>
      </w:r>
      <w:r>
        <w:t xml:space="preserve"> </w:t>
      </w:r>
      <w:r>
        <w:t xml:space="preserve">organisaties (muv regelbeheer).</w:t>
      </w:r>
    </w:p>
    <w:p>
      <w:pPr>
        <w:numPr>
          <w:ilvl w:val="0"/>
          <w:numId w:val="1010"/>
        </w:numPr>
      </w:pPr>
      <w:r>
        <w:t xml:space="preserve">Binnen de operatie aan de kant van uitvoerders (met name afhandeling</w:t>
      </w:r>
      <w:r>
        <w:t xml:space="preserve"> </w:t>
      </w:r>
      <w:r>
        <w:t xml:space="preserve">aanvragen)</w:t>
      </w:r>
    </w:p>
    <w:p>
      <w:pPr>
        <w:numPr>
          <w:ilvl w:val="0"/>
          <w:numId w:val="1010"/>
        </w:numPr>
      </w:pPr>
      <w:r>
        <w:t xml:space="preserve">In relatie met gegevenswallets</w:t>
      </w:r>
    </w:p>
    <w:p>
      <w:pPr>
        <w:numPr>
          <w:ilvl w:val="0"/>
          <w:numId w:val="1010"/>
        </w:numPr>
      </w:pPr>
      <w:r>
        <w:t xml:space="preserve">In onderzoek (CBS, wetenschap, Euromod)</w:t>
      </w:r>
    </w:p>
    <w:bookmarkEnd w:id="45"/>
    <w:bookmarkStart w:id="46" w:name="Xe2c24b1e5cb3a5b5129c3ef079fb5189c780ca5"/>
    <w:p>
      <w:pPr>
        <w:pStyle w:val="Heading2"/>
      </w:pPr>
      <w:r>
        <w:t xml:space="preserve">5.4 Informatie</w:t>
      </w:r>
    </w:p>
    <w:p>
      <w:pPr>
        <w:pStyle w:val="FirstParagraph"/>
      </w:pPr>
      <w:r>
        <w:t xml:space="preserve">TODO Archimate informatie laag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Standaard voor definitie van Regelbeheer begrippen waaronder</w:t>
      </w:r>
      <w:r>
        <w:rPr>
          <w:b/>
          <w:bCs/>
        </w:rPr>
        <w:t xml:space="preserve"> </w:t>
      </w:r>
      <w:r>
        <w:rPr>
          <w:b/>
          <w:bCs/>
        </w:rPr>
        <w:t xml:space="preserve">“regelbeheer”, “regel” en “regeltaal”</w:t>
      </w:r>
      <w:r>
        <w:t xml:space="preserve"> </w:t>
      </w:r>
      <w:r>
        <w:t xml:space="preserve">: conform de leidraad</w:t>
      </w:r>
      <w:r>
        <w:t xml:space="preserve"> </w:t>
      </w:r>
      <w:r>
        <w:t xml:space="preserve">Regelbeheer. Een regeltaal is hierbij de wijze van hoe een logisch</w:t>
      </w:r>
      <w:r>
        <w:t xml:space="preserve"> </w:t>
      </w:r>
      <w:r>
        <w:t xml:space="preserve">contruct is vastgelegd en geïnterpreteerd dient te worden. Het komt</w:t>
      </w:r>
      <w:r>
        <w:t xml:space="preserve"> </w:t>
      </w:r>
      <w:r>
        <w:t xml:space="preserve">voor dat meerdere (standaarden voor) regeltalen gecombineerd worden</w:t>
      </w:r>
      <w:r>
        <w:t xml:space="preserve"> </w:t>
      </w:r>
      <w:r>
        <w:t xml:space="preserve">binnen regeldefinities.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Standaard voor definitie van regelsets tbv organisatiegrens</w:t>
      </w:r>
      <w:r>
        <w:rPr>
          <w:b/>
          <w:bCs/>
        </w:rPr>
        <w:t xml:space="preserve"> </w:t>
      </w:r>
      <w:r>
        <w:rPr>
          <w:b/>
          <w:bCs/>
        </w:rPr>
        <w:t xml:space="preserve">overstijgend regelbeheer</w:t>
      </w:r>
      <w:r>
        <w:t xml:space="preserve">: elke officieel gepubliceerde en</w:t>
      </w:r>
      <w:r>
        <w:t xml:space="preserve"> </w:t>
      </w:r>
      <w:r>
        <w:t xml:space="preserve">refereerbare juridische bron van afspraken vormt ook de basis en</w:t>
      </w:r>
      <w:r>
        <w:t xml:space="preserve"> </w:t>
      </w:r>
      <w:r>
        <w:t xml:space="preserve">context voor een losstaande en refereerbare regelset bestaande uit een</w:t>
      </w:r>
      <w:r>
        <w:t xml:space="preserve"> </w:t>
      </w:r>
      <w:r>
        <w:t xml:space="preserve">set van “regels” op basis van een door het Platform Regelbeheer</w:t>
      </w:r>
      <w:r>
        <w:t xml:space="preserve"> </w:t>
      </w:r>
      <w:r>
        <w:t xml:space="preserve">erkende regeltaal. Relatie met TOOI leggen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Standaard voor het kunnen refereren aan regelsets tbv</w:t>
      </w:r>
      <w:r>
        <w:rPr>
          <w:b/>
          <w:bCs/>
        </w:rPr>
        <w:t xml:space="preserve"> </w:t>
      </w:r>
      <w:r>
        <w:rPr>
          <w:b/>
          <w:bCs/>
        </w:rPr>
        <w:t xml:space="preserve">organisatieoverstijgend regelbeheer</w:t>
      </w:r>
      <w:r>
        <w:t xml:space="preserve">: de referentie van de</w:t>
      </w:r>
      <w:r>
        <w:t xml:space="preserve"> </w:t>
      </w:r>
      <w:r>
        <w:t xml:space="preserve">onderliggende juridisch bindende bron van afspraken met een extra</w:t>
      </w:r>
      <w:r>
        <w:t xml:space="preserve"> </w:t>
      </w:r>
      <w:r>
        <w:t xml:space="preserve">aanduiding vormt de referentie aan de regelset. Relatie met TOOI</w:t>
      </w:r>
      <w:r>
        <w:t xml:space="preserve"> </w:t>
      </w:r>
      <w:r>
        <w:t xml:space="preserve">leggen.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Standaard voor organisatiegrens overschrijdende interoperabiliteit</w:t>
      </w:r>
      <w:r>
        <w:rPr>
          <w:b/>
          <w:bCs/>
        </w:rPr>
        <w:t xml:space="preserve"> </w:t>
      </w:r>
      <w:r>
        <w:rPr>
          <w:b/>
          <w:bCs/>
        </w:rPr>
        <w:t xml:space="preserve">van regeltalen</w:t>
      </w:r>
      <w:r>
        <w:t xml:space="preserve">: begrippen in regels in regelsets moeten kunnen</w:t>
      </w:r>
      <w:r>
        <w:t xml:space="preserve"> </w:t>
      </w:r>
      <w:r>
        <w:t xml:space="preserve">verwijzen naar de definities ervan in andere regelsets. Ook begrippen</w:t>
      </w:r>
      <w:r>
        <w:t xml:space="preserve"> </w:t>
      </w:r>
      <w:r>
        <w:t xml:space="preserve">binnen regels dienen hiervoor refereerbaar te zijn. De standaard moet</w:t>
      </w:r>
      <w:r>
        <w:t xml:space="preserve"> </w:t>
      </w:r>
      <w:r>
        <w:t xml:space="preserve">het kunnen ontdubbelen van dubbelingen van begripdefinities via</w:t>
      </w:r>
      <w:r>
        <w:t xml:space="preserve"> </w:t>
      </w:r>
      <w:r>
        <w:t xml:space="preserve">ontologie ondersteunen. De regelset bepaald hierbij een lokale</w:t>
      </w:r>
      <w:r>
        <w:t xml:space="preserve"> </w:t>
      </w:r>
      <w:r>
        <w:t xml:space="preserve">encapsulerende scope. Relatie met TOOI leggen.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Standaard voor organisatiegrens overschrijdende interoperabiliteit</w:t>
      </w:r>
      <w:r>
        <w:rPr>
          <w:b/>
          <w:bCs/>
        </w:rPr>
        <w:t xml:space="preserve"> </w:t>
      </w:r>
      <w:r>
        <w:rPr>
          <w:b/>
          <w:bCs/>
        </w:rPr>
        <w:t xml:space="preserve">van gegevens gebruikt bij regels (en daarmee besluiten).</w:t>
      </w:r>
      <w:r>
        <w:t xml:space="preserve"> </w:t>
      </w:r>
      <w:r>
        <w:t xml:space="preserve">Link met</w:t>
      </w:r>
      <w:r>
        <w:t xml:space="preserve"> </w:t>
      </w:r>
      <w:r>
        <w:t xml:space="preserve">EiDAS (denk ook aan NLWallet en Company Passport project KVK)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Standaard voor het koppelen van regelsets aan diensten in de</w:t>
      </w:r>
      <w:r>
        <w:rPr>
          <w:b/>
          <w:bCs/>
        </w:rPr>
        <w:t xml:space="preserve"> </w:t>
      </w:r>
      <w:r>
        <w:rPr>
          <w:b/>
          <w:bCs/>
        </w:rPr>
        <w:t xml:space="preserve">dienstencatalogus</w:t>
      </w:r>
      <w:r>
        <w:t xml:space="preserve">: NB dit gebeurt idealiter impliciet via wetgeving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Standaard voor het metadateren van regelsets mbt het gebruik ervan</w:t>
      </w:r>
      <w:r>
        <w:t xml:space="preserve"> </w:t>
      </w:r>
      <w:r>
        <w:t xml:space="preserve">: regelsets (in de context van een dienst) leggen mogelijk ook</w:t>
      </w:r>
      <w:r>
        <w:t xml:space="preserve"> </w:t>
      </w:r>
      <w:r>
        <w:t xml:space="preserve">informatie vast over hoe en waar ze gebruikt kunnen worden. Denk aan:</w:t>
      </w:r>
      <w:r>
        <w:t xml:space="preserve"> </w:t>
      </w:r>
      <w:r>
        <w:t xml:space="preserve">online voorbeeld API voor testdoeleinden, gebruikte regeltaal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Standaard voor het metadateren van regelsets mbt het beheer ervan</w:t>
      </w:r>
      <w:r>
        <w:t xml:space="preserve"> </w:t>
      </w:r>
      <w:r>
        <w:t xml:space="preserve">: regelsets (in de context van een dienst) leggen niet alleen de</w:t>
      </w:r>
      <w:r>
        <w:t xml:space="preserve"> </w:t>
      </w:r>
      <w:r>
        <w:t xml:space="preserve">regels vast en daarmee hoe ze worden uitgevoerd maar ook hoe ze</w:t>
      </w:r>
      <w:r>
        <w:t xml:space="preserve"> </w:t>
      </w:r>
      <w:r>
        <w:t xml:space="preserve">afgesproken, herstelt, veranderd en verbeterd worden. NB rond elke</w:t>
      </w:r>
      <w:r>
        <w:t xml:space="preserve"> </w:t>
      </w:r>
      <w:r>
        <w:t xml:space="preserve">regelset is mogelijk ook een aparte subdienst te leveren binnen de</w:t>
      </w:r>
      <w:r>
        <w:t xml:space="preserve"> </w:t>
      </w:r>
      <w:r>
        <w:t xml:space="preserve">overheid. Onder een dienst zijn vaak meerdere regelsets van toepassing</w:t>
      </w:r>
      <w:r>
        <w:t xml:space="preserve"> </w:t>
      </w:r>
      <w:r>
        <w:t xml:space="preserve">van ook verschillende eindverantwoordelijke uitvoerende organisaties,</w:t>
      </w:r>
      <w:r>
        <w:t xml:space="preserve"> </w:t>
      </w:r>
      <w:r>
        <w:t xml:space="preserve">die elk zo hun eigen ondersteuning bieden voor hun eigen deel in het</w:t>
      </w:r>
      <w:r>
        <w:t xml:space="preserve"> </w:t>
      </w:r>
      <w:r>
        <w:t xml:space="preserve">geheel.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Standaard voor het metadateren van regelsets mbt uitlegbaarheid</w:t>
      </w:r>
      <w:r>
        <w:t xml:space="preserve"> </w:t>
      </w:r>
      <w:r>
        <w:t xml:space="preserve">:</w:t>
      </w:r>
      <w:r>
        <w:t xml:space="preserve"> </w:t>
      </w:r>
      <w:r>
        <w:t xml:space="preserve">we gebruiken hiervoor NL-SBB en inhoudelijk ook de nodige leidraden.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Standaard voor het officieel publiceren van regelsets en regeltalen</w:t>
      </w:r>
      <w:r>
        <w:rPr>
          <w:b/>
          <w:bCs/>
        </w:rPr>
        <w:t xml:space="preserve"> </w:t>
      </w:r>
      <w:r>
        <w:rPr>
          <w:b/>
          <w:bCs/>
        </w:rPr>
        <w:t xml:space="preserve">tbv organisatiegrensoverstijgend regelbeheer</w:t>
      </w:r>
      <w:r>
        <w:t xml:space="preserve"> </w:t>
      </w:r>
      <w:r>
        <w:t xml:space="preserve">Dit bepaald ook of een</w:t>
      </w:r>
      <w:r>
        <w:t xml:space="preserve"> </w:t>
      </w:r>
      <w:r>
        <w:t xml:space="preserve">regelset via het platform regelbeheer te vinden is.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Standaard voor visualisatie van regels(ets) :</w:t>
      </w:r>
      <w:r>
        <w:t xml:space="preserve"> </w:t>
      </w:r>
      <w:r>
        <w:t xml:space="preserve">het gebruik van UML</w:t>
      </w:r>
      <w:r>
        <w:t xml:space="preserve"> </w:t>
      </w:r>
      <w:r>
        <w:t xml:space="preserve">/ Archimate voor het visualiseren van regels(ets) (wellicht via NL-SBB</w:t>
      </w:r>
      <w:r>
        <w:t xml:space="preserve"> </w:t>
      </w:r>
      <w:r>
        <w:t xml:space="preserve">en of wellicht MIM)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Algemene kennis van regelbeheer (waaronder bovenstaande standaarden)</w:t>
      </w:r>
      <w:r>
        <w:rPr>
          <w:b/>
          <w:bCs/>
        </w:rPr>
        <w:t xml:space="preserve"> </w:t>
      </w:r>
      <w:r>
        <w:rPr>
          <w:b/>
          <w:bCs/>
        </w:rPr>
        <w:t xml:space="preserve">en bijpassende tooling met voorbeelden</w:t>
      </w:r>
    </w:p>
    <w:bookmarkEnd w:id="46"/>
    <w:bookmarkStart w:id="47" w:name="Xffd55f56ad36979c63aab5c1c6e8bccca65c558"/>
    <w:p>
      <w:pPr>
        <w:pStyle w:val="Heading2"/>
      </w:pPr>
      <w:r>
        <w:t xml:space="preserve">5.5 Applicaties</w:t>
      </w:r>
    </w:p>
    <w:p>
      <w:pPr>
        <w:pStyle w:val="FirstParagraph"/>
      </w:pPr>
      <w:r>
        <w:t xml:space="preserve">TODO Archimate applicatie laag</w:t>
      </w:r>
    </w:p>
    <w:p>
      <w:pPr>
        <w:numPr>
          <w:ilvl w:val="0"/>
          <w:numId w:val="1012"/>
        </w:numPr>
      </w:pPr>
      <w:r>
        <w:t xml:space="preserve">Website onder redactie voor het online kunnen ontsluiten van kennis</w:t>
      </w:r>
      <w:r>
        <w:t xml:space="preserve"> </w:t>
      </w:r>
      <w:r>
        <w:t xml:space="preserve">als beginpunt voor alles regelbeheer waaronder publicatie en uitleg</w:t>
      </w:r>
      <w:r>
        <w:t xml:space="preserve"> </w:t>
      </w:r>
      <w:r>
        <w:t xml:space="preserve">over de standaarden benoemd in de informatielaag, maar ook nieuws,</w:t>
      </w:r>
      <w:r>
        <w:t xml:space="preserve"> </w:t>
      </w:r>
      <w:r>
        <w:t xml:space="preserve">agenda, blog, algemene publicaties onder de aandacht brengen.</w:t>
      </w:r>
    </w:p>
    <w:p>
      <w:pPr>
        <w:numPr>
          <w:ilvl w:val="0"/>
          <w:numId w:val="1012"/>
        </w:numPr>
      </w:pPr>
      <w:r>
        <w:t xml:space="preserve">Zoekservices voor regels die structurering aanhoudt in sets van regels</w:t>
      </w:r>
      <w:r>
        <w:t xml:space="preserve"> </w:t>
      </w:r>
      <w:r>
        <w:t xml:space="preserve">obv UPL en wetgeving volgens de standaarden benoemd in de</w:t>
      </w:r>
      <w:r>
        <w:t xml:space="preserve"> </w:t>
      </w:r>
      <w:r>
        <w:t xml:space="preserve">informatielaag</w:t>
      </w:r>
    </w:p>
    <w:p>
      <w:pPr>
        <w:pStyle w:val="Compact"/>
        <w:numPr>
          <w:ilvl w:val="1"/>
          <w:numId w:val="1013"/>
        </w:numPr>
      </w:pPr>
      <w:r>
        <w:t xml:space="preserve">Zoeken van specifieke (begrippen binnen) regels(ets) binnen het</w:t>
      </w:r>
      <w:r>
        <w:t xml:space="preserve"> </w:t>
      </w:r>
      <w:r>
        <w:t xml:space="preserve">geheel van alle decentraal gepubliceerde regelsets aan de hand van</w:t>
      </w:r>
      <w:r>
        <w:t xml:space="preserve"> </w:t>
      </w:r>
      <w:r>
        <w:t xml:space="preserve">keywords, of drill down bread crumb navigatie vanuit</w:t>
      </w:r>
      <w:r>
        <w:t xml:space="preserve"> </w:t>
      </w:r>
      <w:r>
        <w:t xml:space="preserve">dienstencatalogus niveau of specifieke categoriserende metadata</w:t>
      </w:r>
      <w:r>
        <w:t xml:space="preserve"> </w:t>
      </w:r>
      <w:r>
        <w:t xml:space="preserve">(denk aan Levensgebeurtenissen). Hiermee kunnen ook dubbelingen</w:t>
      </w:r>
      <w:r>
        <w:t xml:space="preserve"> </w:t>
      </w:r>
      <w:r>
        <w:t xml:space="preserve">opgespoord worden die via ontologieafspraken kunnen worden</w:t>
      </w:r>
      <w:r>
        <w:t xml:space="preserve"> </w:t>
      </w:r>
      <w:r>
        <w:t xml:space="preserve">ontdubbeld. Hierbij kunnen allerlei views op zoekresultaten geboden</w:t>
      </w:r>
      <w:r>
        <w:t xml:space="preserve"> </w:t>
      </w:r>
      <w:r>
        <w:t xml:space="preserve">worden (van sterk samengevat tot gedetaileerd). Hiermee kunnen ook</w:t>
      </w:r>
      <w:r>
        <w:t xml:space="preserve"> </w:t>
      </w:r>
      <w:r>
        <w:t xml:space="preserve">eerder gemiste nieuw te leggen links tussen regelsets opgespoord</w:t>
      </w:r>
      <w:r>
        <w:t xml:space="preserve"> </w:t>
      </w:r>
      <w:r>
        <w:t xml:space="preserve">worden.</w:t>
      </w:r>
    </w:p>
    <w:p>
      <w:pPr>
        <w:numPr>
          <w:ilvl w:val="0"/>
          <w:numId w:val="1012"/>
        </w:numPr>
      </w:pPr>
      <w:r>
        <w:t xml:space="preserve">Hulpservices voor regelbeheer:</w:t>
      </w:r>
    </w:p>
    <w:p>
      <w:pPr>
        <w:numPr>
          <w:ilvl w:val="1"/>
          <w:numId w:val="1014"/>
        </w:numPr>
      </w:pPr>
      <w:r>
        <w:t xml:space="preserve">Meting van goede regelbeheer conformiteit van uitwerking van</w:t>
      </w:r>
      <w:r>
        <w:t xml:space="preserve"> </w:t>
      </w:r>
      <w:r>
        <w:t xml:space="preserve">diensten</w:t>
      </w:r>
    </w:p>
    <w:p>
      <w:pPr>
        <w:numPr>
          <w:ilvl w:val="1"/>
          <w:numId w:val="1014"/>
        </w:numPr>
      </w:pPr>
      <w:r>
        <w:t xml:space="preserve">Issuing service voor ondertekening vanuit Platform Regelbeheer van</w:t>
      </w:r>
      <w:r>
        <w:t xml:space="preserve"> </w:t>
      </w:r>
      <w:r>
        <w:t xml:space="preserve">regelsets mbt gemeten conformiteit.</w:t>
      </w:r>
    </w:p>
    <w:p>
      <w:pPr>
        <w:numPr>
          <w:ilvl w:val="1"/>
          <w:numId w:val="1014"/>
        </w:numPr>
      </w:pPr>
      <w:r>
        <w:t xml:space="preserve">Visualisatie van regels(ets)</w:t>
      </w:r>
    </w:p>
    <w:p>
      <w:pPr>
        <w:numPr>
          <w:ilvl w:val="1"/>
          <w:numId w:val="1014"/>
        </w:numPr>
      </w:pPr>
      <w:r>
        <w:t xml:space="preserve">Genereren van boilerplate regelset repositories met documentatie</w:t>
      </w:r>
      <w:r>
        <w:t xml:space="preserve"> </w:t>
      </w:r>
      <w:r>
        <w:t xml:space="preserve">voor gebruik in eigen code repositories waar die er officieel nog</w:t>
      </w:r>
      <w:r>
        <w:t xml:space="preserve"> </w:t>
      </w:r>
      <w:r>
        <w:t xml:space="preserve">niet lijken te bestaan (voor elke juriconnect bron onder een dienst</w:t>
      </w:r>
      <w:r>
        <w:t xml:space="preserve"> </w:t>
      </w:r>
      <w:r>
        <w:t xml:space="preserve">in de dienstencatalogus zou een regelset gedefinieerd moeten zijn)</w:t>
      </w:r>
    </w:p>
    <w:p>
      <w:pPr>
        <w:numPr>
          <w:ilvl w:val="0"/>
          <w:numId w:val="1012"/>
        </w:numPr>
      </w:pPr>
      <w:r>
        <w:t xml:space="preserve">Etalage van tooling en voorbeelden tbv regelbeheer.</w:t>
      </w:r>
    </w:p>
    <w:p>
      <w:pPr>
        <w:pStyle w:val="BlockText"/>
      </w:pPr>
      <w:r>
        <w:rPr>
          <w:i/>
          <w:iCs/>
        </w:rPr>
        <w:t xml:space="preserve">NB hier is reeds meer van al opgesteld denk ik bij het ontwerp van</w:t>
      </w:r>
      <w:r>
        <w:rPr>
          <w:i/>
          <w:iCs/>
        </w:rPr>
        <w:t xml:space="preserve"> </w:t>
      </w:r>
      <w:r>
        <w:rPr>
          <w:i/>
          <w:iCs/>
        </w:rPr>
        <w:t xml:space="preserve">regels.overheid.nl?</w:t>
      </w:r>
    </w:p>
    <w:bookmarkEnd w:id="47"/>
    <w:bookmarkStart w:id="48" w:name="X47363cde2767efe31483914231131bc48d72fe9"/>
    <w:p>
      <w:pPr>
        <w:pStyle w:val="Heading2"/>
      </w:pPr>
      <w:r>
        <w:t xml:space="preserve">5.6 Fysieke infrastructuur</w:t>
      </w:r>
    </w:p>
    <w:p>
      <w:pPr>
        <w:pStyle w:val="FirstParagraph"/>
      </w:pPr>
      <w:r>
        <w:t xml:space="preserve">TODO Archimate infrastructuur laag</w:t>
      </w:r>
    </w:p>
    <w:p>
      <w:pPr>
        <w:pStyle w:val="BodyText"/>
      </w:pPr>
      <w:r>
        <w:t xml:space="preserve">Met name een schaalbare robuuste veilige webserver.</w:t>
      </w:r>
    </w:p>
    <w:bookmarkEnd w:id="48"/>
    <w:bookmarkEnd w:id="49"/>
    <w:bookmarkStart w:id="50" w:name="X4e70cde26b30586e23d3e94afccd1cc0e6cae2d"/>
    <w:p>
      <w:pPr>
        <w:pStyle w:val="Heading1"/>
      </w:pPr>
      <w:r>
        <w:t xml:space="preserve">6 Standaarden</w:t>
      </w:r>
    </w:p>
    <w:p>
      <w:pPr>
        <w:pStyle w:val="FirstParagraph"/>
      </w:pPr>
      <w:r>
        <w:t xml:space="preserve">Alle voor het platform Regelbeheer relevante standaarden zijn al</w:t>
      </w:r>
      <w:r>
        <w:t xml:space="preserve"> </w:t>
      </w:r>
      <w:r>
        <w:t xml:space="preserve">geïdentificeerd in de grondslagen laag (zie hoofdstuk 5.1), alsook in</w:t>
      </w:r>
      <w:r>
        <w:t xml:space="preserve"> </w:t>
      </w:r>
      <w:r>
        <w:t xml:space="preserve">navolging daarop in de informatie laag de standaarden die het Platform</w:t>
      </w:r>
      <w:r>
        <w:t xml:space="preserve"> </w:t>
      </w:r>
      <w:r>
        <w:t xml:space="preserve">Regelbeheer zelf vaststelt (zie hoofdstuk 5.4).</w:t>
      </w:r>
    </w:p>
    <w:bookmarkEnd w:id="50"/>
    <w:bookmarkStart w:id="53" w:name="X804b9a43357df73054eecae0c5926190880fcc5"/>
    <w:p>
      <w:pPr>
        <w:pStyle w:val="Heading1"/>
      </w:pPr>
      <w:r>
        <w:t xml:space="preserve">7 Privacy en Informatiebeveiliging</w:t>
      </w:r>
    </w:p>
    <w:bookmarkStart w:id="51" w:name="X47aac699a2023ece5c51716014e6cadf1934bca"/>
    <w:p>
      <w:pPr>
        <w:pStyle w:val="Heading2"/>
      </w:pPr>
      <w:r>
        <w:t xml:space="preserve">7.1 Privacy</w:t>
      </w:r>
    </w:p>
    <w:p>
      <w:pPr>
        <w:pStyle w:val="FirstParagraph"/>
      </w:pPr>
      <w:r>
        <w:t xml:space="preserve">Regels, alsook alle metadata daaromtrent zijn geen persoonsgegevens en</w:t>
      </w:r>
      <w:r>
        <w:t xml:space="preserve"> </w:t>
      </w:r>
      <w:r>
        <w:t xml:space="preserve">dienen gewoon transparant openbaar gepubliceerd te worden. Het Platform</w:t>
      </w:r>
      <w:r>
        <w:t xml:space="preserve"> </w:t>
      </w:r>
      <w:r>
        <w:t xml:space="preserve">Regelbeheer bevat dan ook alleen publiekelijk vrij verkrijgbare</w:t>
      </w:r>
      <w:r>
        <w:t xml:space="preserve"> </w:t>
      </w:r>
      <w:r>
        <w:t xml:space="preserve">informatie.</w:t>
      </w:r>
    </w:p>
    <w:p>
      <w:pPr>
        <w:pStyle w:val="BodyText"/>
      </w:pPr>
      <w:r>
        <w:t xml:space="preserve">(NB dit is analoog aan open source ontwikkeling op bijvoorbeeld github</w:t>
      </w:r>
      <w:r>
        <w:t xml:space="preserve"> </w:t>
      </w:r>
      <w:r>
        <w:t xml:space="preserve">waar alle discussies openbaar zijn)</w:t>
      </w:r>
    </w:p>
    <w:bookmarkEnd w:id="51"/>
    <w:bookmarkStart w:id="52" w:name="X726440fa2174397f5a9708133f861bf1c1b115f"/>
    <w:p>
      <w:pPr>
        <w:pStyle w:val="Heading2"/>
      </w:pPr>
      <w:r>
        <w:t xml:space="preserve">7.2 Informatiebeveiliging</w:t>
      </w:r>
    </w:p>
    <w:p>
      <w:pPr>
        <w:pStyle w:val="FirstParagraph"/>
      </w:pPr>
      <w:r>
        <w:t xml:space="preserve">Platform Regelbeheer mag niet een schakel vormen binnen de</w:t>
      </w:r>
      <w:r>
        <w:t xml:space="preserve"> </w:t>
      </w:r>
      <w:r>
        <w:t xml:space="preserve">beschikbaarheid van diensten waar het regels van beheert. Mocht het</w:t>
      </w:r>
      <w:r>
        <w:t xml:space="preserve"> </w:t>
      </w:r>
      <w:r>
        <w:t xml:space="preserve">platform onverhoopt offline gaan dan dienen diensten op basis van regels</w:t>
      </w:r>
      <w:r>
        <w:t xml:space="preserve"> </w:t>
      </w:r>
      <w:r>
        <w:t xml:space="preserve">gewoon online te blijven en alles doorgang te kunnen hebben. het</w:t>
      </w:r>
      <w:r>
        <w:t xml:space="preserve"> </w:t>
      </w:r>
      <w:r>
        <w:t xml:space="preserve">platform verwijst vooral ook naar echte bronnen van informatie dan dat</w:t>
      </w:r>
      <w:r>
        <w:t xml:space="preserve"> </w:t>
      </w:r>
      <w:r>
        <w:t xml:space="preserve">het zelf de eerste bron is.. (?)</w:t>
      </w:r>
    </w:p>
    <w:bookmarkEnd w:id="52"/>
    <w:bookmarkEnd w:id="53"/>
    <w:bookmarkStart w:id="54" w:name="X1c10e2a698918aa653f1b0bcb5eda5a76a66569"/>
    <w:p>
      <w:pPr>
        <w:pStyle w:val="Heading1"/>
      </w:pPr>
      <w:r>
        <w:t xml:space="preserve">8 Beheer</w:t>
      </w:r>
    </w:p>
    <w:p>
      <w:pPr>
        <w:pStyle w:val="FirstParagraph"/>
      </w:pPr>
      <w:r>
        <w:t xml:space="preserve">Wat wordt de beheerpartij voor de website regels.overheid.nl ?</w:t>
      </w:r>
    </w:p>
    <w:bookmarkEnd w:id="54"/>
    <w:bookmarkStart w:id="57" w:name="X6c0a4517571b2bb78a48547995ad2d7df917367"/>
    <w:p>
      <w:pPr>
        <w:pStyle w:val="Heading1"/>
      </w:pPr>
      <w:r>
        <w:t xml:space="preserve">9 Beslispunten</w:t>
      </w:r>
    </w:p>
    <w:bookmarkStart w:id="56" w:name="X027d4605b7b47b310b3fa51603323fb3aae1376"/>
    <w:p>
      <w:pPr>
        <w:pStyle w:val="Heading2"/>
      </w:pPr>
      <w:r>
        <w:t xml:space="preserve">9.1 Definitie begrippen Regelbeheer, Regel en Regeltaal</w:t>
      </w:r>
    </w:p>
    <w:p>
      <w:pPr>
        <w:pStyle w:val="FirstParagraph"/>
      </w:pPr>
      <w:r>
        <w:t xml:space="preserve">In de leidraad Regelbeheer van de expertisegroep regelbeheer wordt</w:t>
      </w:r>
      <w:r>
        <w:t xml:space="preserve"> </w:t>
      </w:r>
      <w:r>
        <w:t xml:space="preserve">regelbeheer gedefinieerd als:</w:t>
      </w:r>
    </w:p>
    <w:p>
      <w:pPr>
        <w:pStyle w:val="BodyText"/>
      </w:pPr>
      <w:r>
        <w:rPr>
          <w:b/>
          <w:bCs/>
          <w:i/>
          <w:iCs/>
        </w:rPr>
        <w:t xml:space="preserve">Regelbeheer</w:t>
      </w:r>
      <w:r>
        <w:rPr>
          <w:i/>
          <w:iCs/>
        </w:rPr>
        <w:t xml:space="preserve"> </w:t>
      </w:r>
      <w:r>
        <w:rPr>
          <w:i/>
          <w:iCs/>
        </w:rPr>
        <w:t xml:space="preserve">is het "geheel aan methoden, technieken, hulpmiddelen</w:t>
      </w:r>
      <w:r>
        <w:rPr>
          <w:i/>
          <w:iCs/>
        </w:rPr>
        <w:t xml:space="preserve"> </w:t>
      </w:r>
      <w:r>
        <w:rPr>
          <w:i/>
          <w:iCs/>
        </w:rPr>
        <w:t xml:space="preserve">en voorschriften om regels te ontwerpen, analyseren, valideren,</w:t>
      </w:r>
      <w:r>
        <w:rPr>
          <w:i/>
          <w:iCs/>
        </w:rPr>
        <w:t xml:space="preserve"> </w:t>
      </w:r>
      <w:r>
        <w:rPr>
          <w:i/>
          <w:iCs/>
        </w:rPr>
        <w:t xml:space="preserve">verifiëren, uit te rollen, uit te voeren, te beheren en te</w:t>
      </w:r>
      <w:r>
        <w:rPr>
          <w:i/>
          <w:iCs/>
        </w:rPr>
        <w:t xml:space="preserve"> </w:t>
      </w:r>
      <w:r>
        <w:rPr>
          <w:i/>
          <w:iCs/>
        </w:rPr>
        <w:t xml:space="preserve">evalueren."</w:t>
      </w:r>
      <w:r>
        <w:rPr>
          <w:rStyle w:val="FootnoteReference"/>
        </w:rPr>
        <w:footnoteReference w:id="55"/>
      </w:r>
    </w:p>
    <w:p>
      <w:pPr>
        <w:pStyle w:val="BodyText"/>
      </w:pPr>
      <w:r>
        <w:rPr>
          <w:i/>
          <w:iCs/>
        </w:rPr>
        <w:t xml:space="preserve">In plaats van de term 'Regelbeheer' wordt ook wel gesproken over</w:t>
      </w:r>
      <w:r>
        <w:rPr>
          <w:i/>
          <w:iCs/>
        </w:rPr>
        <w:t xml:space="preserve"> </w:t>
      </w:r>
      <w:r>
        <w:rPr>
          <w:i/>
          <w:iCs/>
        </w:rPr>
        <w:t xml:space="preserve">'Regelbeheersing', 'Business Rules Management (BRM)', 'Kennisgebaseerd</w:t>
      </w:r>
      <w:r>
        <w:rPr>
          <w:i/>
          <w:iCs/>
        </w:rPr>
        <w:t xml:space="preserve"> </w:t>
      </w:r>
      <w:r>
        <w:rPr>
          <w:i/>
          <w:iCs/>
        </w:rPr>
        <w:t xml:space="preserve">Werken' of 'Regelgestuurd werken'.</w:t>
      </w:r>
    </w:p>
    <w:p>
      <w:pPr>
        <w:pStyle w:val="BodyText"/>
      </w:pPr>
      <w:r>
        <w:t xml:space="preserve">Maar dan is het wel ook nodig het begrip “regel” in deze context te</w:t>
      </w:r>
      <w:r>
        <w:t xml:space="preserve"> </w:t>
      </w:r>
      <w:r>
        <w:t xml:space="preserve">definieren. De leidraad doet dit gelukkig ook en definieert deze als:</w:t>
      </w:r>
    </w:p>
    <w:p>
      <w:pPr>
        <w:pStyle w:val="BodyText"/>
      </w:pPr>
      <w:r>
        <w:rPr>
          <w:i/>
          <w:iCs/>
        </w:rPr>
        <w:t xml:space="preserve">"Een logisch of rekenkundig construct dat is gebaseerd op wet- en</w:t>
      </w:r>
      <w:r>
        <w:rPr>
          <w:i/>
          <w:iCs/>
        </w:rPr>
        <w:t xml:space="preserve"> </w:t>
      </w:r>
      <w:r>
        <w:rPr>
          <w:i/>
          <w:iCs/>
        </w:rPr>
        <w:t xml:space="preserve">regelgeving of beleid en rechtstreeks sturing geeft aan de primaire taak</w:t>
      </w:r>
      <w:r>
        <w:rPr>
          <w:i/>
          <w:iCs/>
        </w:rPr>
        <w:t xml:space="preserve"> </w:t>
      </w:r>
      <w:r>
        <w:rPr>
          <w:i/>
          <w:iCs/>
        </w:rPr>
        <w:t xml:space="preserve">van een uitvoeringsorganisatie"</w:t>
      </w:r>
    </w:p>
    <w:p>
      <w:pPr>
        <w:pStyle w:val="BodyText"/>
      </w:pPr>
      <w:r>
        <w:t xml:space="preserve">Voortschrijdend inzicht levert echter op dat wet- en regelgeving of</w:t>
      </w:r>
      <w:r>
        <w:t xml:space="preserve"> </w:t>
      </w:r>
      <w:r>
        <w:t xml:space="preserve">beleid in alle gevallen gaat over afspraken en dat regels ook deels</w:t>
      </w:r>
      <w:r>
        <w:t xml:space="preserve"> </w:t>
      </w:r>
      <w:r>
        <w:t xml:space="preserve">gebaseerd moeten kunnen worden op andere vormen van afspraken dan wet-</w:t>
      </w:r>
      <w:r>
        <w:t xml:space="preserve"> </w:t>
      </w:r>
      <w:r>
        <w:t xml:space="preserve">en regelgeving of beleid zoals standaarden, architectuur, of misschien</w:t>
      </w:r>
      <w:r>
        <w:t xml:space="preserve"> </w:t>
      </w:r>
      <w:r>
        <w:t xml:space="preserve">ook gewoon wel persoonlijke afspraken die juridisch bindend zijn.</w:t>
      </w:r>
      <w:r>
        <w:t xml:space="preserve"> </w:t>
      </w:r>
      <w:r>
        <w:t xml:space="preserve">Derhalve definiëren we in dit document het begrip “</w:t>
      </w:r>
      <w:r>
        <w:rPr>
          <w:b/>
          <w:bCs/>
        </w:rPr>
        <w:t xml:space="preserve">regel</w:t>
      </w:r>
      <w:r>
        <w:t xml:space="preserve">” als volgt:</w:t>
      </w:r>
    </w:p>
    <w:p>
      <w:pPr>
        <w:pStyle w:val="BodyText"/>
      </w:pPr>
      <w:r>
        <w:rPr>
          <w:i/>
          <w:iCs/>
        </w:rPr>
        <w:t xml:space="preserve">"Een logisch of rekenkundig construct dat is gebaseerd op juridisch</w:t>
      </w:r>
      <w:r>
        <w:rPr>
          <w:i/>
          <w:iCs/>
        </w:rPr>
        <w:t xml:space="preserve"> </w:t>
      </w:r>
      <w:r>
        <w:rPr>
          <w:i/>
          <w:iCs/>
        </w:rPr>
        <w:t xml:space="preserve">bindende afspraken en rechtstreeks sturing geeft aan de primaire taak</w:t>
      </w:r>
      <w:r>
        <w:rPr>
          <w:i/>
          <w:iCs/>
        </w:rPr>
        <w:t xml:space="preserve"> </w:t>
      </w:r>
      <w:r>
        <w:rPr>
          <w:i/>
          <w:iCs/>
        </w:rPr>
        <w:t xml:space="preserve">van een uitvoeringsorganisatie"</w:t>
      </w:r>
    </w:p>
    <w:p>
      <w:pPr>
        <w:pStyle w:val="BodyText"/>
      </w:pPr>
      <w:r>
        <w:rPr>
          <w:i/>
          <w:iCs/>
        </w:rPr>
        <w:t xml:space="preserve">“De taal waarmee een logisch of rekenkundig contruct uitgedrukt kan</w:t>
      </w:r>
      <w:r>
        <w:rPr>
          <w:i/>
          <w:iCs/>
        </w:rPr>
        <w:t xml:space="preserve"> </w:t>
      </w:r>
      <w:r>
        <w:rPr>
          <w:i/>
          <w:iCs/>
        </w:rPr>
        <w:t xml:space="preserve">worden en die het een formele semantiek geeft”</w:t>
      </w:r>
      <w:r>
        <w:t xml:space="preserve"> </w:t>
      </w:r>
      <w:r>
        <w:t xml:space="preserve">noemen we een</w:t>
      </w:r>
      <w:r>
        <w:t xml:space="preserve"> </w:t>
      </w:r>
      <w:r>
        <w:t xml:space="preserve">“</w:t>
      </w:r>
      <w:r>
        <w:rPr>
          <w:b/>
          <w:bCs/>
        </w:rPr>
        <w:t xml:space="preserve">regeltaal</w:t>
      </w:r>
      <w:r>
        <w:t xml:space="preserve">”.</w:t>
      </w:r>
    </w:p>
    <w:p>
      <w:pPr>
        <w:pStyle w:val="BodyText"/>
      </w:pPr>
      <w:r>
        <w:t xml:space="preserve">NB het daadwerkelijk doen van regelbeheer zelf en de</w:t>
      </w:r>
      <w:r>
        <w:t xml:space="preserve"> </w:t>
      </w:r>
      <w:r>
        <w:t xml:space="preserve">verantwoordelijkheid daarvoor is niet onderdeel van het Platform</w:t>
      </w:r>
      <w:r>
        <w:t xml:space="preserve"> </w:t>
      </w:r>
      <w:r>
        <w:t xml:space="preserve">Regelbeheer al biedt het zoveel mogelijk doelgerichte kennis hiervoor en</w:t>
      </w:r>
      <w:r>
        <w:t xml:space="preserve"> </w:t>
      </w:r>
      <w:r>
        <w:t xml:space="preserve">ook wat algemene services die hierbij helpen kunnen.</w:t>
      </w:r>
    </w:p>
    <w:p>
      <w:pPr>
        <w:pStyle w:val="BodyText"/>
      </w:pPr>
      <w:r>
        <w:t xml:space="preserve">De achilleshiel van het werken onder architectuur is een veelheid van</w:t>
      </w:r>
      <w:r>
        <w:t xml:space="preserve"> </w:t>
      </w:r>
      <w:r>
        <w:t xml:space="preserve">afwijkingen die vervolgens jaren blijven bestaan en uit zicht</w:t>
      </w:r>
      <w:r>
        <w:t xml:space="preserve"> </w:t>
      </w:r>
      <w:r>
        <w:t xml:space="preserve">verdwijnen. Daarom is het van belang dat er een verantwoordelijke is</w:t>
      </w:r>
      <w:r>
        <w:t xml:space="preserve"> </w:t>
      </w:r>
      <w:r>
        <w:t xml:space="preserve">voor het beoordelen, goed- dan wel afkeuren en blijvend monitoren van</w:t>
      </w:r>
      <w:r>
        <w:t xml:space="preserve"> </w:t>
      </w:r>
      <w:r>
        <w:t xml:space="preserve">bewuste afwijkingen op de architectuur. Er kunnen valide redenen zijn om</w:t>
      </w:r>
      <w:r>
        <w:t xml:space="preserve"> </w:t>
      </w:r>
      <w:r>
        <w:t xml:space="preserve">afwijkingen toe te staan; niet om ze jarenlang te laten bestaan…</w:t>
      </w:r>
    </w:p>
    <w:p>
      <w:pPr>
        <w:pStyle w:val="BodyText"/>
      </w:pPr>
      <w:r>
        <w:t xml:space="preserve">Geef een opsomming van de punten waarvan de stakeholders aangeven dat</w:t>
      </w:r>
      <w:r>
        <w:t xml:space="preserve"> </w:t>
      </w:r>
      <w:r>
        <w:t xml:space="preserve">daar besluitvorming over nodig is en licht per punt kort toe welke</w:t>
      </w:r>
      <w:r>
        <w:t xml:space="preserve"> </w:t>
      </w:r>
      <w:r>
        <w:t xml:space="preserve">discussie speelt.</w:t>
      </w:r>
    </w:p>
    <w:p>
      <w:pPr>
        <w:pStyle w:val="BodyText"/>
      </w:pPr>
      <w:r>
        <w:t xml:space="preserve">Punten die afwijken van de aangegeven kaders en</w:t>
      </w:r>
      <w:r>
        <w:t xml:space="preserve"> </w:t>
      </w:r>
      <w:r>
        <w:t xml:space="preserve">(referentie)architecturen moeten daar deel van uitmaken.</w:t>
      </w:r>
    </w:p>
    <w:p>
      <w:pPr>
        <w:pStyle w:val="BodyText"/>
      </w:pPr>
      <w:r>
        <w:t xml:space="preserve">Geef voor die punten aan welke functie of welk gremium op termijn het</w:t>
      </w:r>
      <w:r>
        <w:t xml:space="preserve"> </w:t>
      </w:r>
      <w:r>
        <w:t xml:space="preserve">besluit zal nemen om de afwijking op te laten heffen.</w:t>
      </w:r>
    </w:p>
    <w:p>
      <w:pPr>
        <w:pStyle w:val="BodyText"/>
      </w:pPr>
      <w:r>
        <w:t xml:space="preserve">En hier kan je ook alle overige relevante vraagstukken benoemen.</w:t>
      </w:r>
    </w:p>
    <w:bookmarkEnd w:id="56"/>
    <w:bookmarkEnd w:id="57"/>
    <w:bookmarkStart w:id="58" w:name="bijlage-a-vragen-en-antwoorden"/>
    <w:p>
      <w:pPr>
        <w:pStyle w:val="Heading1"/>
      </w:pPr>
      <w:r>
        <w:t xml:space="preserve">Bijlage A. Vragen en antwoorden</w:t>
      </w:r>
    </w:p>
    <w:p>
      <w:pPr>
        <w:pStyle w:val="FirstParagraph"/>
      </w:pPr>
      <w:r>
        <w:t xml:space="preserve">Deze bijlage bevat een overzicht van vragen en onduidelijkheden die we</w:t>
      </w:r>
      <w:r>
        <w:t xml:space="preserve"> </w:t>
      </w:r>
      <w:r>
        <w:t xml:space="preserve">‘dagelijks’ tegenkomen in ons werk en waar deze in het document zijn</w:t>
      </w:r>
      <w:r>
        <w:t xml:space="preserve"> </w:t>
      </w:r>
      <w:r>
        <w:t xml:space="preserve">beantwoord.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Vraag</w:t>
            </w:r>
          </w:p>
        </w:tc>
        <w:tc>
          <w:tcPr/>
          <w:p>
            <w:pPr>
              <w:pStyle w:val="Compact"/>
            </w:pPr>
            <w:r>
              <w:t xml:space="preserve">Plaats in de architectuur</w:t>
            </w:r>
          </w:p>
        </w:tc>
        <w:tc>
          <w:tcPr/>
          <w:p>
            <w:pPr>
              <w:pStyle w:val="Compact"/>
            </w:pPr>
            <w:r>
              <w:t xml:space="preserve">Toelichting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Wat valt onder regelbeheer, en wat niet?</w:t>
            </w:r>
          </w:p>
        </w:tc>
        <w:tc>
          <w:tcPr/>
          <w:p>
            <w:pPr>
              <w:pStyle w:val="Compact"/>
            </w:pPr>
            <w:r>
              <w:t xml:space="preserve">Zie opmerking bij einde hoofdstuk 9.1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Wat is een regeltaal?</w:t>
            </w:r>
          </w:p>
        </w:tc>
        <w:tc>
          <w:tcPr/>
          <w:p>
            <w:pPr>
              <w:pStyle w:val="Compact"/>
            </w:pPr>
            <w:r>
              <w:t xml:space="preserve">Zie definitie hoofdstuk 9.1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Wát moet over een regel worden vastgelegd en waarom?</w:t>
            </w:r>
          </w:p>
        </w:tc>
        <w:tc>
          <w:tcPr/>
          <w:p>
            <w:pPr>
              <w:pStyle w:val="Compact"/>
            </w:pPr>
            <w:r>
              <w:t xml:space="preserve">Zie lijst metadata standaarden in hoofdstuk 5.3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Hóe leggen we dit vast?</w:t>
            </w:r>
          </w:p>
        </w:tc>
        <w:tc>
          <w:tcPr/>
          <w:p>
            <w:pPr>
              <w:pStyle w:val="Compact"/>
            </w:pPr>
            <w:r>
              <w:t xml:space="preserve">Zie lijst metadata standaarden in hoofdstuk 5.3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Welke internationale en nationale standaarden en kaders worden toegepast, en waarom?</w:t>
            </w:r>
          </w:p>
        </w:tc>
        <w:tc>
          <w:tcPr/>
          <w:p>
            <w:pPr>
              <w:pStyle w:val="Compact"/>
            </w:pPr>
            <w:r>
              <w:t xml:space="preserve">Zie hoofdstukken 5.1 en 5.3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Welke principes liggen aan het regelbeheer ten grondslag?</w:t>
            </w:r>
          </w:p>
        </w:tc>
        <w:tc>
          <w:tcPr/>
          <w:p>
            <w:pPr>
              <w:pStyle w:val="Compact"/>
            </w:pPr>
            <w:r>
              <w:t xml:space="preserve">De principes in de NORA, de leidraad regelbeheer en FAIR (Findable, Accessible, Interoperable en Reusable). Zie hoofdstukken 3 en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Welke functies heeft het platform regels.overheid.nl, en voor welke stakeholders?</w:t>
            </w:r>
          </w:p>
        </w:tc>
        <w:tc>
          <w:tcPr/>
          <w:p>
            <w:pPr>
              <w:pStyle w:val="Compact"/>
            </w:pPr>
            <w:r>
              <w:t xml:space="preserve">Zie hoofdstuk 3.3 voor stakeholders en hoofdstuk 5.4 voor functies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Welke rollen hebben de verschillende organisaties in het regelbeheer, nu en in de toekomst?</w:t>
            </w:r>
          </w:p>
        </w:tc>
        <w:tc>
          <w:tcPr/>
          <w:p>
            <w:pPr>
              <w:pStyle w:val="Compact"/>
            </w:pPr>
            <w:r>
              <w:t xml:space="preserve">TODO .. uitwerken in 5.1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Hoe is de samenwerking tussen deze partijen vormgegeven?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  <w:tc>
          <w:tcPr/>
          <w:p>
            <w:pPr>
              <w:pStyle w:val="Compact"/>
            </w:pPr>
            <w:r>
              <w:t xml:space="preserve">Dat is niet direct onderdeel van het platform regelbeheer zelf, maar wordt wel begeleid vanuit standaardisatie, kennisdeling en tooling</w:t>
            </w:r>
          </w:p>
        </w:tc>
      </w:tr>
    </w:tbl>
    <w:bookmarkEnd w:id="58"/>
    <w:bookmarkStart w:id="59" w:name="bijlage-b-betrokkenen"/>
    <w:p>
      <w:pPr>
        <w:pStyle w:val="Heading1"/>
      </w:pPr>
      <w:r>
        <w:t xml:space="preserve">Bijlage B. Betrokkenen</w:t>
      </w:r>
    </w:p>
    <w:p>
      <w:pPr>
        <w:pStyle w:val="FirstParagraph"/>
      </w:pPr>
      <w:r>
        <w:t xml:space="preserve">Geef hier aan wie vanuit zijn of haar functie heeft meegewerkt aan de</w:t>
      </w:r>
      <w:r>
        <w:t xml:space="preserve"> </w:t>
      </w:r>
      <w:r>
        <w:t xml:space="preserve">totstandkoming van deze PSA.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Naam</w:t>
            </w:r>
          </w:p>
        </w:tc>
        <w:tc>
          <w:tcPr/>
          <w:p>
            <w:pPr>
              <w:pStyle w:val="Compact"/>
            </w:pPr>
            <w:r>
              <w:t xml:space="preserve">Organisatie</w:t>
            </w:r>
          </w:p>
        </w:tc>
        <w:tc>
          <w:tcPr/>
          <w:p>
            <w:pPr>
              <w:pStyle w:val="Compact"/>
            </w:pPr>
            <w:r>
              <w:t xml:space="preserve">Functie / Rol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Bas Kaptijn</w:t>
            </w:r>
          </w:p>
        </w:tc>
        <w:tc>
          <w:tcPr/>
          <w:p>
            <w:pPr>
              <w:pStyle w:val="Compact"/>
            </w:pPr>
            <w:r>
              <w:t xml:space="preserve">ICTU</w:t>
            </w:r>
          </w:p>
        </w:tc>
        <w:tc>
          <w:tcPr/>
          <w:p>
            <w:pPr>
              <w:pStyle w:val="Compact"/>
            </w:pPr>
            <w:r>
              <w:t xml:space="preserve">Adviseur/ Architect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Auke Bloembergen</w:t>
            </w:r>
          </w:p>
        </w:tc>
        <w:tc>
          <w:tcPr/>
          <w:p>
            <w:pPr>
              <w:pStyle w:val="Compact"/>
            </w:pPr>
            <w:r>
              <w:t xml:space="preserve">ICTU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Steven Gort</w:t>
            </w:r>
          </w:p>
        </w:tc>
        <w:tc>
          <w:tcPr/>
          <w:p>
            <w:pPr>
              <w:pStyle w:val="Compact"/>
            </w:pPr>
            <w:r>
              <w:t xml:space="preserve">ICTU</w:t>
            </w:r>
          </w:p>
        </w:tc>
        <w:tc>
          <w:tcPr/>
          <w:p>
            <w:pPr>
              <w:pStyle w:val="Compact"/>
            </w:pPr>
            <w:r>
              <w:t xml:space="preserve">Adviseur/ Architect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9"/>
    <w:bookmarkStart w:id="60" w:name="bijlage-c-bronnen"/>
    <w:p>
      <w:pPr>
        <w:pStyle w:val="Heading1"/>
      </w:pPr>
      <w:r>
        <w:t xml:space="preserve">Bijlage C. Bronnen</w:t>
      </w:r>
    </w:p>
    <w:p>
      <w:pPr>
        <w:pStyle w:val="Compact"/>
        <w:numPr>
          <w:ilvl w:val="0"/>
          <w:numId w:val="1015"/>
        </w:numPr>
      </w:pPr>
      <w:r>
        <w:t xml:space="preserve">…</w:t>
      </w:r>
    </w:p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https://www.noraonline.nl/wiki/Expertisegroep_Regelbeheer</w:t>
        </w:r>
      </w:hyperlink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5">
        <w:r>
          <w:rPr>
            <w:rStyle w:val="Hyperlink"/>
          </w:rPr>
          <w:t xml:space="preserve">https://usmwiki.com/index.php/Process_model/nl</w:t>
        </w:r>
      </w:hyperlink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Zoet, M., de Haan, E., &amp; Smit, K. (2014). Van Wetsanalyse tot</w:t>
      </w:r>
      <w:r>
        <w:t xml:space="preserve"> </w:t>
      </w:r>
      <w:r>
        <w:t xml:space="preserve">Producten en Diensten voor Burgers en Bedrijven. Utrecht, Hogeschool</w:t>
      </w:r>
      <w:r>
        <w:t xml:space="preserve"> </w:t>
      </w:r>
      <w:r>
        <w:t xml:space="preserve">Utrecht.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svg" /><Relationship Type="http://schemas.openxmlformats.org/officeDocument/2006/relationships/image" Id="rId44" Target="media/rId44.png" /><Relationship Type="http://schemas.openxmlformats.org/officeDocument/2006/relationships/hyperlink" Id="rId33" Target="https://regels.overheid.nl/regelbeheer" TargetMode="External" /><Relationship Type="http://schemas.openxmlformats.org/officeDocument/2006/relationships/hyperlink" Id="rId35" Target="https://usmwiki.com/index.php/Process_model/nl" TargetMode="External" /><Relationship Type="http://schemas.openxmlformats.org/officeDocument/2006/relationships/hyperlink" Id="rId39" Target="https://www.nationaalarchief.nl/archiveren/mdto" TargetMode="External" /><Relationship Type="http://schemas.openxmlformats.org/officeDocument/2006/relationships/hyperlink" Id="rId32" Target="https://www.noraonline.nl/wiki/Expertisegroep_Regelbehe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regels.overheid.nl/regelbeheer" TargetMode="External" /><Relationship Type="http://schemas.openxmlformats.org/officeDocument/2006/relationships/hyperlink" Id="rId35" Target="https://usmwiki.com/index.php/Process_model/nl" TargetMode="External" /><Relationship Type="http://schemas.openxmlformats.org/officeDocument/2006/relationships/hyperlink" Id="rId39" Target="https://www.nationaalarchief.nl/archiveren/mdto" TargetMode="External" /><Relationship Type="http://schemas.openxmlformats.org/officeDocument/2006/relationships/hyperlink" Id="rId32" Target="https://www.noraonline.nl/wiki/Expertisegroep_Regelbehe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2025-02-05T10:41:22Z</dcterms:created>
  <dcterms:modified xsi:type="dcterms:W3CDTF">2025-02-05T10:41:22Z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