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F767A" w:rsidR="001F7A61" w:rsidP="007F767A" w:rsidRDefault="001F7A61">
      <w:pPr>
        <w:jc w:val="center"/>
      </w:pPr>
      <w:bookmarkStart w:name="_GoBack" w:id="0"/>
      <w:bookmarkEnd w:id="0"/>
    </w:p>
    <w:p w:rsidRPr="007F767A" w:rsidR="001F7A61" w:rsidP="007F767A" w:rsidRDefault="001F7A61">
      <w:pPr>
        <w:jc w:val="center"/>
      </w:pPr>
    </w:p>
    <w:p w:rsidRPr="007F767A" w:rsidR="001F7A61" w:rsidP="007F767A" w:rsidRDefault="001F7A61">
      <w:pPr>
        <w:jc w:val="center"/>
      </w:pPr>
    </w:p>
    <w:p w:rsidRPr="007F767A" w:rsidR="001F7A61" w:rsidP="007F767A" w:rsidRDefault="001F7A61">
      <w:pPr>
        <w:jc w:val="center"/>
      </w:pPr>
    </w:p>
    <w:p w:rsidRPr="007F767A" w:rsidR="00014566" w:rsidP="007F767A" w:rsidRDefault="00C83662">
      <w:pPr>
        <w:jc w:val="center"/>
      </w:pPr>
      <w:r w:rsidRPr="007F767A">
        <w:t>SECOND SECTION</w:t>
      </w:r>
    </w:p>
    <w:p w:rsidRPr="007F767A" w:rsidR="00014566" w:rsidP="007F767A" w:rsidRDefault="00014566">
      <w:pPr>
        <w:jc w:val="center"/>
      </w:pPr>
    </w:p>
    <w:p w:rsidRPr="007F767A" w:rsidR="003B25A2" w:rsidP="007F767A" w:rsidRDefault="003B25A2">
      <w:pPr>
        <w:jc w:val="center"/>
      </w:pPr>
    </w:p>
    <w:p w:rsidRPr="007F767A" w:rsidR="003B25A2" w:rsidP="007F767A" w:rsidRDefault="003B25A2">
      <w:pPr>
        <w:jc w:val="center"/>
      </w:pPr>
    </w:p>
    <w:p w:rsidRPr="007F767A" w:rsidR="003B25A2" w:rsidP="007F767A" w:rsidRDefault="003B25A2">
      <w:pPr>
        <w:jc w:val="center"/>
      </w:pPr>
    </w:p>
    <w:p w:rsidRPr="007F767A" w:rsidR="00014566" w:rsidP="007F767A" w:rsidRDefault="00014566">
      <w:pPr>
        <w:jc w:val="center"/>
        <w:rPr>
          <w:b/>
        </w:rPr>
      </w:pPr>
      <w:bookmarkStart w:name="To" w:id="1"/>
      <w:r w:rsidRPr="007F767A">
        <w:rPr>
          <w:b/>
        </w:rPr>
        <w:t xml:space="preserve">CASE OF </w:t>
      </w:r>
      <w:bookmarkEnd w:id="1"/>
      <w:r w:rsidRPr="007F767A" w:rsidR="00C83662">
        <w:rPr>
          <w:b/>
        </w:rPr>
        <w:t>CANGÖZ AND OTHERS v. TURKEY</w:t>
      </w:r>
    </w:p>
    <w:p w:rsidRPr="007F767A" w:rsidR="001F7A61" w:rsidP="007F767A" w:rsidRDefault="001F7A61">
      <w:pPr>
        <w:jc w:val="center"/>
      </w:pPr>
    </w:p>
    <w:p w:rsidRPr="007F767A" w:rsidR="00014566" w:rsidP="007F767A" w:rsidRDefault="00014566">
      <w:pPr>
        <w:jc w:val="center"/>
        <w:rPr>
          <w:i/>
        </w:rPr>
      </w:pPr>
      <w:r w:rsidRPr="007F767A">
        <w:rPr>
          <w:i/>
        </w:rPr>
        <w:t>(</w:t>
      </w:r>
      <w:r w:rsidRPr="007F767A" w:rsidR="00C83662">
        <w:rPr>
          <w:i/>
        </w:rPr>
        <w:t>Application no. 7469/06</w:t>
      </w:r>
      <w:r w:rsidRPr="007F767A">
        <w:rPr>
          <w:i/>
        </w:rPr>
        <w:t>)</w:t>
      </w:r>
    </w:p>
    <w:p w:rsidRPr="007F767A" w:rsidR="00014566" w:rsidP="007F767A" w:rsidRDefault="00014566">
      <w:pPr>
        <w:jc w:val="center"/>
      </w:pPr>
    </w:p>
    <w:p w:rsidRPr="007F767A" w:rsidR="00014566" w:rsidP="007F767A" w:rsidRDefault="00014566">
      <w:pPr>
        <w:jc w:val="center"/>
      </w:pPr>
    </w:p>
    <w:p w:rsidRPr="007F767A" w:rsidR="00D856BC" w:rsidP="007F767A" w:rsidRDefault="00D856BC">
      <w:pPr>
        <w:jc w:val="center"/>
      </w:pPr>
    </w:p>
    <w:p w:rsidRPr="007F767A" w:rsidR="00D856BC" w:rsidP="007F767A" w:rsidRDefault="00D856BC">
      <w:pPr>
        <w:jc w:val="center"/>
      </w:pPr>
    </w:p>
    <w:p w:rsidRPr="007F767A" w:rsidR="00D856BC" w:rsidP="007F767A" w:rsidRDefault="00D856BC">
      <w:pPr>
        <w:jc w:val="center"/>
      </w:pPr>
    </w:p>
    <w:p w:rsidRPr="007F767A" w:rsidR="00014566" w:rsidP="007F767A" w:rsidRDefault="00014566">
      <w:pPr>
        <w:jc w:val="center"/>
      </w:pPr>
    </w:p>
    <w:p w:rsidRPr="007F767A" w:rsidR="00014566" w:rsidP="007F767A" w:rsidRDefault="003B25A2">
      <w:pPr>
        <w:jc w:val="center"/>
        <w:rPr>
          <w:szCs w:val="24"/>
        </w:rPr>
      </w:pPr>
      <w:r w:rsidRPr="007F767A">
        <w:rPr>
          <w:szCs w:val="24"/>
        </w:rPr>
        <w:t>JUDGMENT</w:t>
      </w:r>
    </w:p>
    <w:p w:rsidRPr="007F767A" w:rsidR="001F7A61" w:rsidP="007F767A" w:rsidRDefault="001F7A61">
      <w:pPr>
        <w:jc w:val="center"/>
      </w:pPr>
    </w:p>
    <w:p w:rsidRPr="007F767A" w:rsidR="00D856BC" w:rsidP="007F767A" w:rsidRDefault="00D856BC">
      <w:pPr>
        <w:jc w:val="center"/>
        <w:rPr>
          <w:i/>
          <w:iCs/>
        </w:rPr>
      </w:pPr>
      <w:r w:rsidRPr="007F767A">
        <w:rPr>
          <w:i/>
          <w:iCs/>
        </w:rPr>
        <w:t>This judgment was revised in accordance with Rule 80 of the Rules of Court in a judgment of 19 September 2017.</w:t>
      </w:r>
    </w:p>
    <w:p w:rsidRPr="007F767A" w:rsidR="001F7A61" w:rsidP="007F767A" w:rsidRDefault="001F7A61">
      <w:pPr>
        <w:jc w:val="center"/>
        <w:rPr>
          <w:szCs w:val="24"/>
        </w:rPr>
      </w:pPr>
    </w:p>
    <w:p w:rsidRPr="007F767A" w:rsidR="00D856BC" w:rsidP="007F767A" w:rsidRDefault="00D856BC">
      <w:pPr>
        <w:jc w:val="center"/>
        <w:rPr>
          <w:szCs w:val="24"/>
        </w:rPr>
      </w:pPr>
    </w:p>
    <w:p w:rsidRPr="007F767A" w:rsidR="003B25A2" w:rsidP="007F767A" w:rsidRDefault="003B25A2">
      <w:pPr>
        <w:pStyle w:val="JuCase"/>
        <w:ind w:firstLine="0"/>
        <w:jc w:val="center"/>
        <w:rPr>
          <w:b w:val="0"/>
        </w:rPr>
      </w:pPr>
      <w:r w:rsidRPr="007F767A">
        <w:rPr>
          <w:b w:val="0"/>
        </w:rPr>
        <w:t>STRASBOURG</w:t>
      </w:r>
    </w:p>
    <w:p w:rsidRPr="007F767A" w:rsidR="001F7A61" w:rsidP="007F767A" w:rsidRDefault="001F7A61">
      <w:pPr>
        <w:jc w:val="center"/>
        <w:rPr>
          <w:szCs w:val="24"/>
        </w:rPr>
      </w:pPr>
    </w:p>
    <w:p w:rsidRPr="007F767A" w:rsidR="003B25A2" w:rsidP="007F767A" w:rsidRDefault="001F7A61">
      <w:pPr>
        <w:pStyle w:val="JuCase"/>
        <w:ind w:firstLine="0"/>
        <w:jc w:val="center"/>
        <w:rPr>
          <w:b w:val="0"/>
          <w:lang w:val="tr-TR"/>
        </w:rPr>
      </w:pPr>
      <w:r w:rsidRPr="007F767A">
        <w:rPr>
          <w:b w:val="0"/>
        </w:rPr>
        <w:t xml:space="preserve">26 </w:t>
      </w:r>
      <w:r w:rsidRPr="007F767A">
        <w:rPr>
          <w:b w:val="0"/>
          <w:lang w:val="tr-TR"/>
        </w:rPr>
        <w:t>April 2016</w:t>
      </w:r>
    </w:p>
    <w:p w:rsidRPr="007F767A" w:rsidR="001F7A61" w:rsidP="007F767A" w:rsidRDefault="001F7A61">
      <w:pPr>
        <w:jc w:val="center"/>
      </w:pPr>
    </w:p>
    <w:p w:rsidRPr="007F767A" w:rsidR="001F7A61" w:rsidP="007F767A" w:rsidRDefault="001F7A61">
      <w:pPr>
        <w:jc w:val="center"/>
      </w:pPr>
    </w:p>
    <w:p w:rsidRPr="007F767A" w:rsidR="003179AF" w:rsidP="007F767A" w:rsidRDefault="003179AF">
      <w:pPr>
        <w:jc w:val="center"/>
        <w:rPr>
          <w:lang w:val="uk-UA"/>
        </w:rPr>
      </w:pPr>
    </w:p>
    <w:p w:rsidRPr="007F767A" w:rsidR="003179AF" w:rsidP="007F767A" w:rsidRDefault="003179AF">
      <w:pPr>
        <w:pStyle w:val="jucase0"/>
        <w:ind w:firstLine="0"/>
        <w:jc w:val="center"/>
        <w:rPr>
          <w:color w:val="FF0000"/>
          <w:sz w:val="28"/>
          <w:szCs w:val="28"/>
          <w:u w:val="single"/>
        </w:rPr>
      </w:pPr>
      <w:r w:rsidRPr="007F767A">
        <w:rPr>
          <w:color w:val="FF0000"/>
          <w:sz w:val="28"/>
          <w:szCs w:val="28"/>
          <w:u w:val="single"/>
        </w:rPr>
        <w:t>FINAL</w:t>
      </w:r>
    </w:p>
    <w:p w:rsidRPr="007F767A" w:rsidR="003179AF" w:rsidP="007F767A" w:rsidRDefault="003179AF">
      <w:pPr>
        <w:pStyle w:val="jupara"/>
        <w:tabs>
          <w:tab w:val="left" w:pos="4650"/>
        </w:tabs>
        <w:ind w:firstLine="0"/>
        <w:jc w:val="center"/>
        <w:rPr>
          <w:color w:val="FF0000"/>
          <w:sz w:val="28"/>
          <w:szCs w:val="28"/>
        </w:rPr>
      </w:pPr>
    </w:p>
    <w:p w:rsidRPr="007F767A" w:rsidR="003179AF" w:rsidP="007F767A" w:rsidRDefault="003179AF">
      <w:pPr>
        <w:pStyle w:val="jupara"/>
        <w:ind w:firstLine="0"/>
        <w:jc w:val="center"/>
        <w:rPr>
          <w:color w:val="FF0000"/>
          <w:sz w:val="28"/>
          <w:szCs w:val="28"/>
        </w:rPr>
      </w:pPr>
      <w:r w:rsidRPr="007F767A">
        <w:rPr>
          <w:color w:val="FF0000"/>
          <w:sz w:val="28"/>
          <w:szCs w:val="28"/>
          <w:lang w:val="uk-UA"/>
        </w:rPr>
        <w:t>12</w:t>
      </w:r>
      <w:r w:rsidRPr="007F767A">
        <w:rPr>
          <w:color w:val="FF0000"/>
          <w:sz w:val="28"/>
          <w:szCs w:val="28"/>
        </w:rPr>
        <w:t>/0</w:t>
      </w:r>
      <w:r w:rsidRPr="007F767A">
        <w:rPr>
          <w:color w:val="FF0000"/>
          <w:sz w:val="28"/>
          <w:szCs w:val="28"/>
          <w:lang w:val="uk-UA"/>
        </w:rPr>
        <w:t>9</w:t>
      </w:r>
      <w:r w:rsidRPr="007F767A">
        <w:rPr>
          <w:color w:val="FF0000"/>
          <w:sz w:val="28"/>
          <w:szCs w:val="28"/>
        </w:rPr>
        <w:t>/2016</w:t>
      </w:r>
    </w:p>
    <w:p w:rsidRPr="007F767A" w:rsidR="003179AF" w:rsidP="007F767A" w:rsidRDefault="003179AF">
      <w:pPr>
        <w:pStyle w:val="jupara"/>
        <w:ind w:firstLine="0"/>
        <w:jc w:val="center"/>
        <w:rPr>
          <w:lang w:val="uk-UA"/>
        </w:rPr>
      </w:pPr>
    </w:p>
    <w:p w:rsidRPr="007F767A" w:rsidR="003179AF" w:rsidP="007F767A" w:rsidRDefault="003179AF">
      <w:pPr>
        <w:pStyle w:val="jupara"/>
        <w:ind w:firstLine="0"/>
        <w:jc w:val="center"/>
        <w:rPr>
          <w:lang w:val="uk-UA"/>
        </w:rPr>
      </w:pPr>
    </w:p>
    <w:p w:rsidRPr="007F767A" w:rsidR="003179AF" w:rsidP="007F767A" w:rsidRDefault="003179AF">
      <w:pPr>
        <w:jc w:val="left"/>
        <w:rPr>
          <w:i/>
          <w:iCs/>
          <w:sz w:val="22"/>
          <w:lang w:val="uk-UA"/>
        </w:rPr>
      </w:pPr>
      <w:r w:rsidRPr="007F767A">
        <w:rPr>
          <w:i/>
          <w:iCs/>
          <w:sz w:val="22"/>
        </w:rPr>
        <w:t>This judgment has become final under Article 44 § 2 of the Convention. It may be subject to editorial revision.</w:t>
      </w:r>
    </w:p>
    <w:p w:rsidRPr="007F767A" w:rsidR="003B25A2" w:rsidP="007F767A" w:rsidRDefault="003B25A2">
      <w:pPr>
        <w:pStyle w:val="JuCase"/>
        <w:ind w:firstLine="0"/>
        <w:jc w:val="left"/>
        <w:rPr>
          <w:b w:val="0"/>
          <w:lang w:val="uk-UA"/>
        </w:rPr>
      </w:pPr>
    </w:p>
    <w:p w:rsidRPr="007F767A" w:rsidR="003179AF" w:rsidP="007F767A" w:rsidRDefault="003179AF">
      <w:pPr>
        <w:pStyle w:val="ECHRPara"/>
        <w:rPr>
          <w:lang w:val="uk-UA"/>
        </w:rPr>
        <w:sectPr w:rsidRPr="007F767A" w:rsidR="003179AF" w:rsidSect="003B25A2">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7F767A" w:rsidR="00014566" w:rsidP="007F767A" w:rsidRDefault="00014566">
      <w:pPr>
        <w:pStyle w:val="JuCase"/>
        <w:rPr>
          <w:bCs/>
        </w:rPr>
      </w:pPr>
      <w:r w:rsidRPr="007F767A">
        <w:t xml:space="preserve">In the case of </w:t>
      </w:r>
      <w:r w:rsidRPr="007F767A" w:rsidR="00C83662">
        <w:t>Cangöz and Others v. Turkey</w:t>
      </w:r>
      <w:r w:rsidRPr="007F767A">
        <w:t>,</w:t>
      </w:r>
    </w:p>
    <w:p w:rsidRPr="007F767A" w:rsidR="00014566" w:rsidP="007F767A" w:rsidRDefault="00014566">
      <w:pPr>
        <w:pStyle w:val="ECHRPara"/>
      </w:pPr>
      <w:r w:rsidRPr="007F767A">
        <w:t>The European Court of Human Rights (</w:t>
      </w:r>
      <w:r w:rsidRPr="007F767A" w:rsidR="00C83662">
        <w:t>Second Section</w:t>
      </w:r>
      <w:r w:rsidRPr="007F767A">
        <w:t xml:space="preserve">), sitting as a </w:t>
      </w:r>
      <w:r w:rsidRPr="007F767A" w:rsidR="00C83662">
        <w:t>Chamber</w:t>
      </w:r>
      <w:r w:rsidRPr="007F767A">
        <w:t xml:space="preserve"> composed of:</w:t>
      </w:r>
    </w:p>
    <w:p w:rsidRPr="007F767A" w:rsidR="00014566" w:rsidP="007F767A" w:rsidRDefault="00662AE5">
      <w:pPr>
        <w:pStyle w:val="ECHRDecisionBody"/>
      </w:pPr>
      <w:r w:rsidRPr="007F767A">
        <w:tab/>
        <w:t>Julia Laffranque,</w:t>
      </w:r>
      <w:r w:rsidRPr="007F767A">
        <w:rPr>
          <w:i/>
        </w:rPr>
        <w:t xml:space="preserve"> President,</w:t>
      </w:r>
      <w:r w:rsidRPr="007F767A">
        <w:rPr>
          <w:i/>
        </w:rPr>
        <w:br/>
      </w:r>
      <w:r w:rsidRPr="007F767A">
        <w:tab/>
        <w:t>Işıl Karakaş,</w:t>
      </w:r>
      <w:r w:rsidRPr="007F767A">
        <w:rPr>
          <w:i/>
        </w:rPr>
        <w:br/>
      </w:r>
      <w:r w:rsidRPr="007F767A">
        <w:tab/>
        <w:t>Nebojša Vučinić,</w:t>
      </w:r>
      <w:r w:rsidRPr="007F767A">
        <w:rPr>
          <w:i/>
        </w:rPr>
        <w:br/>
      </w:r>
      <w:r w:rsidRPr="007F767A">
        <w:tab/>
        <w:t>Valeriu Griţco,</w:t>
      </w:r>
      <w:r w:rsidRPr="007F767A">
        <w:rPr>
          <w:i/>
        </w:rPr>
        <w:br/>
      </w:r>
      <w:r w:rsidRPr="007F767A">
        <w:tab/>
        <w:t>Ksenija Turković,</w:t>
      </w:r>
      <w:r w:rsidRPr="007F767A">
        <w:rPr>
          <w:i/>
        </w:rPr>
        <w:br/>
      </w:r>
      <w:r w:rsidRPr="007F767A">
        <w:tab/>
        <w:t>Jon Fridrik Kjølbro,</w:t>
      </w:r>
      <w:r w:rsidRPr="007F767A">
        <w:rPr>
          <w:i/>
        </w:rPr>
        <w:br/>
      </w:r>
      <w:r w:rsidRPr="007F767A">
        <w:tab/>
        <w:t>Georges Ravarani,</w:t>
      </w:r>
      <w:r w:rsidRPr="007F767A">
        <w:rPr>
          <w:i/>
        </w:rPr>
        <w:t xml:space="preserve"> judges,</w:t>
      </w:r>
      <w:r w:rsidRPr="007F767A">
        <w:rPr>
          <w:i/>
        </w:rPr>
        <w:br/>
      </w:r>
      <w:r w:rsidRPr="007F767A" w:rsidR="00014566">
        <w:t xml:space="preserve">and </w:t>
      </w:r>
      <w:r w:rsidRPr="007F767A">
        <w:t>Abel Campos</w:t>
      </w:r>
      <w:r w:rsidRPr="007F767A" w:rsidR="00014566">
        <w:t xml:space="preserve">, </w:t>
      </w:r>
      <w:r w:rsidRPr="007F767A" w:rsidR="00C83662">
        <w:rPr>
          <w:i/>
        </w:rPr>
        <w:t xml:space="preserve">Section </w:t>
      </w:r>
      <w:r w:rsidRPr="007F767A" w:rsidR="00C83662">
        <w:rPr>
          <w:i/>
          <w:iCs/>
        </w:rPr>
        <w:t>Registrar</w:t>
      </w:r>
      <w:r w:rsidRPr="007F767A" w:rsidR="00014566">
        <w:rPr>
          <w:i/>
        </w:rPr>
        <w:t>,</w:t>
      </w:r>
    </w:p>
    <w:p w:rsidRPr="007F767A" w:rsidR="00014566" w:rsidP="007F767A" w:rsidRDefault="00014566">
      <w:pPr>
        <w:pStyle w:val="ECHRPara"/>
      </w:pPr>
      <w:r w:rsidRPr="007F767A">
        <w:t xml:space="preserve">Having deliberated in private on </w:t>
      </w:r>
      <w:r w:rsidRPr="007F767A" w:rsidR="00662AE5">
        <w:t>29 March 2016</w:t>
      </w:r>
      <w:r w:rsidRPr="007F767A">
        <w:t>,</w:t>
      </w:r>
    </w:p>
    <w:p w:rsidRPr="007F767A" w:rsidR="00014566" w:rsidP="007F767A" w:rsidRDefault="00014566">
      <w:pPr>
        <w:pStyle w:val="ECHRPara"/>
      </w:pPr>
      <w:r w:rsidRPr="007F767A">
        <w:t>Delivers the following judgment, which was adopted on that date:</w:t>
      </w:r>
    </w:p>
    <w:p w:rsidRPr="007F767A" w:rsidR="00014566" w:rsidP="007F767A" w:rsidRDefault="00014566">
      <w:pPr>
        <w:pStyle w:val="ECHRTitle1"/>
      </w:pPr>
      <w:r w:rsidRPr="007F767A">
        <w:t>PROCEDURE</w:t>
      </w:r>
    </w:p>
    <w:p w:rsidRPr="007F767A" w:rsidR="00014566" w:rsidP="007F767A" w:rsidRDefault="007F767A">
      <w:pPr>
        <w:pStyle w:val="ECHRPara"/>
      </w:pPr>
      <w:fldSimple w:instr=" SEQ level0 \*arabic ">
        <w:r w:rsidRPr="007F767A">
          <w:rPr>
            <w:noProof/>
          </w:rPr>
          <w:t>1</w:t>
        </w:r>
      </w:fldSimple>
      <w:r w:rsidRPr="007F767A" w:rsidR="00DE21EE">
        <w:t>.  </w:t>
      </w:r>
      <w:r w:rsidRPr="007F767A" w:rsidR="00014566">
        <w:t xml:space="preserve">The case originated in </w:t>
      </w:r>
      <w:r w:rsidRPr="007F767A" w:rsidR="00C83662">
        <w:t>an application (no. 7469/06)</w:t>
      </w:r>
      <w:r w:rsidRPr="007F767A" w:rsidR="00014566">
        <w:t xml:space="preserve"> against </w:t>
      </w:r>
      <w:r w:rsidRPr="007F767A" w:rsidR="00C83662">
        <w:t>the Republic of Turkey</w:t>
      </w:r>
      <w:r w:rsidRPr="007F767A" w:rsidR="00014566">
        <w:t xml:space="preserve"> lodged with the </w:t>
      </w:r>
      <w:r w:rsidRPr="007F767A" w:rsidR="00C83662">
        <w:t>Court under Article 34</w:t>
      </w:r>
      <w:r w:rsidRPr="007F767A" w:rsidR="00014566">
        <w:t xml:space="preserve"> of the Convention for the Protection of Human Rights and Fundamental Freedoms (“the Convention”) by </w:t>
      </w:r>
      <w:r w:rsidRPr="007F767A" w:rsidR="003569A2">
        <w:t>seventeen</w:t>
      </w:r>
      <w:r w:rsidRPr="007F767A" w:rsidR="00C83662">
        <w:t xml:space="preserve"> Turkish</w:t>
      </w:r>
      <w:r w:rsidRPr="007F767A" w:rsidR="0075692C">
        <w:t xml:space="preserve"> </w:t>
      </w:r>
      <w:r w:rsidRPr="007F767A" w:rsidR="00C83662">
        <w:t>nationals (“the applica</w:t>
      </w:r>
      <w:r w:rsidRPr="007F767A" w:rsidR="00DB7868">
        <w:t>nts”) on 6 </w:t>
      </w:r>
      <w:r w:rsidRPr="007F767A" w:rsidR="00C83662">
        <w:t>February 2006</w:t>
      </w:r>
      <w:r w:rsidRPr="007F767A" w:rsidR="00014566">
        <w:t>.</w:t>
      </w:r>
    </w:p>
    <w:p w:rsidRPr="007F767A" w:rsidR="00C83662" w:rsidP="007F767A" w:rsidRDefault="007F767A">
      <w:pPr>
        <w:pStyle w:val="ECHRPara"/>
      </w:pPr>
      <w:fldSimple w:instr=" SEQ level0 \*arabic ">
        <w:r w:rsidRPr="007F767A">
          <w:rPr>
            <w:noProof/>
          </w:rPr>
          <w:t>2</w:t>
        </w:r>
      </w:fldSimple>
      <w:r w:rsidRPr="007F767A" w:rsidR="00014566">
        <w:t>.  </w:t>
      </w:r>
      <w:r w:rsidRPr="007F767A" w:rsidR="00C83662">
        <w:t>The applicants</w:t>
      </w:r>
      <w:r w:rsidRPr="007F767A" w:rsidR="00B11C23">
        <w:t>, whose names, dates of birth and places of residence are set out in the attached table</w:t>
      </w:r>
      <w:r w:rsidRPr="007F767A" w:rsidR="00C83662">
        <w:t xml:space="preserve">, were represented by </w:t>
      </w:r>
      <w:r w:rsidRPr="007F767A" w:rsidR="00DB7868">
        <w:t>Ms </w:t>
      </w:r>
      <w:r w:rsidRPr="007F767A" w:rsidR="00B11C23">
        <w:t>Mihriban K</w:t>
      </w:r>
      <w:r w:rsidRPr="007F767A" w:rsidR="00B11C23">
        <w:rPr>
          <w:rFonts w:cstheme="minorHAnsi"/>
        </w:rPr>
        <w:t>ı</w:t>
      </w:r>
      <w:r w:rsidRPr="007F767A" w:rsidR="00B11C23">
        <w:t>rdök,</w:t>
      </w:r>
      <w:r w:rsidRPr="007F767A" w:rsidR="00DB7868">
        <w:t xml:space="preserve"> Ms </w:t>
      </w:r>
      <w:r w:rsidRPr="007F767A" w:rsidR="00511971">
        <w:t>Meral Hanbayat,</w:t>
      </w:r>
      <w:r w:rsidRPr="007F767A" w:rsidR="00B11C23">
        <w:t xml:space="preserve"> </w:t>
      </w:r>
      <w:r w:rsidRPr="007F767A" w:rsidR="00C83662">
        <w:t>Mr</w:t>
      </w:r>
      <w:r w:rsidRPr="007F767A" w:rsidR="00DB7868">
        <w:t> </w:t>
      </w:r>
      <w:r w:rsidRPr="007F767A" w:rsidR="00C83662">
        <w:t>M</w:t>
      </w:r>
      <w:r w:rsidRPr="007F767A" w:rsidR="00B11C23">
        <w:t>ehmet Ali</w:t>
      </w:r>
      <w:r w:rsidRPr="007F767A" w:rsidR="00C83662">
        <w:t xml:space="preserve"> K</w:t>
      </w:r>
      <w:r w:rsidRPr="007F767A" w:rsidR="00B11C23">
        <w:rPr>
          <w:rFonts w:cstheme="minorHAnsi"/>
        </w:rPr>
        <w:t>ı</w:t>
      </w:r>
      <w:r w:rsidRPr="007F767A" w:rsidR="00C83662">
        <w:t>rdök</w:t>
      </w:r>
      <w:r w:rsidRPr="007F767A" w:rsidR="00DB7868">
        <w:t>, and Mr </w:t>
      </w:r>
      <w:r w:rsidRPr="007F767A" w:rsidR="00B11C23">
        <w:t>Hasan Kemal Elban</w:t>
      </w:r>
      <w:r w:rsidRPr="007F767A" w:rsidR="00C83662">
        <w:t xml:space="preserve">, lawyers practising in Istanbul. </w:t>
      </w:r>
      <w:r w:rsidRPr="007F767A" w:rsidR="00014566">
        <w:t xml:space="preserve">The </w:t>
      </w:r>
      <w:r w:rsidRPr="007F767A" w:rsidR="00C83662">
        <w:t>Turkish</w:t>
      </w:r>
      <w:r w:rsidRPr="007F767A" w:rsidR="00014566">
        <w:t xml:space="preserve"> Government (“the Government”) were represented by their Agent.</w:t>
      </w:r>
    </w:p>
    <w:p w:rsidRPr="007F767A" w:rsidR="00014566" w:rsidP="007F767A" w:rsidRDefault="007F767A">
      <w:pPr>
        <w:pStyle w:val="ECHRPara"/>
      </w:pPr>
      <w:fldSimple w:instr=" SEQ level0 \*arabic ">
        <w:r w:rsidRPr="007F767A">
          <w:rPr>
            <w:noProof/>
          </w:rPr>
          <w:t>3</w:t>
        </w:r>
      </w:fldSimple>
      <w:r w:rsidRPr="007F767A" w:rsidR="00C83662">
        <w:t>.  The applicants alleged</w:t>
      </w:r>
      <w:r w:rsidRPr="007F767A" w:rsidR="00B11C23">
        <w:t>, in particular,</w:t>
      </w:r>
      <w:r w:rsidRPr="007F767A" w:rsidR="00C83662">
        <w:t xml:space="preserve"> </w:t>
      </w:r>
      <w:r w:rsidRPr="007F767A" w:rsidR="00B11C23">
        <w:t xml:space="preserve">that the killing of </w:t>
      </w:r>
      <w:r w:rsidRPr="007F767A" w:rsidR="004343E8">
        <w:t xml:space="preserve">seventeen of </w:t>
      </w:r>
      <w:r w:rsidRPr="007F767A" w:rsidR="00B11C23">
        <w:t xml:space="preserve">their relatives by soldiers </w:t>
      </w:r>
      <w:r w:rsidRPr="007F767A" w:rsidR="00A023FF">
        <w:t xml:space="preserve">and </w:t>
      </w:r>
      <w:r w:rsidRPr="007F767A" w:rsidR="004343E8">
        <w:t xml:space="preserve">the </w:t>
      </w:r>
      <w:r w:rsidRPr="007F767A" w:rsidR="00A023FF">
        <w:t xml:space="preserve">subsequent </w:t>
      </w:r>
      <w:r w:rsidRPr="007F767A" w:rsidR="00DD4D66">
        <w:t>exhibiting</w:t>
      </w:r>
      <w:r w:rsidRPr="007F767A" w:rsidR="00A023FF">
        <w:t xml:space="preserve"> of their bodies </w:t>
      </w:r>
      <w:r w:rsidRPr="007F767A" w:rsidR="00097787">
        <w:t xml:space="preserve">in a car park </w:t>
      </w:r>
      <w:r w:rsidRPr="007F767A" w:rsidR="00B11C23">
        <w:t>had been in breach of Articles 2 and 3 of the Convention.</w:t>
      </w:r>
    </w:p>
    <w:p w:rsidRPr="007F767A" w:rsidR="00014566" w:rsidP="007F767A" w:rsidRDefault="007F767A">
      <w:pPr>
        <w:pStyle w:val="ECHRPara"/>
      </w:pPr>
      <w:fldSimple w:instr=" SEQ level0 \*arabic ">
        <w:r w:rsidRPr="007F767A">
          <w:rPr>
            <w:noProof/>
          </w:rPr>
          <w:t>4</w:t>
        </w:r>
      </w:fldSimple>
      <w:r w:rsidRPr="007F767A" w:rsidR="00511971">
        <w:t>.  </w:t>
      </w:r>
      <w:r w:rsidRPr="007F767A" w:rsidR="00C83662">
        <w:t xml:space="preserve">On </w:t>
      </w:r>
      <w:r w:rsidRPr="007F767A" w:rsidR="00C83662">
        <w:rPr>
          <w:szCs w:val="24"/>
        </w:rPr>
        <w:t>17 March 2009</w:t>
      </w:r>
      <w:r w:rsidRPr="007F767A" w:rsidR="00014566">
        <w:t xml:space="preserve"> the </w:t>
      </w:r>
      <w:r w:rsidRPr="007F767A" w:rsidR="00C83662">
        <w:t>application was communicated to the Government</w:t>
      </w:r>
      <w:r w:rsidRPr="007F767A" w:rsidR="00014566">
        <w:t>.</w:t>
      </w:r>
    </w:p>
    <w:p w:rsidRPr="007F767A" w:rsidR="00014566" w:rsidP="007F767A" w:rsidRDefault="00014566">
      <w:pPr>
        <w:pStyle w:val="ECHRTitle1"/>
      </w:pPr>
      <w:r w:rsidRPr="007F767A">
        <w:t>THE FACTS</w:t>
      </w:r>
    </w:p>
    <w:p w:rsidRPr="007F767A" w:rsidR="00014566" w:rsidP="007F767A" w:rsidRDefault="00014566">
      <w:pPr>
        <w:pStyle w:val="ECHRHeading1"/>
      </w:pPr>
      <w:r w:rsidRPr="007F767A">
        <w:t>THE CIRCUMSTANCES OF THE CASE</w:t>
      </w:r>
    </w:p>
    <w:p w:rsidRPr="007F767A" w:rsidR="007F3967" w:rsidP="007F767A" w:rsidRDefault="007F3967">
      <w:pPr>
        <w:pStyle w:val="ECHRHeading2"/>
      </w:pPr>
      <w:r w:rsidRPr="007F767A">
        <w:t>A.</w:t>
      </w:r>
      <w:r w:rsidRPr="007F767A" w:rsidR="00880D7D">
        <w:t>  </w:t>
      </w:r>
      <w:r w:rsidRPr="007F767A">
        <w:t>Introduction</w:t>
      </w:r>
    </w:p>
    <w:p w:rsidRPr="007F767A" w:rsidR="00842B60" w:rsidP="007F767A" w:rsidRDefault="007F767A">
      <w:pPr>
        <w:pStyle w:val="ECHRPara"/>
      </w:pPr>
      <w:fldSimple w:instr=" SEQ level0 \*arabic ">
        <w:r w:rsidRPr="007F767A">
          <w:rPr>
            <w:noProof/>
          </w:rPr>
          <w:t>5</w:t>
        </w:r>
      </w:fldSimple>
      <w:r w:rsidRPr="007F767A" w:rsidR="004237E6">
        <w:t>.  </w:t>
      </w:r>
      <w:r w:rsidRPr="007F767A" w:rsidR="00DC7C6E">
        <w:t>The applicants</w:t>
      </w:r>
      <w:r w:rsidRPr="007F767A">
        <w:t>’</w:t>
      </w:r>
      <w:r w:rsidRPr="007F767A" w:rsidR="00DC7C6E">
        <w:t xml:space="preserve"> </w:t>
      </w:r>
      <w:r w:rsidRPr="007F767A" w:rsidR="004343E8">
        <w:t>seventeen</w:t>
      </w:r>
      <w:r w:rsidRPr="007F767A" w:rsidR="00DC7C6E">
        <w:t xml:space="preserve"> close relatives were members of an outlawed </w:t>
      </w:r>
      <w:r w:rsidRPr="007F767A" w:rsidR="007E2E46">
        <w:t xml:space="preserve">organisation in Turkey, namely </w:t>
      </w:r>
      <w:r w:rsidRPr="007F767A" w:rsidR="004237E6">
        <w:t xml:space="preserve">the </w:t>
      </w:r>
      <w:r w:rsidRPr="007F767A" w:rsidR="007E2E46">
        <w:t>Maoist Communist Party</w:t>
      </w:r>
      <w:r w:rsidRPr="007F767A" w:rsidR="002C7EC9">
        <w:t xml:space="preserve"> (hereinafter </w:t>
      </w:r>
      <w:r w:rsidRPr="007F767A" w:rsidR="004343E8">
        <w:t>“</w:t>
      </w:r>
      <w:r w:rsidRPr="007F767A" w:rsidR="005E71F8">
        <w:t xml:space="preserve">the </w:t>
      </w:r>
      <w:r w:rsidRPr="007F767A" w:rsidR="002C7EC9">
        <w:t>MKP”)</w:t>
      </w:r>
      <w:r w:rsidRPr="007F767A" w:rsidR="00DA520F">
        <w:t xml:space="preserve">. On various dates since </w:t>
      </w:r>
      <w:r w:rsidRPr="007F767A" w:rsidR="00AA40AD">
        <w:t>the 1</w:t>
      </w:r>
      <w:r w:rsidRPr="007F767A" w:rsidR="00DA520F">
        <w:t xml:space="preserve">970s criminal proceedings </w:t>
      </w:r>
      <w:r w:rsidRPr="007F767A" w:rsidR="00E97519">
        <w:t>had been</w:t>
      </w:r>
      <w:r w:rsidRPr="007F767A" w:rsidR="00DA520F">
        <w:t xml:space="preserve"> brought against </w:t>
      </w:r>
      <w:r w:rsidRPr="007F767A" w:rsidR="00D67732">
        <w:t>the</w:t>
      </w:r>
      <w:r w:rsidRPr="007F767A" w:rsidR="004343E8">
        <w:t xml:space="preserve"> relatives </w:t>
      </w:r>
      <w:r w:rsidRPr="007F767A" w:rsidR="00A010E6">
        <w:t xml:space="preserve">for membership </w:t>
      </w:r>
      <w:r w:rsidRPr="007F767A" w:rsidR="00D67732">
        <w:t xml:space="preserve">of </w:t>
      </w:r>
      <w:r w:rsidRPr="007F767A" w:rsidR="002D4131">
        <w:t xml:space="preserve">a number of </w:t>
      </w:r>
      <w:r w:rsidRPr="007F767A" w:rsidR="00D67732">
        <w:t xml:space="preserve">outlawed organisations </w:t>
      </w:r>
      <w:r w:rsidRPr="007F767A" w:rsidR="00A010E6">
        <w:t xml:space="preserve">and for carrying out activities on behalf of </w:t>
      </w:r>
      <w:r w:rsidRPr="007F767A" w:rsidR="00CA0108">
        <w:t xml:space="preserve">those </w:t>
      </w:r>
      <w:r w:rsidRPr="007F767A" w:rsidR="00A010E6">
        <w:t>organisations. T</w:t>
      </w:r>
      <w:r w:rsidRPr="007F767A" w:rsidR="00DA520F">
        <w:t xml:space="preserve">hey </w:t>
      </w:r>
      <w:r w:rsidRPr="007F767A" w:rsidR="00E97519">
        <w:t xml:space="preserve">had </w:t>
      </w:r>
      <w:r w:rsidRPr="007F767A" w:rsidR="00DA520F">
        <w:t>spent various periods of time in prisons</w:t>
      </w:r>
      <w:r w:rsidRPr="007F767A" w:rsidR="00ED011C">
        <w:t>,</w:t>
      </w:r>
      <w:r w:rsidRPr="007F767A" w:rsidR="00A010E6">
        <w:t xml:space="preserve"> and a</w:t>
      </w:r>
      <w:r w:rsidRPr="007F767A" w:rsidR="00DA520F">
        <w:t xml:space="preserve">fter </w:t>
      </w:r>
      <w:r w:rsidRPr="007F767A" w:rsidR="00A010E6">
        <w:t xml:space="preserve">their release </w:t>
      </w:r>
      <w:r w:rsidRPr="007F767A" w:rsidR="00DA520F">
        <w:t xml:space="preserve">some of them </w:t>
      </w:r>
      <w:r w:rsidRPr="007F767A" w:rsidR="00E97519">
        <w:t xml:space="preserve">had </w:t>
      </w:r>
      <w:r w:rsidRPr="007F767A" w:rsidR="00DA520F">
        <w:t xml:space="preserve">left Turkey and settled in </w:t>
      </w:r>
      <w:r w:rsidRPr="007F767A" w:rsidR="003569A2">
        <w:t>different</w:t>
      </w:r>
      <w:r w:rsidRPr="007F767A" w:rsidR="00DA520F">
        <w:t xml:space="preserve"> </w:t>
      </w:r>
      <w:r w:rsidRPr="007F767A" w:rsidR="00842B60">
        <w:t xml:space="preserve">countries in </w:t>
      </w:r>
      <w:r w:rsidRPr="007F767A" w:rsidR="00DA520F">
        <w:t>Europe</w:t>
      </w:r>
      <w:r w:rsidRPr="007F767A" w:rsidR="00842B60">
        <w:t>.</w:t>
      </w:r>
    </w:p>
    <w:p w:rsidRPr="007F767A" w:rsidR="007E2E46" w:rsidP="007F767A" w:rsidRDefault="007F767A">
      <w:pPr>
        <w:pStyle w:val="ECHRPara"/>
      </w:pPr>
      <w:fldSimple w:instr=" SEQ level0 \*arabic ">
        <w:r w:rsidRPr="007F767A">
          <w:rPr>
            <w:noProof/>
          </w:rPr>
          <w:t>6</w:t>
        </w:r>
      </w:fldSimple>
      <w:r w:rsidRPr="007F767A" w:rsidR="00D67732">
        <w:t>.  </w:t>
      </w:r>
      <w:r w:rsidRPr="007F767A" w:rsidR="007024BD">
        <w:t xml:space="preserve">In </w:t>
      </w:r>
      <w:r w:rsidRPr="007F767A" w:rsidR="00511971">
        <w:t xml:space="preserve">early </w:t>
      </w:r>
      <w:r w:rsidRPr="007F767A" w:rsidR="007024BD">
        <w:t>June</w:t>
      </w:r>
      <w:r w:rsidRPr="007F767A" w:rsidR="00AA40AD">
        <w:t xml:space="preserve"> 2005 the</w:t>
      </w:r>
      <w:r w:rsidRPr="007F767A" w:rsidR="004237E6">
        <w:t xml:space="preserve"> </w:t>
      </w:r>
      <w:r w:rsidRPr="007F767A" w:rsidR="00ED011C">
        <w:t>seventeen</w:t>
      </w:r>
      <w:r w:rsidRPr="007F767A" w:rsidR="004237E6">
        <w:t xml:space="preserve"> relatives</w:t>
      </w:r>
      <w:r w:rsidRPr="007F767A" w:rsidR="00AA40AD">
        <w:t xml:space="preserve"> began </w:t>
      </w:r>
      <w:r w:rsidRPr="007F767A" w:rsidR="006B1B63">
        <w:t>arriving</w:t>
      </w:r>
      <w:r w:rsidRPr="007F767A" w:rsidR="00AA40AD">
        <w:t xml:space="preserve"> in a</w:t>
      </w:r>
      <w:r w:rsidRPr="007F767A" w:rsidR="004237E6">
        <w:t xml:space="preserve"> rural</w:t>
      </w:r>
      <w:r w:rsidRPr="007F767A" w:rsidR="00AA40AD">
        <w:t xml:space="preserve"> area within the administrative jurisdiction of the town of Ovac</w:t>
      </w:r>
      <w:r w:rsidRPr="007F767A" w:rsidR="00AA40AD">
        <w:rPr>
          <w:rFonts w:cstheme="minorHAnsi"/>
        </w:rPr>
        <w:t>ı</w:t>
      </w:r>
      <w:r w:rsidRPr="007F767A" w:rsidR="00AA40AD">
        <w:t xml:space="preserve">k, near </w:t>
      </w:r>
      <w:r w:rsidRPr="007F767A" w:rsidR="00E97519">
        <w:t xml:space="preserve">the city of </w:t>
      </w:r>
      <w:r w:rsidRPr="007F767A" w:rsidR="00AA40AD">
        <w:t xml:space="preserve">Tunceli, </w:t>
      </w:r>
      <w:r w:rsidRPr="007F767A" w:rsidR="006B1B63">
        <w:t>i</w:t>
      </w:r>
      <w:r w:rsidRPr="007F767A" w:rsidR="00AA40AD">
        <w:t xml:space="preserve">n order to hold a </w:t>
      </w:r>
      <w:r w:rsidRPr="007F767A" w:rsidR="00CA0108">
        <w:t>meeting</w:t>
      </w:r>
      <w:r w:rsidRPr="007F767A" w:rsidR="00AA40AD">
        <w:t xml:space="preserve"> of their organisation.</w:t>
      </w:r>
      <w:r w:rsidRPr="007F767A" w:rsidR="008B430D">
        <w:t xml:space="preserve"> They were all killed in that area by </w:t>
      </w:r>
      <w:r w:rsidRPr="007F767A" w:rsidR="002D4131">
        <w:t xml:space="preserve">members of </w:t>
      </w:r>
      <w:r w:rsidRPr="007F767A" w:rsidR="00E82D90">
        <w:t xml:space="preserve">the </w:t>
      </w:r>
      <w:r w:rsidRPr="007F767A" w:rsidR="002D4131">
        <w:t xml:space="preserve">security forces </w:t>
      </w:r>
      <w:r w:rsidRPr="007F767A" w:rsidR="00ED011C">
        <w:t>on</w:t>
      </w:r>
      <w:r w:rsidRPr="007F767A" w:rsidR="008B430D">
        <w:t xml:space="preserve"> 17 and 18</w:t>
      </w:r>
      <w:r w:rsidRPr="007F767A" w:rsidR="00907350">
        <w:t> </w:t>
      </w:r>
      <w:r w:rsidRPr="007F767A" w:rsidR="008B430D">
        <w:t>June 2005.</w:t>
      </w:r>
    </w:p>
    <w:p w:rsidRPr="007F767A" w:rsidR="008B430D" w:rsidP="007F767A" w:rsidRDefault="007F767A">
      <w:pPr>
        <w:pStyle w:val="ECHRPara"/>
      </w:pPr>
      <w:fldSimple w:instr=" SEQ level0 \*arabic ">
        <w:r w:rsidRPr="007F767A">
          <w:rPr>
            <w:noProof/>
          </w:rPr>
          <w:t>7</w:t>
        </w:r>
      </w:fldSimple>
      <w:r w:rsidRPr="007F767A" w:rsidR="008B430D">
        <w:t xml:space="preserve">.  The names of the </w:t>
      </w:r>
      <w:r w:rsidRPr="007F767A" w:rsidR="00ED011C">
        <w:t>seventeen</w:t>
      </w:r>
      <w:r w:rsidRPr="007F767A" w:rsidR="008B430D">
        <w:t xml:space="preserve"> relatives and the applicants</w:t>
      </w:r>
      <w:r w:rsidRPr="007F767A">
        <w:t>’</w:t>
      </w:r>
      <w:r w:rsidRPr="007F767A" w:rsidR="008B430D">
        <w:t xml:space="preserve"> relationship to the</w:t>
      </w:r>
      <w:r w:rsidRPr="007F767A" w:rsidR="00D67732">
        <w:t>m</w:t>
      </w:r>
      <w:r w:rsidRPr="007F767A" w:rsidR="008B430D">
        <w:t xml:space="preserve"> </w:t>
      </w:r>
      <w:r w:rsidRPr="007F767A" w:rsidR="00E97519">
        <w:t>a</w:t>
      </w:r>
      <w:r w:rsidRPr="007F767A" w:rsidR="008B430D">
        <w:t>re as follows:</w:t>
      </w:r>
    </w:p>
    <w:p w:rsidRPr="007F767A" w:rsidR="008B430D" w:rsidP="007F767A" w:rsidRDefault="00E51811">
      <w:pPr>
        <w:pStyle w:val="ECHRPara"/>
      </w:pPr>
      <w:r w:rsidRPr="007F767A">
        <w:t>i.  </w:t>
      </w:r>
      <w:r w:rsidRPr="007F767A" w:rsidR="008B430D">
        <w:t>Cafer Cangöz</w:t>
      </w:r>
      <w:r w:rsidRPr="007F767A" w:rsidR="00D73E16">
        <w:t xml:space="preserve"> was</w:t>
      </w:r>
      <w:r w:rsidRPr="007F767A" w:rsidR="008B430D">
        <w:t xml:space="preserve"> </w:t>
      </w:r>
      <w:r w:rsidRPr="007F767A" w:rsidR="00D73E16">
        <w:t>t</w:t>
      </w:r>
      <w:r w:rsidRPr="007F767A" w:rsidR="008B430D">
        <w:t xml:space="preserve">he first applicant </w:t>
      </w:r>
      <w:r w:rsidRPr="007F767A" w:rsidR="002753CD">
        <w:t xml:space="preserve">Mr </w:t>
      </w:r>
      <w:r w:rsidRPr="007F767A" w:rsidR="00D73E16">
        <w:t>Mustafa Cangöz</w:t>
      </w:r>
      <w:r w:rsidRPr="007F767A" w:rsidR="007F767A">
        <w:t>’</w:t>
      </w:r>
      <w:r w:rsidRPr="007F767A" w:rsidR="00D73E16">
        <w:t>s son;</w:t>
      </w:r>
    </w:p>
    <w:p w:rsidRPr="007F767A" w:rsidR="00D73E16" w:rsidP="007F767A" w:rsidRDefault="00E51811">
      <w:pPr>
        <w:pStyle w:val="ECHRPara"/>
      </w:pPr>
      <w:r w:rsidRPr="007F767A">
        <w:t>ii.  </w:t>
      </w:r>
      <w:r w:rsidRPr="007F767A" w:rsidR="00D73E16">
        <w:t xml:space="preserve">Aydın Hanbayat was the second applicant </w:t>
      </w:r>
      <w:r w:rsidRPr="007F767A" w:rsidR="002753CD">
        <w:t xml:space="preserve">Ms </w:t>
      </w:r>
      <w:r w:rsidRPr="007F767A" w:rsidR="00D73E16">
        <w:t>Fatma Hanbayat</w:t>
      </w:r>
      <w:r w:rsidRPr="007F767A" w:rsidR="007F767A">
        <w:t>’</w:t>
      </w:r>
      <w:r w:rsidRPr="007F767A" w:rsidR="00D73E16">
        <w:t>s son;</w:t>
      </w:r>
    </w:p>
    <w:p w:rsidRPr="007F767A" w:rsidR="00D73E16" w:rsidP="007F767A" w:rsidRDefault="00E51811">
      <w:pPr>
        <w:pStyle w:val="ECHRPara"/>
      </w:pPr>
      <w:r w:rsidRPr="007F767A">
        <w:t>iii.  </w:t>
      </w:r>
      <w:r w:rsidRPr="007F767A" w:rsidR="00D73E16">
        <w:t xml:space="preserve">Okan Ünsal was the third applicant </w:t>
      </w:r>
      <w:r w:rsidRPr="007F767A" w:rsidR="002753CD">
        <w:t xml:space="preserve">Ms </w:t>
      </w:r>
      <w:r w:rsidRPr="007F767A" w:rsidR="00D73E16">
        <w:t>Bahriye Ünsal</w:t>
      </w:r>
      <w:r w:rsidRPr="007F767A" w:rsidR="007F767A">
        <w:t>’</w:t>
      </w:r>
      <w:r w:rsidRPr="007F767A" w:rsidR="00D73E16">
        <w:t>s son;</w:t>
      </w:r>
    </w:p>
    <w:p w:rsidRPr="007F767A" w:rsidR="00D73E16" w:rsidP="007F767A" w:rsidRDefault="00E51811">
      <w:pPr>
        <w:pStyle w:val="ECHRPara"/>
      </w:pPr>
      <w:r w:rsidRPr="007F767A">
        <w:t>iv.  </w:t>
      </w:r>
      <w:r w:rsidRPr="007F767A" w:rsidR="00D73E16">
        <w:t xml:space="preserve">Berna Saygılı-Ünsal was the fourth applicant </w:t>
      </w:r>
      <w:r w:rsidRPr="007F767A" w:rsidR="002753CD">
        <w:t xml:space="preserve">Mr </w:t>
      </w:r>
      <w:r w:rsidRPr="007F767A" w:rsidR="00D73E16">
        <w:t>Tevfik Fikret Saygılı</w:t>
      </w:r>
      <w:r w:rsidRPr="007F767A" w:rsidR="007F767A">
        <w:t>’</w:t>
      </w:r>
      <w:r w:rsidRPr="007F767A" w:rsidR="00D73E16">
        <w:t>s daughter;</w:t>
      </w:r>
    </w:p>
    <w:p w:rsidRPr="007F767A" w:rsidR="00D73E16" w:rsidP="007F767A" w:rsidRDefault="00E51811">
      <w:pPr>
        <w:pStyle w:val="ECHRPara"/>
      </w:pPr>
      <w:r w:rsidRPr="007F767A">
        <w:t>v.  </w:t>
      </w:r>
      <w:r w:rsidRPr="007F767A" w:rsidR="00D73E16">
        <w:t xml:space="preserve">Ali Rıza Sabur was the fifth applicant </w:t>
      </w:r>
      <w:r w:rsidRPr="007F767A" w:rsidR="002753CD">
        <w:t xml:space="preserve">Mr </w:t>
      </w:r>
      <w:r w:rsidRPr="007F767A" w:rsidR="00D73E16">
        <w:t>Hıdır Sabur</w:t>
      </w:r>
      <w:r w:rsidRPr="007F767A" w:rsidR="007F767A">
        <w:t>’</w:t>
      </w:r>
      <w:r w:rsidRPr="007F767A" w:rsidR="00D73E16">
        <w:t>s brother;</w:t>
      </w:r>
    </w:p>
    <w:p w:rsidRPr="007F767A" w:rsidR="00D73E16" w:rsidP="007F767A" w:rsidRDefault="00E51811">
      <w:pPr>
        <w:pStyle w:val="ECHRPara"/>
      </w:pPr>
      <w:r w:rsidRPr="007F767A">
        <w:t>vi.  </w:t>
      </w:r>
      <w:r w:rsidRPr="007F767A" w:rsidR="00D73E16">
        <w:t xml:space="preserve">Alattin Ataş was the sixth applicant </w:t>
      </w:r>
      <w:r w:rsidRPr="007F767A" w:rsidR="002753CD">
        <w:t xml:space="preserve">Ms </w:t>
      </w:r>
      <w:r w:rsidRPr="007F767A" w:rsidR="00D73E16">
        <w:t>Nari Ataş</w:t>
      </w:r>
      <w:r w:rsidRPr="007F767A" w:rsidR="007F767A">
        <w:t>’</w:t>
      </w:r>
      <w:r w:rsidRPr="007F767A" w:rsidR="00D73E16">
        <w:t>s son;</w:t>
      </w:r>
    </w:p>
    <w:p w:rsidRPr="007F767A" w:rsidR="00D73E16" w:rsidP="007F767A" w:rsidRDefault="00E51811">
      <w:pPr>
        <w:pStyle w:val="ECHRPara"/>
      </w:pPr>
      <w:r w:rsidRPr="007F767A">
        <w:t>vii.  </w:t>
      </w:r>
      <w:r w:rsidRPr="007F767A" w:rsidR="00D73E16">
        <w:t xml:space="preserve">Cemal Çakmak was the seventh applicant </w:t>
      </w:r>
      <w:r w:rsidRPr="007F767A" w:rsidR="002753CD">
        <w:t xml:space="preserve">Ms </w:t>
      </w:r>
      <w:r w:rsidRPr="007F767A" w:rsidR="00D73E16">
        <w:t>Zekiye Çakmak</w:t>
      </w:r>
      <w:r w:rsidRPr="007F767A" w:rsidR="007F767A">
        <w:t>’</w:t>
      </w:r>
      <w:r w:rsidRPr="007F767A" w:rsidR="00D73E16">
        <w:t>s son;</w:t>
      </w:r>
    </w:p>
    <w:p w:rsidRPr="007F767A" w:rsidR="00D73E16" w:rsidP="007F767A" w:rsidRDefault="00E51811">
      <w:pPr>
        <w:pStyle w:val="ECHRPara"/>
      </w:pPr>
      <w:r w:rsidRPr="007F767A">
        <w:t>viii.  </w:t>
      </w:r>
      <w:r w:rsidRPr="007F767A" w:rsidR="00D73E16">
        <w:t xml:space="preserve">Ökkeş Karaoğlu was the eighth applicant </w:t>
      </w:r>
      <w:r w:rsidRPr="007F767A" w:rsidR="002753CD">
        <w:t xml:space="preserve">Ms </w:t>
      </w:r>
      <w:r w:rsidRPr="007F767A" w:rsidR="00D73E16">
        <w:t>Hatice Karaoğlu</w:t>
      </w:r>
      <w:r w:rsidRPr="007F767A" w:rsidR="007F767A">
        <w:t>’</w:t>
      </w:r>
      <w:r w:rsidRPr="007F767A" w:rsidR="00D73E16">
        <w:t>s son;</w:t>
      </w:r>
    </w:p>
    <w:p w:rsidRPr="007F767A" w:rsidR="00D73E16" w:rsidP="007F767A" w:rsidRDefault="00E51811">
      <w:pPr>
        <w:pStyle w:val="ECHRPara"/>
      </w:pPr>
      <w:r w:rsidRPr="007F767A">
        <w:t>ix.  </w:t>
      </w:r>
      <w:r w:rsidRPr="007F767A" w:rsidR="00D73E16">
        <w:t xml:space="preserve">Taylan Yıldız was the ninth applicant </w:t>
      </w:r>
      <w:r w:rsidRPr="007F767A" w:rsidR="002753CD">
        <w:t xml:space="preserve">Ms </w:t>
      </w:r>
      <w:r w:rsidRPr="007F767A" w:rsidR="00D73E16">
        <w:t>İmiş Yıldız</w:t>
      </w:r>
      <w:r w:rsidRPr="007F767A" w:rsidR="007F767A">
        <w:t>’</w:t>
      </w:r>
      <w:r w:rsidRPr="007F767A" w:rsidR="00D73E16">
        <w:t>s son;</w:t>
      </w:r>
    </w:p>
    <w:p w:rsidRPr="007F767A" w:rsidR="00D73E16" w:rsidP="007F767A" w:rsidRDefault="00E51811">
      <w:pPr>
        <w:pStyle w:val="ECHRPara"/>
      </w:pPr>
      <w:r w:rsidRPr="007F767A">
        <w:t>x.  </w:t>
      </w:r>
      <w:r w:rsidRPr="007F767A" w:rsidR="00D73E16">
        <w:t xml:space="preserve">Dursun Turgut was the tenth applicant </w:t>
      </w:r>
      <w:r w:rsidRPr="007F767A" w:rsidR="002753CD">
        <w:t xml:space="preserve">Mr </w:t>
      </w:r>
      <w:r w:rsidRPr="007F767A" w:rsidR="00D73E16">
        <w:t>İbrahim Turgut</w:t>
      </w:r>
      <w:r w:rsidRPr="007F767A" w:rsidR="007F767A">
        <w:t>’</w:t>
      </w:r>
      <w:r w:rsidRPr="007F767A" w:rsidR="00D73E16">
        <w:t>s son;</w:t>
      </w:r>
    </w:p>
    <w:p w:rsidRPr="007F767A" w:rsidR="00D73E16" w:rsidP="007F767A" w:rsidRDefault="00E51811">
      <w:pPr>
        <w:pStyle w:val="ECHRPara"/>
      </w:pPr>
      <w:r w:rsidRPr="007F767A">
        <w:t>xi.  </w:t>
      </w:r>
      <w:r w:rsidRPr="007F767A" w:rsidR="00D73E16">
        <w:t xml:space="preserve">Binali Güler was the eleventh applicant </w:t>
      </w:r>
      <w:r w:rsidRPr="007F767A" w:rsidR="002753CD">
        <w:t xml:space="preserve">Ms </w:t>
      </w:r>
      <w:r w:rsidRPr="007F767A" w:rsidR="00D73E16">
        <w:t>Elif Güler</w:t>
      </w:r>
      <w:r w:rsidRPr="007F767A" w:rsidR="007F767A">
        <w:t>’</w:t>
      </w:r>
      <w:r w:rsidRPr="007F767A" w:rsidR="00D73E16">
        <w:t>s husband;</w:t>
      </w:r>
    </w:p>
    <w:p w:rsidRPr="007F767A" w:rsidR="00D73E16" w:rsidP="007F767A" w:rsidRDefault="00E51811">
      <w:pPr>
        <w:pStyle w:val="ECHRPara"/>
      </w:pPr>
      <w:r w:rsidRPr="007F767A">
        <w:t>xii.  </w:t>
      </w:r>
      <w:r w:rsidRPr="007F767A" w:rsidR="00D73E16">
        <w:t xml:space="preserve">İbrahim Akdeniz was the twelfth applicant </w:t>
      </w:r>
      <w:r w:rsidRPr="007F767A" w:rsidR="002753CD">
        <w:t xml:space="preserve">Mr </w:t>
      </w:r>
      <w:r w:rsidRPr="007F767A" w:rsidR="00D73E16">
        <w:t>Mehmet Akdeniz</w:t>
      </w:r>
      <w:r w:rsidRPr="007F767A" w:rsidR="007F767A">
        <w:t>’</w:t>
      </w:r>
      <w:r w:rsidRPr="007F767A" w:rsidR="00D73E16">
        <w:t>s son;</w:t>
      </w:r>
    </w:p>
    <w:p w:rsidRPr="007F767A" w:rsidR="00D73E16" w:rsidP="007F767A" w:rsidRDefault="00E51811">
      <w:pPr>
        <w:pStyle w:val="ECHRPara"/>
      </w:pPr>
      <w:r w:rsidRPr="007F767A">
        <w:t>xiii.  </w:t>
      </w:r>
      <w:r w:rsidRPr="007F767A" w:rsidR="00D73E16">
        <w:t xml:space="preserve">Ahmet Perktaş was the thirteenth applicant </w:t>
      </w:r>
      <w:r w:rsidRPr="007F767A" w:rsidR="002753CD">
        <w:t xml:space="preserve">Ms </w:t>
      </w:r>
      <w:r w:rsidRPr="007F767A" w:rsidR="00D73E16">
        <w:t>Gülsüm Perktaş</w:t>
      </w:r>
      <w:r w:rsidRPr="007F767A" w:rsidR="007F767A">
        <w:t>’</w:t>
      </w:r>
      <w:r w:rsidRPr="007F767A" w:rsidR="00D73E16">
        <w:t>s son;</w:t>
      </w:r>
    </w:p>
    <w:p w:rsidRPr="007F767A" w:rsidR="00D73E16" w:rsidP="007F767A" w:rsidRDefault="00E51811">
      <w:pPr>
        <w:pStyle w:val="ECHRPara"/>
      </w:pPr>
      <w:r w:rsidRPr="007F767A">
        <w:t>xiv.  </w:t>
      </w:r>
      <w:r w:rsidRPr="007F767A" w:rsidR="002753CD">
        <w:t>Çağdaş Can was the fourteenth applicant Ms Şükran Can</w:t>
      </w:r>
      <w:r w:rsidRPr="007F767A" w:rsidR="007F767A">
        <w:t>’</w:t>
      </w:r>
      <w:r w:rsidRPr="007F767A" w:rsidR="002753CD">
        <w:t>s son;</w:t>
      </w:r>
    </w:p>
    <w:p w:rsidRPr="007F767A" w:rsidR="002753CD" w:rsidP="007F767A" w:rsidRDefault="00E51811">
      <w:pPr>
        <w:pStyle w:val="ECHRPara"/>
      </w:pPr>
      <w:r w:rsidRPr="007F767A">
        <w:t>xv.  </w:t>
      </w:r>
      <w:r w:rsidRPr="007F767A" w:rsidR="002753CD">
        <w:t>Gülnaz Yıldız was the fifteenth applicant Mr Teslim Yıldız</w:t>
      </w:r>
      <w:r w:rsidRPr="007F767A" w:rsidR="007F767A">
        <w:t>’</w:t>
      </w:r>
      <w:r w:rsidRPr="007F767A" w:rsidR="002753CD">
        <w:t>s daughter;</w:t>
      </w:r>
    </w:p>
    <w:p w:rsidRPr="007F767A" w:rsidR="002753CD" w:rsidP="007F767A" w:rsidRDefault="00E51811">
      <w:pPr>
        <w:pStyle w:val="ECHRPara"/>
      </w:pPr>
      <w:r w:rsidRPr="007F767A">
        <w:t>xvi.  </w:t>
      </w:r>
      <w:r w:rsidRPr="007F767A" w:rsidR="002753CD">
        <w:t>Ersin Kantar was the sixteenth applicant Mr Erdal Kantar</w:t>
      </w:r>
      <w:r w:rsidRPr="007F767A" w:rsidR="007F767A">
        <w:t>’</w:t>
      </w:r>
      <w:r w:rsidRPr="007F767A" w:rsidR="002753CD">
        <w:t>s brother; and,</w:t>
      </w:r>
    </w:p>
    <w:p w:rsidRPr="007F767A" w:rsidR="002753CD" w:rsidP="007F767A" w:rsidRDefault="00E51811">
      <w:pPr>
        <w:pStyle w:val="ECHRPara"/>
        <w:rPr>
          <w:i/>
        </w:rPr>
      </w:pPr>
      <w:r w:rsidRPr="007F767A">
        <w:t>xvii.  </w:t>
      </w:r>
      <w:r w:rsidRPr="007F767A" w:rsidR="002753CD">
        <w:t>Kenan Çakıcı was the seventeenth applicant Ms Dilek Çakıcı</w:t>
      </w:r>
      <w:r w:rsidRPr="007F767A" w:rsidR="007F767A">
        <w:t>’</w:t>
      </w:r>
      <w:r w:rsidRPr="007F767A" w:rsidR="002753CD">
        <w:t>s husband.</w:t>
      </w:r>
    </w:p>
    <w:p w:rsidRPr="007F767A" w:rsidR="00DC7C6E" w:rsidP="007F767A" w:rsidRDefault="007F767A">
      <w:pPr>
        <w:pStyle w:val="ECHRPara"/>
      </w:pPr>
      <w:fldSimple w:instr=" SEQ level0 \*arabic ">
        <w:r w:rsidRPr="007F767A">
          <w:rPr>
            <w:noProof/>
          </w:rPr>
          <w:t>8</w:t>
        </w:r>
      </w:fldSimple>
      <w:r w:rsidRPr="007F767A" w:rsidR="00DC7C6E">
        <w:t>.  The events which took place on 17 and 18 June 2005 are disputed b</w:t>
      </w:r>
      <w:r w:rsidRPr="007F767A" w:rsidR="00E82D90">
        <w:t>etween</w:t>
      </w:r>
      <w:r w:rsidRPr="007F767A" w:rsidR="00DC7C6E">
        <w:t xml:space="preserve"> the parties. Thus, the parties</w:t>
      </w:r>
      <w:r w:rsidRPr="007F767A">
        <w:t>’</w:t>
      </w:r>
      <w:r w:rsidRPr="007F767A" w:rsidR="00DC7C6E">
        <w:t xml:space="preserve"> submissions will be set out separately. The facts as presented by the applicants are set out in Section</w:t>
      </w:r>
      <w:r w:rsidRPr="007F767A" w:rsidR="00662AE5">
        <w:t> </w:t>
      </w:r>
      <w:r w:rsidRPr="007F767A" w:rsidR="00DC7C6E">
        <w:t xml:space="preserve">B below (paragraphs </w:t>
      </w:r>
      <w:r w:rsidRPr="007F767A" w:rsidR="0067422E">
        <w:t>9</w:t>
      </w:r>
      <w:r w:rsidRPr="007F767A" w:rsidR="00DC7C6E">
        <w:t>-</w:t>
      </w:r>
      <w:r w:rsidRPr="007F767A" w:rsidR="0067422E">
        <w:t>13</w:t>
      </w:r>
      <w:r w:rsidRPr="007F767A" w:rsidR="00DC7C6E">
        <w:t>). The Government</w:t>
      </w:r>
      <w:r w:rsidRPr="007F767A">
        <w:t>’</w:t>
      </w:r>
      <w:r w:rsidRPr="007F767A" w:rsidR="00DC7C6E">
        <w:t xml:space="preserve">s submissions concerning the facts are summarised in Section C below (paragraphs </w:t>
      </w:r>
      <w:r w:rsidRPr="007F767A" w:rsidR="0067422E">
        <w:t>14</w:t>
      </w:r>
      <w:r w:rsidRPr="007F767A" w:rsidR="00DC7C6E">
        <w:t>-</w:t>
      </w:r>
      <w:r w:rsidRPr="007F767A" w:rsidR="0067422E">
        <w:t>20</w:t>
      </w:r>
      <w:r w:rsidRPr="007F767A" w:rsidR="00DC7C6E">
        <w:t>). The documentary evidence submitted by the parties is summ</w:t>
      </w:r>
      <w:r w:rsidRPr="007F767A" w:rsidR="00557E11">
        <w:t>arised in Section D</w:t>
      </w:r>
      <w:r w:rsidRPr="007F767A" w:rsidR="00E82D90">
        <w:t xml:space="preserve"> below</w:t>
      </w:r>
      <w:r w:rsidRPr="007F767A" w:rsidR="00237DA5">
        <w:t xml:space="preserve"> (paragraphs </w:t>
      </w:r>
      <w:r w:rsidRPr="007F767A" w:rsidR="0067422E">
        <w:t>21</w:t>
      </w:r>
      <w:r w:rsidRPr="007F767A" w:rsidR="00DC7C6E">
        <w:t>-</w:t>
      </w:r>
      <w:r w:rsidRPr="007F767A" w:rsidR="0067422E">
        <w:t>76</w:t>
      </w:r>
      <w:r w:rsidRPr="007F767A" w:rsidR="00DC7C6E">
        <w:t>).</w:t>
      </w:r>
    </w:p>
    <w:p w:rsidRPr="007F767A" w:rsidR="007F3967" w:rsidP="007F767A" w:rsidRDefault="00880D7D">
      <w:pPr>
        <w:pStyle w:val="ECHRHeading2"/>
      </w:pPr>
      <w:r w:rsidRPr="007F767A">
        <w:t>B.  </w:t>
      </w:r>
      <w:r w:rsidRPr="007F767A" w:rsidR="007F3967">
        <w:t>The applicants</w:t>
      </w:r>
      <w:r w:rsidRPr="007F767A" w:rsidR="007F767A">
        <w:t>’</w:t>
      </w:r>
      <w:r w:rsidRPr="007F767A" w:rsidR="007F3967">
        <w:t xml:space="preserve"> submissions on the facts</w:t>
      </w:r>
    </w:p>
    <w:p w:rsidRPr="007F767A" w:rsidR="007F3967" w:rsidP="007F767A" w:rsidRDefault="007F767A">
      <w:pPr>
        <w:pStyle w:val="ECHRPara"/>
      </w:pPr>
      <w:fldSimple w:instr=" SEQ level0 \*arabic ">
        <w:r w:rsidRPr="007F767A">
          <w:rPr>
            <w:noProof/>
          </w:rPr>
          <w:t>9</w:t>
        </w:r>
      </w:fldSimple>
      <w:r w:rsidRPr="007F767A" w:rsidR="00E1230E">
        <w:t>.  </w:t>
      </w:r>
      <w:r w:rsidRPr="007F767A" w:rsidR="002C7EC9">
        <w:t xml:space="preserve">At around 9 p.m. on 17 June 2005 </w:t>
      </w:r>
      <w:r w:rsidRPr="007F767A" w:rsidR="002D4131">
        <w:t xml:space="preserve">some of </w:t>
      </w:r>
      <w:r w:rsidRPr="007F767A" w:rsidR="002C7EC9">
        <w:t xml:space="preserve">the </w:t>
      </w:r>
      <w:r w:rsidRPr="007F767A" w:rsidR="00B84659">
        <w:t>applicants</w:t>
      </w:r>
      <w:r w:rsidRPr="007F767A" w:rsidR="002C7EC9">
        <w:t xml:space="preserve"> heard on the </w:t>
      </w:r>
      <w:r w:rsidRPr="007F767A" w:rsidR="00ED011C">
        <w:t xml:space="preserve">television </w:t>
      </w:r>
      <w:r w:rsidRPr="007F767A" w:rsidR="002C7EC9">
        <w:t xml:space="preserve">news that nine MKP members had been killed by soldiers in </w:t>
      </w:r>
      <w:r w:rsidRPr="007F767A" w:rsidR="000316DC">
        <w:t>Ovacık and that armed clashes were continuing.</w:t>
      </w:r>
    </w:p>
    <w:p w:rsidRPr="007F767A" w:rsidR="000316DC" w:rsidP="007F767A" w:rsidRDefault="007F767A">
      <w:pPr>
        <w:pStyle w:val="ECHRPara"/>
      </w:pPr>
      <w:fldSimple w:instr=" SEQ level0 \*arabic ">
        <w:r w:rsidRPr="007F767A">
          <w:rPr>
            <w:noProof/>
          </w:rPr>
          <w:t>10</w:t>
        </w:r>
      </w:fldSimple>
      <w:r w:rsidRPr="007F767A" w:rsidR="000316DC">
        <w:t>.  </w:t>
      </w:r>
      <w:r w:rsidRPr="007F767A" w:rsidR="00DE21EE">
        <w:t>The following day a</w:t>
      </w:r>
      <w:r w:rsidRPr="007F767A" w:rsidR="007024BD">
        <w:t xml:space="preserve"> number of</w:t>
      </w:r>
      <w:r w:rsidRPr="007F767A" w:rsidR="000316DC">
        <w:t xml:space="preserve"> family members</w:t>
      </w:r>
      <w:r w:rsidRPr="007F767A" w:rsidR="00DE21EE">
        <w:t>,</w:t>
      </w:r>
      <w:r w:rsidRPr="007F767A" w:rsidR="000316DC">
        <w:t xml:space="preserve"> suspecting that the</w:t>
      </w:r>
      <w:r w:rsidRPr="007F767A" w:rsidR="00511971">
        <w:t xml:space="preserve">ir relatives might be among those </w:t>
      </w:r>
      <w:r w:rsidRPr="007F767A" w:rsidR="00836A2E">
        <w:t xml:space="preserve">who had been </w:t>
      </w:r>
      <w:r w:rsidRPr="007F767A" w:rsidR="000316DC">
        <w:t xml:space="preserve">killed, went to the Ovacık District Gendarmerie Command </w:t>
      </w:r>
      <w:r w:rsidRPr="007F767A" w:rsidR="00ED011C">
        <w:t>to seek</w:t>
      </w:r>
      <w:r w:rsidRPr="007F767A" w:rsidR="000316DC">
        <w:t xml:space="preserve"> more information.</w:t>
      </w:r>
      <w:r w:rsidRPr="007F767A" w:rsidR="00836A2E">
        <w:t xml:space="preserve"> When they </w:t>
      </w:r>
      <w:r w:rsidRPr="007F767A" w:rsidR="00415D87">
        <w:t>failed to</w:t>
      </w:r>
      <w:r w:rsidRPr="007F767A" w:rsidR="00836A2E">
        <w:t xml:space="preserve"> obtain any information</w:t>
      </w:r>
      <w:r w:rsidRPr="007F767A" w:rsidR="00B21707">
        <w:t xml:space="preserve"> there</w:t>
      </w:r>
      <w:r w:rsidRPr="007F767A" w:rsidR="00836A2E">
        <w:t xml:space="preserve"> a lawyer representing one of the families went to see the local prosecutor. The prosecutor told the lawyer that </w:t>
      </w:r>
      <w:r w:rsidRPr="007F767A" w:rsidR="00ED011C">
        <w:t xml:space="preserve">seventeen people </w:t>
      </w:r>
      <w:r w:rsidRPr="007F767A" w:rsidR="00836A2E">
        <w:t>had been killed.</w:t>
      </w:r>
    </w:p>
    <w:p w:rsidRPr="007F767A" w:rsidR="00836A2E" w:rsidP="007F767A" w:rsidRDefault="007F767A">
      <w:pPr>
        <w:pStyle w:val="ECHRPara"/>
      </w:pPr>
      <w:fldSimple w:instr=" SEQ level0 \*arabic ">
        <w:r w:rsidRPr="007F767A">
          <w:rPr>
            <w:noProof/>
          </w:rPr>
          <w:t>11</w:t>
        </w:r>
      </w:fldSimple>
      <w:r w:rsidRPr="007F767A" w:rsidR="00836A2E">
        <w:t xml:space="preserve">.  The families were then taken to </w:t>
      </w:r>
      <w:r w:rsidRPr="007F767A" w:rsidR="00D67732">
        <w:t xml:space="preserve">a nearby </w:t>
      </w:r>
      <w:r w:rsidRPr="007F767A" w:rsidR="00F74622">
        <w:t xml:space="preserve">military base to identify the </w:t>
      </w:r>
      <w:r w:rsidRPr="007F767A" w:rsidR="00ED011C">
        <w:t xml:space="preserve">seventeen </w:t>
      </w:r>
      <w:r w:rsidRPr="007F767A" w:rsidR="00F74622">
        <w:t>bodies</w:t>
      </w:r>
      <w:r w:rsidRPr="007F767A" w:rsidR="00E82D90">
        <w:t>,</w:t>
      </w:r>
      <w:r w:rsidRPr="007F767A" w:rsidR="00F74622">
        <w:t xml:space="preserve"> </w:t>
      </w:r>
      <w:r w:rsidRPr="007F767A" w:rsidR="00ED011C">
        <w:t xml:space="preserve">which </w:t>
      </w:r>
      <w:r w:rsidRPr="007F767A" w:rsidR="00F74622">
        <w:t xml:space="preserve">had been </w:t>
      </w:r>
      <w:r w:rsidRPr="007F767A" w:rsidR="007024BD">
        <w:t>placed</w:t>
      </w:r>
      <w:r w:rsidRPr="007F767A" w:rsidR="00F74622">
        <w:t xml:space="preserve"> in the car park of the military base. The families noted that </w:t>
      </w:r>
      <w:r w:rsidRPr="007F767A" w:rsidR="00251AD2">
        <w:t xml:space="preserve">most of the </w:t>
      </w:r>
      <w:r w:rsidRPr="007F767A" w:rsidR="00D910AC">
        <w:t>bodies were naked</w:t>
      </w:r>
      <w:r w:rsidRPr="007F767A" w:rsidR="00F74622">
        <w:t xml:space="preserve">. As the faces and bodies </w:t>
      </w:r>
      <w:r w:rsidRPr="007F767A" w:rsidR="00ED011C">
        <w:t xml:space="preserve">of the deceased </w:t>
      </w:r>
      <w:r w:rsidRPr="007F767A" w:rsidR="00F74622">
        <w:t xml:space="preserve">had been </w:t>
      </w:r>
      <w:r w:rsidRPr="007F767A" w:rsidR="00B21707">
        <w:t>destroyed</w:t>
      </w:r>
      <w:r w:rsidRPr="007F767A" w:rsidR="00D67732">
        <w:t xml:space="preserve"> beyond recognition</w:t>
      </w:r>
      <w:r w:rsidRPr="007F767A" w:rsidR="00E878D2">
        <w:t xml:space="preserve">, it </w:t>
      </w:r>
      <w:r w:rsidRPr="007F767A" w:rsidR="002D390C">
        <w:t>was</w:t>
      </w:r>
      <w:r w:rsidRPr="007F767A" w:rsidR="00E878D2">
        <w:t xml:space="preserve"> not possible</w:t>
      </w:r>
      <w:r w:rsidRPr="007F767A" w:rsidR="00D910AC">
        <w:t xml:space="preserve"> </w:t>
      </w:r>
      <w:r w:rsidRPr="007F767A" w:rsidR="00E878D2">
        <w:t xml:space="preserve">to complete </w:t>
      </w:r>
      <w:r w:rsidRPr="007F767A" w:rsidR="00D910AC">
        <w:t>the identification process that day.</w:t>
      </w:r>
    </w:p>
    <w:p w:rsidRPr="007F767A" w:rsidR="00005A76" w:rsidP="007F767A" w:rsidRDefault="007F767A">
      <w:pPr>
        <w:pStyle w:val="ECHRPara"/>
      </w:pPr>
      <w:fldSimple w:instr=" SEQ level0 \*arabic ">
        <w:r w:rsidRPr="007F767A">
          <w:rPr>
            <w:noProof/>
          </w:rPr>
          <w:t>12</w:t>
        </w:r>
      </w:fldSimple>
      <w:r w:rsidRPr="007F767A" w:rsidR="002D4131">
        <w:t>.  </w:t>
      </w:r>
      <w:r w:rsidRPr="007F767A" w:rsidR="00005A76">
        <w:t xml:space="preserve">When all the bodies </w:t>
      </w:r>
      <w:r w:rsidRPr="007F767A" w:rsidR="00ED011C">
        <w:t xml:space="preserve">had been </w:t>
      </w:r>
      <w:r w:rsidRPr="007F767A" w:rsidR="00005A76">
        <w:t xml:space="preserve">identified and </w:t>
      </w:r>
      <w:r w:rsidRPr="007F767A" w:rsidR="00511971">
        <w:t>autopsies carried out on them</w:t>
      </w:r>
      <w:r w:rsidRPr="007F767A" w:rsidR="00005A76">
        <w:t xml:space="preserve"> they were handed over to the families for burial.</w:t>
      </w:r>
    </w:p>
    <w:p w:rsidRPr="007F767A" w:rsidR="00251AD2" w:rsidP="007F767A" w:rsidRDefault="007F767A">
      <w:pPr>
        <w:pStyle w:val="ECHRPara"/>
      </w:pPr>
      <w:fldSimple w:instr=" SEQ level0 \*arabic ">
        <w:r w:rsidRPr="007F767A">
          <w:rPr>
            <w:noProof/>
          </w:rPr>
          <w:t>13</w:t>
        </w:r>
      </w:fldSimple>
      <w:r w:rsidRPr="007F767A" w:rsidR="0033745B">
        <w:t>.  </w:t>
      </w:r>
      <w:r w:rsidRPr="007F767A" w:rsidR="00005A76">
        <w:t xml:space="preserve">The photographs and video footage taken by the families while the bodies were being prepared for burial were submitted to the Court. </w:t>
      </w:r>
      <w:r w:rsidRPr="007F767A" w:rsidR="007024BD">
        <w:t xml:space="preserve">Very extensive injuries on the bodies of the </w:t>
      </w:r>
      <w:r w:rsidRPr="007F767A" w:rsidR="00ED011C">
        <w:t>seventeen</w:t>
      </w:r>
      <w:r w:rsidRPr="007F767A" w:rsidR="007024BD">
        <w:t xml:space="preserve"> can be seen in the footage.</w:t>
      </w:r>
    </w:p>
    <w:p w:rsidRPr="007F767A" w:rsidR="007F3967" w:rsidP="007F767A" w:rsidRDefault="00880D7D">
      <w:pPr>
        <w:pStyle w:val="ECHRHeading2"/>
      </w:pPr>
      <w:r w:rsidRPr="007F767A">
        <w:t>C.  </w:t>
      </w:r>
      <w:r w:rsidRPr="007F767A" w:rsidR="007F3967">
        <w:t>The Government</w:t>
      </w:r>
      <w:r w:rsidRPr="007F767A" w:rsidR="007F767A">
        <w:t>’</w:t>
      </w:r>
      <w:r w:rsidRPr="007F767A" w:rsidR="007F3967">
        <w:t>s submissions on the facts</w:t>
      </w:r>
    </w:p>
    <w:p w:rsidRPr="007F767A" w:rsidR="00F340BB" w:rsidP="007F767A" w:rsidRDefault="007F767A">
      <w:pPr>
        <w:pStyle w:val="ECHRPara"/>
      </w:pPr>
      <w:fldSimple w:instr=" SEQ level0 \*arabic ">
        <w:r w:rsidRPr="007F767A">
          <w:rPr>
            <w:noProof/>
          </w:rPr>
          <w:t>14</w:t>
        </w:r>
      </w:fldSimple>
      <w:r w:rsidRPr="007F767A" w:rsidR="00DE21EE">
        <w:t>.  </w:t>
      </w:r>
      <w:r w:rsidRPr="007F767A" w:rsidR="00F340BB">
        <w:t xml:space="preserve">In their observations the Government summarised a number of the steps taken by the national authorities </w:t>
      </w:r>
      <w:r w:rsidRPr="007F767A" w:rsidR="00511971">
        <w:t>(</w:t>
      </w:r>
      <w:r w:rsidRPr="007F767A" w:rsidR="00F340BB">
        <w:t xml:space="preserve">which are also summarised below between paragraphs </w:t>
      </w:r>
      <w:r w:rsidRPr="007F767A" w:rsidR="0067422E">
        <w:t>21</w:t>
      </w:r>
      <w:r w:rsidRPr="007F767A" w:rsidR="00F340BB">
        <w:t>-</w:t>
      </w:r>
      <w:r w:rsidRPr="007F767A" w:rsidR="0067422E">
        <w:t>76</w:t>
      </w:r>
      <w:r w:rsidRPr="007F767A" w:rsidR="00F340BB">
        <w:t>), and added the following</w:t>
      </w:r>
      <w:r w:rsidRPr="007F767A" w:rsidR="00E82D90">
        <w:t>.</w:t>
      </w:r>
    </w:p>
    <w:p w:rsidRPr="007F767A" w:rsidR="007F3967" w:rsidP="007F767A" w:rsidRDefault="007F767A">
      <w:pPr>
        <w:pStyle w:val="ECHRPara"/>
      </w:pPr>
      <w:fldSimple w:instr=" SEQ level0 \*arabic ">
        <w:r w:rsidRPr="007F767A">
          <w:rPr>
            <w:noProof/>
          </w:rPr>
          <w:t>15</w:t>
        </w:r>
      </w:fldSimple>
      <w:r w:rsidRPr="007F767A" w:rsidR="007F3967">
        <w:t>.  </w:t>
      </w:r>
      <w:r w:rsidRPr="007F767A" w:rsidR="00D170D6">
        <w:t>The applicants</w:t>
      </w:r>
      <w:r w:rsidRPr="007F767A">
        <w:t>’</w:t>
      </w:r>
      <w:r w:rsidRPr="007F767A" w:rsidR="00D170D6">
        <w:t xml:space="preserve"> relatives were members of the </w:t>
      </w:r>
      <w:r w:rsidRPr="007F767A" w:rsidR="00ED011C">
        <w:t xml:space="preserve">MKP </w:t>
      </w:r>
      <w:r w:rsidRPr="007F767A" w:rsidR="00D170D6">
        <w:t xml:space="preserve">terrorist organisation </w:t>
      </w:r>
      <w:r w:rsidRPr="007F767A" w:rsidR="007024BD">
        <w:t xml:space="preserve">and some of them </w:t>
      </w:r>
      <w:r w:rsidRPr="007F767A" w:rsidR="00C24DE9">
        <w:t xml:space="preserve">had </w:t>
      </w:r>
      <w:r w:rsidRPr="007F767A" w:rsidR="00D170D6">
        <w:t>entered Turkey illegally in order to participate in a meeting of that organisation in Tunceli. After receiv</w:t>
      </w:r>
      <w:r w:rsidRPr="007F767A" w:rsidR="00ED011C">
        <w:t>ing</w:t>
      </w:r>
      <w:r w:rsidRPr="007F767A" w:rsidR="00D170D6">
        <w:t xml:space="preserve"> intelligence reports, </w:t>
      </w:r>
      <w:r w:rsidRPr="007F767A" w:rsidR="00415D87">
        <w:t>a</w:t>
      </w:r>
      <w:r w:rsidRPr="007F767A" w:rsidR="00D170D6">
        <w:t xml:space="preserve"> patrolling helicopter</w:t>
      </w:r>
      <w:r w:rsidRPr="007F767A" w:rsidR="00DD4D66">
        <w:t xml:space="preserve"> </w:t>
      </w:r>
      <w:r w:rsidRPr="007F767A" w:rsidR="00D170D6">
        <w:t>found the terrorist group in an area near Tunceli</w:t>
      </w:r>
      <w:r w:rsidRPr="007F767A" w:rsidR="00C24DE9">
        <w:t xml:space="preserve"> on 17 June 2005</w:t>
      </w:r>
      <w:r w:rsidRPr="007F767A" w:rsidR="00D170D6">
        <w:t xml:space="preserve">. The terrorist group opened fire </w:t>
      </w:r>
      <w:r w:rsidRPr="007F767A" w:rsidR="00ED011C">
        <w:t>on</w:t>
      </w:r>
      <w:r w:rsidRPr="007F767A" w:rsidR="00D170D6">
        <w:t xml:space="preserve"> the helicopter. </w:t>
      </w:r>
      <w:r w:rsidRPr="007F767A" w:rsidR="00C24DE9">
        <w:t xml:space="preserve">After determining the location of the group the security forces arrived in the area to arrest them. </w:t>
      </w:r>
      <w:r w:rsidRPr="007F767A" w:rsidR="00D170D6">
        <w:t>At 5 p.m. the security forces</w:t>
      </w:r>
      <w:r w:rsidRPr="007F767A" w:rsidR="00DD4D66">
        <w:t xml:space="preserve"> </w:t>
      </w:r>
      <w:r w:rsidRPr="007F767A" w:rsidR="00D170D6">
        <w:t xml:space="preserve">encountered the group. Despite warnings </w:t>
      </w:r>
      <w:r w:rsidRPr="007F767A" w:rsidR="00ED011C">
        <w:t xml:space="preserve">to surrender issued </w:t>
      </w:r>
      <w:r w:rsidRPr="007F767A" w:rsidR="00415D87">
        <w:t>by</w:t>
      </w:r>
      <w:r w:rsidRPr="007F767A" w:rsidR="00D170D6">
        <w:t xml:space="preserve"> the security forces, the terrorists</w:t>
      </w:r>
      <w:r w:rsidRPr="007F767A" w:rsidR="00DD4D66">
        <w:t xml:space="preserve"> </w:t>
      </w:r>
      <w:r w:rsidRPr="007F767A" w:rsidR="00D170D6">
        <w:t xml:space="preserve">opened fire and injured a </w:t>
      </w:r>
      <w:r w:rsidRPr="007F767A" w:rsidR="004B2CD0">
        <w:t>soldier</w:t>
      </w:r>
      <w:r w:rsidRPr="007F767A" w:rsidR="00D170D6">
        <w:t>.</w:t>
      </w:r>
    </w:p>
    <w:p w:rsidRPr="007F767A" w:rsidR="00D170D6" w:rsidP="007F767A" w:rsidRDefault="007F767A">
      <w:pPr>
        <w:pStyle w:val="ECHRPara"/>
      </w:pPr>
      <w:fldSimple w:instr=" SEQ level0 \*arabic ">
        <w:r w:rsidRPr="007F767A">
          <w:rPr>
            <w:noProof/>
          </w:rPr>
          <w:t>16</w:t>
        </w:r>
      </w:fldSimple>
      <w:r w:rsidRPr="007F767A" w:rsidR="00D170D6">
        <w:t>. </w:t>
      </w:r>
      <w:r w:rsidRPr="007F767A" w:rsidR="00557E11">
        <w:t> </w:t>
      </w:r>
      <w:r w:rsidRPr="007F767A" w:rsidR="00D170D6">
        <w:t>At 9 a.m. on 18 June 2005 the armed clash between the security forces and the terrorists</w:t>
      </w:r>
      <w:r w:rsidRPr="007F767A" w:rsidR="00DD4D66">
        <w:t xml:space="preserve"> </w:t>
      </w:r>
      <w:r w:rsidRPr="007F767A" w:rsidR="00D170D6">
        <w:t xml:space="preserve">ended. Alongside the bodies of the terrorists the security forces found, </w:t>
      </w:r>
      <w:r w:rsidRPr="007F767A" w:rsidR="004B2CD0">
        <w:t>amongst other</w:t>
      </w:r>
      <w:r w:rsidRPr="007F767A" w:rsidR="00E82D90">
        <w:t xml:space="preserve"> things</w:t>
      </w:r>
      <w:r w:rsidRPr="007F767A" w:rsidR="00D170D6">
        <w:t xml:space="preserve">, a number of automatic rifles and ammunition. </w:t>
      </w:r>
      <w:r w:rsidRPr="007F767A" w:rsidR="00DE21EE">
        <w:t>T</w:t>
      </w:r>
      <w:r w:rsidRPr="007F767A" w:rsidR="00D170D6">
        <w:t xml:space="preserve">hree terrorists </w:t>
      </w:r>
      <w:r w:rsidRPr="007F767A" w:rsidR="00511971">
        <w:t xml:space="preserve">were </w:t>
      </w:r>
      <w:r w:rsidRPr="007F767A" w:rsidR="00DE21EE">
        <w:t>apprehended alive and arrested</w:t>
      </w:r>
      <w:r w:rsidRPr="007F767A" w:rsidR="00D170D6">
        <w:t>.</w:t>
      </w:r>
    </w:p>
    <w:p w:rsidRPr="007F767A" w:rsidR="00D170D6" w:rsidP="007F767A" w:rsidRDefault="007F767A">
      <w:pPr>
        <w:pStyle w:val="ECHRPara"/>
      </w:pPr>
      <w:fldSimple w:instr=" SEQ level0 \*arabic ">
        <w:r w:rsidRPr="007F767A">
          <w:rPr>
            <w:noProof/>
          </w:rPr>
          <w:t>17</w:t>
        </w:r>
      </w:fldSimple>
      <w:r w:rsidRPr="007F767A" w:rsidR="00D170D6">
        <w:t>.  On the same day</w:t>
      </w:r>
      <w:r w:rsidRPr="007F767A" w:rsidR="00ED011C">
        <w:t>,</w:t>
      </w:r>
      <w:r w:rsidRPr="007F767A" w:rsidR="00D170D6">
        <w:t xml:space="preserve"> just after the armed clash</w:t>
      </w:r>
      <w:r w:rsidRPr="007F767A" w:rsidR="004B2CD0">
        <w:t xml:space="preserve"> ended</w:t>
      </w:r>
      <w:r w:rsidRPr="007F767A" w:rsidR="00D170D6">
        <w:t>, the prosecutor</w:t>
      </w:r>
      <w:r w:rsidRPr="007F767A" w:rsidR="00511971">
        <w:t xml:space="preserve"> </w:t>
      </w:r>
      <w:r w:rsidRPr="007F767A" w:rsidR="00D170D6">
        <w:t>arrived at the incident area, conducted</w:t>
      </w:r>
      <w:r w:rsidRPr="007F767A" w:rsidR="00F340BB">
        <w:t xml:space="preserve"> an </w:t>
      </w:r>
      <w:r w:rsidRPr="007F767A" w:rsidR="00D170D6">
        <w:t>on-site inspection</w:t>
      </w:r>
      <w:r w:rsidRPr="007F767A" w:rsidR="00DD4D66">
        <w:t>, prepared an incident report</w:t>
      </w:r>
      <w:r w:rsidRPr="007F767A" w:rsidR="00ED011C">
        <w:t>,</w:t>
      </w:r>
      <w:r w:rsidRPr="007F767A" w:rsidR="00D170D6">
        <w:t xml:space="preserve"> and opened </w:t>
      </w:r>
      <w:r w:rsidRPr="007F767A" w:rsidR="00F340BB">
        <w:t xml:space="preserve">an </w:t>
      </w:r>
      <w:r w:rsidRPr="007F767A" w:rsidR="00D170D6">
        <w:t>investigation concerning the death</w:t>
      </w:r>
      <w:r w:rsidRPr="007F767A" w:rsidR="007024BD">
        <w:t>s</w:t>
      </w:r>
      <w:r w:rsidRPr="007F767A" w:rsidR="00D170D6">
        <w:t xml:space="preserve"> of the </w:t>
      </w:r>
      <w:r w:rsidRPr="007F767A" w:rsidR="00ED011C">
        <w:t>seventeen</w:t>
      </w:r>
      <w:r w:rsidRPr="007F767A" w:rsidR="00D170D6">
        <w:t xml:space="preserve"> terrorists</w:t>
      </w:r>
      <w:r w:rsidRPr="007F767A" w:rsidR="00415D87">
        <w:t>. The prosecutor</w:t>
      </w:r>
      <w:r w:rsidRPr="007F767A" w:rsidR="00D170D6">
        <w:t xml:space="preserve"> then ordered th</w:t>
      </w:r>
      <w:r w:rsidRPr="007F767A" w:rsidR="00415D87">
        <w:t xml:space="preserve">e destruction of the material which had no </w:t>
      </w:r>
      <w:r w:rsidRPr="007F767A" w:rsidR="00D170D6">
        <w:t>evidential or economic value.</w:t>
      </w:r>
    </w:p>
    <w:p w:rsidRPr="007F767A" w:rsidR="00DD4D66" w:rsidP="007F767A" w:rsidRDefault="007F767A">
      <w:pPr>
        <w:pStyle w:val="ECHRPara"/>
      </w:pPr>
      <w:fldSimple w:instr=" SEQ level0 \*arabic ">
        <w:r w:rsidRPr="007F767A">
          <w:rPr>
            <w:noProof/>
          </w:rPr>
          <w:t>18</w:t>
        </w:r>
      </w:fldSimple>
      <w:r w:rsidRPr="007F767A" w:rsidR="00DD4D66">
        <w:t xml:space="preserve">.  On 18 June 2005 between 9.30 a.m. and 2.30 p.m. the bodies and </w:t>
      </w:r>
      <w:r w:rsidRPr="007F767A" w:rsidR="00ED011C">
        <w:t xml:space="preserve">everything else found </w:t>
      </w:r>
      <w:r w:rsidRPr="007F767A" w:rsidR="00511971">
        <w:t xml:space="preserve">were </w:t>
      </w:r>
      <w:r w:rsidRPr="007F767A" w:rsidR="00ED011C">
        <w:t>photographed</w:t>
      </w:r>
      <w:r w:rsidRPr="007F767A" w:rsidR="00DD4D66">
        <w:t>.</w:t>
      </w:r>
    </w:p>
    <w:p w:rsidRPr="007F767A" w:rsidR="00293F91" w:rsidP="007F767A" w:rsidRDefault="007F767A">
      <w:pPr>
        <w:pStyle w:val="ECHRPara"/>
      </w:pPr>
      <w:fldSimple w:instr=" SEQ level0 \*arabic ">
        <w:r w:rsidRPr="007F767A">
          <w:rPr>
            <w:noProof/>
          </w:rPr>
          <w:t>19</w:t>
        </w:r>
      </w:fldSimple>
      <w:r w:rsidRPr="007F767A" w:rsidR="00293F91">
        <w:t xml:space="preserve">.  On 29 June 2005, </w:t>
      </w:r>
      <w:r w:rsidRPr="007F767A" w:rsidR="00ED011C">
        <w:t>at</w:t>
      </w:r>
      <w:r w:rsidRPr="007F767A" w:rsidR="00293F91">
        <w:t xml:space="preserve"> the request of the relatives of the deceased, the prosecutor asked the Forensic Medicine Institute to examine the clothes and bodies of the deceased with a view to establishing whether the security forces had opened fire from a distance without </w:t>
      </w:r>
      <w:r w:rsidRPr="007F767A" w:rsidR="00511971">
        <w:t xml:space="preserve">issuing </w:t>
      </w:r>
      <w:r w:rsidRPr="007F767A" w:rsidR="00293F91">
        <w:t>any warning to surrender.</w:t>
      </w:r>
    </w:p>
    <w:p w:rsidRPr="007F767A" w:rsidR="00F340BB" w:rsidP="007F767A" w:rsidRDefault="007F767A">
      <w:pPr>
        <w:pStyle w:val="ECHRPara"/>
      </w:pPr>
      <w:fldSimple w:instr=" SEQ level0 \*arabic ">
        <w:r w:rsidRPr="007F767A">
          <w:rPr>
            <w:noProof/>
          </w:rPr>
          <w:t>20</w:t>
        </w:r>
      </w:fldSimple>
      <w:r w:rsidRPr="007F767A" w:rsidR="00DD4D66">
        <w:t>.  </w:t>
      </w:r>
      <w:r w:rsidRPr="007F767A" w:rsidR="00F340BB">
        <w:t>On 1 July 2005</w:t>
      </w:r>
      <w:r w:rsidRPr="007F767A" w:rsidR="00DD4D66">
        <w:t xml:space="preserve"> the</w:t>
      </w:r>
      <w:r w:rsidRPr="007F767A" w:rsidR="00F340BB">
        <w:t xml:space="preserve"> Forensic Laboratories of the Police in Diyarbakır released </w:t>
      </w:r>
      <w:r w:rsidRPr="007F767A" w:rsidR="00E82D90">
        <w:t>the</w:t>
      </w:r>
      <w:r w:rsidRPr="007F767A" w:rsidR="00F340BB">
        <w:t xml:space="preserve"> ballistic report</w:t>
      </w:r>
      <w:r w:rsidRPr="007F767A" w:rsidR="00F94BF5">
        <w:t xml:space="preserve">, which stated that </w:t>
      </w:r>
      <w:r w:rsidRPr="007F767A" w:rsidR="003419D0">
        <w:t>sixteen of the seventeen terrorists had actively fired at the security forces during the armed clash</w:t>
      </w:r>
      <w:r w:rsidRPr="007F767A" w:rsidR="00DD4D66">
        <w:t>es</w:t>
      </w:r>
      <w:r w:rsidRPr="007F767A" w:rsidR="003419D0">
        <w:t>.</w:t>
      </w:r>
    </w:p>
    <w:p w:rsidRPr="007F767A" w:rsidR="007F3967" w:rsidP="007F767A" w:rsidRDefault="00880D7D">
      <w:pPr>
        <w:pStyle w:val="ECHRHeading2"/>
      </w:pPr>
      <w:r w:rsidRPr="007F767A">
        <w:t>D.  </w:t>
      </w:r>
      <w:r w:rsidRPr="007F767A" w:rsidR="007F3967">
        <w:t>Documentary evidence submitted by the parties</w:t>
      </w:r>
    </w:p>
    <w:p w:rsidRPr="007F767A" w:rsidR="008A6986" w:rsidP="007F767A" w:rsidRDefault="007F767A">
      <w:pPr>
        <w:pStyle w:val="ECHRPara"/>
      </w:pPr>
      <w:fldSimple w:instr=" SEQ level0 \*arabic ">
        <w:r w:rsidRPr="007F767A">
          <w:rPr>
            <w:noProof/>
          </w:rPr>
          <w:t>21</w:t>
        </w:r>
      </w:fldSimple>
      <w:r w:rsidRPr="007F767A" w:rsidR="0076664F">
        <w:t>.  </w:t>
      </w:r>
      <w:r w:rsidRPr="007F767A" w:rsidR="008A6986">
        <w:t>The following information appears from the documents submitted by the parties.</w:t>
      </w:r>
    </w:p>
    <w:p w:rsidRPr="007F767A" w:rsidR="00B75FC2" w:rsidP="007F767A" w:rsidRDefault="007F767A">
      <w:pPr>
        <w:pStyle w:val="ECHRPara"/>
      </w:pPr>
      <w:fldSimple w:instr=" SEQ level0 \*arabic ">
        <w:r w:rsidRPr="007F767A">
          <w:rPr>
            <w:noProof/>
          </w:rPr>
          <w:t>22</w:t>
        </w:r>
      </w:fldSimple>
      <w:r w:rsidRPr="007F767A" w:rsidR="00B75FC2">
        <w:t>.  According to a report prepared by three non-commissioned officers</w:t>
      </w:r>
      <w:r w:rsidRPr="007F767A" w:rsidR="006E62E2">
        <w:t xml:space="preserve"> from </w:t>
      </w:r>
      <w:r w:rsidRPr="007F767A" w:rsidR="0076664F">
        <w:t xml:space="preserve">the </w:t>
      </w:r>
      <w:r w:rsidRPr="007F767A" w:rsidR="006E62E2">
        <w:t xml:space="preserve">Ovacık District Gendarmerie Command </w:t>
      </w:r>
      <w:r w:rsidRPr="007F767A" w:rsidR="00B75FC2">
        <w:t>on 18 June 2005</w:t>
      </w:r>
      <w:r w:rsidRPr="007F767A" w:rsidR="0076664F">
        <w:t xml:space="preserve"> (hereafter </w:t>
      </w:r>
      <w:r w:rsidRPr="007F767A" w:rsidR="00F94BF5">
        <w:t>“</w:t>
      </w:r>
      <w:r w:rsidRPr="007F767A" w:rsidR="0076664F">
        <w:t>the Ovacık report”)</w:t>
      </w:r>
      <w:r w:rsidRPr="007F767A" w:rsidR="00B75FC2">
        <w:t>, intelligence obtained</w:t>
      </w:r>
      <w:r w:rsidRPr="007F767A" w:rsidR="008A6986">
        <w:t xml:space="preserve"> </w:t>
      </w:r>
      <w:r w:rsidRPr="007F767A" w:rsidR="00993964">
        <w:t xml:space="preserve">by the security forces </w:t>
      </w:r>
      <w:r w:rsidRPr="007F767A" w:rsidR="004D35D5">
        <w:t>suggest</w:t>
      </w:r>
      <w:r w:rsidRPr="007F767A" w:rsidR="00993964">
        <w:t>ed</w:t>
      </w:r>
      <w:r w:rsidRPr="007F767A" w:rsidR="00B75FC2">
        <w:t xml:space="preserve"> that members of the MKP w</w:t>
      </w:r>
      <w:r w:rsidRPr="007F767A" w:rsidR="00993964">
        <w:t>ere planning to</w:t>
      </w:r>
      <w:r w:rsidRPr="007F767A" w:rsidR="00B75FC2">
        <w:t xml:space="preserve"> </w:t>
      </w:r>
      <w:r w:rsidRPr="007F767A" w:rsidR="0093039E">
        <w:t>have a</w:t>
      </w:r>
      <w:r w:rsidRPr="007F767A" w:rsidR="00B75FC2">
        <w:t xml:space="preserve"> meeting in mid-June in an area </w:t>
      </w:r>
      <w:r w:rsidRPr="007F767A" w:rsidR="008A6986">
        <w:t xml:space="preserve">in the vicinity of </w:t>
      </w:r>
      <w:r w:rsidRPr="007F767A" w:rsidR="00E82D90">
        <w:t xml:space="preserve">the </w:t>
      </w:r>
      <w:r w:rsidRPr="007F767A" w:rsidR="00B75FC2">
        <w:t xml:space="preserve">Mercan Mountains, near the border between Tunceli and Erzincan provinces. Security forces from Erzincan and Tunceli </w:t>
      </w:r>
      <w:r w:rsidRPr="007F767A" w:rsidR="0093039E">
        <w:t>subsequently</w:t>
      </w:r>
      <w:r w:rsidRPr="007F767A" w:rsidR="00B75FC2">
        <w:t xml:space="preserve"> started a military operation in the area on 15</w:t>
      </w:r>
      <w:r w:rsidRPr="007F767A" w:rsidR="00557E11">
        <w:t xml:space="preserve"> </w:t>
      </w:r>
      <w:r w:rsidRPr="007F767A" w:rsidR="00B75FC2">
        <w:t>June 2005. The operation w</w:t>
      </w:r>
      <w:r w:rsidRPr="007F767A" w:rsidR="00E51811">
        <w:t xml:space="preserve">as also supported from the air. </w:t>
      </w:r>
      <w:r w:rsidRPr="007F767A" w:rsidR="00E56868">
        <w:t>At around 5 p.m. o</w:t>
      </w:r>
      <w:r w:rsidRPr="007F767A" w:rsidR="00B75FC2">
        <w:t>n 17</w:t>
      </w:r>
      <w:r w:rsidRPr="007F767A" w:rsidR="00E51811">
        <w:t> </w:t>
      </w:r>
      <w:r w:rsidRPr="007F767A" w:rsidR="00B75FC2">
        <w:t xml:space="preserve">June 2005 the security forces conducting the operation came across a group of </w:t>
      </w:r>
      <w:r w:rsidRPr="007F767A" w:rsidR="00511971">
        <w:t>“</w:t>
      </w:r>
      <w:r w:rsidRPr="007F767A" w:rsidR="00B75FC2">
        <w:t>armed members of the organisation</w:t>
      </w:r>
      <w:r w:rsidRPr="007F767A" w:rsidR="00511971">
        <w:t>”</w:t>
      </w:r>
      <w:r w:rsidRPr="007F767A" w:rsidR="00B75FC2">
        <w:t xml:space="preserve"> and asked them to surrender. </w:t>
      </w:r>
      <w:r w:rsidRPr="007F767A" w:rsidR="00993964">
        <w:t xml:space="preserve">However, </w:t>
      </w:r>
      <w:r w:rsidRPr="007F767A" w:rsidR="00511971">
        <w:t>“</w:t>
      </w:r>
      <w:r w:rsidRPr="007F767A" w:rsidR="00B75FC2">
        <w:t>the members of the organisation</w:t>
      </w:r>
      <w:r w:rsidRPr="007F767A" w:rsidR="00511971">
        <w:t>”</w:t>
      </w:r>
      <w:r w:rsidRPr="007F767A" w:rsidR="00B75FC2">
        <w:t xml:space="preserve"> </w:t>
      </w:r>
      <w:r w:rsidRPr="007F767A" w:rsidR="006466ED">
        <w:t xml:space="preserve">responded with </w:t>
      </w:r>
      <w:r w:rsidRPr="007F767A" w:rsidR="00B75FC2">
        <w:t>fire</w:t>
      </w:r>
      <w:r w:rsidRPr="007F767A" w:rsidR="006466ED">
        <w:t xml:space="preserve"> and</w:t>
      </w:r>
      <w:r w:rsidRPr="007F767A" w:rsidR="00B75FC2">
        <w:t xml:space="preserve"> an armed clash </w:t>
      </w:r>
      <w:r w:rsidRPr="007F767A" w:rsidR="004D35D5">
        <w:t>ensued</w:t>
      </w:r>
      <w:r w:rsidRPr="007F767A" w:rsidR="00B75FC2">
        <w:t xml:space="preserve">. During the first fire opened by </w:t>
      </w:r>
      <w:r w:rsidRPr="007F767A" w:rsidR="00511971">
        <w:t>“</w:t>
      </w:r>
      <w:r w:rsidRPr="007F767A" w:rsidR="00B75FC2">
        <w:t>the terrorists</w:t>
      </w:r>
      <w:r w:rsidRPr="007F767A" w:rsidR="00511971">
        <w:t>”</w:t>
      </w:r>
      <w:r w:rsidRPr="007F767A" w:rsidR="00B75FC2">
        <w:t xml:space="preserve"> a soldier was injured on </w:t>
      </w:r>
      <w:r w:rsidRPr="007F767A" w:rsidR="00F94BF5">
        <w:t xml:space="preserve">the </w:t>
      </w:r>
      <w:r w:rsidRPr="007F767A" w:rsidR="00B75FC2">
        <w:t xml:space="preserve">upper leg and airlifted to </w:t>
      </w:r>
      <w:r w:rsidRPr="007F767A" w:rsidR="007041AA">
        <w:t>hospital by helicopter.</w:t>
      </w:r>
      <w:r w:rsidRPr="007F767A" w:rsidR="00B75FC2">
        <w:t xml:space="preserve"> </w:t>
      </w:r>
      <w:r w:rsidRPr="007F767A" w:rsidR="007041AA">
        <w:t>As the area was mountainous</w:t>
      </w:r>
      <w:r w:rsidRPr="007F767A" w:rsidR="004D35D5">
        <w:t xml:space="preserve"> with many caves</w:t>
      </w:r>
      <w:r w:rsidRPr="007F767A" w:rsidR="007041AA">
        <w:t xml:space="preserve"> and</w:t>
      </w:r>
      <w:r w:rsidRPr="007F767A" w:rsidR="004D35D5">
        <w:t xml:space="preserve"> </w:t>
      </w:r>
      <w:r w:rsidRPr="007F767A" w:rsidR="007041AA">
        <w:t xml:space="preserve">in some places covered with snow, and as the “members of the illegal organisation” refused to surrender and opened intense fire, the clashes continued until the following day. At around 10 a.m. the following </w:t>
      </w:r>
      <w:r w:rsidRPr="007F767A" w:rsidR="00F94BF5">
        <w:t>day</w:t>
      </w:r>
      <w:r w:rsidRPr="007F767A" w:rsidR="007041AA">
        <w:t xml:space="preserve"> the fire directed at the security forces stopped and </w:t>
      </w:r>
      <w:r w:rsidRPr="007F767A" w:rsidR="0073588F">
        <w:t xml:space="preserve">then </w:t>
      </w:r>
      <w:r w:rsidRPr="007F767A" w:rsidR="007041AA">
        <w:t>a search was conducted by members of the security forces</w:t>
      </w:r>
      <w:r w:rsidRPr="007F767A" w:rsidR="004D35D5">
        <w:t xml:space="preserve">. </w:t>
      </w:r>
      <w:r w:rsidRPr="007F767A" w:rsidR="00F94BF5">
        <w:t>The b</w:t>
      </w:r>
      <w:r w:rsidRPr="007F767A" w:rsidR="004D35D5">
        <w:t xml:space="preserve">odies of </w:t>
      </w:r>
      <w:r w:rsidRPr="007F767A" w:rsidR="0093039E">
        <w:t>fifteen</w:t>
      </w:r>
      <w:r w:rsidRPr="007F767A" w:rsidR="004D35D5">
        <w:t xml:space="preserve"> male and two female “terrorists” were recovered</w:t>
      </w:r>
      <w:r w:rsidRPr="007F767A" w:rsidR="00E83127">
        <w:t>.</w:t>
      </w:r>
      <w:r w:rsidRPr="007F767A" w:rsidR="00A65816">
        <w:t xml:space="preserve"> </w:t>
      </w:r>
      <w:r w:rsidRPr="007F767A" w:rsidR="007D2499">
        <w:t>“</w:t>
      </w:r>
      <w:r w:rsidRPr="007F767A" w:rsidR="00A65816">
        <w:t>As instructed by the public prosecutor</w:t>
      </w:r>
      <w:r w:rsidRPr="007F767A" w:rsidR="007D2499">
        <w:t>”</w:t>
      </w:r>
      <w:r w:rsidRPr="007F767A" w:rsidR="00A65816">
        <w:t>, t</w:t>
      </w:r>
      <w:r w:rsidRPr="007F767A" w:rsidR="00E83127">
        <w:t xml:space="preserve">he bodies and </w:t>
      </w:r>
      <w:r w:rsidRPr="007F767A" w:rsidR="00A65816">
        <w:t>weapons recovered in the area were then taken by helicopter to the</w:t>
      </w:r>
      <w:r w:rsidRPr="007F767A" w:rsidR="00275EB3">
        <w:t xml:space="preserve"> Ovacık District Gendarmerie Command.</w:t>
      </w:r>
    </w:p>
    <w:p w:rsidRPr="007F767A" w:rsidR="00DD277D" w:rsidP="007F767A" w:rsidRDefault="007F767A">
      <w:pPr>
        <w:pStyle w:val="ECHRPara"/>
      </w:pPr>
      <w:fldSimple w:instr=" SEQ level0 \*arabic ">
        <w:r w:rsidRPr="007F767A">
          <w:rPr>
            <w:noProof/>
          </w:rPr>
          <w:t>23</w:t>
        </w:r>
      </w:fldSimple>
      <w:r w:rsidRPr="007F767A" w:rsidR="00A65816">
        <w:t>.  </w:t>
      </w:r>
      <w:r w:rsidRPr="007F767A" w:rsidR="00275EB3">
        <w:t>According to the above-mentioned report, 13 automatic rifles (</w:t>
      </w:r>
      <w:r w:rsidRPr="007F767A" w:rsidR="00653E20">
        <w:t xml:space="preserve">one </w:t>
      </w:r>
      <w:r w:rsidRPr="007F767A" w:rsidR="00275EB3">
        <w:t xml:space="preserve">M16, </w:t>
      </w:r>
      <w:r w:rsidRPr="007F767A" w:rsidR="00653E20">
        <w:t xml:space="preserve">four </w:t>
      </w:r>
      <w:r w:rsidRPr="007F767A" w:rsidR="00275EB3">
        <w:t>G3</w:t>
      </w:r>
      <w:r w:rsidRPr="007F767A" w:rsidR="00653E20">
        <w:t>s</w:t>
      </w:r>
      <w:r w:rsidRPr="007F767A" w:rsidR="00275EB3">
        <w:t xml:space="preserve">, </w:t>
      </w:r>
      <w:r w:rsidRPr="007F767A" w:rsidR="00653E20">
        <w:t xml:space="preserve">seven </w:t>
      </w:r>
      <w:r w:rsidRPr="007F767A" w:rsidR="00275EB3">
        <w:t>Kalashnikov</w:t>
      </w:r>
      <w:r w:rsidRPr="007F767A" w:rsidR="00F91857">
        <w:t xml:space="preserve"> AK47s</w:t>
      </w:r>
      <w:r w:rsidRPr="007F767A" w:rsidR="00275EB3">
        <w:t xml:space="preserve"> and </w:t>
      </w:r>
      <w:r w:rsidRPr="007F767A" w:rsidR="00653E20">
        <w:t xml:space="preserve">one </w:t>
      </w:r>
      <w:r w:rsidRPr="007F767A" w:rsidR="00275EB3">
        <w:t>PKM)</w:t>
      </w:r>
      <w:r w:rsidRPr="007F767A" w:rsidR="00E82D90">
        <w:t>,</w:t>
      </w:r>
      <w:r w:rsidRPr="007F767A" w:rsidR="00275EB3">
        <w:t xml:space="preserve"> </w:t>
      </w:r>
      <w:r w:rsidRPr="007F767A" w:rsidR="002F22D5">
        <w:t>23</w:t>
      </w:r>
      <w:r w:rsidRPr="007F767A" w:rsidR="00275EB3">
        <w:t xml:space="preserve"> spent </w:t>
      </w:r>
      <w:r w:rsidRPr="007F767A" w:rsidR="001561A1">
        <w:t>cartridges</w:t>
      </w:r>
      <w:r w:rsidRPr="007F767A" w:rsidR="002F22D5">
        <w:t xml:space="preserve"> discharged from G3 rifles</w:t>
      </w:r>
      <w:r w:rsidRPr="007F767A" w:rsidR="00F94BF5">
        <w:t>,</w:t>
      </w:r>
      <w:r w:rsidRPr="007F767A" w:rsidR="002F22D5">
        <w:t xml:space="preserve"> and 45 spent </w:t>
      </w:r>
      <w:r w:rsidRPr="007F767A" w:rsidR="001561A1">
        <w:t>cartridges</w:t>
      </w:r>
      <w:r w:rsidRPr="007F767A" w:rsidR="002F22D5">
        <w:t xml:space="preserve"> discharged from Kalashnikov rifles</w:t>
      </w:r>
      <w:r w:rsidRPr="007F767A" w:rsidR="00E82D90">
        <w:t>,</w:t>
      </w:r>
      <w:r w:rsidRPr="007F767A" w:rsidR="00275EB3">
        <w:t xml:space="preserve"> </w:t>
      </w:r>
      <w:r w:rsidRPr="007F767A" w:rsidR="002F22D5">
        <w:t xml:space="preserve">44 </w:t>
      </w:r>
      <w:r w:rsidRPr="007F767A" w:rsidR="00275EB3">
        <w:t>bullets</w:t>
      </w:r>
      <w:r w:rsidRPr="007F767A" w:rsidR="002F22D5">
        <w:t xml:space="preserve"> for PKM</w:t>
      </w:r>
      <w:r w:rsidRPr="007F767A" w:rsidR="00913555">
        <w:t>-type</w:t>
      </w:r>
      <w:r w:rsidRPr="007F767A" w:rsidR="002F22D5">
        <w:t xml:space="preserve"> rifles, 19 bullets for G3</w:t>
      </w:r>
      <w:r w:rsidRPr="007F767A" w:rsidR="00517FF6">
        <w:noBreakHyphen/>
      </w:r>
      <w:r w:rsidRPr="007F767A" w:rsidR="00913555">
        <w:t>type</w:t>
      </w:r>
      <w:r w:rsidRPr="007F767A" w:rsidR="002F22D5">
        <w:t xml:space="preserve"> rifles, 76 </w:t>
      </w:r>
      <w:r w:rsidRPr="007F767A" w:rsidR="0012415F">
        <w:t xml:space="preserve">bullets for </w:t>
      </w:r>
      <w:r w:rsidRPr="007F767A" w:rsidR="002F22D5">
        <w:t>M16</w:t>
      </w:r>
      <w:r w:rsidRPr="007F767A" w:rsidR="00913555">
        <w:t>-type</w:t>
      </w:r>
      <w:r w:rsidRPr="007F767A" w:rsidR="002F22D5">
        <w:t xml:space="preserve"> rifles and 77 bullets for Kalashnikov</w:t>
      </w:r>
      <w:r w:rsidRPr="007F767A" w:rsidR="00913555">
        <w:t>-type rifles</w:t>
      </w:r>
      <w:r w:rsidRPr="007F767A" w:rsidR="00E82D90">
        <w:t>,</w:t>
      </w:r>
      <w:r w:rsidRPr="007F767A" w:rsidR="00275EB3">
        <w:t xml:space="preserve"> </w:t>
      </w:r>
      <w:r w:rsidRPr="007F767A" w:rsidR="002F22D5">
        <w:t xml:space="preserve">11 Kalashnikov </w:t>
      </w:r>
      <w:r w:rsidRPr="007F767A" w:rsidR="00913555">
        <w:t>magazines</w:t>
      </w:r>
      <w:r w:rsidRPr="007F767A" w:rsidR="002F22D5">
        <w:t xml:space="preserve">, 7 M16 </w:t>
      </w:r>
      <w:r w:rsidRPr="007F767A" w:rsidR="00913555">
        <w:t>magazines</w:t>
      </w:r>
      <w:r w:rsidRPr="007F767A" w:rsidR="002F22D5">
        <w:t xml:space="preserve"> and 12</w:t>
      </w:r>
      <w:r w:rsidRPr="007F767A" w:rsidR="00557E11">
        <w:t> </w:t>
      </w:r>
      <w:r w:rsidRPr="007F767A" w:rsidR="002F22D5">
        <w:t xml:space="preserve">G3 </w:t>
      </w:r>
      <w:r w:rsidRPr="007F767A" w:rsidR="00913555">
        <w:t>magazines</w:t>
      </w:r>
      <w:r w:rsidRPr="007F767A" w:rsidR="002F22D5">
        <w:t xml:space="preserve"> </w:t>
      </w:r>
      <w:r w:rsidRPr="007F767A" w:rsidR="00275EB3">
        <w:t xml:space="preserve">were recovered </w:t>
      </w:r>
      <w:r w:rsidRPr="007F767A" w:rsidR="00653E20">
        <w:t>together with the bodies</w:t>
      </w:r>
      <w:r w:rsidRPr="007F767A" w:rsidR="007D2499">
        <w:t>.</w:t>
      </w:r>
      <w:r w:rsidRPr="007F767A" w:rsidR="00845583">
        <w:t xml:space="preserve"> “Items which did not have evidential value”, includ</w:t>
      </w:r>
      <w:r w:rsidRPr="007F767A" w:rsidR="00F91857">
        <w:t>ing</w:t>
      </w:r>
      <w:r w:rsidRPr="007F767A" w:rsidR="00845583">
        <w:t xml:space="preserve"> four rucksacks, fifteen </w:t>
      </w:r>
      <w:r w:rsidRPr="007F767A" w:rsidR="00C902FB">
        <w:t>items</w:t>
      </w:r>
      <w:r w:rsidRPr="007F767A" w:rsidR="00845583">
        <w:t xml:space="preserve"> of male and two pieces of female clothing</w:t>
      </w:r>
      <w:r w:rsidRPr="007F767A" w:rsidR="0093039E">
        <w:t xml:space="preserve"> and</w:t>
      </w:r>
      <w:r w:rsidRPr="007F767A" w:rsidR="00845583">
        <w:t xml:space="preserve"> shoes were destroyed </w:t>
      </w:r>
      <w:r w:rsidRPr="007F767A" w:rsidR="00653E20">
        <w:t xml:space="preserve">in accordance with </w:t>
      </w:r>
      <w:r w:rsidRPr="007F767A" w:rsidR="0073588F">
        <w:t xml:space="preserve">“the </w:t>
      </w:r>
      <w:r w:rsidRPr="007F767A" w:rsidR="00845583">
        <w:t xml:space="preserve">instructions </w:t>
      </w:r>
      <w:r w:rsidRPr="007F767A" w:rsidR="00DD277D">
        <w:t xml:space="preserve">given by </w:t>
      </w:r>
      <w:r w:rsidRPr="007F767A" w:rsidR="0073588F">
        <w:t>the</w:t>
      </w:r>
      <w:r w:rsidRPr="007F767A" w:rsidR="00DD277D">
        <w:t xml:space="preserve"> p</w:t>
      </w:r>
      <w:r w:rsidRPr="007F767A" w:rsidR="00845583">
        <w:t>rosecutor</w:t>
      </w:r>
      <w:r w:rsidRPr="007F767A" w:rsidR="0073588F">
        <w:t>”</w:t>
      </w:r>
      <w:r w:rsidRPr="007F767A" w:rsidR="00845583">
        <w:t>.</w:t>
      </w:r>
    </w:p>
    <w:p w:rsidRPr="007F767A" w:rsidR="00A65816" w:rsidP="007F767A" w:rsidRDefault="007F767A">
      <w:pPr>
        <w:pStyle w:val="ECHRPara"/>
      </w:pPr>
      <w:fldSimple w:instr=" SEQ level0 \*arabic ">
        <w:r w:rsidRPr="007F767A">
          <w:rPr>
            <w:noProof/>
          </w:rPr>
          <w:t>24</w:t>
        </w:r>
      </w:fldSimple>
      <w:r w:rsidRPr="007F767A" w:rsidR="00DD277D">
        <w:t>.  </w:t>
      </w:r>
      <w:r w:rsidRPr="007F767A" w:rsidR="004D20BA">
        <w:t>Th</w:t>
      </w:r>
      <w:r w:rsidRPr="007F767A" w:rsidR="0093039E">
        <w:t xml:space="preserve">e </w:t>
      </w:r>
      <w:r w:rsidRPr="007F767A" w:rsidR="00DD277D">
        <w:t xml:space="preserve">report </w:t>
      </w:r>
      <w:r w:rsidRPr="007F767A" w:rsidR="0093039E">
        <w:t>summarised</w:t>
      </w:r>
      <w:r w:rsidRPr="007F767A" w:rsidR="004D20BA">
        <w:t xml:space="preserve"> </w:t>
      </w:r>
      <w:r w:rsidRPr="007F767A" w:rsidR="00DD277D">
        <w:t>in the preceding paragraphs</w:t>
      </w:r>
      <w:r w:rsidRPr="007F767A" w:rsidR="0076664F">
        <w:t>, together with</w:t>
      </w:r>
      <w:r w:rsidRPr="007F767A" w:rsidR="004D20BA">
        <w:t xml:space="preserve"> the weapons </w:t>
      </w:r>
      <w:r w:rsidRPr="007F767A" w:rsidR="00F91857">
        <w:t>and</w:t>
      </w:r>
      <w:r w:rsidRPr="007F767A" w:rsidR="00DD61FB">
        <w:t xml:space="preserve"> </w:t>
      </w:r>
      <w:r w:rsidRPr="007F767A" w:rsidR="00F91857">
        <w:t xml:space="preserve">ammunition </w:t>
      </w:r>
      <w:r w:rsidRPr="007F767A" w:rsidR="00DD277D">
        <w:t>mentioned therein</w:t>
      </w:r>
      <w:r w:rsidRPr="007F767A" w:rsidR="0076664F">
        <w:t>,</w:t>
      </w:r>
      <w:r w:rsidRPr="007F767A" w:rsidR="00DD277D">
        <w:t xml:space="preserve"> </w:t>
      </w:r>
      <w:r w:rsidRPr="007F767A" w:rsidR="004D20BA">
        <w:t xml:space="preserve">were </w:t>
      </w:r>
      <w:r w:rsidRPr="007F767A" w:rsidR="00193E47">
        <w:t>handed over</w:t>
      </w:r>
      <w:r w:rsidRPr="007F767A" w:rsidR="00F91857">
        <w:t xml:space="preserve"> </w:t>
      </w:r>
      <w:r w:rsidRPr="007F767A" w:rsidR="004D20BA">
        <w:t>to the Ovacık pros</w:t>
      </w:r>
      <w:r w:rsidRPr="007F767A" w:rsidR="005052D3">
        <w:t>ecutor</w:t>
      </w:r>
      <w:r w:rsidRPr="007F767A">
        <w:t>’</w:t>
      </w:r>
      <w:r w:rsidRPr="007F767A" w:rsidR="005052D3">
        <w:t xml:space="preserve">s office on 20 June 2005 </w:t>
      </w:r>
      <w:r w:rsidRPr="007F767A" w:rsidR="00DC637C">
        <w:rPr>
          <w:rFonts w:ascii="Times New Roman" w:hAnsi="Times New Roman" w:cs="Times New Roman"/>
          <w:szCs w:val="24"/>
        </w:rPr>
        <w:t xml:space="preserve">together with a number of </w:t>
      </w:r>
      <w:r w:rsidRPr="007F767A" w:rsidR="0076664F">
        <w:rPr>
          <w:rFonts w:ascii="Times New Roman" w:hAnsi="Times New Roman" w:cs="Times New Roman"/>
          <w:szCs w:val="24"/>
        </w:rPr>
        <w:t xml:space="preserve">other </w:t>
      </w:r>
      <w:r w:rsidRPr="007F767A" w:rsidR="00DC637C">
        <w:rPr>
          <w:rFonts w:ascii="Times New Roman" w:hAnsi="Times New Roman" w:cs="Times New Roman"/>
          <w:szCs w:val="24"/>
        </w:rPr>
        <w:t>documents.</w:t>
      </w:r>
      <w:r w:rsidRPr="007F767A" w:rsidR="00A51BDE">
        <w:rPr>
          <w:rFonts w:ascii="Times New Roman" w:hAnsi="Times New Roman" w:cs="Times New Roman"/>
          <w:szCs w:val="24"/>
        </w:rPr>
        <w:t xml:space="preserve"> </w:t>
      </w:r>
      <w:r w:rsidRPr="007F767A" w:rsidR="00DC637C">
        <w:rPr>
          <w:rFonts w:ascii="Times New Roman" w:hAnsi="Times New Roman" w:cs="Times New Roman"/>
          <w:szCs w:val="24"/>
        </w:rPr>
        <w:t xml:space="preserve">According to one of those documents which, in effect, is a list of the documents forwarded to the prosecutor by the military, </w:t>
      </w:r>
      <w:r w:rsidRPr="007F767A" w:rsidR="00193E47">
        <w:rPr>
          <w:rFonts w:ascii="Times New Roman" w:hAnsi="Times New Roman" w:cs="Times New Roman"/>
          <w:szCs w:val="24"/>
        </w:rPr>
        <w:t>two</w:t>
      </w:r>
      <w:r w:rsidRPr="007F767A" w:rsidR="00DC637C">
        <w:rPr>
          <w:rFonts w:ascii="Times New Roman" w:hAnsi="Times New Roman" w:cs="Times New Roman"/>
          <w:szCs w:val="24"/>
        </w:rPr>
        <w:t xml:space="preserve"> of the documents handed over to the prosecutor w</w:t>
      </w:r>
      <w:r w:rsidRPr="007F767A" w:rsidR="00F94BF5">
        <w:rPr>
          <w:rFonts w:ascii="Times New Roman" w:hAnsi="Times New Roman" w:cs="Times New Roman"/>
          <w:szCs w:val="24"/>
        </w:rPr>
        <w:t>ere</w:t>
      </w:r>
      <w:r w:rsidRPr="007F767A" w:rsidR="00DC637C">
        <w:rPr>
          <w:rFonts w:ascii="Times New Roman" w:hAnsi="Times New Roman" w:cs="Times New Roman"/>
          <w:szCs w:val="24"/>
        </w:rPr>
        <w:t xml:space="preserve"> a twelve-page military order, drawn up on 15 June 2005, for the carrying out of the operation and a sketch of the operation area. Those two documents were not made available to the Court.</w:t>
      </w:r>
    </w:p>
    <w:p w:rsidRPr="007F767A" w:rsidR="008B0F1C" w:rsidP="007F767A" w:rsidRDefault="007F767A">
      <w:pPr>
        <w:pStyle w:val="ECHRPara"/>
      </w:pPr>
      <w:fldSimple w:instr=" SEQ level0 \*arabic ">
        <w:r w:rsidRPr="007F767A">
          <w:rPr>
            <w:noProof/>
          </w:rPr>
          <w:t>25</w:t>
        </w:r>
      </w:fldSimple>
      <w:r w:rsidRPr="007F767A" w:rsidR="0076664F">
        <w:t>.  </w:t>
      </w:r>
      <w:r w:rsidRPr="007F767A" w:rsidR="00F87962">
        <w:t>A</w:t>
      </w:r>
      <w:r w:rsidRPr="007F767A" w:rsidR="00143A55">
        <w:t xml:space="preserve">nother military report was </w:t>
      </w:r>
      <w:r w:rsidRPr="007F767A" w:rsidR="00EE729E">
        <w:t>drawn up</w:t>
      </w:r>
      <w:r w:rsidRPr="007F767A" w:rsidR="00143A55">
        <w:t xml:space="preserve"> </w:t>
      </w:r>
      <w:r w:rsidRPr="007F767A" w:rsidR="00F87962">
        <w:t xml:space="preserve">on 18 June 2005 </w:t>
      </w:r>
      <w:r w:rsidRPr="007F767A" w:rsidR="00EE729E">
        <w:t xml:space="preserve">by </w:t>
      </w:r>
      <w:r w:rsidRPr="007F767A" w:rsidR="00664421">
        <w:t xml:space="preserve">the officer in charge of </w:t>
      </w:r>
      <w:r w:rsidRPr="007F767A" w:rsidR="00F87962">
        <w:t>the District Gendarmerie Command of the neighbouring town of Kemah</w:t>
      </w:r>
      <w:r w:rsidRPr="007F767A" w:rsidR="00F94BF5">
        <w:t>,</w:t>
      </w:r>
      <w:r w:rsidRPr="007F767A" w:rsidR="00664421">
        <w:t xml:space="preserve"> and eleven gendarmes</w:t>
      </w:r>
      <w:r w:rsidRPr="007F767A" w:rsidR="00F87962">
        <w:t xml:space="preserve"> who </w:t>
      </w:r>
      <w:r w:rsidRPr="007F767A" w:rsidR="00EE729E">
        <w:t>had taken an active part in the operation</w:t>
      </w:r>
      <w:r w:rsidRPr="007F767A" w:rsidR="006E62E2">
        <w:t xml:space="preserve"> (hereafter the “Kemah report”)</w:t>
      </w:r>
      <w:r w:rsidRPr="007F767A" w:rsidR="008B0F1C">
        <w:t xml:space="preserve">. </w:t>
      </w:r>
      <w:r w:rsidRPr="007F767A" w:rsidR="00C328F4">
        <w:t xml:space="preserve">The report states that “outlawed terrorist organisations had set </w:t>
      </w:r>
      <w:r w:rsidRPr="007F767A" w:rsidR="00F94BF5">
        <w:t xml:space="preserve">up </w:t>
      </w:r>
      <w:r w:rsidRPr="007F767A" w:rsidR="00C328F4">
        <w:t xml:space="preserve">camp” in the area and that its members had been travelling between Erzincan city centre and Sarıyazı village. There was evidence and information showing that members of the terrorist organisation were in contact with three men from Sarıyazı village who were providing them with assistance. </w:t>
      </w:r>
      <w:r w:rsidRPr="007F767A" w:rsidR="00AB10FE">
        <w:t>A</w:t>
      </w:r>
      <w:r w:rsidRPr="007F767A" w:rsidR="00C328F4">
        <w:t xml:space="preserve">t 8 a.m. on </w:t>
      </w:r>
      <w:r w:rsidRPr="007F767A" w:rsidR="006A28BF">
        <w:t>17 June 2005</w:t>
      </w:r>
      <w:r w:rsidRPr="007F767A" w:rsidR="00F87962">
        <w:t xml:space="preserve"> </w:t>
      </w:r>
      <w:r w:rsidRPr="007F767A" w:rsidR="00411F63">
        <w:t xml:space="preserve">two of </w:t>
      </w:r>
      <w:r w:rsidRPr="007F767A" w:rsidR="00C328F4">
        <w:t xml:space="preserve">the </w:t>
      </w:r>
      <w:r w:rsidRPr="007F767A" w:rsidR="00F87962">
        <w:t xml:space="preserve">three </w:t>
      </w:r>
      <w:r w:rsidRPr="007F767A" w:rsidR="00EE729E">
        <w:t>men</w:t>
      </w:r>
      <w:r w:rsidRPr="007F767A" w:rsidR="00F87962">
        <w:t xml:space="preserve"> </w:t>
      </w:r>
      <w:r w:rsidRPr="007F767A" w:rsidR="00AB10FE">
        <w:t xml:space="preserve">in question </w:t>
      </w:r>
      <w:r w:rsidRPr="007F767A" w:rsidR="008B0F1C">
        <w:t>were</w:t>
      </w:r>
      <w:r w:rsidRPr="007F767A" w:rsidR="00EE729E">
        <w:t xml:space="preserve"> apprehended</w:t>
      </w:r>
      <w:r w:rsidRPr="007F767A" w:rsidR="00F87962">
        <w:t xml:space="preserve"> and questioned</w:t>
      </w:r>
      <w:r w:rsidRPr="007F767A" w:rsidR="006A28BF">
        <w:t xml:space="preserve"> by the soldiers</w:t>
      </w:r>
      <w:r w:rsidRPr="007F767A" w:rsidR="00EE729E">
        <w:t>.</w:t>
      </w:r>
      <w:r w:rsidRPr="007F767A" w:rsidR="00F87962">
        <w:t xml:space="preserve"> When </w:t>
      </w:r>
      <w:r w:rsidRPr="007F767A" w:rsidR="00367F7B">
        <w:t>the</w:t>
      </w:r>
      <w:r w:rsidRPr="007F767A" w:rsidR="00411F63">
        <w:t>y</w:t>
      </w:r>
      <w:r w:rsidRPr="007F767A" w:rsidR="006A1DCA">
        <w:t xml:space="preserve"> </w:t>
      </w:r>
      <w:r w:rsidRPr="007F767A" w:rsidR="00F87962">
        <w:t xml:space="preserve">denied the allegations against them, the </w:t>
      </w:r>
      <w:r w:rsidRPr="007F767A" w:rsidR="006A28BF">
        <w:t>soldiers</w:t>
      </w:r>
      <w:r w:rsidRPr="007F767A" w:rsidR="00F87962">
        <w:t xml:space="preserve"> told them that </w:t>
      </w:r>
      <w:r w:rsidRPr="007F767A" w:rsidR="00367F7B">
        <w:t>the mobile telephone belonging to Ali Rıza Sabur – one of the applicants</w:t>
      </w:r>
      <w:r w:rsidRPr="007F767A">
        <w:t>’</w:t>
      </w:r>
      <w:r w:rsidRPr="007F767A" w:rsidR="00367F7B">
        <w:t xml:space="preserve"> </w:t>
      </w:r>
      <w:r w:rsidRPr="007F767A" w:rsidR="00DD61FB">
        <w:t xml:space="preserve">deceased </w:t>
      </w:r>
      <w:r w:rsidRPr="007F767A" w:rsidR="00367F7B">
        <w:t>relative</w:t>
      </w:r>
      <w:r w:rsidRPr="007F767A" w:rsidR="00DD61FB">
        <w:t>s</w:t>
      </w:r>
      <w:r w:rsidRPr="007F767A" w:rsidR="00367F7B">
        <w:t xml:space="preserve"> – </w:t>
      </w:r>
      <w:r w:rsidRPr="007F767A" w:rsidR="00411F63">
        <w:t xml:space="preserve">was being intercepted </w:t>
      </w:r>
      <w:r w:rsidRPr="007F767A" w:rsidR="00367F7B">
        <w:t xml:space="preserve">and </w:t>
      </w:r>
      <w:r w:rsidRPr="007F767A" w:rsidR="006A28BF">
        <w:t xml:space="preserve">that </w:t>
      </w:r>
      <w:r w:rsidRPr="007F767A" w:rsidR="00367F7B">
        <w:t>the</w:t>
      </w:r>
      <w:r w:rsidRPr="007F767A" w:rsidR="00411F63">
        <w:t xml:space="preserve"> security forces</w:t>
      </w:r>
      <w:r w:rsidRPr="007F767A" w:rsidR="00367F7B">
        <w:t xml:space="preserve"> were therefore aware that they had been in contact with members of the illegal organisation who had arrived in the area recently. </w:t>
      </w:r>
      <w:r w:rsidRPr="007F767A" w:rsidR="006A1DCA">
        <w:t>O</w:t>
      </w:r>
      <w:r w:rsidRPr="007F767A" w:rsidR="00EE729E">
        <w:t>ne of the t</w:t>
      </w:r>
      <w:r w:rsidRPr="007F767A" w:rsidR="00411F63">
        <w:t>wo</w:t>
      </w:r>
      <w:r w:rsidRPr="007F767A" w:rsidR="00EE729E">
        <w:t xml:space="preserve"> men </w:t>
      </w:r>
      <w:r w:rsidRPr="007F767A" w:rsidR="008B0F1C">
        <w:t xml:space="preserve">then </w:t>
      </w:r>
      <w:r w:rsidRPr="007F767A" w:rsidR="00EE729E">
        <w:t xml:space="preserve">told the soldiers that </w:t>
      </w:r>
      <w:r w:rsidRPr="007F767A" w:rsidR="00367F7B">
        <w:t xml:space="preserve">he had seen a number of armed men in the area and that he had subsequently helped them by supplying them with food and transport and </w:t>
      </w:r>
      <w:r w:rsidRPr="007F767A" w:rsidR="006A1DCA">
        <w:t xml:space="preserve">by </w:t>
      </w:r>
      <w:r w:rsidRPr="007F767A" w:rsidR="00367F7B">
        <w:t>providing guidance about the</w:t>
      </w:r>
      <w:r w:rsidRPr="007F767A" w:rsidR="00AB10FE">
        <w:t xml:space="preserve"> local</w:t>
      </w:r>
      <w:r w:rsidRPr="007F767A" w:rsidR="00367F7B">
        <w:t xml:space="preserve"> area. The man </w:t>
      </w:r>
      <w:r w:rsidRPr="007F767A" w:rsidR="008B0F1C">
        <w:t xml:space="preserve">informed </w:t>
      </w:r>
      <w:r w:rsidRPr="007F767A" w:rsidR="00367F7B">
        <w:t xml:space="preserve">the gendarmes that the last </w:t>
      </w:r>
      <w:r w:rsidRPr="007F767A" w:rsidR="00F94BF5">
        <w:t xml:space="preserve">time </w:t>
      </w:r>
      <w:r w:rsidRPr="007F767A" w:rsidR="00367F7B">
        <w:t xml:space="preserve">he had seen the armed </w:t>
      </w:r>
      <w:r w:rsidRPr="007F767A" w:rsidR="00F94BF5">
        <w:t>men</w:t>
      </w:r>
      <w:r w:rsidRPr="007F767A" w:rsidR="00367F7B">
        <w:t xml:space="preserve"> had been that very morning and that</w:t>
      </w:r>
      <w:r w:rsidRPr="007F767A" w:rsidR="006A1DCA">
        <w:t>,</w:t>
      </w:r>
      <w:r w:rsidRPr="007F767A" w:rsidR="00367F7B">
        <w:t xml:space="preserve"> given that </w:t>
      </w:r>
      <w:r w:rsidRPr="007F767A" w:rsidR="00EE729E">
        <w:t xml:space="preserve">three of the </w:t>
      </w:r>
      <w:r w:rsidRPr="007F767A" w:rsidR="00367F7B">
        <w:t xml:space="preserve">armed </w:t>
      </w:r>
      <w:r w:rsidRPr="007F767A" w:rsidR="00F94BF5">
        <w:t>men</w:t>
      </w:r>
      <w:r w:rsidRPr="007F767A" w:rsidR="00EE729E">
        <w:t xml:space="preserve"> </w:t>
      </w:r>
      <w:r w:rsidRPr="007F767A" w:rsidR="00C902FB">
        <w:t>were</w:t>
      </w:r>
      <w:r w:rsidRPr="007F767A" w:rsidR="00EE729E">
        <w:t xml:space="preserve"> “limping”</w:t>
      </w:r>
      <w:r w:rsidRPr="007F767A" w:rsidR="008B0F1C">
        <w:t xml:space="preserve"> and thus walking slowly</w:t>
      </w:r>
      <w:r w:rsidRPr="007F767A" w:rsidR="006A1DCA">
        <w:t>,</w:t>
      </w:r>
      <w:r w:rsidRPr="007F767A" w:rsidR="00EE729E">
        <w:t xml:space="preserve"> </w:t>
      </w:r>
      <w:r w:rsidRPr="007F767A" w:rsidR="00367F7B">
        <w:t xml:space="preserve">they were probably at </w:t>
      </w:r>
      <w:r w:rsidRPr="007F767A" w:rsidR="00EE729E">
        <w:t xml:space="preserve">a location </w:t>
      </w:r>
      <w:r w:rsidRPr="007F767A" w:rsidR="00E82D90">
        <w:t>at</w:t>
      </w:r>
      <w:r w:rsidRPr="007F767A" w:rsidR="006A1DCA">
        <w:t xml:space="preserve"> </w:t>
      </w:r>
      <w:r w:rsidRPr="007F767A" w:rsidR="00EE729E">
        <w:t>approximately one</w:t>
      </w:r>
      <w:r w:rsidRPr="007F767A" w:rsidR="00F94BF5">
        <w:t xml:space="preserve"> </w:t>
      </w:r>
      <w:r w:rsidRPr="007F767A" w:rsidR="00EE729E">
        <w:t>hour</w:t>
      </w:r>
      <w:r w:rsidRPr="007F767A">
        <w:t>’</w:t>
      </w:r>
      <w:r w:rsidRPr="007F767A" w:rsidR="00F94BF5">
        <w:t>s</w:t>
      </w:r>
      <w:r w:rsidRPr="007F767A" w:rsidR="00EE729E">
        <w:t xml:space="preserve"> walking distance away.</w:t>
      </w:r>
    </w:p>
    <w:p w:rsidRPr="007F767A" w:rsidR="00EE729E" w:rsidP="007F767A" w:rsidRDefault="007F767A">
      <w:pPr>
        <w:pStyle w:val="ECHRPara"/>
      </w:pPr>
      <w:fldSimple w:instr=" SEQ level0 \*arabic ">
        <w:r w:rsidRPr="007F767A">
          <w:rPr>
            <w:noProof/>
          </w:rPr>
          <w:t>26</w:t>
        </w:r>
      </w:fldSimple>
      <w:r w:rsidRPr="007F767A" w:rsidR="008B0F1C">
        <w:t>.  </w:t>
      </w:r>
      <w:r w:rsidRPr="007F767A" w:rsidR="00FA31D1">
        <w:t>According to the above-mentioned</w:t>
      </w:r>
      <w:r w:rsidRPr="007F767A" w:rsidR="002D21C5">
        <w:t xml:space="preserve"> Kemah report</w:t>
      </w:r>
      <w:r w:rsidRPr="007F767A" w:rsidR="00FA31D1">
        <w:t>,</w:t>
      </w:r>
      <w:r w:rsidRPr="007F767A" w:rsidR="002D21C5">
        <w:t xml:space="preserve"> t</w:t>
      </w:r>
      <w:r w:rsidRPr="007F767A" w:rsidR="000D0C90">
        <w:t xml:space="preserve">he soldiers then </w:t>
      </w:r>
      <w:r w:rsidRPr="007F767A" w:rsidR="00471BC1">
        <w:t xml:space="preserve">asked for </w:t>
      </w:r>
      <w:r w:rsidRPr="007F767A" w:rsidR="000D0C90">
        <w:t xml:space="preserve">a military helicopter and went to that area with the man to </w:t>
      </w:r>
      <w:r w:rsidRPr="007F767A" w:rsidR="00EE729E">
        <w:t xml:space="preserve">look for the </w:t>
      </w:r>
      <w:r w:rsidRPr="007F767A" w:rsidR="000D0C90">
        <w:t>applicants</w:t>
      </w:r>
      <w:r w:rsidRPr="007F767A">
        <w:t>’</w:t>
      </w:r>
      <w:r w:rsidRPr="007F767A" w:rsidR="000D0C90">
        <w:t xml:space="preserve"> relatives.</w:t>
      </w:r>
      <w:r w:rsidRPr="007F767A" w:rsidR="00EE729E">
        <w:t xml:space="preserve"> </w:t>
      </w:r>
      <w:r w:rsidRPr="007F767A" w:rsidR="009F119D">
        <w:t xml:space="preserve">The armed </w:t>
      </w:r>
      <w:r w:rsidRPr="007F767A" w:rsidR="00471BC1">
        <w:t>men</w:t>
      </w:r>
      <w:r w:rsidRPr="007F767A" w:rsidR="009F119D">
        <w:t xml:space="preserve"> </w:t>
      </w:r>
      <w:r w:rsidRPr="007F767A" w:rsidR="008B0F1C">
        <w:t>were</w:t>
      </w:r>
      <w:r w:rsidRPr="007F767A" w:rsidR="009F119D">
        <w:t xml:space="preserve"> spotted in a river bed </w:t>
      </w:r>
      <w:r w:rsidRPr="007F767A" w:rsidR="00E82D90">
        <w:t>from</w:t>
      </w:r>
      <w:r w:rsidRPr="007F767A" w:rsidR="009F119D">
        <w:t xml:space="preserve"> </w:t>
      </w:r>
      <w:r w:rsidRPr="007F767A" w:rsidR="009C36BA">
        <w:t xml:space="preserve">armed </w:t>
      </w:r>
      <w:r w:rsidRPr="007F767A" w:rsidR="00EE729E">
        <w:t>Cobra-type military helicopters</w:t>
      </w:r>
      <w:r w:rsidRPr="007F767A" w:rsidR="009F119D">
        <w:t xml:space="preserve"> at 11</w:t>
      </w:r>
      <w:r w:rsidRPr="007F767A" w:rsidR="00557E11">
        <w:t> </w:t>
      </w:r>
      <w:r w:rsidRPr="007F767A" w:rsidR="009F119D">
        <w:t>a.m.</w:t>
      </w:r>
      <w:r w:rsidRPr="007F767A" w:rsidR="00EE729E">
        <w:t xml:space="preserve"> </w:t>
      </w:r>
      <w:r w:rsidRPr="007F767A" w:rsidR="009F119D">
        <w:t>When</w:t>
      </w:r>
      <w:r w:rsidRPr="007F767A" w:rsidR="00EE729E">
        <w:t xml:space="preserve"> one of the </w:t>
      </w:r>
      <w:r w:rsidRPr="007F767A" w:rsidR="009F119D">
        <w:t xml:space="preserve">armed </w:t>
      </w:r>
      <w:r w:rsidRPr="007F767A" w:rsidR="00471BC1">
        <w:t>men</w:t>
      </w:r>
      <w:r w:rsidRPr="007F767A" w:rsidR="009F119D">
        <w:t xml:space="preserve"> </w:t>
      </w:r>
      <w:r w:rsidRPr="007F767A" w:rsidR="00EE729E">
        <w:t xml:space="preserve">noticed the </w:t>
      </w:r>
      <w:r w:rsidRPr="007F767A" w:rsidR="00411F63">
        <w:t>helicopter</w:t>
      </w:r>
      <w:r w:rsidRPr="007F767A" w:rsidR="008B0F1C">
        <w:t>,</w:t>
      </w:r>
      <w:r w:rsidRPr="007F767A" w:rsidR="009F119D">
        <w:t xml:space="preserve"> he </w:t>
      </w:r>
      <w:r w:rsidRPr="007F767A" w:rsidR="00EE729E">
        <w:t>opened fire</w:t>
      </w:r>
      <w:r w:rsidRPr="007F767A" w:rsidR="009F119D">
        <w:t xml:space="preserve"> and an armed clash ensued during which n</w:t>
      </w:r>
      <w:r w:rsidRPr="007F767A" w:rsidR="00EE729E">
        <w:t xml:space="preserve">ine of the </w:t>
      </w:r>
      <w:r w:rsidRPr="007F767A" w:rsidR="009F119D">
        <w:t xml:space="preserve">armed </w:t>
      </w:r>
      <w:r w:rsidRPr="007F767A" w:rsidR="00471BC1">
        <w:t>men</w:t>
      </w:r>
      <w:r w:rsidRPr="007F767A" w:rsidR="00EE729E">
        <w:t xml:space="preserve"> were killed. </w:t>
      </w:r>
      <w:r w:rsidRPr="007F767A" w:rsidR="008B0F1C">
        <w:t>A</w:t>
      </w:r>
      <w:r w:rsidRPr="007F767A" w:rsidR="00557E11">
        <w:t>t 4.30 </w:t>
      </w:r>
      <w:r w:rsidRPr="007F767A" w:rsidR="00EE729E">
        <w:t xml:space="preserve">p.m. the same day </w:t>
      </w:r>
      <w:r w:rsidRPr="007F767A" w:rsidR="008B0F1C">
        <w:t>a number of</w:t>
      </w:r>
      <w:r w:rsidRPr="007F767A" w:rsidR="00EE729E">
        <w:t xml:space="preserve"> soldiers</w:t>
      </w:r>
      <w:r w:rsidRPr="007F767A" w:rsidR="008B0F1C">
        <w:t xml:space="preserve"> </w:t>
      </w:r>
      <w:r w:rsidRPr="007F767A" w:rsidR="00EE729E">
        <w:t>taking security measures in the area</w:t>
      </w:r>
      <w:r w:rsidRPr="007F767A" w:rsidR="008B0F1C">
        <w:t xml:space="preserve"> </w:t>
      </w:r>
      <w:r w:rsidRPr="007F767A" w:rsidR="00EE729E">
        <w:t>came under intense fire</w:t>
      </w:r>
      <w:r w:rsidRPr="007F767A" w:rsidR="009778DE">
        <w:t xml:space="preserve"> </w:t>
      </w:r>
      <w:r w:rsidRPr="007F767A" w:rsidR="006A28BF">
        <w:t xml:space="preserve">as a result of which </w:t>
      </w:r>
      <w:r w:rsidRPr="007F767A" w:rsidR="009778DE">
        <w:t>a</w:t>
      </w:r>
      <w:r w:rsidRPr="007F767A" w:rsidR="00EE729E">
        <w:t>nother armed clash</w:t>
      </w:r>
      <w:r w:rsidRPr="007F767A" w:rsidR="009778DE">
        <w:t xml:space="preserve"> </w:t>
      </w:r>
      <w:r w:rsidRPr="007F767A" w:rsidR="006A28BF">
        <w:t xml:space="preserve">ensued and </w:t>
      </w:r>
      <w:r w:rsidRPr="007F767A" w:rsidR="00517FF6">
        <w:t>continued until 9 </w:t>
      </w:r>
      <w:r w:rsidRPr="007F767A" w:rsidR="00EE729E">
        <w:t xml:space="preserve">a.m. </w:t>
      </w:r>
      <w:r w:rsidRPr="007F767A" w:rsidR="009F119D">
        <w:t>the following morning,</w:t>
      </w:r>
      <w:r w:rsidRPr="007F767A" w:rsidR="008F2594">
        <w:t xml:space="preserve"> </w:t>
      </w:r>
      <w:r w:rsidRPr="007F767A" w:rsidR="009F119D">
        <w:t>that is</w:t>
      </w:r>
      <w:r w:rsidRPr="007F767A" w:rsidR="00EE729E">
        <w:t xml:space="preserve"> 18 June 2005. A</w:t>
      </w:r>
      <w:r w:rsidRPr="007F767A" w:rsidR="00AB10FE">
        <w:t>fter the operations ended</w:t>
      </w:r>
      <w:r w:rsidRPr="007F767A" w:rsidR="00EE729E">
        <w:t xml:space="preserve"> </w:t>
      </w:r>
      <w:r w:rsidRPr="007F767A" w:rsidR="00471BC1">
        <w:t xml:space="preserve">the </w:t>
      </w:r>
      <w:r w:rsidRPr="007F767A" w:rsidR="00EE729E">
        <w:t>bodies of eight</w:t>
      </w:r>
      <w:r w:rsidRPr="007F767A" w:rsidR="008B0F1C">
        <w:t xml:space="preserve"> more</w:t>
      </w:r>
      <w:r w:rsidRPr="007F767A" w:rsidR="00EE729E">
        <w:t xml:space="preserve"> </w:t>
      </w:r>
      <w:r w:rsidRPr="007F767A" w:rsidR="00471BC1">
        <w:t>people</w:t>
      </w:r>
      <w:r w:rsidRPr="007F767A" w:rsidR="00C902FB">
        <w:t xml:space="preserve"> </w:t>
      </w:r>
      <w:r w:rsidRPr="007F767A" w:rsidR="00EE729E">
        <w:t>– two of whom were female – were recovered together with their weapons.</w:t>
      </w:r>
      <w:r w:rsidRPr="007F767A" w:rsidR="009A72F3">
        <w:t xml:space="preserve"> One of the three men</w:t>
      </w:r>
      <w:r w:rsidRPr="007F767A" w:rsidR="008B0F1C">
        <w:t>,</w:t>
      </w:r>
      <w:r w:rsidRPr="007F767A" w:rsidR="009A72F3">
        <w:t xml:space="preserve"> who had been apprehended the previous morning</w:t>
      </w:r>
      <w:r w:rsidRPr="007F767A" w:rsidR="00AB10FE">
        <w:t xml:space="preserve"> and </w:t>
      </w:r>
      <w:r w:rsidRPr="007F767A" w:rsidR="00471BC1">
        <w:t xml:space="preserve">had </w:t>
      </w:r>
      <w:r w:rsidRPr="007F767A" w:rsidR="00AB10FE">
        <w:t>assisted the soldiers in locating the applicants</w:t>
      </w:r>
      <w:r w:rsidRPr="007F767A">
        <w:t>’</w:t>
      </w:r>
      <w:r w:rsidRPr="007F767A" w:rsidR="00AB10FE">
        <w:t xml:space="preserve"> relatives</w:t>
      </w:r>
      <w:r w:rsidRPr="007F767A" w:rsidR="008B0F1C">
        <w:t>,</w:t>
      </w:r>
      <w:r w:rsidRPr="007F767A" w:rsidR="009A72F3">
        <w:t xml:space="preserve"> was with the soldiers</w:t>
      </w:r>
      <w:r w:rsidRPr="007F767A" w:rsidR="002364B5">
        <w:t xml:space="preserve"> at that </w:t>
      </w:r>
      <w:r w:rsidRPr="007F767A" w:rsidR="00471BC1">
        <w:t>time</w:t>
      </w:r>
      <w:r w:rsidRPr="007F767A" w:rsidR="009A72F3">
        <w:t xml:space="preserve"> and identified </w:t>
      </w:r>
      <w:r w:rsidRPr="007F767A" w:rsidR="00AB10FE">
        <w:t xml:space="preserve">the </w:t>
      </w:r>
      <w:r w:rsidRPr="007F767A" w:rsidR="009A72F3">
        <w:t xml:space="preserve">bodies as </w:t>
      </w:r>
      <w:r w:rsidRPr="007F767A" w:rsidR="002364B5">
        <w:t xml:space="preserve">the persons </w:t>
      </w:r>
      <w:r w:rsidRPr="007F767A" w:rsidR="008B0F1C">
        <w:t xml:space="preserve">whom </w:t>
      </w:r>
      <w:r w:rsidRPr="007F767A" w:rsidR="009A72F3">
        <w:t>he and his two friends had helped</w:t>
      </w:r>
      <w:r w:rsidRPr="007F767A" w:rsidR="00303B63">
        <w:t xml:space="preserve"> after their arrival in the area.</w:t>
      </w:r>
      <w:r w:rsidRPr="007F767A" w:rsidR="00A453A8">
        <w:t xml:space="preserve"> </w:t>
      </w:r>
      <w:r w:rsidRPr="007F767A" w:rsidR="00303B63">
        <w:t xml:space="preserve">The report further states that the incident </w:t>
      </w:r>
      <w:r w:rsidRPr="007F767A" w:rsidR="009C36BA">
        <w:t xml:space="preserve">took place on the border between the Ovacık and Kemah districts. </w:t>
      </w:r>
      <w:r w:rsidRPr="007F767A" w:rsidR="00EE729E">
        <w:t xml:space="preserve">The </w:t>
      </w:r>
      <w:r w:rsidRPr="007F767A" w:rsidR="009C36BA">
        <w:t xml:space="preserve">Ovacık </w:t>
      </w:r>
      <w:r w:rsidRPr="007F767A" w:rsidR="00EE729E">
        <w:t xml:space="preserve">prosecutor was </w:t>
      </w:r>
      <w:r w:rsidRPr="007F767A" w:rsidR="009C36BA">
        <w:t xml:space="preserve">then </w:t>
      </w:r>
      <w:r w:rsidRPr="007F767A" w:rsidR="00EE729E">
        <w:t>informed about the operation</w:t>
      </w:r>
      <w:r w:rsidRPr="007F767A" w:rsidR="009C36BA">
        <w:t xml:space="preserve"> and </w:t>
      </w:r>
      <w:r w:rsidRPr="007F767A" w:rsidR="00106BA3">
        <w:t>instructed the soldiers to take the bodies of the seventeen and their belongings to the town of Ovacık.</w:t>
      </w:r>
    </w:p>
    <w:p w:rsidRPr="007F767A" w:rsidR="009761E1" w:rsidP="007F767A" w:rsidRDefault="007F767A">
      <w:pPr>
        <w:pStyle w:val="ECHRPara"/>
      </w:pPr>
      <w:fldSimple w:instr=" SEQ level0 \*arabic ">
        <w:r w:rsidRPr="007F767A">
          <w:rPr>
            <w:noProof/>
          </w:rPr>
          <w:t>27</w:t>
        </w:r>
      </w:fldSimple>
      <w:r w:rsidRPr="007F767A" w:rsidR="00A453A8">
        <w:t>.  </w:t>
      </w:r>
      <w:r w:rsidRPr="007F767A" w:rsidR="009761E1">
        <w:t>On 18 June 2005 a press release was issued by the Gendarmerie Headquarters in Ankara, stating that “seventeen terrorists were recovered dead and three terrorists were apprehended alive” during the operations.</w:t>
      </w:r>
    </w:p>
    <w:p w:rsidRPr="007F767A" w:rsidR="008D6BB5" w:rsidP="007F767A" w:rsidRDefault="007F767A">
      <w:pPr>
        <w:pStyle w:val="ECHRPara"/>
      </w:pPr>
      <w:fldSimple w:instr=" SEQ level0 \*arabic ">
        <w:r w:rsidRPr="007F767A">
          <w:rPr>
            <w:noProof/>
          </w:rPr>
          <w:t>28</w:t>
        </w:r>
      </w:fldSimple>
      <w:r w:rsidRPr="007F767A" w:rsidR="008D6BB5">
        <w:t xml:space="preserve">.  Also on </w:t>
      </w:r>
      <w:r w:rsidRPr="007F767A" w:rsidR="00DD277D">
        <w:t>18 June 2005</w:t>
      </w:r>
      <w:r w:rsidRPr="007F767A" w:rsidR="000868F9">
        <w:t>,</w:t>
      </w:r>
      <w:r w:rsidRPr="007F767A" w:rsidR="00DD277D">
        <w:t xml:space="preserve"> </w:t>
      </w:r>
      <w:r w:rsidRPr="007F767A" w:rsidR="008D6BB5">
        <w:t>the applicants</w:t>
      </w:r>
      <w:r w:rsidRPr="007F767A">
        <w:t>’</w:t>
      </w:r>
      <w:r w:rsidRPr="007F767A" w:rsidR="008D6BB5">
        <w:t xml:space="preserve"> legal representative Ms</w:t>
      </w:r>
      <w:r w:rsidRPr="007F767A" w:rsidR="00557E11">
        <w:t> </w:t>
      </w:r>
      <w:r w:rsidRPr="007F767A" w:rsidR="008D6BB5">
        <w:t>Meral Hanbayat</w:t>
      </w:r>
      <w:r w:rsidRPr="007F767A" w:rsidR="00AB10FE">
        <w:t xml:space="preserve"> </w:t>
      </w:r>
      <w:r w:rsidRPr="007F767A" w:rsidR="008D6BB5">
        <w:t>submitted a petition to the prosecutor</w:t>
      </w:r>
      <w:r w:rsidRPr="007F767A">
        <w:t>’</w:t>
      </w:r>
      <w:r w:rsidRPr="007F767A" w:rsidR="008D6BB5">
        <w:t xml:space="preserve">s office in Malatya and asked the prosecutor to </w:t>
      </w:r>
      <w:r w:rsidRPr="007F767A" w:rsidR="000E3390">
        <w:t xml:space="preserve">order the carrying out of </w:t>
      </w:r>
      <w:r w:rsidRPr="007F767A" w:rsidR="008D6BB5">
        <w:t xml:space="preserve">necessary forensic examinations on the body and clothes </w:t>
      </w:r>
      <w:r w:rsidRPr="007F767A" w:rsidR="000615B8">
        <w:t>of</w:t>
      </w:r>
      <w:r w:rsidRPr="007F767A" w:rsidR="008D6BB5">
        <w:t xml:space="preserve"> the second applicant</w:t>
      </w:r>
      <w:r w:rsidRPr="007F767A">
        <w:t>’</w:t>
      </w:r>
      <w:r w:rsidRPr="007F767A" w:rsidR="008D6BB5">
        <w:t>s son</w:t>
      </w:r>
      <w:r w:rsidRPr="007F767A" w:rsidR="003569A2">
        <w:t>,</w:t>
      </w:r>
      <w:r w:rsidRPr="007F767A" w:rsidR="008D6BB5">
        <w:t xml:space="preserve"> Aydın Hanbayat</w:t>
      </w:r>
      <w:r w:rsidRPr="007F767A" w:rsidR="003569A2">
        <w:t>,</w:t>
      </w:r>
      <w:r w:rsidRPr="007F767A" w:rsidR="008D6BB5">
        <w:t xml:space="preserve"> with a view to establishing the distance from which he had been shot. The legal representative also asked the prosecutor to </w:t>
      </w:r>
      <w:r w:rsidRPr="007F767A" w:rsidR="004B0576">
        <w:t>examine Aydın Hanbayat</w:t>
      </w:r>
      <w:r w:rsidRPr="007F767A">
        <w:t>’</w:t>
      </w:r>
      <w:r w:rsidRPr="007F767A" w:rsidR="004B0576">
        <w:t>s hands for gunpowder residue in order to establish whether or not he had opened fire.</w:t>
      </w:r>
    </w:p>
    <w:p w:rsidRPr="007F767A" w:rsidR="004E35C9" w:rsidP="007F767A" w:rsidRDefault="007F767A">
      <w:pPr>
        <w:pStyle w:val="ECHRPara"/>
      </w:pPr>
      <w:fldSimple w:instr=" SEQ level0 \*arabic ">
        <w:r w:rsidRPr="007F767A">
          <w:rPr>
            <w:noProof/>
          </w:rPr>
          <w:t>29</w:t>
        </w:r>
      </w:fldSimple>
      <w:r w:rsidRPr="007F767A" w:rsidR="00042829">
        <w:t>.  </w:t>
      </w:r>
      <w:r w:rsidRPr="007F767A" w:rsidR="00E27559">
        <w:t xml:space="preserve">According to a report drawn up </w:t>
      </w:r>
      <w:r w:rsidRPr="007F767A" w:rsidR="00554C01">
        <w:t xml:space="preserve">by the Ovacık prosecutor </w:t>
      </w:r>
      <w:r w:rsidRPr="007F767A" w:rsidR="00557E11">
        <w:t>on 18 </w:t>
      </w:r>
      <w:r w:rsidRPr="007F767A" w:rsidR="00E27559">
        <w:t>June 2005</w:t>
      </w:r>
      <w:r w:rsidRPr="007F767A" w:rsidR="00554C01">
        <w:t>, the area where the applicants</w:t>
      </w:r>
      <w:r w:rsidRPr="007F767A">
        <w:t>’</w:t>
      </w:r>
      <w:r w:rsidRPr="007F767A" w:rsidR="00554C01">
        <w:t xml:space="preserve"> relatives </w:t>
      </w:r>
      <w:r w:rsidRPr="007F767A" w:rsidR="00885D0E">
        <w:t>had been</w:t>
      </w:r>
      <w:r w:rsidRPr="007F767A" w:rsidR="00554C01">
        <w:t xml:space="preserve"> killed was not safe and therefore it was not possible for the prosecutor to go there to examine the bodies. Thus, </w:t>
      </w:r>
      <w:r w:rsidRPr="007F767A" w:rsidR="000E3390">
        <w:t xml:space="preserve">a decision was taken to bring </w:t>
      </w:r>
      <w:r w:rsidRPr="007F767A" w:rsidR="00554C01">
        <w:t xml:space="preserve">the bodies to the town of Ovacık in a military helicopter. </w:t>
      </w:r>
      <w:r w:rsidRPr="007F767A" w:rsidR="005C4F3D">
        <w:t xml:space="preserve">When they were brought to </w:t>
      </w:r>
      <w:r w:rsidRPr="007F767A" w:rsidR="00BB57E8">
        <w:t xml:space="preserve">the Ovacık District Gendarmerie Command </w:t>
      </w:r>
      <w:r w:rsidRPr="007F767A" w:rsidR="000868F9">
        <w:t xml:space="preserve">the </w:t>
      </w:r>
      <w:r w:rsidRPr="007F767A" w:rsidR="00E27559">
        <w:t xml:space="preserve">bodies were </w:t>
      </w:r>
      <w:r w:rsidRPr="007F767A" w:rsidR="00BB57E8">
        <w:t>placed in the car park reserved for military vehicles. As the</w:t>
      </w:r>
      <w:r w:rsidRPr="007F767A" w:rsidR="000868F9">
        <w:t>ir</w:t>
      </w:r>
      <w:r w:rsidRPr="007F767A" w:rsidR="00BB57E8">
        <w:t xml:space="preserve"> identities had not yet been </w:t>
      </w:r>
      <w:r w:rsidRPr="007F767A" w:rsidR="000868F9">
        <w:t>established</w:t>
      </w:r>
      <w:r w:rsidRPr="007F767A" w:rsidR="00BB57E8">
        <w:t xml:space="preserve">, each body </w:t>
      </w:r>
      <w:r w:rsidRPr="007F767A" w:rsidR="00554C01">
        <w:t xml:space="preserve">was </w:t>
      </w:r>
      <w:r w:rsidRPr="007F767A" w:rsidR="00BB57E8">
        <w:t>given a number.</w:t>
      </w:r>
    </w:p>
    <w:p w:rsidRPr="007F767A" w:rsidR="00463A15" w:rsidP="007F767A" w:rsidRDefault="007F767A">
      <w:pPr>
        <w:pStyle w:val="ECHRPara"/>
      </w:pPr>
      <w:fldSimple w:instr=" SEQ level0 \*arabic ">
        <w:r w:rsidRPr="007F767A">
          <w:rPr>
            <w:noProof/>
          </w:rPr>
          <w:t>30</w:t>
        </w:r>
      </w:fldSimple>
      <w:r w:rsidRPr="007F767A" w:rsidR="004E35C9">
        <w:t>.  </w:t>
      </w:r>
      <w:r w:rsidRPr="007F767A" w:rsidR="00BB57E8">
        <w:t xml:space="preserve">The Ovacık prosecutor, assisted by two doctors, arrived at the car park and examined the bodies. </w:t>
      </w:r>
      <w:r w:rsidRPr="007F767A" w:rsidR="00885D0E">
        <w:t>The prosecutor noted that a</w:t>
      </w:r>
      <w:r w:rsidRPr="007F767A" w:rsidR="00A3388B">
        <w:t xml:space="preserve">ll seventeen </w:t>
      </w:r>
      <w:r w:rsidRPr="007F767A" w:rsidR="001F14F6">
        <w:t>were clothed</w:t>
      </w:r>
      <w:r w:rsidRPr="007F767A" w:rsidR="00A3388B">
        <w:t xml:space="preserve"> </w:t>
      </w:r>
      <w:r w:rsidRPr="007F767A" w:rsidR="000868F9">
        <w:t xml:space="preserve">and </w:t>
      </w:r>
      <w:r w:rsidRPr="007F767A" w:rsidR="00885D0E">
        <w:t xml:space="preserve">instructed that </w:t>
      </w:r>
      <w:r w:rsidRPr="007F767A" w:rsidR="000868F9">
        <w:t>the</w:t>
      </w:r>
      <w:r w:rsidRPr="007F767A" w:rsidR="001F14F6">
        <w:t xml:space="preserve"> clothes</w:t>
      </w:r>
      <w:r w:rsidRPr="007F767A" w:rsidR="00885D0E">
        <w:t xml:space="preserve"> be</w:t>
      </w:r>
      <w:r w:rsidRPr="007F767A" w:rsidR="00A3388B">
        <w:t xml:space="preserve"> removed for the examin</w:t>
      </w:r>
      <w:r w:rsidRPr="007F767A" w:rsidR="000868F9">
        <w:t>ations to be carried out</w:t>
      </w:r>
      <w:r w:rsidRPr="007F767A" w:rsidR="00A3388B">
        <w:t xml:space="preserve">. </w:t>
      </w:r>
      <w:r w:rsidRPr="007F767A" w:rsidR="00BB57E8">
        <w:t>Th</w:t>
      </w:r>
      <w:r w:rsidRPr="007F767A" w:rsidR="00A3388B">
        <w:t>e bodies were also photographed</w:t>
      </w:r>
      <w:r w:rsidRPr="007F767A" w:rsidR="00C902FB">
        <w:t>,</w:t>
      </w:r>
      <w:r w:rsidRPr="007F767A" w:rsidR="00A3388B">
        <w:t xml:space="preserve"> both with their clothes on and after they were taken off. The prosecutor and the doctors noted in their report the extensive injuries they observed on the bodies.</w:t>
      </w:r>
      <w:r w:rsidRPr="007F767A" w:rsidR="00C40694">
        <w:t xml:space="preserve"> </w:t>
      </w:r>
      <w:r w:rsidRPr="007F767A" w:rsidR="00885D0E">
        <w:t>A</w:t>
      </w:r>
      <w:r w:rsidRPr="007F767A" w:rsidR="00463A15">
        <w:t xml:space="preserve"> search </w:t>
      </w:r>
      <w:r w:rsidRPr="007F767A" w:rsidR="00885D0E">
        <w:t xml:space="preserve">was </w:t>
      </w:r>
      <w:r w:rsidRPr="007F767A" w:rsidR="00463A15">
        <w:t>carried out o</w:t>
      </w:r>
      <w:r w:rsidRPr="007F767A" w:rsidR="00E82D90">
        <w:t>f</w:t>
      </w:r>
      <w:r w:rsidRPr="007F767A" w:rsidR="00463A15">
        <w:t xml:space="preserve"> the clothes</w:t>
      </w:r>
      <w:r w:rsidRPr="007F767A" w:rsidR="001F14F6">
        <w:t>,</w:t>
      </w:r>
      <w:r w:rsidRPr="007F767A" w:rsidR="00885D0E">
        <w:t xml:space="preserve"> </w:t>
      </w:r>
      <w:r w:rsidRPr="007F767A" w:rsidR="000E3390">
        <w:t xml:space="preserve">in which </w:t>
      </w:r>
      <w:r w:rsidRPr="007F767A" w:rsidR="001F14F6">
        <w:t>sixteen</w:t>
      </w:r>
      <w:r w:rsidRPr="007F767A" w:rsidR="00885D0E">
        <w:t xml:space="preserve"> identity documents were found. The prosecutor decided to keep the number tags on the bodies in place as he suspected that some of the identity papers might be forged. It was later established that</w:t>
      </w:r>
      <w:r w:rsidRPr="007F767A" w:rsidR="00463A15">
        <w:t xml:space="preserve"> ten of the </w:t>
      </w:r>
      <w:r w:rsidRPr="007F767A" w:rsidR="000E3390">
        <w:t xml:space="preserve">identity papers belonged to the </w:t>
      </w:r>
      <w:r w:rsidRPr="007F767A" w:rsidR="00463A15">
        <w:t>deceased and the remaining six identity documents</w:t>
      </w:r>
      <w:r w:rsidRPr="007F767A" w:rsidR="000E3390">
        <w:t xml:space="preserve"> were</w:t>
      </w:r>
      <w:r w:rsidRPr="007F767A" w:rsidR="00463A15">
        <w:t xml:space="preserve"> in the names of other pe</w:t>
      </w:r>
      <w:r w:rsidRPr="007F767A" w:rsidR="001F14F6">
        <w:t>ople</w:t>
      </w:r>
      <w:r w:rsidRPr="007F767A" w:rsidR="00463A15">
        <w:t>.</w:t>
      </w:r>
    </w:p>
    <w:p w:rsidRPr="007F767A" w:rsidR="007869A4" w:rsidP="007F767A" w:rsidRDefault="007F767A">
      <w:pPr>
        <w:pStyle w:val="ECHRPara"/>
      </w:pPr>
      <w:fldSimple w:instr=" SEQ level0 \*arabic ">
        <w:r w:rsidRPr="007F767A">
          <w:rPr>
            <w:noProof/>
          </w:rPr>
          <w:t>31</w:t>
        </w:r>
      </w:fldSimple>
      <w:r w:rsidRPr="007F767A" w:rsidR="00554C01">
        <w:t>.  </w:t>
      </w:r>
      <w:r w:rsidRPr="007F767A" w:rsidR="00463A15">
        <w:t xml:space="preserve">The </w:t>
      </w:r>
      <w:r w:rsidRPr="007F767A" w:rsidR="007869A4">
        <w:t xml:space="preserve">two </w:t>
      </w:r>
      <w:r w:rsidRPr="007F767A" w:rsidR="00463A15">
        <w:t xml:space="preserve">doctors </w:t>
      </w:r>
      <w:r w:rsidRPr="007F767A" w:rsidR="007869A4">
        <w:t>con</w:t>
      </w:r>
      <w:r w:rsidRPr="007F767A" w:rsidR="00554C01">
        <w:t xml:space="preserve">cluded </w:t>
      </w:r>
      <w:r w:rsidRPr="007F767A" w:rsidR="007869A4">
        <w:t xml:space="preserve">that all seventeen had </w:t>
      </w:r>
      <w:r w:rsidRPr="007F767A" w:rsidR="00885D0E">
        <w:t>died</w:t>
      </w:r>
      <w:r w:rsidRPr="007F767A" w:rsidR="007869A4">
        <w:t xml:space="preserve"> as a result of </w:t>
      </w:r>
      <w:r w:rsidRPr="007F767A" w:rsidR="006D0ACF">
        <w:t xml:space="preserve">injuries caused by </w:t>
      </w:r>
      <w:r w:rsidRPr="007F767A" w:rsidR="000E3390">
        <w:t>bullets and shrapnel</w:t>
      </w:r>
      <w:r w:rsidRPr="007F767A" w:rsidR="00554C01">
        <w:t>,</w:t>
      </w:r>
      <w:r w:rsidRPr="007F767A" w:rsidR="007869A4">
        <w:t xml:space="preserve"> but considered it necessary to have </w:t>
      </w:r>
      <w:r w:rsidRPr="007F767A" w:rsidR="006D0ACF">
        <w:t xml:space="preserve">detailed </w:t>
      </w:r>
      <w:r w:rsidRPr="007F767A" w:rsidR="00463A15">
        <w:t xml:space="preserve">autopsies </w:t>
      </w:r>
      <w:r w:rsidRPr="007F767A" w:rsidR="007869A4">
        <w:t xml:space="preserve">carried out. </w:t>
      </w:r>
      <w:r w:rsidRPr="007F767A" w:rsidR="006D0ACF">
        <w:t>T</w:t>
      </w:r>
      <w:r w:rsidRPr="007F767A" w:rsidR="00463A15">
        <w:t xml:space="preserve">he bodies </w:t>
      </w:r>
      <w:r w:rsidRPr="007F767A" w:rsidR="006D0ACF">
        <w:t>were</w:t>
      </w:r>
      <w:r w:rsidRPr="007F767A" w:rsidR="000868F9">
        <w:t xml:space="preserve"> then</w:t>
      </w:r>
      <w:r w:rsidRPr="007F767A" w:rsidR="006D0ACF">
        <w:t xml:space="preserve"> </w:t>
      </w:r>
      <w:r w:rsidRPr="007F767A" w:rsidR="00B60413">
        <w:t>handed over to a gendarme non-commissioned officer</w:t>
      </w:r>
      <w:r w:rsidRPr="007F767A" w:rsidR="001F14F6">
        <w:t>,</w:t>
      </w:r>
      <w:r w:rsidRPr="007F767A" w:rsidR="00B60413">
        <w:t xml:space="preserve"> who took them </w:t>
      </w:r>
      <w:r w:rsidRPr="007F767A" w:rsidR="00463A15">
        <w:t xml:space="preserve">to the Forensic </w:t>
      </w:r>
      <w:r w:rsidRPr="007F767A" w:rsidR="00885D0E">
        <w:t xml:space="preserve">Medicine </w:t>
      </w:r>
      <w:r w:rsidRPr="007F767A" w:rsidR="00463A15">
        <w:t>Institute</w:t>
      </w:r>
      <w:r w:rsidRPr="007F767A">
        <w:t>’</w:t>
      </w:r>
      <w:r w:rsidRPr="007F767A" w:rsidR="00463A15">
        <w:t>s neares</w:t>
      </w:r>
      <w:r w:rsidRPr="007F767A" w:rsidR="006D0ACF">
        <w:t>t branch in the city of Malatya at around</w:t>
      </w:r>
      <w:r w:rsidRPr="007F767A" w:rsidR="00C40694">
        <w:t xml:space="preserve"> 8 </w:t>
      </w:r>
      <w:r w:rsidRPr="007F767A" w:rsidR="006D0ACF">
        <w:t>p.m. the same day.</w:t>
      </w:r>
      <w:r w:rsidRPr="007F767A" w:rsidR="00B60413">
        <w:t xml:space="preserve"> No mention is made in the document whether the clothes removed from the bodies of the </w:t>
      </w:r>
      <w:r w:rsidRPr="007F767A" w:rsidR="001F14F6">
        <w:t>seventeen</w:t>
      </w:r>
      <w:r w:rsidRPr="007F767A" w:rsidR="00B60413">
        <w:t xml:space="preserve"> were also </w:t>
      </w:r>
      <w:r w:rsidRPr="007F767A" w:rsidR="000E3390">
        <w:t>handed over</w:t>
      </w:r>
      <w:r w:rsidRPr="007F767A" w:rsidR="00B60413">
        <w:t xml:space="preserve"> to that non-commissioned officer.</w:t>
      </w:r>
    </w:p>
    <w:p w:rsidRPr="007F767A" w:rsidR="006D0ACF" w:rsidP="007F767A" w:rsidRDefault="007F767A">
      <w:pPr>
        <w:pStyle w:val="ECHRPara"/>
      </w:pPr>
      <w:fldSimple w:instr=" SEQ level0 \*arabic ">
        <w:r w:rsidRPr="007F767A">
          <w:rPr>
            <w:noProof/>
          </w:rPr>
          <w:t>32</w:t>
        </w:r>
      </w:fldSimple>
      <w:r w:rsidRPr="007F767A" w:rsidR="006D0ACF">
        <w:t xml:space="preserve">.  The </w:t>
      </w:r>
      <w:r w:rsidRPr="007F767A" w:rsidR="00515A78">
        <w:t>same evening</w:t>
      </w:r>
      <w:r w:rsidRPr="007F767A" w:rsidR="006D0ACF">
        <w:t xml:space="preserve"> </w:t>
      </w:r>
      <w:r w:rsidRPr="007F767A" w:rsidR="005B25DC">
        <w:t>t</w:t>
      </w:r>
      <w:r w:rsidRPr="007F767A" w:rsidR="006D0ACF">
        <w:t>h</w:t>
      </w:r>
      <w:r w:rsidRPr="007F767A" w:rsidR="0081707E">
        <w:t xml:space="preserve">ree </w:t>
      </w:r>
      <w:r w:rsidRPr="007F767A" w:rsidR="001F14F6">
        <w:t>people who claimed</w:t>
      </w:r>
      <w:r w:rsidRPr="007F767A" w:rsidR="0081707E">
        <w:t xml:space="preserve"> to know some of the deceased </w:t>
      </w:r>
      <w:r w:rsidRPr="007F767A" w:rsidR="005B25DC">
        <w:t>arrived at the Forensic Medicine Institute</w:t>
      </w:r>
      <w:r w:rsidRPr="007F767A">
        <w:t>’</w:t>
      </w:r>
      <w:r w:rsidRPr="007F767A" w:rsidR="005B25DC">
        <w:t xml:space="preserve">s Malatya Branch and </w:t>
      </w:r>
      <w:r w:rsidRPr="007F767A" w:rsidR="00121597">
        <w:t>identif</w:t>
      </w:r>
      <w:r w:rsidRPr="007F767A" w:rsidR="0081707E">
        <w:t>ied</w:t>
      </w:r>
      <w:r w:rsidRPr="007F767A" w:rsidR="005B25DC">
        <w:t xml:space="preserve"> </w:t>
      </w:r>
      <w:r w:rsidRPr="007F767A" w:rsidR="008423B3">
        <w:t xml:space="preserve">the </w:t>
      </w:r>
      <w:r w:rsidRPr="007F767A" w:rsidR="00F86CF0">
        <w:t xml:space="preserve">bodies </w:t>
      </w:r>
      <w:r w:rsidRPr="007F767A" w:rsidR="008423B3">
        <w:t>of</w:t>
      </w:r>
      <w:r w:rsidRPr="007F767A" w:rsidR="00F86CF0">
        <w:t xml:space="preserve"> </w:t>
      </w:r>
      <w:r w:rsidRPr="007F767A" w:rsidR="008423B3">
        <w:t xml:space="preserve">Cafer Cangöz, </w:t>
      </w:r>
      <w:r w:rsidRPr="007F767A" w:rsidR="00F86CF0">
        <w:t>Aydın Hanbayat, Ökkeş Karaoğlu, Okan Ünsal</w:t>
      </w:r>
      <w:r w:rsidRPr="007F767A" w:rsidR="008423B3">
        <w:t>,</w:t>
      </w:r>
      <w:r w:rsidRPr="007F767A" w:rsidR="00F86CF0">
        <w:t xml:space="preserve"> İbrahim Akdeniz</w:t>
      </w:r>
      <w:r w:rsidRPr="007F767A" w:rsidR="008423B3">
        <w:t xml:space="preserve"> and</w:t>
      </w:r>
      <w:r w:rsidRPr="007F767A" w:rsidR="00A03863">
        <w:t xml:space="preserve"> Gülnaz Yıldız</w:t>
      </w:r>
      <w:r w:rsidRPr="007F767A" w:rsidR="00EB7C36">
        <w:t>.</w:t>
      </w:r>
    </w:p>
    <w:p w:rsidRPr="007F767A" w:rsidR="000F38F2" w:rsidP="007F767A" w:rsidRDefault="007F767A">
      <w:pPr>
        <w:pStyle w:val="ECHRPara"/>
      </w:pPr>
      <w:fldSimple w:instr=" SEQ level0 \*arabic ">
        <w:r w:rsidRPr="007F767A">
          <w:rPr>
            <w:noProof/>
          </w:rPr>
          <w:t>33</w:t>
        </w:r>
      </w:fldSimple>
      <w:r w:rsidRPr="007F767A" w:rsidR="005B25DC">
        <w:t xml:space="preserve">.  The same </w:t>
      </w:r>
      <w:r w:rsidRPr="007F767A" w:rsidR="00515A78">
        <w:t>evening</w:t>
      </w:r>
      <w:r w:rsidRPr="007F767A" w:rsidR="005B25DC">
        <w:t xml:space="preserve"> </w:t>
      </w:r>
      <w:r w:rsidRPr="007F767A" w:rsidR="00B070EB">
        <w:t xml:space="preserve">forensic </w:t>
      </w:r>
      <w:r w:rsidRPr="007F767A" w:rsidR="00515A78">
        <w:t xml:space="preserve">pathologists started carrying out the </w:t>
      </w:r>
      <w:r w:rsidRPr="007F767A" w:rsidR="005B25DC">
        <w:t>autopsies</w:t>
      </w:r>
      <w:r w:rsidRPr="007F767A" w:rsidR="001F14F6">
        <w:t>; they</w:t>
      </w:r>
      <w:r w:rsidRPr="007F767A" w:rsidR="00515A78">
        <w:t xml:space="preserve"> completed their examinations at 6.30 the following morning. A </w:t>
      </w:r>
      <w:r w:rsidRPr="007F767A" w:rsidR="00CA635F">
        <w:t xml:space="preserve">detailed verbatim report </w:t>
      </w:r>
      <w:r w:rsidRPr="007F767A" w:rsidR="00515A78">
        <w:t xml:space="preserve">of the </w:t>
      </w:r>
      <w:r w:rsidRPr="007F767A" w:rsidR="001F14F6">
        <w:t>actions</w:t>
      </w:r>
      <w:r w:rsidRPr="007F767A" w:rsidR="00515A78">
        <w:t xml:space="preserve"> taken during the autopsies </w:t>
      </w:r>
      <w:r w:rsidRPr="007F767A" w:rsidR="00CA635F">
        <w:t>was prepared</w:t>
      </w:r>
      <w:r w:rsidRPr="007F767A" w:rsidR="008A2686">
        <w:t xml:space="preserve"> in the presence of the Malatya prosecutor</w:t>
      </w:r>
      <w:r w:rsidRPr="007F767A" w:rsidR="005B25DC">
        <w:t>.</w:t>
      </w:r>
      <w:r w:rsidRPr="007F767A" w:rsidR="006F0273">
        <w:t xml:space="preserve"> </w:t>
      </w:r>
      <w:r w:rsidRPr="007F767A" w:rsidR="000868F9">
        <w:t>B</w:t>
      </w:r>
      <w:r w:rsidRPr="007F767A" w:rsidR="000F38F2">
        <w:t xml:space="preserve">lood and urine samples taken from the bodies </w:t>
      </w:r>
      <w:r w:rsidRPr="007F767A" w:rsidR="006F0273">
        <w:t xml:space="preserve">were </w:t>
      </w:r>
      <w:r w:rsidRPr="007F767A" w:rsidR="000F38F2">
        <w:t xml:space="preserve">sent for further analysis to </w:t>
      </w:r>
      <w:r w:rsidRPr="007F767A" w:rsidR="006F0273">
        <w:t xml:space="preserve">verify </w:t>
      </w:r>
      <w:r w:rsidRPr="007F767A" w:rsidR="000F38F2">
        <w:t xml:space="preserve">whether </w:t>
      </w:r>
      <w:r w:rsidRPr="007F767A" w:rsidR="006F0273">
        <w:t xml:space="preserve">the </w:t>
      </w:r>
      <w:r w:rsidRPr="007F767A" w:rsidR="000F38F2">
        <w:t>deceased</w:t>
      </w:r>
      <w:r w:rsidRPr="007F767A" w:rsidR="006F0273">
        <w:t xml:space="preserve"> </w:t>
      </w:r>
      <w:r w:rsidRPr="007F767A" w:rsidR="000F38F2">
        <w:t>had consumed alcohol or used drugs.</w:t>
      </w:r>
      <w:r w:rsidRPr="007F767A" w:rsidR="006F0273">
        <w:t xml:space="preserve"> Swabs were taken from their hands and sent for ballistic examinations with a view to establishing whether they had any gunpowder residue on the</w:t>
      </w:r>
      <w:r w:rsidRPr="007F767A" w:rsidR="00A03863">
        <w:t>ir hands</w:t>
      </w:r>
      <w:r w:rsidRPr="007F767A" w:rsidR="006F0273">
        <w:t>. Bullets and shrapnel found in the bodies were also sent for further analysis.</w:t>
      </w:r>
      <w:r w:rsidRPr="007F767A" w:rsidR="00CA635F">
        <w:t xml:space="preserve"> </w:t>
      </w:r>
      <w:r w:rsidRPr="007F767A" w:rsidR="00215A0B">
        <w:t>F</w:t>
      </w:r>
      <w:r w:rsidRPr="007F767A" w:rsidR="00CA635F">
        <w:t>ingerprint</w:t>
      </w:r>
      <w:r w:rsidRPr="007F767A" w:rsidR="00215A0B">
        <w:t>s were taken</w:t>
      </w:r>
      <w:r w:rsidRPr="007F767A" w:rsidR="00CA635F">
        <w:t xml:space="preserve"> for identification purposes.</w:t>
      </w:r>
    </w:p>
    <w:p w:rsidRPr="007F767A" w:rsidR="00A03863" w:rsidP="007F767A" w:rsidRDefault="007F767A">
      <w:pPr>
        <w:pStyle w:val="ECHRPara"/>
      </w:pPr>
      <w:fldSimple w:instr=" SEQ level0 \*arabic ">
        <w:r w:rsidRPr="007F767A">
          <w:rPr>
            <w:noProof/>
          </w:rPr>
          <w:t>34</w:t>
        </w:r>
      </w:fldSimple>
      <w:r w:rsidRPr="007F767A" w:rsidR="00A03863">
        <w:t>.  </w:t>
      </w:r>
      <w:r w:rsidRPr="007F767A" w:rsidR="00CA635F">
        <w:t xml:space="preserve">According to the findings of the </w:t>
      </w:r>
      <w:r w:rsidRPr="007F767A" w:rsidR="00B070EB">
        <w:t>forensic pathologists</w:t>
      </w:r>
      <w:r w:rsidRPr="007F767A" w:rsidR="00CA635F">
        <w:t xml:space="preserve"> which are set out in the autopsy report, </w:t>
      </w:r>
      <w:r w:rsidRPr="007F767A" w:rsidR="00A03863">
        <w:t>eight</w:t>
      </w:r>
      <w:r w:rsidRPr="007F767A" w:rsidR="00CA635F">
        <w:t xml:space="preserve"> of the deceased had been killed </w:t>
      </w:r>
      <w:r w:rsidRPr="007F767A" w:rsidR="000868F9">
        <w:t>by</w:t>
      </w:r>
      <w:r w:rsidRPr="007F767A" w:rsidR="00CA635F">
        <w:t xml:space="preserve"> explosives, </w:t>
      </w:r>
      <w:r w:rsidRPr="007F767A" w:rsidR="00A03863">
        <w:t>three</w:t>
      </w:r>
      <w:r w:rsidRPr="007F767A" w:rsidR="00CA635F">
        <w:t xml:space="preserve"> of them </w:t>
      </w:r>
      <w:r w:rsidRPr="007F767A" w:rsidR="000868F9">
        <w:t>by</w:t>
      </w:r>
      <w:r w:rsidRPr="007F767A" w:rsidR="00CA635F">
        <w:t xml:space="preserve"> bullets</w:t>
      </w:r>
      <w:r w:rsidRPr="007F767A" w:rsidR="001F14F6">
        <w:t>,</w:t>
      </w:r>
      <w:r w:rsidRPr="007F767A" w:rsidR="00CA635F">
        <w:t xml:space="preserve"> and the remaining </w:t>
      </w:r>
      <w:r w:rsidRPr="007F767A" w:rsidR="00A03863">
        <w:t>six</w:t>
      </w:r>
      <w:r w:rsidRPr="007F767A" w:rsidR="00CA635F">
        <w:t xml:space="preserve"> </w:t>
      </w:r>
      <w:r w:rsidRPr="007F767A" w:rsidR="000868F9">
        <w:t>by</w:t>
      </w:r>
      <w:r w:rsidRPr="007F767A" w:rsidR="00CA635F">
        <w:t xml:space="preserve"> </w:t>
      </w:r>
      <w:r w:rsidRPr="007F767A" w:rsidR="001F14F6">
        <w:t xml:space="preserve">both </w:t>
      </w:r>
      <w:r w:rsidRPr="007F767A" w:rsidR="00CA635F">
        <w:t xml:space="preserve">explosives and bullets. The </w:t>
      </w:r>
      <w:r w:rsidRPr="007F767A" w:rsidR="00B070EB">
        <w:t>forensic pathologists</w:t>
      </w:r>
      <w:r w:rsidRPr="007F767A" w:rsidR="00CA635F">
        <w:t xml:space="preserve"> considered that to establish the distances from which the seventeen persons had been shot</w:t>
      </w:r>
      <w:r w:rsidRPr="007F767A" w:rsidR="00A03863">
        <w:t>,</w:t>
      </w:r>
      <w:r w:rsidRPr="007F767A" w:rsidR="00CA635F">
        <w:t xml:space="preserve"> further examinations had to be conducted on their clothes.</w:t>
      </w:r>
      <w:r w:rsidRPr="007F767A" w:rsidR="00A03863">
        <w:t xml:space="preserve"> They noted, however, that with </w:t>
      </w:r>
      <w:r w:rsidRPr="007F767A" w:rsidR="001F14F6">
        <w:t>one</w:t>
      </w:r>
      <w:r w:rsidRPr="007F767A" w:rsidR="00A03863">
        <w:t xml:space="preserve"> exception all </w:t>
      </w:r>
      <w:r w:rsidRPr="007F767A" w:rsidR="00B070EB">
        <w:t>the deceased</w:t>
      </w:r>
      <w:r w:rsidRPr="007F767A" w:rsidR="00A03863">
        <w:t xml:space="preserve"> had been stripped of their clothes</w:t>
      </w:r>
      <w:r w:rsidRPr="007F767A" w:rsidR="00215A0B">
        <w:t xml:space="preserve"> and that</w:t>
      </w:r>
      <w:r w:rsidRPr="007F767A" w:rsidR="00A03863">
        <w:t xml:space="preserve"> the clothes belonging to thirteen of the remaining sixteen had not been </w:t>
      </w:r>
      <w:r w:rsidRPr="007F767A" w:rsidR="001F14F6">
        <w:t>provided</w:t>
      </w:r>
      <w:r w:rsidRPr="007F767A" w:rsidR="00A03863">
        <w:t>.</w:t>
      </w:r>
    </w:p>
    <w:p w:rsidRPr="007F767A" w:rsidR="008A2686" w:rsidP="007F767A" w:rsidRDefault="007F767A">
      <w:pPr>
        <w:pStyle w:val="ECHRPara"/>
      </w:pPr>
      <w:fldSimple w:instr=" SEQ level0 \*arabic ">
        <w:r w:rsidRPr="007F767A">
          <w:rPr>
            <w:noProof/>
          </w:rPr>
          <w:t>35</w:t>
        </w:r>
      </w:fldSimple>
      <w:r w:rsidRPr="007F767A" w:rsidR="008A2686">
        <w:t>.  After the autopsies were concluded the Malatya prosecutor ordered the return of the bodies and the clothes to the Ovacık prosecutor</w:t>
      </w:r>
      <w:r w:rsidRPr="007F767A">
        <w:t>’</w:t>
      </w:r>
      <w:r w:rsidRPr="007F767A" w:rsidR="008A2686">
        <w:t>s office.</w:t>
      </w:r>
    </w:p>
    <w:p w:rsidRPr="007F767A" w:rsidR="008070A4" w:rsidP="007F767A" w:rsidRDefault="007F767A">
      <w:pPr>
        <w:pStyle w:val="ECHRPara"/>
      </w:pPr>
      <w:fldSimple w:instr=" SEQ level0 \*arabic ">
        <w:r w:rsidRPr="007F767A">
          <w:rPr>
            <w:noProof/>
          </w:rPr>
          <w:t>36</w:t>
        </w:r>
      </w:fldSimple>
      <w:r w:rsidRPr="007F767A" w:rsidR="00A03863">
        <w:t>.  </w:t>
      </w:r>
      <w:r w:rsidRPr="007F767A" w:rsidR="00653E20">
        <w:t>On 2</w:t>
      </w:r>
      <w:r w:rsidRPr="007F767A" w:rsidR="008B0F1C">
        <w:t>1</w:t>
      </w:r>
      <w:r w:rsidRPr="007F767A" w:rsidR="00653E20">
        <w:t xml:space="preserve"> June 2005 </w:t>
      </w:r>
      <w:r w:rsidRPr="007F767A" w:rsidR="000615B8">
        <w:t xml:space="preserve">the Ovacık prosecutor </w:t>
      </w:r>
      <w:r w:rsidRPr="007F767A" w:rsidR="000868F9">
        <w:t xml:space="preserve">wrote to </w:t>
      </w:r>
      <w:r w:rsidRPr="007F767A" w:rsidR="000615B8">
        <w:t xml:space="preserve">his opposite number in Kemah and </w:t>
      </w:r>
      <w:r w:rsidRPr="007F767A" w:rsidR="000868F9">
        <w:t>requested</w:t>
      </w:r>
      <w:r w:rsidRPr="007F767A" w:rsidR="000615B8">
        <w:t xml:space="preserve"> </w:t>
      </w:r>
      <w:r w:rsidRPr="007F767A" w:rsidR="000868F9">
        <w:t xml:space="preserve">a copy of </w:t>
      </w:r>
      <w:r w:rsidRPr="007F767A" w:rsidR="000615B8">
        <w:t>the investigation documents relating to the arrest of the three men</w:t>
      </w:r>
      <w:r w:rsidRPr="007F767A" w:rsidR="00B070EB">
        <w:t xml:space="preserve"> </w:t>
      </w:r>
      <w:r w:rsidRPr="007F767A" w:rsidR="00554C01">
        <w:t>(see paragraph</w:t>
      </w:r>
      <w:r w:rsidRPr="007F767A" w:rsidR="0067422E">
        <w:t>s</w:t>
      </w:r>
      <w:r w:rsidRPr="007F767A" w:rsidR="00554C01">
        <w:t xml:space="preserve"> </w:t>
      </w:r>
      <w:r w:rsidRPr="007F767A" w:rsidR="0067422E">
        <w:t>25-26</w:t>
      </w:r>
      <w:r w:rsidRPr="007F767A" w:rsidR="00554C01">
        <w:t xml:space="preserve"> above)</w:t>
      </w:r>
      <w:r w:rsidRPr="007F767A" w:rsidR="000615B8">
        <w:t>.</w:t>
      </w:r>
      <w:r w:rsidRPr="007F767A" w:rsidR="009E029C">
        <w:t xml:space="preserve"> According to the documents submitted to the Court, </w:t>
      </w:r>
      <w:r w:rsidRPr="007F767A" w:rsidR="00554C01">
        <w:t>the Kemah prosecutor complied with that request and forwarded a copy of his investigation file to the Ovacık prosecutor.</w:t>
      </w:r>
    </w:p>
    <w:p w:rsidRPr="007F767A" w:rsidR="006B5D9C" w:rsidP="007F767A" w:rsidRDefault="007F767A">
      <w:pPr>
        <w:pStyle w:val="ECHRPara"/>
      </w:pPr>
      <w:fldSimple w:instr=" SEQ level0 \*arabic ">
        <w:r w:rsidRPr="007F767A">
          <w:rPr>
            <w:noProof/>
          </w:rPr>
          <w:t>37</w:t>
        </w:r>
      </w:fldSimple>
      <w:r w:rsidRPr="007F767A" w:rsidR="008070A4">
        <w:t>.  </w:t>
      </w:r>
      <w:r w:rsidRPr="007F767A" w:rsidR="00554C01">
        <w:t>It appears from the Kemah prosecutor</w:t>
      </w:r>
      <w:r w:rsidRPr="007F767A">
        <w:t>’</w:t>
      </w:r>
      <w:r w:rsidRPr="007F767A" w:rsidR="00554C01">
        <w:t xml:space="preserve">s file </w:t>
      </w:r>
      <w:r w:rsidRPr="007F767A" w:rsidR="0007526A">
        <w:t>that on</w:t>
      </w:r>
      <w:r w:rsidRPr="007F767A" w:rsidR="00554C01">
        <w:t xml:space="preserve"> </w:t>
      </w:r>
      <w:r w:rsidRPr="007F767A" w:rsidR="0007526A">
        <w:t xml:space="preserve">9 June 2005 the security forces </w:t>
      </w:r>
      <w:r w:rsidRPr="007F767A" w:rsidR="00B070EB">
        <w:t xml:space="preserve">had </w:t>
      </w:r>
      <w:r w:rsidRPr="007F767A" w:rsidR="0007526A">
        <w:t>obtained authorisation from a judge to intercept the applicants</w:t>
      </w:r>
      <w:r w:rsidRPr="007F767A">
        <w:t>’</w:t>
      </w:r>
      <w:r w:rsidRPr="007F767A" w:rsidR="0007526A">
        <w:t xml:space="preserve"> relatives</w:t>
      </w:r>
      <w:r w:rsidRPr="007F767A">
        <w:t>’</w:t>
      </w:r>
      <w:r w:rsidRPr="007F767A" w:rsidR="0007526A">
        <w:t xml:space="preserve"> mobile telephones</w:t>
      </w:r>
      <w:r w:rsidRPr="007F767A" w:rsidR="001F14F6">
        <w:t>,</w:t>
      </w:r>
      <w:r w:rsidRPr="007F767A" w:rsidR="0007526A">
        <w:t xml:space="preserve"> and </w:t>
      </w:r>
      <w:r w:rsidRPr="007F767A" w:rsidR="009E029C">
        <w:t xml:space="preserve">telephone conversations </w:t>
      </w:r>
      <w:r w:rsidRPr="007F767A" w:rsidR="00554C01">
        <w:t xml:space="preserve">some of </w:t>
      </w:r>
      <w:r w:rsidRPr="007F767A" w:rsidR="005072CC">
        <w:t>the</w:t>
      </w:r>
      <w:r w:rsidRPr="007F767A" w:rsidR="009E029C">
        <w:t xml:space="preserve"> applicants</w:t>
      </w:r>
      <w:r w:rsidRPr="007F767A">
        <w:t>’</w:t>
      </w:r>
      <w:r w:rsidRPr="007F767A" w:rsidR="009E029C">
        <w:t xml:space="preserve"> relatives </w:t>
      </w:r>
      <w:r w:rsidRPr="007F767A" w:rsidR="006B5D9C">
        <w:t>had</w:t>
      </w:r>
      <w:r w:rsidRPr="007F767A" w:rsidR="001F14F6">
        <w:t xml:space="preserve"> had</w:t>
      </w:r>
      <w:r w:rsidRPr="007F767A" w:rsidR="006B5D9C">
        <w:t xml:space="preserve"> with a number of local people, including the men who were subsequently arrested for provid</w:t>
      </w:r>
      <w:r w:rsidRPr="007F767A" w:rsidR="00C902FB">
        <w:t>ing</w:t>
      </w:r>
      <w:r w:rsidRPr="007F767A" w:rsidR="006B5D9C">
        <w:t xml:space="preserve"> them </w:t>
      </w:r>
      <w:r w:rsidRPr="007F767A" w:rsidR="001F14F6">
        <w:t xml:space="preserve">with </w:t>
      </w:r>
      <w:r w:rsidRPr="007F767A" w:rsidR="006B5D9C">
        <w:t xml:space="preserve">logistical support, </w:t>
      </w:r>
      <w:r w:rsidRPr="007F767A" w:rsidR="009E029C">
        <w:t xml:space="preserve">were </w:t>
      </w:r>
      <w:r w:rsidRPr="007F767A" w:rsidR="001F565C">
        <w:t>intercepted</w:t>
      </w:r>
      <w:r w:rsidRPr="007F767A" w:rsidR="009E029C">
        <w:t xml:space="preserve"> by the authorities betwe</w:t>
      </w:r>
      <w:r w:rsidRPr="007F767A" w:rsidR="0007526A">
        <w:t xml:space="preserve">en 9 and 17 June 2005. </w:t>
      </w:r>
      <w:r w:rsidRPr="007F767A" w:rsidR="005072CC">
        <w:t xml:space="preserve">According to the transcripts of the </w:t>
      </w:r>
      <w:r w:rsidRPr="007F767A" w:rsidR="001F565C">
        <w:t>intercepted</w:t>
      </w:r>
      <w:r w:rsidRPr="007F767A" w:rsidR="005072CC">
        <w:t xml:space="preserve"> telephone conversations</w:t>
      </w:r>
      <w:r w:rsidRPr="007F767A" w:rsidR="008070A4">
        <w:t xml:space="preserve"> drawn up on 11 June 2005</w:t>
      </w:r>
      <w:r w:rsidRPr="007F767A" w:rsidR="005072CC">
        <w:t>, the applicants</w:t>
      </w:r>
      <w:r w:rsidRPr="007F767A">
        <w:t>’</w:t>
      </w:r>
      <w:r w:rsidRPr="007F767A" w:rsidR="005072CC">
        <w:t xml:space="preserve"> relatives </w:t>
      </w:r>
      <w:r w:rsidRPr="007F767A" w:rsidR="006B5D9C">
        <w:t>had</w:t>
      </w:r>
      <w:r w:rsidRPr="007F767A" w:rsidR="005072CC">
        <w:t xml:space="preserve"> </w:t>
      </w:r>
      <w:r w:rsidRPr="007F767A" w:rsidR="00B070EB">
        <w:t xml:space="preserve">discussed over the telephone issues such as </w:t>
      </w:r>
      <w:r w:rsidRPr="007F767A" w:rsidR="005072CC">
        <w:t>rent</w:t>
      </w:r>
      <w:r w:rsidRPr="007F767A" w:rsidR="007B3703">
        <w:t>ing</w:t>
      </w:r>
      <w:r w:rsidRPr="007F767A" w:rsidR="005072CC">
        <w:t xml:space="preserve"> vehicles</w:t>
      </w:r>
      <w:r w:rsidRPr="007F767A" w:rsidR="007B3703">
        <w:t xml:space="preserve"> and facilitating </w:t>
      </w:r>
      <w:r w:rsidRPr="007F767A" w:rsidR="005072CC">
        <w:t>their movements in the area.</w:t>
      </w:r>
    </w:p>
    <w:p w:rsidRPr="007F767A" w:rsidR="004D20BA" w:rsidP="007F767A" w:rsidRDefault="007F767A">
      <w:pPr>
        <w:pStyle w:val="ECHRPara"/>
      </w:pPr>
      <w:fldSimple w:instr=" SEQ level0 \*arabic ">
        <w:r w:rsidRPr="007F767A">
          <w:rPr>
            <w:noProof/>
          </w:rPr>
          <w:t>38</w:t>
        </w:r>
      </w:fldSimple>
      <w:r w:rsidRPr="007F767A" w:rsidR="007E53B5">
        <w:t>.  </w:t>
      </w:r>
      <w:r w:rsidRPr="007F767A" w:rsidR="006B5D9C">
        <w:t xml:space="preserve">On 21 June 2005 </w:t>
      </w:r>
      <w:r w:rsidRPr="007F767A" w:rsidR="007E53B5">
        <w:t xml:space="preserve">the Ovacık prosecutor </w:t>
      </w:r>
      <w:r w:rsidRPr="007F767A" w:rsidR="006B5D9C">
        <w:t xml:space="preserve">also </w:t>
      </w:r>
      <w:r w:rsidRPr="007F767A" w:rsidR="002F22D5">
        <w:t xml:space="preserve">asked the Ovacık District Gendarmerie Command to </w:t>
      </w:r>
      <w:r w:rsidRPr="007F767A" w:rsidR="007E53B5">
        <w:t>sen</w:t>
      </w:r>
      <w:r w:rsidRPr="007F767A" w:rsidR="002F22D5">
        <w:t xml:space="preserve">d </w:t>
      </w:r>
      <w:r w:rsidRPr="007F767A" w:rsidR="007E53B5">
        <w:t xml:space="preserve">the </w:t>
      </w:r>
      <w:r w:rsidRPr="007F767A" w:rsidR="000615B8">
        <w:t xml:space="preserve">weapons and the </w:t>
      </w:r>
      <w:r w:rsidRPr="007F767A" w:rsidR="007E53B5">
        <w:t>ammunition recovered together with the bodies of the applicants</w:t>
      </w:r>
      <w:r w:rsidRPr="007F767A">
        <w:t>’</w:t>
      </w:r>
      <w:r w:rsidRPr="007F767A" w:rsidR="007E53B5">
        <w:t xml:space="preserve"> relatives</w:t>
      </w:r>
      <w:r w:rsidRPr="007F767A" w:rsidR="002F22D5">
        <w:t xml:space="preserve"> to the Regional Forensic Laboratories with a view to establishing whether the rifles had been used in </w:t>
      </w:r>
      <w:r w:rsidRPr="007F767A" w:rsidR="00B070EB">
        <w:t xml:space="preserve">any </w:t>
      </w:r>
      <w:r w:rsidRPr="007F767A" w:rsidR="002F22D5">
        <w:t xml:space="preserve">other previous incident and whether the </w:t>
      </w:r>
      <w:r w:rsidRPr="007F767A" w:rsidR="00C40694">
        <w:t>23 </w:t>
      </w:r>
      <w:r w:rsidRPr="007F767A" w:rsidR="0012415F">
        <w:t xml:space="preserve">G3 spent cartridges and the 45 Kalashnikov spent cartridges had been discharged from the G3 and </w:t>
      </w:r>
      <w:r w:rsidRPr="007F767A" w:rsidR="00B070EB">
        <w:t xml:space="preserve">the </w:t>
      </w:r>
      <w:r w:rsidRPr="007F767A" w:rsidR="0012415F">
        <w:t>Kalashnikov rifles found together with the bodies and whether they had thus been used in the armed clash.</w:t>
      </w:r>
    </w:p>
    <w:p w:rsidRPr="007F767A" w:rsidR="009B0D38" w:rsidP="007F767A" w:rsidRDefault="007F767A">
      <w:pPr>
        <w:pStyle w:val="ECHRPara"/>
      </w:pPr>
      <w:fldSimple w:instr=" SEQ level0 \*arabic ">
        <w:r w:rsidRPr="007F767A">
          <w:rPr>
            <w:noProof/>
          </w:rPr>
          <w:t>39</w:t>
        </w:r>
      </w:fldSimple>
      <w:r w:rsidRPr="007F767A" w:rsidR="009B0D38">
        <w:t>.  </w:t>
      </w:r>
      <w:r w:rsidRPr="007F767A" w:rsidR="00E82D90">
        <w:t>On</w:t>
      </w:r>
      <w:r w:rsidRPr="007F767A" w:rsidR="009B0D38">
        <w:t xml:space="preserve"> 19 and 20 June 2005 </w:t>
      </w:r>
      <w:r w:rsidRPr="007F767A" w:rsidR="009C1177">
        <w:t xml:space="preserve">most of </w:t>
      </w:r>
      <w:r w:rsidRPr="007F767A" w:rsidR="009B0D38">
        <w:t xml:space="preserve">the bodies were </w:t>
      </w:r>
      <w:r w:rsidRPr="007F767A" w:rsidR="00EB1524">
        <w:t>formally identified by their family members</w:t>
      </w:r>
      <w:r w:rsidRPr="007F767A" w:rsidR="009C1177">
        <w:t xml:space="preserve"> and burial certificates were issued</w:t>
      </w:r>
      <w:r w:rsidRPr="007F767A" w:rsidR="009B0D38">
        <w:t>.</w:t>
      </w:r>
    </w:p>
    <w:p w:rsidRPr="007F767A" w:rsidR="0012415F" w:rsidP="007F767A" w:rsidRDefault="007F767A">
      <w:pPr>
        <w:pStyle w:val="ECHRPara"/>
      </w:pPr>
      <w:fldSimple w:instr=" SEQ level0 \*arabic ">
        <w:r w:rsidRPr="007F767A">
          <w:rPr>
            <w:noProof/>
          </w:rPr>
          <w:t>40</w:t>
        </w:r>
      </w:fldSimple>
      <w:r w:rsidRPr="007F767A" w:rsidR="0012415F">
        <w:t>.  On 22 June 2005 three of the deceased, namely Cafer Cangöz, Berna Saygılı-Ünsal and Ökkeş Karaoğlu, were formally identified after an examination of their fingerprints w</w:t>
      </w:r>
      <w:r w:rsidRPr="007F767A" w:rsidR="0073588F">
        <w:t>as</w:t>
      </w:r>
      <w:r w:rsidRPr="007F767A" w:rsidR="0012415F">
        <w:t xml:space="preserve"> conducted at the Malatya Police Headquarters.</w:t>
      </w:r>
    </w:p>
    <w:p w:rsidRPr="007F767A" w:rsidR="0012415F" w:rsidP="007F767A" w:rsidRDefault="007F767A">
      <w:pPr>
        <w:pStyle w:val="ECHRPara"/>
      </w:pPr>
      <w:fldSimple w:instr=" SEQ level0 \*arabic ">
        <w:r w:rsidRPr="007F767A">
          <w:rPr>
            <w:noProof/>
          </w:rPr>
          <w:t>41</w:t>
        </w:r>
      </w:fldSimple>
      <w:r w:rsidRPr="007F767A" w:rsidR="0012415F">
        <w:t>.  </w:t>
      </w:r>
      <w:r w:rsidRPr="007F767A" w:rsidR="0031600F">
        <w:t>T</w:t>
      </w:r>
      <w:r w:rsidRPr="007F767A" w:rsidR="0012415F">
        <w:t xml:space="preserve">he same day </w:t>
      </w:r>
      <w:r w:rsidRPr="007F767A" w:rsidR="0031600F">
        <w:t xml:space="preserve">the Ovacık prosecutor was provided with the report pertaining to the </w:t>
      </w:r>
      <w:r w:rsidRPr="007F767A" w:rsidR="009F2802">
        <w:t xml:space="preserve">medical </w:t>
      </w:r>
      <w:r w:rsidRPr="007F767A" w:rsidR="0031600F">
        <w:t xml:space="preserve">examination of </w:t>
      </w:r>
      <w:r w:rsidRPr="007F767A" w:rsidR="009F2802">
        <w:t xml:space="preserve">the soldier who had been injured during the operation </w:t>
      </w:r>
      <w:r w:rsidRPr="007F767A" w:rsidR="0073588F">
        <w:t xml:space="preserve">and airlifted to hospital </w:t>
      </w:r>
      <w:r w:rsidRPr="007F767A" w:rsidR="009F2802">
        <w:t xml:space="preserve">(see paragraph </w:t>
      </w:r>
      <w:r w:rsidRPr="007F767A" w:rsidR="0067422E">
        <w:t>22</w:t>
      </w:r>
      <w:r w:rsidRPr="007F767A" w:rsidR="009F2802">
        <w:t xml:space="preserve"> above). According to the report, the soldier in question had </w:t>
      </w:r>
      <w:r w:rsidRPr="007F767A" w:rsidR="00F53C7F">
        <w:t xml:space="preserve">been kept in </w:t>
      </w:r>
      <w:r w:rsidRPr="007F767A" w:rsidR="0073588F">
        <w:t>a</w:t>
      </w:r>
      <w:r w:rsidRPr="007F767A" w:rsidR="000F6D51">
        <w:t xml:space="preserve"> military hospital in Elazığ between 18 and 30 June 2005</w:t>
      </w:r>
      <w:r w:rsidRPr="007F767A" w:rsidR="00B96347">
        <w:t xml:space="preserve"> for the</w:t>
      </w:r>
      <w:r w:rsidRPr="007F767A" w:rsidR="000F6D51">
        <w:t xml:space="preserve"> “injury to the skin</w:t>
      </w:r>
      <w:r w:rsidRPr="007F767A" w:rsidR="00B96347">
        <w:t xml:space="preserve"> </w:t>
      </w:r>
      <w:r w:rsidRPr="007F767A" w:rsidR="000D08FB">
        <w:t xml:space="preserve">of and a foreign object </w:t>
      </w:r>
      <w:r w:rsidRPr="007F767A" w:rsidR="00B96347">
        <w:t>on the left femur</w:t>
      </w:r>
      <w:r w:rsidRPr="007F767A" w:rsidR="001F14F6">
        <w:t>,</w:t>
      </w:r>
      <w:r w:rsidRPr="007F767A" w:rsidR="00B96347">
        <w:t xml:space="preserve"> which </w:t>
      </w:r>
      <w:r w:rsidRPr="007F767A" w:rsidR="00F53C7F">
        <w:t>is</w:t>
      </w:r>
      <w:r w:rsidRPr="007F767A" w:rsidR="00B96347">
        <w:t xml:space="preserve"> not life-threatening and which c</w:t>
      </w:r>
      <w:r w:rsidRPr="007F767A" w:rsidR="00F53C7F">
        <w:t>an</w:t>
      </w:r>
      <w:r w:rsidRPr="007F767A" w:rsidR="00B96347">
        <w:t xml:space="preserve"> be treated with a simple medical intervention”.</w:t>
      </w:r>
    </w:p>
    <w:p w:rsidRPr="007F767A" w:rsidR="00215A0B" w:rsidP="007F767A" w:rsidRDefault="007F767A">
      <w:pPr>
        <w:pStyle w:val="ECHRPara"/>
      </w:pPr>
      <w:fldSimple w:instr=" SEQ level0 \*arabic ">
        <w:r w:rsidRPr="007F767A">
          <w:rPr>
            <w:noProof/>
          </w:rPr>
          <w:t>42</w:t>
        </w:r>
      </w:fldSimple>
      <w:r w:rsidRPr="007F767A" w:rsidR="00B96347">
        <w:t>.  </w:t>
      </w:r>
      <w:r w:rsidRPr="007F767A" w:rsidR="00B9706E">
        <w:t xml:space="preserve">On </w:t>
      </w:r>
      <w:r w:rsidRPr="007F767A" w:rsidR="00403A44">
        <w:t>27 June 2005 three of the applicants, namely Ms Fatma Hanbayat, Mr Mustafa Cangöz and Ms İmiş Yıldız</w:t>
      </w:r>
      <w:r w:rsidRPr="007F767A" w:rsidR="00551059">
        <w:t>, assisted by their legal representatives,</w:t>
      </w:r>
      <w:r w:rsidRPr="007F767A" w:rsidR="00403A44">
        <w:t xml:space="preserve"> submitted a</w:t>
      </w:r>
      <w:r w:rsidRPr="007F767A" w:rsidR="00113FDA">
        <w:t>n official complaint</w:t>
      </w:r>
      <w:r w:rsidRPr="007F767A" w:rsidR="00403A44">
        <w:t xml:space="preserve"> </w:t>
      </w:r>
      <w:r w:rsidRPr="007F767A" w:rsidR="00551059">
        <w:t>to the Ovacık prosecutor</w:t>
      </w:r>
      <w:r w:rsidRPr="007F767A">
        <w:t>’</w:t>
      </w:r>
      <w:r w:rsidRPr="007F767A" w:rsidR="00551059">
        <w:t xml:space="preserve">s office. The three applicants </w:t>
      </w:r>
      <w:r w:rsidRPr="007F767A" w:rsidR="00B070EB">
        <w:t>alleged</w:t>
      </w:r>
      <w:r w:rsidRPr="007F767A" w:rsidR="003D4780">
        <w:t xml:space="preserve"> </w:t>
      </w:r>
      <w:r w:rsidRPr="007F767A" w:rsidR="00B070EB">
        <w:t xml:space="preserve">in their </w:t>
      </w:r>
      <w:r w:rsidRPr="007F767A" w:rsidR="001F14F6">
        <w:t>complaint</w:t>
      </w:r>
      <w:r w:rsidRPr="007F767A" w:rsidR="00B070EB">
        <w:t xml:space="preserve"> that </w:t>
      </w:r>
      <w:r w:rsidRPr="007F767A" w:rsidR="003D4780">
        <w:t>the</w:t>
      </w:r>
      <w:r w:rsidRPr="007F767A" w:rsidR="00B070EB">
        <w:t xml:space="preserve"> bodies of their three</w:t>
      </w:r>
      <w:r w:rsidRPr="007F767A" w:rsidR="00C3196D">
        <w:t xml:space="preserve"> </w:t>
      </w:r>
      <w:r w:rsidRPr="007F767A" w:rsidR="003D4780">
        <w:t xml:space="preserve">deceased relatives had been </w:t>
      </w:r>
      <w:r w:rsidRPr="007F767A" w:rsidR="00B070EB">
        <w:t>stripped of their clothes and displayed at the military base in Ovacık</w:t>
      </w:r>
      <w:r w:rsidRPr="007F767A" w:rsidR="003D4780">
        <w:t xml:space="preserve"> before they were taken to Malatya for autopsies. The</w:t>
      </w:r>
      <w:r w:rsidRPr="007F767A" w:rsidR="00215A0B">
        <w:t xml:space="preserve"> three applicants</w:t>
      </w:r>
      <w:r w:rsidRPr="007F767A" w:rsidR="003D4780">
        <w:t xml:space="preserve"> added that they had not seen the clothes </w:t>
      </w:r>
      <w:r w:rsidRPr="007F767A" w:rsidR="001F14F6">
        <w:t>since</w:t>
      </w:r>
      <w:r w:rsidRPr="007F767A" w:rsidR="003D4780">
        <w:t xml:space="preserve"> the autopsies. They submitted that </w:t>
      </w:r>
      <w:r w:rsidRPr="007F767A" w:rsidR="00F33CE5">
        <w:t xml:space="preserve">the way in which </w:t>
      </w:r>
      <w:r w:rsidRPr="007F767A" w:rsidR="003D4780">
        <w:t xml:space="preserve">their relatives had been killed must be established before the investigation could </w:t>
      </w:r>
      <w:r w:rsidRPr="007F767A" w:rsidR="008A2686">
        <w:t>proceed</w:t>
      </w:r>
      <w:r w:rsidRPr="007F767A" w:rsidR="003D4780">
        <w:t xml:space="preserve">. They maintained that a forensic examination on the clothes was </w:t>
      </w:r>
      <w:r w:rsidRPr="007F767A" w:rsidR="00215A0B">
        <w:t xml:space="preserve">crucial </w:t>
      </w:r>
      <w:r w:rsidRPr="007F767A" w:rsidR="003D4780">
        <w:t xml:space="preserve">and requested the prosecutor to ensure that </w:t>
      </w:r>
      <w:r w:rsidRPr="007F767A" w:rsidR="00215A0B">
        <w:t>it was done.</w:t>
      </w:r>
    </w:p>
    <w:p w:rsidRPr="007F767A" w:rsidR="003D4780" w:rsidP="007F767A" w:rsidRDefault="007F767A">
      <w:pPr>
        <w:pStyle w:val="ECHRPara"/>
      </w:pPr>
      <w:fldSimple w:instr=" SEQ level0 \*arabic ">
        <w:r w:rsidRPr="007F767A">
          <w:rPr>
            <w:noProof/>
          </w:rPr>
          <w:t>43</w:t>
        </w:r>
      </w:fldSimple>
      <w:r w:rsidRPr="007F767A" w:rsidR="003D4780">
        <w:t xml:space="preserve">.  In their </w:t>
      </w:r>
      <w:r w:rsidRPr="007F767A" w:rsidR="001F14F6">
        <w:t>complaint</w:t>
      </w:r>
      <w:r w:rsidRPr="007F767A" w:rsidR="003D4780">
        <w:t xml:space="preserve"> the three applicants </w:t>
      </w:r>
      <w:r w:rsidRPr="007F767A" w:rsidR="00062AC9">
        <w:t xml:space="preserve">also informed the prosecutor that there were “strong indications” that their relatives had been killed by </w:t>
      </w:r>
      <w:r w:rsidRPr="007F767A" w:rsidR="001F14F6">
        <w:t xml:space="preserve">being </w:t>
      </w:r>
      <w:r w:rsidRPr="007F767A" w:rsidR="00062AC9">
        <w:t>bomb</w:t>
      </w:r>
      <w:r w:rsidRPr="007F767A" w:rsidR="001F14F6">
        <w:t>ed</w:t>
      </w:r>
      <w:r w:rsidRPr="007F767A" w:rsidR="00062AC9">
        <w:t xml:space="preserve"> </w:t>
      </w:r>
      <w:r w:rsidRPr="007F767A" w:rsidR="00E82D90">
        <w:t>f</w:t>
      </w:r>
      <w:r w:rsidRPr="007F767A" w:rsidR="00062AC9">
        <w:t>rom a distance</w:t>
      </w:r>
      <w:r w:rsidRPr="007F767A" w:rsidR="00D811B7">
        <w:t>,</w:t>
      </w:r>
      <w:r w:rsidRPr="007F767A" w:rsidR="00062AC9">
        <w:t xml:space="preserve"> without any</w:t>
      </w:r>
      <w:r w:rsidRPr="007F767A" w:rsidR="00F33CE5">
        <w:t xml:space="preserve"> prior</w:t>
      </w:r>
      <w:r w:rsidRPr="007F767A" w:rsidR="00062AC9">
        <w:t xml:space="preserve"> warning</w:t>
      </w:r>
      <w:r w:rsidRPr="007F767A" w:rsidR="00F33CE5">
        <w:t xml:space="preserve"> </w:t>
      </w:r>
      <w:r w:rsidRPr="007F767A" w:rsidR="00062AC9">
        <w:t xml:space="preserve">and without any attempts </w:t>
      </w:r>
      <w:r w:rsidRPr="007F767A" w:rsidR="001F14F6">
        <w:t xml:space="preserve">being made </w:t>
      </w:r>
      <w:r w:rsidRPr="007F767A" w:rsidR="00062AC9">
        <w:t xml:space="preserve">to </w:t>
      </w:r>
      <w:r w:rsidRPr="007F767A" w:rsidR="0073588F">
        <w:t>ask for</w:t>
      </w:r>
      <w:r w:rsidRPr="007F767A" w:rsidR="00062AC9">
        <w:t xml:space="preserve"> their surrender. They asked the prosecutor to </w:t>
      </w:r>
      <w:r w:rsidRPr="007F767A" w:rsidR="00D811B7">
        <w:t xml:space="preserve">promptly </w:t>
      </w:r>
      <w:r w:rsidRPr="007F767A" w:rsidR="00062AC9">
        <w:t>carry out a</w:t>
      </w:r>
      <w:r w:rsidRPr="007F767A" w:rsidR="00D811B7">
        <w:t>n</w:t>
      </w:r>
      <w:r w:rsidRPr="007F767A" w:rsidR="00062AC9">
        <w:t xml:space="preserve"> impartial investigation and visit the area where the operation had been conducted. They also </w:t>
      </w:r>
      <w:r w:rsidRPr="007F767A" w:rsidR="008A2686">
        <w:t>requested</w:t>
      </w:r>
      <w:r w:rsidRPr="007F767A" w:rsidR="00062AC9">
        <w:t xml:space="preserve"> the prosecutor to carry out the necessary investigation into the </w:t>
      </w:r>
      <w:r w:rsidRPr="007F767A" w:rsidR="001F14F6">
        <w:t xml:space="preserve">removal of </w:t>
      </w:r>
      <w:r w:rsidRPr="007F767A" w:rsidR="00062AC9">
        <w:t>their relatives</w:t>
      </w:r>
      <w:r w:rsidRPr="007F767A">
        <w:t>’</w:t>
      </w:r>
      <w:r w:rsidRPr="007F767A" w:rsidR="00062AC9">
        <w:t xml:space="preserve"> clothes and </w:t>
      </w:r>
      <w:r w:rsidRPr="007F767A" w:rsidR="001F14F6">
        <w:t xml:space="preserve">the </w:t>
      </w:r>
      <w:r w:rsidRPr="007F767A" w:rsidR="00BD695E">
        <w:t xml:space="preserve">exhibiting </w:t>
      </w:r>
      <w:r w:rsidRPr="007F767A" w:rsidR="001F14F6">
        <w:t xml:space="preserve">of </w:t>
      </w:r>
      <w:r w:rsidRPr="007F767A" w:rsidR="00062AC9">
        <w:t>their bodies</w:t>
      </w:r>
      <w:r w:rsidRPr="007F767A" w:rsidR="001F14F6">
        <w:t>,</w:t>
      </w:r>
      <w:r w:rsidRPr="007F767A" w:rsidR="00062AC9">
        <w:t xml:space="preserve"> which, they argued, constituted an offence. Finally, the three applicants asked the prosecutor to give them a copy of the documents from the investigation file.</w:t>
      </w:r>
    </w:p>
    <w:p w:rsidRPr="007F767A" w:rsidR="00EB6C3D" w:rsidP="007F767A" w:rsidRDefault="007F767A">
      <w:pPr>
        <w:pStyle w:val="ECHRPara"/>
      </w:pPr>
      <w:fldSimple w:instr=" SEQ level0 \*arabic ">
        <w:r w:rsidRPr="007F767A">
          <w:rPr>
            <w:noProof/>
          </w:rPr>
          <w:t>44</w:t>
        </w:r>
      </w:fldSimple>
      <w:r w:rsidRPr="007F767A" w:rsidR="00C81C66">
        <w:t>.  </w:t>
      </w:r>
      <w:r w:rsidRPr="007F767A" w:rsidR="00356381">
        <w:t xml:space="preserve">When </w:t>
      </w:r>
      <w:r w:rsidRPr="007F767A" w:rsidR="00C81C66">
        <w:t xml:space="preserve">the Ovacık prosecutor </w:t>
      </w:r>
      <w:r w:rsidRPr="007F767A" w:rsidR="00356381">
        <w:t>received the applicants</w:t>
      </w:r>
      <w:r w:rsidRPr="007F767A">
        <w:t>’</w:t>
      </w:r>
      <w:r w:rsidRPr="007F767A" w:rsidR="00356381">
        <w:t xml:space="preserve"> complaint he </w:t>
      </w:r>
      <w:r w:rsidRPr="007F767A" w:rsidR="00C81C66">
        <w:t>wrote to the Ovacık Magistrates</w:t>
      </w:r>
      <w:r w:rsidRPr="007F767A">
        <w:t>’</w:t>
      </w:r>
      <w:r w:rsidRPr="007F767A" w:rsidR="00C81C66">
        <w:t xml:space="preserve"> Court </w:t>
      </w:r>
      <w:r w:rsidRPr="007F767A" w:rsidR="00831502">
        <w:t xml:space="preserve">the same day </w:t>
      </w:r>
      <w:r w:rsidRPr="007F767A" w:rsidR="00C81C66">
        <w:t xml:space="preserve">and </w:t>
      </w:r>
      <w:r w:rsidRPr="007F767A" w:rsidR="00AE70CE">
        <w:t xml:space="preserve">informed that court </w:t>
      </w:r>
      <w:r w:rsidRPr="007F767A" w:rsidR="00831502">
        <w:t>of</w:t>
      </w:r>
      <w:r w:rsidRPr="007F767A" w:rsidR="00AE70CE">
        <w:t xml:space="preserve"> his opinion</w:t>
      </w:r>
      <w:r w:rsidRPr="007F767A" w:rsidR="00831502">
        <w:t xml:space="preserve"> that</w:t>
      </w:r>
      <w:r w:rsidRPr="007F767A" w:rsidR="00AE70CE">
        <w:t xml:space="preserve"> “</w:t>
      </w:r>
      <w:r w:rsidRPr="007F767A" w:rsidR="00EB6C3D">
        <w:t>when tak</w:t>
      </w:r>
      <w:r w:rsidRPr="007F767A" w:rsidR="008A2686">
        <w:t>en</w:t>
      </w:r>
      <w:r w:rsidRPr="007F767A" w:rsidR="00EB6C3D">
        <w:t xml:space="preserve"> into account that [</w:t>
      </w:r>
      <w:r w:rsidRPr="007F767A" w:rsidR="00461C3B">
        <w:t xml:space="preserve">the </w:t>
      </w:r>
      <w:r w:rsidRPr="007F767A" w:rsidR="00EB6C3D">
        <w:t xml:space="preserve">three applicants] are related to the deceased members of the terrorist organisation, </w:t>
      </w:r>
      <w:r w:rsidRPr="007F767A" w:rsidR="0073588F">
        <w:t xml:space="preserve">handing over to </w:t>
      </w:r>
      <w:r w:rsidRPr="007F767A" w:rsidR="00EB6C3D">
        <w:t xml:space="preserve">them documents from the investigation file would endanger </w:t>
      </w:r>
      <w:r w:rsidRPr="007F767A" w:rsidR="00831502">
        <w:t xml:space="preserve">the </w:t>
      </w:r>
      <w:r w:rsidRPr="007F767A" w:rsidR="00EB6C3D">
        <w:t>investigation”. The prosecutor asked the Magistrates</w:t>
      </w:r>
      <w:r w:rsidRPr="007F767A">
        <w:t>’</w:t>
      </w:r>
      <w:r w:rsidRPr="007F767A" w:rsidR="00EB6C3D">
        <w:t xml:space="preserve"> Court to issue a decision classifying the investigation file </w:t>
      </w:r>
      <w:r w:rsidRPr="007F767A" w:rsidR="00356381">
        <w:t xml:space="preserve">as </w:t>
      </w:r>
      <w:r w:rsidRPr="007F767A" w:rsidR="00EB6C3D">
        <w:t>confidential so that neither the three applicants, their legal representatives</w:t>
      </w:r>
      <w:r w:rsidRPr="007F767A" w:rsidR="00356381">
        <w:t>,</w:t>
      </w:r>
      <w:r w:rsidRPr="007F767A" w:rsidR="00EB6C3D">
        <w:t xml:space="preserve"> or anyone else would be able to examine the </w:t>
      </w:r>
      <w:r w:rsidRPr="007F767A" w:rsidR="00831502">
        <w:t xml:space="preserve">investigation </w:t>
      </w:r>
      <w:r w:rsidRPr="007F767A" w:rsidR="00EB6C3D">
        <w:t xml:space="preserve">file or obtain any documents </w:t>
      </w:r>
      <w:r w:rsidRPr="007F767A" w:rsidR="008A2686">
        <w:t>from it</w:t>
      </w:r>
      <w:r w:rsidRPr="007F767A" w:rsidR="00356381">
        <w:t>,</w:t>
      </w:r>
      <w:r w:rsidRPr="007F767A" w:rsidR="008A2686">
        <w:t xml:space="preserve"> </w:t>
      </w:r>
      <w:r w:rsidRPr="007F767A" w:rsidR="00EB6C3D">
        <w:t xml:space="preserve">with the exception of </w:t>
      </w:r>
      <w:r w:rsidRPr="007F767A" w:rsidR="004463D0">
        <w:t xml:space="preserve">the </w:t>
      </w:r>
      <w:r w:rsidRPr="007F767A" w:rsidR="00EB6C3D">
        <w:t>autopsy reports.</w:t>
      </w:r>
    </w:p>
    <w:p w:rsidRPr="007F767A" w:rsidR="00062AC9" w:rsidP="007F767A" w:rsidRDefault="007F767A">
      <w:pPr>
        <w:pStyle w:val="ECHRPara"/>
      </w:pPr>
      <w:fldSimple w:instr=" SEQ level0 \*arabic ">
        <w:r w:rsidRPr="007F767A">
          <w:rPr>
            <w:noProof/>
          </w:rPr>
          <w:t>45</w:t>
        </w:r>
      </w:fldSimple>
      <w:r w:rsidRPr="007F767A" w:rsidR="00EB6C3D">
        <w:t>.  The prosecutor</w:t>
      </w:r>
      <w:r w:rsidRPr="007F767A">
        <w:t>’</w:t>
      </w:r>
      <w:r w:rsidRPr="007F767A" w:rsidR="00EB6C3D">
        <w:t xml:space="preserve">s </w:t>
      </w:r>
      <w:r w:rsidRPr="007F767A" w:rsidR="00831502">
        <w:t>r</w:t>
      </w:r>
      <w:r w:rsidRPr="007F767A" w:rsidR="00EB6C3D">
        <w:t xml:space="preserve">equest was </w:t>
      </w:r>
      <w:r w:rsidRPr="007F767A" w:rsidR="002A7504">
        <w:t>granted</w:t>
      </w:r>
      <w:r w:rsidRPr="007F767A" w:rsidR="004463D0">
        <w:t xml:space="preserve"> on</w:t>
      </w:r>
      <w:r w:rsidRPr="007F767A" w:rsidR="00EB6C3D">
        <w:t xml:space="preserve"> the same day by the Ovacık Magistrates</w:t>
      </w:r>
      <w:r w:rsidRPr="007F767A">
        <w:t>’</w:t>
      </w:r>
      <w:r w:rsidRPr="007F767A" w:rsidR="00EB6C3D">
        <w:t xml:space="preserve"> Court</w:t>
      </w:r>
      <w:r w:rsidRPr="007F767A" w:rsidR="00E10746">
        <w:t>. The same day the prosecutor forwarded the Magistrates</w:t>
      </w:r>
      <w:r w:rsidRPr="007F767A">
        <w:t>’</w:t>
      </w:r>
      <w:r w:rsidRPr="007F767A" w:rsidR="00E10746">
        <w:t xml:space="preserve"> Court</w:t>
      </w:r>
      <w:r w:rsidRPr="007F767A">
        <w:t>’</w:t>
      </w:r>
      <w:r w:rsidRPr="007F767A" w:rsidR="00E10746">
        <w:t xml:space="preserve">s decision to the </w:t>
      </w:r>
      <w:r w:rsidRPr="007F767A" w:rsidR="008A2686">
        <w:t xml:space="preserve">three </w:t>
      </w:r>
      <w:r w:rsidRPr="007F767A" w:rsidR="00E10746">
        <w:t>applicants and informed them that in the light of the Magistrates</w:t>
      </w:r>
      <w:r w:rsidRPr="007F767A">
        <w:t>’</w:t>
      </w:r>
      <w:r w:rsidRPr="007F767A" w:rsidR="00E10746">
        <w:t xml:space="preserve"> Court</w:t>
      </w:r>
      <w:r w:rsidRPr="007F767A">
        <w:t>’</w:t>
      </w:r>
      <w:r w:rsidRPr="007F767A" w:rsidR="00E10746">
        <w:t xml:space="preserve">s decision it was not possible </w:t>
      </w:r>
      <w:r w:rsidRPr="007F767A" w:rsidR="002A7504">
        <w:t xml:space="preserve">to </w:t>
      </w:r>
      <w:r w:rsidRPr="007F767A" w:rsidR="00E10746">
        <w:t xml:space="preserve">accede to their request and that he was therefore unable to give them any </w:t>
      </w:r>
      <w:r w:rsidRPr="007F767A" w:rsidR="00727D2C">
        <w:t xml:space="preserve">of the </w:t>
      </w:r>
      <w:r w:rsidRPr="007F767A" w:rsidR="00E10746">
        <w:t>documents from the file</w:t>
      </w:r>
      <w:r w:rsidRPr="007F767A" w:rsidR="002A7504">
        <w:t>,</w:t>
      </w:r>
      <w:r w:rsidRPr="007F767A" w:rsidR="00E10746">
        <w:t xml:space="preserve"> with the exception of the autopsy reports. The three applicants</w:t>
      </w:r>
      <w:r w:rsidRPr="007F767A">
        <w:t>’</w:t>
      </w:r>
      <w:r w:rsidRPr="007F767A" w:rsidR="00E10746">
        <w:t xml:space="preserve"> legal representatives were hande</w:t>
      </w:r>
      <w:r w:rsidRPr="007F767A" w:rsidR="004463D0">
        <w:t xml:space="preserve">d </w:t>
      </w:r>
      <w:r w:rsidRPr="007F767A" w:rsidR="00831502">
        <w:t>a copy of</w:t>
      </w:r>
      <w:r w:rsidRPr="007F767A" w:rsidR="004463D0">
        <w:t xml:space="preserve"> the autopsy reports the s</w:t>
      </w:r>
      <w:r w:rsidRPr="007F767A" w:rsidR="00E10746">
        <w:t>ame day.</w:t>
      </w:r>
    </w:p>
    <w:p w:rsidRPr="007F767A" w:rsidR="00E10746" w:rsidP="007F767A" w:rsidRDefault="007F767A">
      <w:pPr>
        <w:pStyle w:val="ECHRPara"/>
      </w:pPr>
      <w:fldSimple w:instr=" SEQ level0 \*arabic ">
        <w:r w:rsidRPr="007F767A">
          <w:rPr>
            <w:noProof/>
          </w:rPr>
          <w:t>46</w:t>
        </w:r>
      </w:fldSimple>
      <w:r w:rsidRPr="007F767A" w:rsidR="00E10746">
        <w:t>.  </w:t>
      </w:r>
      <w:r w:rsidRPr="007F767A" w:rsidR="00127866">
        <w:t xml:space="preserve">On 29 June 2005 the Ovacık prosecutor wrote to the Forensic </w:t>
      </w:r>
      <w:r w:rsidRPr="007F767A" w:rsidR="008A2686">
        <w:t>M</w:t>
      </w:r>
      <w:r w:rsidRPr="007F767A" w:rsidR="00127866">
        <w:t>edicine Institute</w:t>
      </w:r>
      <w:r w:rsidRPr="007F767A">
        <w:t>’</w:t>
      </w:r>
      <w:r w:rsidRPr="007F767A" w:rsidR="008A2686">
        <w:t>s headquarters</w:t>
      </w:r>
      <w:r w:rsidRPr="007F767A" w:rsidR="00127866">
        <w:t xml:space="preserve"> in Istanbul</w:t>
      </w:r>
      <w:r w:rsidRPr="007F767A" w:rsidR="002A7504">
        <w:t>, stating</w:t>
      </w:r>
      <w:r w:rsidRPr="007F767A" w:rsidR="00127866">
        <w:t xml:space="preserve"> that although autopsies had been carried out on the bodies of the seventeen at the Malatya Branch of the Forensic Institute, clothes belonging to some of the</w:t>
      </w:r>
      <w:r w:rsidRPr="007F767A" w:rsidR="00121327">
        <w:t xml:space="preserve"> deceased</w:t>
      </w:r>
      <w:r w:rsidRPr="007F767A" w:rsidR="00127866">
        <w:t xml:space="preserve"> had been returned to his office without examination</w:t>
      </w:r>
      <w:r w:rsidRPr="007F767A" w:rsidR="002A7504">
        <w:t xml:space="preserve">, because </w:t>
      </w:r>
      <w:r w:rsidRPr="007F767A" w:rsidR="00127866">
        <w:t xml:space="preserve">there </w:t>
      </w:r>
      <w:r w:rsidRPr="007F767A" w:rsidR="002A7504">
        <w:t xml:space="preserve">was no </w:t>
      </w:r>
      <w:r w:rsidRPr="007F767A" w:rsidR="00127866">
        <w:t xml:space="preserve">expert in Malatya </w:t>
      </w:r>
      <w:r w:rsidRPr="007F767A" w:rsidR="002A7504">
        <w:t xml:space="preserve">able </w:t>
      </w:r>
      <w:r w:rsidRPr="007F767A" w:rsidR="00127866">
        <w:t xml:space="preserve">to carry out that task. The prosecutor also informed the Institute </w:t>
      </w:r>
      <w:r w:rsidRPr="007F767A" w:rsidR="00461C3B">
        <w:t>about the allegation</w:t>
      </w:r>
      <w:r w:rsidRPr="007F767A" w:rsidR="00127866">
        <w:t xml:space="preserve"> </w:t>
      </w:r>
      <w:r w:rsidRPr="007F767A" w:rsidR="00461C3B">
        <w:t xml:space="preserve">made by the three applicants </w:t>
      </w:r>
      <w:r w:rsidRPr="007F767A" w:rsidR="00127866">
        <w:t>that the</w:t>
      </w:r>
      <w:r w:rsidRPr="007F767A" w:rsidR="004463D0">
        <w:t>ir relatives</w:t>
      </w:r>
      <w:r w:rsidRPr="007F767A" w:rsidR="00127866">
        <w:t xml:space="preserve"> might have been killed without a warning and </w:t>
      </w:r>
      <w:r w:rsidRPr="007F767A" w:rsidR="00A671CF">
        <w:t xml:space="preserve">added that the </w:t>
      </w:r>
      <w:r w:rsidRPr="007F767A" w:rsidR="00461C3B">
        <w:t>applicants</w:t>
      </w:r>
      <w:r w:rsidRPr="007F767A" w:rsidR="00A671CF">
        <w:t xml:space="preserve"> had </w:t>
      </w:r>
      <w:r w:rsidRPr="007F767A" w:rsidR="00461C3B">
        <w:t>request</w:t>
      </w:r>
      <w:r w:rsidRPr="007F767A" w:rsidR="00A671CF">
        <w:t>ed</w:t>
      </w:r>
      <w:r w:rsidRPr="007F767A" w:rsidR="00461C3B">
        <w:t xml:space="preserve"> </w:t>
      </w:r>
      <w:r w:rsidRPr="007F767A" w:rsidR="00127866">
        <w:t>that their relatives</w:t>
      </w:r>
      <w:r w:rsidRPr="007F767A">
        <w:t>’</w:t>
      </w:r>
      <w:r w:rsidRPr="007F767A" w:rsidR="00127866">
        <w:t xml:space="preserve"> clothes be </w:t>
      </w:r>
      <w:r w:rsidRPr="007F767A" w:rsidR="00A671CF">
        <w:t xml:space="preserve">forensically </w:t>
      </w:r>
      <w:r w:rsidRPr="007F767A" w:rsidR="00127866">
        <w:t xml:space="preserve">examined. With his letter the prosecutor </w:t>
      </w:r>
      <w:r w:rsidRPr="007F767A" w:rsidR="002A7504">
        <w:t xml:space="preserve">sent </w:t>
      </w:r>
      <w:r w:rsidRPr="007F767A" w:rsidR="00127866">
        <w:t>the clothes removed from the bodies of Cemal Çakmak, Cağdaş Can, Okan Ünsal and İbrahim Akdeniz</w:t>
      </w:r>
      <w:r w:rsidRPr="007F767A" w:rsidR="002A7504">
        <w:t>,</w:t>
      </w:r>
      <w:r w:rsidRPr="007F767A" w:rsidR="00127866">
        <w:t xml:space="preserve"> and asked the Institute to carry out the necessary examinations on them.</w:t>
      </w:r>
    </w:p>
    <w:p w:rsidRPr="007F767A" w:rsidR="00D33A31" w:rsidP="007F767A" w:rsidRDefault="007F767A">
      <w:pPr>
        <w:pStyle w:val="ECHRPara"/>
      </w:pPr>
      <w:fldSimple w:instr=" SEQ level0 \*arabic ">
        <w:r w:rsidRPr="007F767A">
          <w:rPr>
            <w:noProof/>
          </w:rPr>
          <w:t>47</w:t>
        </w:r>
      </w:fldSimple>
      <w:r w:rsidRPr="007F767A" w:rsidR="00127866">
        <w:t>.  </w:t>
      </w:r>
      <w:r w:rsidRPr="007F767A" w:rsidR="00C3196D">
        <w:t>On 1 July 2005 t</w:t>
      </w:r>
      <w:r w:rsidRPr="007F767A" w:rsidR="00127866">
        <w:t xml:space="preserve">he </w:t>
      </w:r>
      <w:r w:rsidRPr="007F767A" w:rsidR="00960CC6">
        <w:t xml:space="preserve">three applicants mentioned above (see </w:t>
      </w:r>
      <w:r w:rsidRPr="007F767A" w:rsidR="00C40694">
        <w:t>paragraph </w:t>
      </w:r>
      <w:r w:rsidRPr="007F767A" w:rsidR="0067422E">
        <w:t>42</w:t>
      </w:r>
      <w:r w:rsidRPr="007F767A" w:rsidR="00960CC6">
        <w:t xml:space="preserve">) lodged an objection </w:t>
      </w:r>
      <w:r w:rsidRPr="007F767A" w:rsidR="002A7504">
        <w:t>to</w:t>
      </w:r>
      <w:r w:rsidRPr="007F767A" w:rsidR="00960CC6">
        <w:t xml:space="preserve"> the Ovacık Magistrates</w:t>
      </w:r>
      <w:r w:rsidRPr="007F767A">
        <w:t>’</w:t>
      </w:r>
      <w:r w:rsidRPr="007F767A" w:rsidR="00960CC6">
        <w:t xml:space="preserve"> Court</w:t>
      </w:r>
      <w:r w:rsidRPr="007F767A">
        <w:t>’</w:t>
      </w:r>
      <w:r w:rsidRPr="007F767A" w:rsidR="00461C3B">
        <w:t>s</w:t>
      </w:r>
      <w:r w:rsidRPr="007F767A" w:rsidR="00960CC6">
        <w:t xml:space="preserve"> decision to restrict their access to the investigation file</w:t>
      </w:r>
      <w:r w:rsidRPr="007F767A" w:rsidR="0045082F">
        <w:t xml:space="preserve"> and asked for t</w:t>
      </w:r>
      <w:r w:rsidRPr="007F767A" w:rsidR="004463D0">
        <w:t>hat decision</w:t>
      </w:r>
      <w:r w:rsidRPr="007F767A" w:rsidR="0045082F">
        <w:t xml:space="preserve"> to be set aside.</w:t>
      </w:r>
      <w:r w:rsidRPr="007F767A" w:rsidR="00960CC6">
        <w:t xml:space="preserve"> </w:t>
      </w:r>
      <w:r w:rsidRPr="007F767A" w:rsidR="00045252">
        <w:t xml:space="preserve">In their </w:t>
      </w:r>
      <w:r w:rsidRPr="007F767A" w:rsidR="002A7504">
        <w:t>submission</w:t>
      </w:r>
      <w:r w:rsidRPr="007F767A" w:rsidR="00045252">
        <w:t xml:space="preserve"> t</w:t>
      </w:r>
      <w:r w:rsidRPr="007F767A" w:rsidR="00960CC6">
        <w:t>he</w:t>
      </w:r>
      <w:r w:rsidRPr="007F767A" w:rsidR="008E70C6">
        <w:t xml:space="preserve"> three applicants</w:t>
      </w:r>
      <w:r w:rsidRPr="007F767A" w:rsidR="00960CC6">
        <w:t xml:space="preserve"> </w:t>
      </w:r>
      <w:r w:rsidRPr="007F767A" w:rsidR="00045252">
        <w:t>added</w:t>
      </w:r>
      <w:r w:rsidRPr="007F767A" w:rsidR="00960CC6">
        <w:t xml:space="preserve"> that</w:t>
      </w:r>
      <w:r w:rsidRPr="007F767A" w:rsidR="00C3196D">
        <w:t xml:space="preserve"> they had spoken to the prosecutor and </w:t>
      </w:r>
      <w:r w:rsidRPr="007F767A" w:rsidR="00D33A31">
        <w:t xml:space="preserve">had </w:t>
      </w:r>
      <w:r w:rsidRPr="007F767A" w:rsidR="00C3196D">
        <w:t>repeated their request to have their deceased relatives</w:t>
      </w:r>
      <w:r w:rsidRPr="007F767A">
        <w:t>’</w:t>
      </w:r>
      <w:r w:rsidRPr="007F767A" w:rsidR="00C3196D">
        <w:t xml:space="preserve"> clothes forensically examined. However, the prosecutor had told them that the clothes had been “destroyed after the operation </w:t>
      </w:r>
      <w:r w:rsidRPr="007F767A" w:rsidR="001F776B">
        <w:t>because [the authorities] had deemed it necessary to do so”. The</w:t>
      </w:r>
      <w:r w:rsidRPr="007F767A" w:rsidR="00D33A31">
        <w:t xml:space="preserve"> three applicants</w:t>
      </w:r>
      <w:r w:rsidRPr="007F767A" w:rsidR="001F776B">
        <w:t xml:space="preserve"> </w:t>
      </w:r>
      <w:r w:rsidRPr="007F767A" w:rsidR="00A65ADF">
        <w:t xml:space="preserve">also stated </w:t>
      </w:r>
      <w:r w:rsidRPr="007F767A" w:rsidR="00D33A31">
        <w:t xml:space="preserve">in their </w:t>
      </w:r>
      <w:r w:rsidRPr="007F767A" w:rsidR="002A7504">
        <w:t>submission</w:t>
      </w:r>
      <w:r w:rsidRPr="007F767A" w:rsidR="00D33A31">
        <w:t xml:space="preserve"> </w:t>
      </w:r>
      <w:r w:rsidRPr="007F767A" w:rsidR="00A65ADF">
        <w:t xml:space="preserve">that all they needed were the documents </w:t>
      </w:r>
      <w:r w:rsidRPr="007F767A" w:rsidR="002A7504">
        <w:t xml:space="preserve">recording the actions </w:t>
      </w:r>
      <w:r w:rsidRPr="007F767A" w:rsidR="00A65ADF">
        <w:t>taken during the investigation</w:t>
      </w:r>
      <w:r w:rsidRPr="007F767A" w:rsidR="00D33A31">
        <w:t>,</w:t>
      </w:r>
      <w:r w:rsidRPr="007F767A" w:rsidR="00A65ADF">
        <w:t xml:space="preserve"> and not any of the documents </w:t>
      </w:r>
      <w:r w:rsidRPr="007F767A" w:rsidR="00045252">
        <w:t xml:space="preserve">pertaining to </w:t>
      </w:r>
      <w:r w:rsidRPr="007F767A" w:rsidR="00A65ADF">
        <w:t>the organisation of the military operation. They argued that they needed those documents</w:t>
      </w:r>
      <w:r w:rsidRPr="007F767A" w:rsidR="00017ADA">
        <w:t xml:space="preserve"> to exercise their statutory right to effectively participate in the investigation.</w:t>
      </w:r>
      <w:r w:rsidRPr="007F767A" w:rsidR="00972B48">
        <w:t xml:space="preserve"> </w:t>
      </w:r>
      <w:r w:rsidRPr="007F767A" w:rsidR="00017ADA">
        <w:t xml:space="preserve">Furthermore, when the facts were known by the perpetrators and </w:t>
      </w:r>
      <w:r w:rsidRPr="007F767A" w:rsidR="00727D2C">
        <w:t xml:space="preserve">by </w:t>
      </w:r>
      <w:r w:rsidRPr="007F767A" w:rsidR="00017ADA">
        <w:t xml:space="preserve">the prosecutors, hiding those same facts from the complainants was not compatible with the principle of equality of arms. It was thus evident that an investigation </w:t>
      </w:r>
      <w:r w:rsidRPr="007F767A" w:rsidR="00D33A31">
        <w:t xml:space="preserve">conducted </w:t>
      </w:r>
      <w:r w:rsidRPr="007F767A" w:rsidR="00727D2C">
        <w:t xml:space="preserve">solely </w:t>
      </w:r>
      <w:r w:rsidRPr="007F767A" w:rsidR="00D33A31">
        <w:t>on the basis of the</w:t>
      </w:r>
      <w:r w:rsidRPr="007F767A" w:rsidR="00017ADA">
        <w:t xml:space="preserve"> documents prepared by the perpetrators, the contents of which were not know</w:t>
      </w:r>
      <w:r w:rsidRPr="007F767A" w:rsidR="00D33A31">
        <w:t xml:space="preserve">n </w:t>
      </w:r>
      <w:r w:rsidRPr="007F767A" w:rsidR="00E82D90">
        <w:t>to</w:t>
      </w:r>
      <w:r w:rsidRPr="007F767A" w:rsidR="00D33A31">
        <w:t xml:space="preserve"> them</w:t>
      </w:r>
      <w:r w:rsidRPr="007F767A" w:rsidR="00017ADA">
        <w:t xml:space="preserve"> and could thus not </w:t>
      </w:r>
      <w:r w:rsidRPr="007F767A" w:rsidR="00045252">
        <w:t xml:space="preserve">be </w:t>
      </w:r>
      <w:r w:rsidRPr="007F767A" w:rsidR="00017ADA">
        <w:t xml:space="preserve">challenged, would not lead to a </w:t>
      </w:r>
      <w:r w:rsidRPr="007F767A" w:rsidR="005D0DFC">
        <w:t>fair</w:t>
      </w:r>
      <w:r w:rsidRPr="007F767A" w:rsidR="00017ADA">
        <w:t xml:space="preserve"> conclusion.</w:t>
      </w:r>
    </w:p>
    <w:p w:rsidRPr="007F767A" w:rsidR="00A51BDE" w:rsidP="007F767A" w:rsidRDefault="007F767A">
      <w:pPr>
        <w:pStyle w:val="ECHRPara"/>
      </w:pPr>
      <w:fldSimple w:instr=" SEQ level0 \*arabic ">
        <w:r w:rsidRPr="007F767A">
          <w:rPr>
            <w:noProof/>
          </w:rPr>
          <w:t>48</w:t>
        </w:r>
      </w:fldSimple>
      <w:r w:rsidRPr="007F767A" w:rsidR="00D33A31">
        <w:t>.  </w:t>
      </w:r>
      <w:r w:rsidRPr="007F767A" w:rsidR="00017ADA">
        <w:t>The applicants also challenged the logic behind the decision to restrict their access to the investigation file</w:t>
      </w:r>
      <w:r w:rsidRPr="007F767A" w:rsidR="002A7504">
        <w:t>,</w:t>
      </w:r>
      <w:r w:rsidRPr="007F767A" w:rsidR="00017ADA">
        <w:t xml:space="preserve"> and questioned how their involvement in the investigation, </w:t>
      </w:r>
      <w:r w:rsidRPr="007F767A" w:rsidR="00D33A31">
        <w:t xml:space="preserve">the </w:t>
      </w:r>
      <w:r w:rsidRPr="007F767A" w:rsidR="00017ADA">
        <w:t xml:space="preserve">aim </w:t>
      </w:r>
      <w:r w:rsidRPr="007F767A" w:rsidR="00D33A31">
        <w:t>of which was</w:t>
      </w:r>
      <w:r w:rsidRPr="007F767A" w:rsidR="00017ADA">
        <w:t xml:space="preserve"> to establish </w:t>
      </w:r>
      <w:r w:rsidRPr="007F767A" w:rsidR="00C20327">
        <w:t xml:space="preserve">the </w:t>
      </w:r>
      <w:r w:rsidRPr="007F767A" w:rsidR="00017ADA">
        <w:t xml:space="preserve">facts, would endanger it. They submitted that some </w:t>
      </w:r>
      <w:r w:rsidRPr="007F767A" w:rsidR="00727D2C">
        <w:t xml:space="preserve">of the </w:t>
      </w:r>
      <w:r w:rsidRPr="007F767A" w:rsidR="00017ADA">
        <w:t>evidence</w:t>
      </w:r>
      <w:r w:rsidRPr="007F767A" w:rsidR="00D33A31">
        <w:t>,</w:t>
      </w:r>
      <w:r w:rsidRPr="007F767A" w:rsidR="00017ADA">
        <w:t xml:space="preserve"> such as the clothes worn by their relatives</w:t>
      </w:r>
      <w:r w:rsidRPr="007F767A" w:rsidR="00D33A31">
        <w:t>,</w:t>
      </w:r>
      <w:r w:rsidRPr="007F767A" w:rsidR="00017ADA">
        <w:t xml:space="preserve"> had already been destroyed </w:t>
      </w:r>
      <w:r w:rsidRPr="007F767A" w:rsidR="00727D2C">
        <w:t xml:space="preserve">on the orders of </w:t>
      </w:r>
      <w:r w:rsidRPr="007F767A" w:rsidR="00017ADA">
        <w:t xml:space="preserve">the prosecutor. The applicants considered it </w:t>
      </w:r>
      <w:r w:rsidRPr="007F767A" w:rsidR="00C902FB">
        <w:t>telling</w:t>
      </w:r>
      <w:r w:rsidRPr="007F767A" w:rsidR="00017ADA">
        <w:t xml:space="preserve"> that the clothes of those killed by </w:t>
      </w:r>
      <w:r w:rsidRPr="007F767A" w:rsidR="00045252">
        <w:t>explosives</w:t>
      </w:r>
      <w:r w:rsidRPr="007F767A" w:rsidR="00017ADA">
        <w:t xml:space="preserve"> had been sent for forensic examinations </w:t>
      </w:r>
      <w:r w:rsidRPr="007F767A" w:rsidR="00D33A31">
        <w:t>whereas</w:t>
      </w:r>
      <w:r w:rsidRPr="007F767A" w:rsidR="00017ADA">
        <w:t xml:space="preserve"> the clothes worn by those killed by bullets had </w:t>
      </w:r>
      <w:r w:rsidRPr="007F767A" w:rsidR="00C20327">
        <w:t xml:space="preserve">been </w:t>
      </w:r>
      <w:r w:rsidRPr="007F767A" w:rsidR="00017ADA">
        <w:t>destroyed</w:t>
      </w:r>
      <w:r w:rsidRPr="007F767A" w:rsidR="000A5300">
        <w:t xml:space="preserve">. </w:t>
      </w:r>
      <w:r w:rsidRPr="007F767A" w:rsidR="00D33A31">
        <w:t>They argued that t</w:t>
      </w:r>
      <w:r w:rsidRPr="007F767A" w:rsidR="000A5300">
        <w:t>hose destroyed clothes could have been instrumental in establishing the distance from which the deceased had been shot.</w:t>
      </w:r>
      <w:r w:rsidRPr="007F767A" w:rsidR="0045082F">
        <w:t xml:space="preserve"> </w:t>
      </w:r>
      <w:r w:rsidRPr="007F767A" w:rsidR="00C23E14">
        <w:t>They complained, m</w:t>
      </w:r>
      <w:r w:rsidRPr="007F767A" w:rsidR="0045082F">
        <w:t xml:space="preserve">oreover, </w:t>
      </w:r>
      <w:r w:rsidRPr="007F767A" w:rsidR="00C23E14">
        <w:t xml:space="preserve">that </w:t>
      </w:r>
      <w:r w:rsidRPr="007F767A" w:rsidR="0045082F">
        <w:t xml:space="preserve">the prosecutor had still not visited the place where the </w:t>
      </w:r>
      <w:r w:rsidRPr="007F767A" w:rsidR="00287E80">
        <w:t>operation had been conducted</w:t>
      </w:r>
      <w:r w:rsidRPr="007F767A" w:rsidR="0045082F">
        <w:t xml:space="preserve">; thus, there were serious questions about the way the evidence from that place </w:t>
      </w:r>
      <w:r w:rsidRPr="007F767A" w:rsidR="00727D2C">
        <w:t>had been</w:t>
      </w:r>
      <w:r w:rsidRPr="007F767A" w:rsidR="0045082F">
        <w:t xml:space="preserve"> collected. </w:t>
      </w:r>
      <w:r w:rsidRPr="007F767A" w:rsidR="002A7504">
        <w:t>Lastly</w:t>
      </w:r>
      <w:r w:rsidRPr="007F767A" w:rsidR="0045082F">
        <w:t>, the applicants referred to Articles 2 and 13 of the Convention and</w:t>
      </w:r>
      <w:r w:rsidRPr="007F767A" w:rsidR="00287E80">
        <w:t xml:space="preserve"> Paragraph 16 of the Principles on the Effective Prevention and Investigation of Extra-legal, Arbitrary and Summary Executions (adopted by Economic and Social Council Resolution 1989/65 on 24 May 1989) and</w:t>
      </w:r>
      <w:r w:rsidRPr="007F767A" w:rsidR="0045082F">
        <w:t xml:space="preserve"> argued that their exclusion from the investigation was in breach of those provisions.</w:t>
      </w:r>
    </w:p>
    <w:p w:rsidRPr="007F767A" w:rsidR="00490527" w:rsidP="007F767A" w:rsidRDefault="007F767A">
      <w:pPr>
        <w:pStyle w:val="ECHRPara"/>
      </w:pPr>
      <w:fldSimple w:instr=" SEQ level0 \*arabic ">
        <w:r w:rsidRPr="007F767A">
          <w:rPr>
            <w:noProof/>
          </w:rPr>
          <w:t>49</w:t>
        </w:r>
      </w:fldSimple>
      <w:r w:rsidRPr="007F767A" w:rsidR="008E70C6">
        <w:t>.  </w:t>
      </w:r>
      <w:r w:rsidRPr="007F767A" w:rsidR="00490527">
        <w:t>The objection was rejected by the Tunceli Criminal Court of First Instance on 20 July 2005.</w:t>
      </w:r>
    </w:p>
    <w:p w:rsidRPr="007F767A" w:rsidR="003419D0" w:rsidP="007F767A" w:rsidRDefault="007F767A">
      <w:pPr>
        <w:pStyle w:val="ECHRPara"/>
      </w:pPr>
      <w:fldSimple w:instr=" SEQ level0 \*arabic ">
        <w:r w:rsidRPr="007F767A">
          <w:rPr>
            <w:noProof/>
          </w:rPr>
          <w:t>50</w:t>
        </w:r>
      </w:fldSimple>
      <w:r w:rsidRPr="007F767A" w:rsidR="00D33A31">
        <w:t>.  Also on 1 July 2005</w:t>
      </w:r>
      <w:r w:rsidRPr="007F767A" w:rsidR="00B704F8">
        <w:t>,</w:t>
      </w:r>
      <w:r w:rsidRPr="007F767A" w:rsidR="00D33A31">
        <w:t xml:space="preserve"> the Forensic Laboratories of the Police in Diyarbakır published </w:t>
      </w:r>
      <w:r w:rsidRPr="007F767A" w:rsidR="003569A2">
        <w:t>their</w:t>
      </w:r>
      <w:r w:rsidRPr="007F767A" w:rsidR="00D33A31">
        <w:t xml:space="preserve"> reports on the swabs taken from the hands of the seventeen deceased. According to the report, there </w:t>
      </w:r>
      <w:r w:rsidRPr="007F767A" w:rsidR="00BD10ED">
        <w:t>was</w:t>
      </w:r>
      <w:r w:rsidRPr="007F767A" w:rsidR="00D33A31">
        <w:t xml:space="preserve"> gunpowder residue </w:t>
      </w:r>
      <w:r w:rsidRPr="007F767A" w:rsidR="002A7504">
        <w:t>on</w:t>
      </w:r>
      <w:r w:rsidRPr="007F767A" w:rsidR="00D33A31">
        <w:t xml:space="preserve"> the </w:t>
      </w:r>
      <w:r w:rsidRPr="007F767A" w:rsidR="009C6D41">
        <w:t xml:space="preserve">palms and </w:t>
      </w:r>
      <w:r w:rsidRPr="007F767A" w:rsidR="002A7504">
        <w:t xml:space="preserve">the </w:t>
      </w:r>
      <w:r w:rsidRPr="007F767A" w:rsidR="009C6D41">
        <w:t xml:space="preserve">backs of the </w:t>
      </w:r>
      <w:r w:rsidRPr="007F767A" w:rsidR="00D33A31">
        <w:t xml:space="preserve">hands of </w:t>
      </w:r>
      <w:r w:rsidRPr="007F767A" w:rsidR="00992339">
        <w:t xml:space="preserve">the </w:t>
      </w:r>
      <w:r w:rsidRPr="007F767A" w:rsidR="00D33A31">
        <w:t>sixteen</w:t>
      </w:r>
      <w:r w:rsidRPr="007F767A" w:rsidR="00727D2C">
        <w:t xml:space="preserve"> </w:t>
      </w:r>
      <w:r w:rsidRPr="007F767A" w:rsidR="00D506E3">
        <w:t xml:space="preserve">of the seventeen </w:t>
      </w:r>
      <w:r w:rsidRPr="007F767A" w:rsidR="00727D2C">
        <w:t>relatives</w:t>
      </w:r>
      <w:r w:rsidRPr="007F767A" w:rsidR="009C6D41">
        <w:t xml:space="preserve">. </w:t>
      </w:r>
      <w:r w:rsidRPr="007F767A" w:rsidR="00796502">
        <w:t xml:space="preserve">It was stated in the report that </w:t>
      </w:r>
      <w:r w:rsidRPr="007F767A" w:rsidR="00E007F8">
        <w:t xml:space="preserve">the </w:t>
      </w:r>
      <w:r w:rsidRPr="007F767A" w:rsidR="00796502">
        <w:t>p</w:t>
      </w:r>
      <w:r w:rsidRPr="007F767A" w:rsidR="009C6D41">
        <w:t>resence of gunpowder residue on the backs of the hands mean</w:t>
      </w:r>
      <w:r w:rsidRPr="007F767A" w:rsidR="00796502">
        <w:t>t</w:t>
      </w:r>
      <w:r w:rsidRPr="007F767A" w:rsidR="009C6D41">
        <w:t xml:space="preserve"> that the person had either fired a </w:t>
      </w:r>
      <w:r w:rsidRPr="007F767A" w:rsidR="002A7504">
        <w:t>weapon</w:t>
      </w:r>
      <w:r w:rsidRPr="007F767A" w:rsidR="009C6D41">
        <w:t xml:space="preserve"> or </w:t>
      </w:r>
      <w:r w:rsidRPr="007F767A" w:rsidR="002A7504">
        <w:t>been</w:t>
      </w:r>
      <w:r w:rsidRPr="007F767A" w:rsidR="009C6D41">
        <w:t xml:space="preserve"> in close proximity to a </w:t>
      </w:r>
      <w:r w:rsidRPr="007F767A" w:rsidR="002A7504">
        <w:t>weapon</w:t>
      </w:r>
      <w:r w:rsidRPr="007F767A" w:rsidR="009C6D41">
        <w:t xml:space="preserve"> </w:t>
      </w:r>
      <w:r w:rsidRPr="007F767A" w:rsidR="00E007F8">
        <w:t>when it was fired</w:t>
      </w:r>
      <w:r w:rsidRPr="007F767A" w:rsidR="009C6D41">
        <w:t>.</w:t>
      </w:r>
      <w:r w:rsidRPr="007F767A" w:rsidR="00796502">
        <w:t xml:space="preserve"> </w:t>
      </w:r>
      <w:r w:rsidRPr="007F767A" w:rsidR="002A7504">
        <w:t>The p</w:t>
      </w:r>
      <w:r w:rsidRPr="007F767A" w:rsidR="00796502">
        <w:t>resence of gunpowder residue</w:t>
      </w:r>
      <w:r w:rsidRPr="007F767A" w:rsidR="002A7504">
        <w:t xml:space="preserve"> on </w:t>
      </w:r>
      <w:r w:rsidRPr="007F767A" w:rsidR="00796502">
        <w:t xml:space="preserve">the palm of the hand meant that the person had either been holding a </w:t>
      </w:r>
      <w:r w:rsidRPr="007F767A" w:rsidR="002A7504">
        <w:t>weapon</w:t>
      </w:r>
      <w:r w:rsidRPr="007F767A" w:rsidR="00796502">
        <w:t xml:space="preserve"> or had </w:t>
      </w:r>
      <w:r w:rsidRPr="007F767A" w:rsidR="002A7504">
        <w:t xml:space="preserve">had </w:t>
      </w:r>
      <w:r w:rsidRPr="007F767A" w:rsidR="00796502">
        <w:t>contact</w:t>
      </w:r>
      <w:r w:rsidRPr="007F767A" w:rsidR="002A7504">
        <w:t xml:space="preserve"> with </w:t>
      </w:r>
      <w:r w:rsidRPr="007F767A" w:rsidR="00796502">
        <w:t xml:space="preserve">objects </w:t>
      </w:r>
      <w:r w:rsidRPr="007F767A" w:rsidR="002A7504">
        <w:t xml:space="preserve">on which </w:t>
      </w:r>
      <w:r w:rsidRPr="007F767A" w:rsidR="00796502">
        <w:t xml:space="preserve">there </w:t>
      </w:r>
      <w:r w:rsidRPr="007F767A" w:rsidR="002A7504">
        <w:t>was</w:t>
      </w:r>
      <w:r w:rsidRPr="007F767A" w:rsidR="00796502">
        <w:t xml:space="preserve"> gunpowder residue</w:t>
      </w:r>
      <w:r w:rsidRPr="007F767A" w:rsidR="00E007F8">
        <w:t>,</w:t>
      </w:r>
      <w:r w:rsidRPr="007F767A" w:rsidR="00796502">
        <w:t xml:space="preserve"> or that he or she had been standing close to a </w:t>
      </w:r>
      <w:r w:rsidRPr="007F767A" w:rsidR="002A7504">
        <w:t>weapon</w:t>
      </w:r>
      <w:r w:rsidRPr="007F767A" w:rsidR="00796502">
        <w:t xml:space="preserve"> when it was fired. </w:t>
      </w:r>
      <w:r w:rsidRPr="007F767A" w:rsidR="00DD534F">
        <w:t xml:space="preserve">It was stated in the same report that gunpowder residue could be found on the hand of </w:t>
      </w:r>
      <w:r w:rsidRPr="007F767A" w:rsidR="00BD10ED">
        <w:t xml:space="preserve">a </w:t>
      </w:r>
      <w:r w:rsidRPr="007F767A" w:rsidR="00DD534F">
        <w:t xml:space="preserve">person who </w:t>
      </w:r>
      <w:r w:rsidRPr="007F767A" w:rsidR="00BD10ED">
        <w:t xml:space="preserve">had </w:t>
      </w:r>
      <w:r w:rsidRPr="007F767A" w:rsidR="00DD534F">
        <w:t>not fire</w:t>
      </w:r>
      <w:r w:rsidRPr="007F767A" w:rsidR="00BD10ED">
        <w:t>d a</w:t>
      </w:r>
      <w:r w:rsidRPr="007F767A" w:rsidR="00DD534F">
        <w:t xml:space="preserve"> weapon but whose hand</w:t>
      </w:r>
      <w:r w:rsidRPr="007F767A" w:rsidR="00BD10ED">
        <w:t xml:space="preserve"> had been in </w:t>
      </w:r>
      <w:r w:rsidRPr="007F767A" w:rsidR="00DD534F">
        <w:t>contact</w:t>
      </w:r>
      <w:r w:rsidRPr="007F767A" w:rsidR="00BD10ED">
        <w:t xml:space="preserve"> with </w:t>
      </w:r>
      <w:r w:rsidRPr="007F767A" w:rsidR="00DD534F">
        <w:t>objects such as a weapon</w:t>
      </w:r>
      <w:r w:rsidRPr="007F767A" w:rsidR="00E007F8">
        <w:t xml:space="preserve">, a </w:t>
      </w:r>
      <w:r w:rsidRPr="007F767A" w:rsidR="00DD534F">
        <w:t>bullet entry wound</w:t>
      </w:r>
      <w:r w:rsidRPr="007F767A" w:rsidR="00BD10ED">
        <w:t>,</w:t>
      </w:r>
      <w:r w:rsidRPr="007F767A" w:rsidR="00DD534F">
        <w:t xml:space="preserve"> or the hands of another person who</w:t>
      </w:r>
      <w:r w:rsidRPr="007F767A" w:rsidR="00BF07A9">
        <w:t xml:space="preserve"> had</w:t>
      </w:r>
      <w:r w:rsidRPr="007F767A" w:rsidR="00DD534F">
        <w:t xml:space="preserve"> fired a weapon.</w:t>
      </w:r>
    </w:p>
    <w:p w:rsidRPr="007F767A" w:rsidR="00AD7A3A" w:rsidP="007F767A" w:rsidRDefault="007F767A">
      <w:pPr>
        <w:pStyle w:val="ECHRPara"/>
      </w:pPr>
      <w:fldSimple w:instr=" SEQ level0 \*arabic ">
        <w:r w:rsidRPr="007F767A">
          <w:rPr>
            <w:noProof/>
          </w:rPr>
          <w:t>51</w:t>
        </w:r>
      </w:fldSimple>
      <w:r w:rsidRPr="007F767A" w:rsidR="00992339">
        <w:t>.  </w:t>
      </w:r>
      <w:r w:rsidRPr="007F767A" w:rsidR="00B704F8">
        <w:t xml:space="preserve">On 6 July 2005 </w:t>
      </w:r>
      <w:r w:rsidRPr="007F767A" w:rsidR="00AB29D7">
        <w:t xml:space="preserve">sixteen </w:t>
      </w:r>
      <w:r w:rsidRPr="007F767A" w:rsidR="00ED1D09">
        <w:t>relatives</w:t>
      </w:r>
      <w:r w:rsidRPr="007F767A" w:rsidR="00AB29D7">
        <w:t>,</w:t>
      </w:r>
      <w:r w:rsidRPr="007F767A" w:rsidR="00BF07A9">
        <w:t xml:space="preserve"> </w:t>
      </w:r>
      <w:r w:rsidRPr="007F767A" w:rsidR="00AB29D7">
        <w:t>includ</w:t>
      </w:r>
      <w:r w:rsidRPr="007F767A" w:rsidR="00703709">
        <w:t>ing</w:t>
      </w:r>
      <w:r w:rsidRPr="007F767A" w:rsidR="00AB29D7">
        <w:t xml:space="preserve"> fourteen of the applicants, </w:t>
      </w:r>
      <w:r w:rsidRPr="007F767A" w:rsidR="00ED1D09">
        <w:t xml:space="preserve">submitted a </w:t>
      </w:r>
      <w:r w:rsidRPr="007F767A" w:rsidR="00DC5316">
        <w:t xml:space="preserve">complaint </w:t>
      </w:r>
      <w:r w:rsidRPr="007F767A" w:rsidR="00ED1D09">
        <w:t>to the Ovacık prosecutor</w:t>
      </w:r>
      <w:r w:rsidRPr="007F767A" w:rsidR="00D4224E">
        <w:t xml:space="preserve"> with the assistance of their legal representatives</w:t>
      </w:r>
      <w:r w:rsidRPr="007F767A" w:rsidR="00A90706">
        <w:t>.</w:t>
      </w:r>
    </w:p>
    <w:p w:rsidRPr="007F767A" w:rsidR="007853DA" w:rsidP="007F767A" w:rsidRDefault="007F767A">
      <w:pPr>
        <w:pStyle w:val="ECHRPara"/>
      </w:pPr>
      <w:fldSimple w:instr=" SEQ level0 \*arabic ">
        <w:r w:rsidRPr="007F767A">
          <w:rPr>
            <w:noProof/>
          </w:rPr>
          <w:t>52</w:t>
        </w:r>
      </w:fldSimple>
      <w:r w:rsidRPr="007F767A" w:rsidR="001B2E36">
        <w:t>.  </w:t>
      </w:r>
      <w:r w:rsidRPr="007F767A" w:rsidR="00636823">
        <w:t xml:space="preserve">The relatives began by stating that the arguments they were making in their </w:t>
      </w:r>
      <w:r w:rsidRPr="007F767A" w:rsidR="00BD10ED">
        <w:t>complaint</w:t>
      </w:r>
      <w:r w:rsidRPr="007F767A" w:rsidR="00636823">
        <w:t xml:space="preserve"> were inevitably based only on the autopsy reports and the things they had heard or </w:t>
      </w:r>
      <w:r w:rsidRPr="007F767A" w:rsidR="008D4C3C">
        <w:t>witnessed</w:t>
      </w:r>
      <w:r w:rsidRPr="007F767A" w:rsidR="00636823">
        <w:t xml:space="preserve"> personally; as the</w:t>
      </w:r>
      <w:r w:rsidRPr="007F767A" w:rsidR="009611DC">
        <w:t xml:space="preserve">y had been denied </w:t>
      </w:r>
      <w:r w:rsidRPr="007F767A" w:rsidR="00636823">
        <w:t xml:space="preserve">access to the investigation they </w:t>
      </w:r>
      <w:r w:rsidRPr="007F767A" w:rsidR="008D4C3C">
        <w:t>had</w:t>
      </w:r>
      <w:r w:rsidRPr="007F767A" w:rsidR="00636823">
        <w:t xml:space="preserve"> not ha</w:t>
      </w:r>
      <w:r w:rsidRPr="007F767A" w:rsidR="008D4C3C">
        <w:t>d</w:t>
      </w:r>
      <w:r w:rsidRPr="007F767A" w:rsidR="00636823">
        <w:t xml:space="preserve"> the opportunity to </w:t>
      </w:r>
      <w:r w:rsidRPr="007F767A" w:rsidR="009611DC">
        <w:t>see</w:t>
      </w:r>
      <w:r w:rsidRPr="007F767A" w:rsidR="00636823">
        <w:t xml:space="preserve"> any of the evidence or </w:t>
      </w:r>
      <w:r w:rsidRPr="007F767A" w:rsidR="008D4C3C">
        <w:t xml:space="preserve">the </w:t>
      </w:r>
      <w:r w:rsidRPr="007F767A" w:rsidR="00636823">
        <w:t>information in the prosecutor</w:t>
      </w:r>
      <w:r w:rsidRPr="007F767A">
        <w:t>’</w:t>
      </w:r>
      <w:r w:rsidRPr="007F767A" w:rsidR="00636823">
        <w:t xml:space="preserve">s file. </w:t>
      </w:r>
      <w:r w:rsidRPr="007F767A" w:rsidR="00A04D69">
        <w:t xml:space="preserve">In their </w:t>
      </w:r>
      <w:r w:rsidRPr="007F767A" w:rsidR="009611DC">
        <w:t xml:space="preserve">submission </w:t>
      </w:r>
      <w:r w:rsidRPr="007F767A" w:rsidR="00A04D69">
        <w:t>t</w:t>
      </w:r>
      <w:r w:rsidRPr="007F767A" w:rsidR="00636823">
        <w:t xml:space="preserve">hey </w:t>
      </w:r>
      <w:r w:rsidRPr="007F767A" w:rsidR="00A90706">
        <w:t xml:space="preserve">complained about the killings of their relatives and about the </w:t>
      </w:r>
      <w:r w:rsidRPr="007F767A" w:rsidR="00D703AF">
        <w:t xml:space="preserve">public </w:t>
      </w:r>
      <w:r w:rsidRPr="007F767A" w:rsidR="00A90706">
        <w:t>displaying of the bodies by the security forces.</w:t>
      </w:r>
      <w:r w:rsidRPr="007F767A" w:rsidR="00636823">
        <w:t xml:space="preserve"> </w:t>
      </w:r>
      <w:r w:rsidRPr="007F767A" w:rsidR="00AB29D7">
        <w:t>The</w:t>
      </w:r>
      <w:r w:rsidRPr="007F767A" w:rsidR="007853DA">
        <w:t xml:space="preserve"> relatives</w:t>
      </w:r>
      <w:r w:rsidRPr="007F767A" w:rsidR="00636823">
        <w:t xml:space="preserve"> also</w:t>
      </w:r>
      <w:r w:rsidRPr="007F767A" w:rsidR="00483BFF">
        <w:t xml:space="preserve"> submitted that the fact that the bodies of some of their relatives had been destroyed beyond recognition by bombs had led them to form the opinion that there had</w:t>
      </w:r>
      <w:r w:rsidRPr="007F767A" w:rsidR="00A04D69">
        <w:t xml:space="preserve"> not</w:t>
      </w:r>
      <w:r w:rsidRPr="007F767A" w:rsidR="00483BFF">
        <w:t xml:space="preserve"> been </w:t>
      </w:r>
      <w:r w:rsidRPr="007F767A" w:rsidR="00A04D69">
        <w:t>a</w:t>
      </w:r>
      <w:r w:rsidRPr="007F767A" w:rsidR="00483BFF">
        <w:t xml:space="preserve">n armed clash as alleged and that their relatives had been killed by </w:t>
      </w:r>
      <w:r w:rsidRPr="007F767A" w:rsidR="009611DC">
        <w:t xml:space="preserve">unlawful </w:t>
      </w:r>
      <w:r w:rsidRPr="007F767A" w:rsidR="00483BFF">
        <w:t>fire from military helicopters. In any event, on account of the</w:t>
      </w:r>
      <w:r w:rsidRPr="007F767A" w:rsidR="00D506E3">
        <w:t>ir ages</w:t>
      </w:r>
      <w:r w:rsidRPr="007F767A" w:rsidR="00483BFF">
        <w:t xml:space="preserve"> and </w:t>
      </w:r>
      <w:r w:rsidRPr="007F767A" w:rsidR="00C20327">
        <w:t xml:space="preserve">the </w:t>
      </w:r>
      <w:r w:rsidRPr="007F767A" w:rsidR="00483BFF">
        <w:t xml:space="preserve">various physical </w:t>
      </w:r>
      <w:r w:rsidRPr="007F767A" w:rsidR="00F143EA">
        <w:t>disabilities</w:t>
      </w:r>
      <w:r w:rsidRPr="007F767A" w:rsidR="001E0804">
        <w:t xml:space="preserve"> </w:t>
      </w:r>
      <w:r w:rsidRPr="007F767A" w:rsidR="00483BFF">
        <w:t xml:space="preserve">of five of them, their relatives had not been in a position to </w:t>
      </w:r>
      <w:r w:rsidRPr="007F767A" w:rsidR="007853DA">
        <w:t xml:space="preserve">actively </w:t>
      </w:r>
      <w:r w:rsidRPr="007F767A" w:rsidR="00483BFF">
        <w:t xml:space="preserve">participate in an armed clash with soldiers in a mountainous area. </w:t>
      </w:r>
      <w:r w:rsidRPr="007F767A" w:rsidR="001C29A2">
        <w:t xml:space="preserve">Furthermore, </w:t>
      </w:r>
      <w:r w:rsidRPr="007F767A" w:rsidR="007853DA">
        <w:t xml:space="preserve">although </w:t>
      </w:r>
      <w:r w:rsidRPr="007F767A" w:rsidR="00F143EA">
        <w:t>it had been alleged that firearms had been found next to the bodies of their relatives</w:t>
      </w:r>
      <w:r w:rsidRPr="007F767A" w:rsidR="001C29A2">
        <w:t xml:space="preserve">, </w:t>
      </w:r>
      <w:r w:rsidRPr="007F767A" w:rsidR="00F143EA">
        <w:t>those firearms</w:t>
      </w:r>
      <w:r w:rsidRPr="007F767A" w:rsidR="001C29A2">
        <w:t xml:space="preserve"> would not have been effective against military helicopters. Thus, it was obvious that </w:t>
      </w:r>
      <w:r w:rsidRPr="007F767A" w:rsidR="007853DA">
        <w:t xml:space="preserve">they had been killed as a result of </w:t>
      </w:r>
      <w:r w:rsidRPr="007F767A" w:rsidR="003569A2">
        <w:t xml:space="preserve">the </w:t>
      </w:r>
      <w:r w:rsidRPr="007F767A" w:rsidR="007853DA">
        <w:t>use of disproportionate force</w:t>
      </w:r>
      <w:r w:rsidRPr="007F767A" w:rsidR="00636823">
        <w:t>.</w:t>
      </w:r>
    </w:p>
    <w:p w:rsidRPr="007F767A" w:rsidR="00AB29D7" w:rsidP="007F767A" w:rsidRDefault="007F767A">
      <w:pPr>
        <w:pStyle w:val="ECHRPara"/>
      </w:pPr>
      <w:fldSimple w:instr=" SEQ level0 \*arabic ">
        <w:r w:rsidRPr="007F767A">
          <w:rPr>
            <w:noProof/>
          </w:rPr>
          <w:t>53</w:t>
        </w:r>
      </w:fldSimple>
      <w:r w:rsidRPr="007F767A" w:rsidR="00483BFF">
        <w:t>.  </w:t>
      </w:r>
      <w:r w:rsidRPr="007F767A" w:rsidR="009611DC">
        <w:t>T</w:t>
      </w:r>
      <w:r w:rsidRPr="007F767A" w:rsidR="00483BFF">
        <w:t>he relatives also repeated the criticism</w:t>
      </w:r>
      <w:r w:rsidRPr="007F767A" w:rsidR="00BF07A9">
        <w:t>,</w:t>
      </w:r>
      <w:r w:rsidRPr="007F767A" w:rsidR="00483BFF">
        <w:t xml:space="preserve"> </w:t>
      </w:r>
      <w:r w:rsidRPr="007F767A" w:rsidR="007853DA">
        <w:t>which had already been voiced by three of them on a number of pre</w:t>
      </w:r>
      <w:r w:rsidRPr="007F767A" w:rsidR="00C40694">
        <w:t>vious occasions (see paragraphs </w:t>
      </w:r>
      <w:r w:rsidRPr="007F767A" w:rsidR="0067422E">
        <w:t>42-43</w:t>
      </w:r>
      <w:r w:rsidRPr="007F767A" w:rsidR="007853DA">
        <w:t xml:space="preserve"> and </w:t>
      </w:r>
      <w:r w:rsidRPr="007F767A" w:rsidR="0067422E">
        <w:t>47-48</w:t>
      </w:r>
      <w:r w:rsidRPr="007F767A" w:rsidR="007853DA">
        <w:t xml:space="preserve"> above)</w:t>
      </w:r>
      <w:r w:rsidRPr="007F767A" w:rsidR="00BF07A9">
        <w:t>,</w:t>
      </w:r>
      <w:r w:rsidRPr="007F767A" w:rsidR="007853DA">
        <w:t xml:space="preserve"> </w:t>
      </w:r>
      <w:r w:rsidRPr="007F767A" w:rsidR="009611DC">
        <w:t xml:space="preserve">of the fact that they had been denied </w:t>
      </w:r>
      <w:r w:rsidRPr="007F767A" w:rsidR="00483BFF">
        <w:t>access to the investigation file and the investigating authorities</w:t>
      </w:r>
      <w:r w:rsidRPr="007F767A">
        <w:t>’</w:t>
      </w:r>
      <w:r w:rsidRPr="007F767A" w:rsidR="00483BFF">
        <w:t xml:space="preserve"> failures to take certain steps in the investigation</w:t>
      </w:r>
      <w:r w:rsidRPr="007F767A" w:rsidR="007853DA">
        <w:t xml:space="preserve">. </w:t>
      </w:r>
      <w:r w:rsidRPr="007F767A" w:rsidR="00AD7A3A">
        <w:t>In that connection</w:t>
      </w:r>
      <w:r w:rsidRPr="007F767A" w:rsidR="00636823">
        <w:t xml:space="preserve"> t</w:t>
      </w:r>
      <w:r w:rsidRPr="007F767A" w:rsidR="007853DA">
        <w:t xml:space="preserve">hey </w:t>
      </w:r>
      <w:r w:rsidRPr="007F767A" w:rsidR="002D3B47">
        <w:t>highlighted</w:t>
      </w:r>
      <w:r w:rsidRPr="007F767A" w:rsidR="00636823">
        <w:t>,</w:t>
      </w:r>
      <w:r w:rsidRPr="007F767A" w:rsidR="007853DA">
        <w:t xml:space="preserve"> in </w:t>
      </w:r>
      <w:r w:rsidRPr="007F767A" w:rsidR="002D3B47">
        <w:t>particular</w:t>
      </w:r>
      <w:r w:rsidRPr="007F767A" w:rsidR="00636823">
        <w:t>,</w:t>
      </w:r>
      <w:r w:rsidRPr="007F767A" w:rsidR="007853DA">
        <w:t xml:space="preserve"> the</w:t>
      </w:r>
      <w:r w:rsidRPr="007F767A" w:rsidR="00483BFF">
        <w:t xml:space="preserve"> destruction of their relatives</w:t>
      </w:r>
      <w:r w:rsidRPr="007F767A">
        <w:t>’</w:t>
      </w:r>
      <w:r w:rsidRPr="007F767A" w:rsidR="009611DC">
        <w:t xml:space="preserve"> clothes</w:t>
      </w:r>
      <w:r w:rsidRPr="007F767A" w:rsidR="007853DA">
        <w:t xml:space="preserve"> by the authoritie</w:t>
      </w:r>
      <w:r w:rsidRPr="007F767A" w:rsidR="00636823">
        <w:t>s. They also complained</w:t>
      </w:r>
      <w:r w:rsidRPr="007F767A" w:rsidR="002D3B47">
        <w:t xml:space="preserve"> that</w:t>
      </w:r>
      <w:r w:rsidRPr="007F767A" w:rsidR="007853DA">
        <w:t xml:space="preserve"> crucial evidence had been collected </w:t>
      </w:r>
      <w:r w:rsidRPr="007F767A" w:rsidR="00CA1515">
        <w:t xml:space="preserve">without any judicial supervision and </w:t>
      </w:r>
      <w:r w:rsidRPr="007F767A" w:rsidR="007853DA">
        <w:t>by members of the security forces</w:t>
      </w:r>
      <w:r w:rsidRPr="007F767A" w:rsidR="00CA1515">
        <w:t xml:space="preserve"> who themselves </w:t>
      </w:r>
      <w:r w:rsidRPr="007F767A" w:rsidR="007853DA">
        <w:t>had been implicated in the killings and were therefore under investigation.</w:t>
      </w:r>
    </w:p>
    <w:p w:rsidRPr="007F767A" w:rsidR="00AD7A3A" w:rsidP="007F767A" w:rsidRDefault="007F767A">
      <w:pPr>
        <w:pStyle w:val="ECHRPara"/>
      </w:pPr>
      <w:fldSimple w:instr=" SEQ level0 \*arabic ">
        <w:r w:rsidRPr="007F767A">
          <w:rPr>
            <w:noProof/>
          </w:rPr>
          <w:t>54</w:t>
        </w:r>
      </w:fldSimple>
      <w:r w:rsidRPr="007F767A" w:rsidR="00C20FE2">
        <w:t>.  The relatives argued that the killing of their relatives had been unlawful and in breach of Turkey</w:t>
      </w:r>
      <w:r w:rsidRPr="007F767A">
        <w:t>’</w:t>
      </w:r>
      <w:r w:rsidRPr="007F767A" w:rsidR="00C20FE2">
        <w:t xml:space="preserve">s obligations under various international treaties, including the Convention. Contrary to the requirements of those </w:t>
      </w:r>
      <w:r w:rsidRPr="007F767A" w:rsidR="00C20327">
        <w:t>international obligations</w:t>
      </w:r>
      <w:r w:rsidRPr="007F767A" w:rsidR="00C20FE2">
        <w:t xml:space="preserve">, no attempts had been made to apprehend their relatives in a non-life-threatening fashion. </w:t>
      </w:r>
      <w:r w:rsidRPr="007F767A" w:rsidR="002E758B">
        <w:t xml:space="preserve">Moreover, members of the security forces had committed another offence by publicly </w:t>
      </w:r>
      <w:r w:rsidRPr="007F767A" w:rsidR="00E106A9">
        <w:t>exhibiting</w:t>
      </w:r>
      <w:r w:rsidRPr="007F767A" w:rsidR="002E758B">
        <w:t xml:space="preserve"> the</w:t>
      </w:r>
      <w:r w:rsidRPr="007F767A" w:rsidR="00AD7A3A">
        <w:t>ir relatives</w:t>
      </w:r>
      <w:r w:rsidRPr="007F767A">
        <w:t>’</w:t>
      </w:r>
      <w:r w:rsidRPr="007F767A" w:rsidR="00AD7A3A">
        <w:t xml:space="preserve"> </w:t>
      </w:r>
      <w:r w:rsidRPr="007F767A" w:rsidR="002E758B">
        <w:t>naked bodies.</w:t>
      </w:r>
      <w:r w:rsidRPr="007F767A" w:rsidR="00AD7A3A">
        <w:t xml:space="preserve"> They invited the prosecutor to carry out an independent and effective investigation that was </w:t>
      </w:r>
      <w:r w:rsidRPr="007F767A" w:rsidR="009611DC">
        <w:t>proportionate</w:t>
      </w:r>
      <w:r w:rsidRPr="007F767A" w:rsidR="00AD7A3A">
        <w:t xml:space="preserve"> to the seriousness of the killings.</w:t>
      </w:r>
    </w:p>
    <w:p w:rsidRPr="007F767A" w:rsidR="00C97FC2" w:rsidP="007F767A" w:rsidRDefault="007F767A">
      <w:pPr>
        <w:pStyle w:val="ECHRPara"/>
      </w:pPr>
      <w:fldSimple w:instr=" SEQ level0 \*arabic ">
        <w:r w:rsidRPr="007F767A">
          <w:rPr>
            <w:noProof/>
          </w:rPr>
          <w:t>55</w:t>
        </w:r>
      </w:fldSimple>
      <w:r w:rsidRPr="007F767A" w:rsidR="002A4427">
        <w:t>.  </w:t>
      </w:r>
      <w:r w:rsidRPr="007F767A" w:rsidR="00C97FC2">
        <w:t xml:space="preserve">The applicant Tevfik Fikret Saygılı, together with his wife Necla Saygılı, submitted another complaint to the Ovacık prosecutor in addition to the one he had already submitted on 6 July 2005 together with the other applicants. In their </w:t>
      </w:r>
      <w:r w:rsidRPr="007F767A" w:rsidR="009611DC">
        <w:t>complaint</w:t>
      </w:r>
      <w:r w:rsidRPr="007F767A" w:rsidR="00C97FC2">
        <w:t xml:space="preserve"> the couple complained about the killing of their daughter</w:t>
      </w:r>
      <w:r w:rsidRPr="007F767A" w:rsidR="003569A2">
        <w:t>,</w:t>
      </w:r>
      <w:r w:rsidRPr="007F767A" w:rsidR="00C97FC2">
        <w:t xml:space="preserve"> Berna Saygılı-Ünsal</w:t>
      </w:r>
      <w:r w:rsidRPr="007F767A" w:rsidR="003569A2">
        <w:t>,</w:t>
      </w:r>
      <w:r w:rsidRPr="007F767A" w:rsidR="00C97FC2">
        <w:t xml:space="preserve"> and alleged, in particular, that their daughter and her sixteen friends had been unarmed at the time and there had therefore not been an armed clash between them and the soldiers. They further complained that necessary precautions in the area where their daughter </w:t>
      </w:r>
      <w:r w:rsidRPr="007F767A" w:rsidR="009611DC">
        <w:t>was</w:t>
      </w:r>
      <w:r w:rsidRPr="007F767A" w:rsidR="00C97FC2">
        <w:t xml:space="preserve"> killed </w:t>
      </w:r>
      <w:r w:rsidRPr="007F767A" w:rsidR="00E82D90">
        <w:t>had</w:t>
      </w:r>
      <w:r w:rsidRPr="007F767A" w:rsidR="00E106A9">
        <w:t xml:space="preserve"> </w:t>
      </w:r>
      <w:r w:rsidRPr="007F767A" w:rsidR="00C97FC2">
        <w:t>not</w:t>
      </w:r>
      <w:r w:rsidRPr="007F767A" w:rsidR="00E82D90">
        <w:t xml:space="preserve"> been</w:t>
      </w:r>
      <w:r w:rsidRPr="007F767A" w:rsidR="00C97FC2">
        <w:t xml:space="preserve"> taken by the prosecutor</w:t>
      </w:r>
      <w:r w:rsidRPr="007F767A" w:rsidR="009611DC">
        <w:t>,</w:t>
      </w:r>
      <w:r w:rsidRPr="007F767A" w:rsidR="00C97FC2">
        <w:t xml:space="preserve"> and the evidence in the area </w:t>
      </w:r>
      <w:r w:rsidRPr="007F767A" w:rsidR="00E82D90">
        <w:t>had</w:t>
      </w:r>
      <w:r w:rsidRPr="007F767A" w:rsidR="00E106A9">
        <w:t xml:space="preserve"> thus</w:t>
      </w:r>
      <w:r w:rsidRPr="007F767A" w:rsidR="00E82D90">
        <w:t xml:space="preserve"> been</w:t>
      </w:r>
      <w:r w:rsidRPr="007F767A" w:rsidR="00E106A9">
        <w:t xml:space="preserve"> allowed to</w:t>
      </w:r>
      <w:r w:rsidRPr="007F767A" w:rsidR="00C97FC2">
        <w:t xml:space="preserve"> </w:t>
      </w:r>
      <w:r w:rsidRPr="007F767A" w:rsidR="00AD7A3A">
        <w:t>disappear</w:t>
      </w:r>
      <w:r w:rsidRPr="007F767A" w:rsidR="00C97FC2">
        <w:t>. They also complained that their daughter</w:t>
      </w:r>
      <w:r w:rsidRPr="007F767A">
        <w:t>’</w:t>
      </w:r>
      <w:r w:rsidRPr="007F767A" w:rsidR="00C97FC2">
        <w:t xml:space="preserve">s body had been </w:t>
      </w:r>
      <w:r w:rsidRPr="007F767A" w:rsidR="00E106A9">
        <w:t>exhibited</w:t>
      </w:r>
      <w:r w:rsidRPr="007F767A" w:rsidR="00C97FC2">
        <w:t xml:space="preserve"> by the soldiers.</w:t>
      </w:r>
    </w:p>
    <w:p w:rsidRPr="007F767A" w:rsidR="00C97FC2" w:rsidP="007F767A" w:rsidRDefault="007F767A">
      <w:pPr>
        <w:pStyle w:val="ECHRPara"/>
      </w:pPr>
      <w:fldSimple w:instr=" SEQ level0 \*arabic ">
        <w:r w:rsidRPr="007F767A">
          <w:rPr>
            <w:noProof/>
          </w:rPr>
          <w:t>56</w:t>
        </w:r>
      </w:fldSimple>
      <w:r w:rsidRPr="007F767A" w:rsidR="00C97FC2">
        <w:t xml:space="preserve">.  On various dates the Ovacık prosecutor </w:t>
      </w:r>
      <w:r w:rsidRPr="007F767A" w:rsidR="009611DC">
        <w:t>asked</w:t>
      </w:r>
      <w:r w:rsidRPr="007F767A" w:rsidR="00C97FC2">
        <w:t xml:space="preserve"> his colleagues in various towns and cities to take statements from the applicants </w:t>
      </w:r>
      <w:r w:rsidRPr="007F767A" w:rsidR="002A4427">
        <w:t xml:space="preserve">living </w:t>
      </w:r>
      <w:r w:rsidRPr="007F767A" w:rsidR="000626A5">
        <w:t>within their jurisdictions</w:t>
      </w:r>
      <w:r w:rsidRPr="007F767A" w:rsidR="00C97FC2">
        <w:t>. According to the documents submitted by the parties, the prosecutor</w:t>
      </w:r>
      <w:r w:rsidRPr="007F767A" w:rsidR="002A4427">
        <w:t>s</w:t>
      </w:r>
      <w:r w:rsidRPr="007F767A" w:rsidR="00C97FC2">
        <w:t xml:space="preserve"> complied with that request and took statements from twelve </w:t>
      </w:r>
      <w:r w:rsidRPr="007F767A" w:rsidR="002A4427">
        <w:t xml:space="preserve">of the </w:t>
      </w:r>
      <w:r w:rsidRPr="007F767A" w:rsidR="00C97FC2">
        <w:t>applicants and four other close relatives of the seventeen deceased. In their statements the</w:t>
      </w:r>
      <w:r w:rsidRPr="007F767A" w:rsidR="002A4427">
        <w:t xml:space="preserve"> relatives</w:t>
      </w:r>
      <w:r w:rsidRPr="007F767A" w:rsidR="00C97FC2">
        <w:t xml:space="preserve"> repeated their allegations and maintained their complaints. Th</w:t>
      </w:r>
      <w:r w:rsidRPr="007F767A" w:rsidR="002A4427">
        <w:t xml:space="preserve">e relatives </w:t>
      </w:r>
      <w:r w:rsidRPr="007F767A" w:rsidR="00C97FC2">
        <w:t xml:space="preserve">also stated that, although they had not personally seen the bodies of their deceased relatives being </w:t>
      </w:r>
      <w:r w:rsidRPr="007F767A" w:rsidR="00E106A9">
        <w:t>exhibited</w:t>
      </w:r>
      <w:r w:rsidRPr="007F767A" w:rsidR="00C97FC2">
        <w:t>, they had heard about it from others.</w:t>
      </w:r>
    </w:p>
    <w:p w:rsidRPr="007F767A" w:rsidR="00EE5EED" w:rsidP="007F767A" w:rsidRDefault="007F767A">
      <w:pPr>
        <w:pStyle w:val="ECHRPara"/>
      </w:pPr>
      <w:fldSimple w:instr=" SEQ level0 \*arabic ">
        <w:r w:rsidRPr="007F767A">
          <w:rPr>
            <w:noProof/>
          </w:rPr>
          <w:t>57</w:t>
        </w:r>
      </w:fldSimple>
      <w:r w:rsidRPr="007F767A" w:rsidR="00C97FC2">
        <w:t>.  </w:t>
      </w:r>
      <w:r w:rsidRPr="007F767A" w:rsidR="008A0C3A">
        <w:t xml:space="preserve">On 19 August 2005 the Regional Forensic Laboratories of the Gendarmerie </w:t>
      </w:r>
      <w:r w:rsidRPr="007F767A" w:rsidR="00045E72">
        <w:t xml:space="preserve">concluded their examinations </w:t>
      </w:r>
      <w:r w:rsidRPr="007F767A" w:rsidR="007B1F8A">
        <w:t xml:space="preserve">in respect of </w:t>
      </w:r>
      <w:r w:rsidRPr="007F767A" w:rsidR="00045E72">
        <w:t>the weapons</w:t>
      </w:r>
      <w:r w:rsidRPr="007F767A" w:rsidR="00F640CE">
        <w:t xml:space="preserve"> and the spent cartridges</w:t>
      </w:r>
      <w:r w:rsidRPr="007F767A" w:rsidR="00045E72">
        <w:t xml:space="preserve"> found </w:t>
      </w:r>
      <w:r w:rsidRPr="007F767A" w:rsidR="00F143EA">
        <w:t xml:space="preserve">in the operation area </w:t>
      </w:r>
      <w:r w:rsidRPr="007F767A" w:rsidR="00EA6A30">
        <w:t>(see paragraph</w:t>
      </w:r>
      <w:r w:rsidRPr="007F767A" w:rsidR="0067422E">
        <w:t>s</w:t>
      </w:r>
      <w:r w:rsidRPr="007F767A" w:rsidR="00EA6A30">
        <w:t xml:space="preserve"> </w:t>
      </w:r>
      <w:r w:rsidRPr="007F767A" w:rsidR="0067422E">
        <w:t>23 and</w:t>
      </w:r>
      <w:r w:rsidRPr="007F767A" w:rsidR="00C40694">
        <w:t> </w:t>
      </w:r>
      <w:r w:rsidRPr="007F767A" w:rsidR="0067422E">
        <w:t>38</w:t>
      </w:r>
      <w:r w:rsidRPr="007F767A" w:rsidR="00EA6A30">
        <w:t xml:space="preserve"> above). </w:t>
      </w:r>
      <w:r w:rsidRPr="007F767A" w:rsidR="002E2128">
        <w:t xml:space="preserve">It was stated in the report that 43 of the </w:t>
      </w:r>
      <w:r w:rsidRPr="007F767A" w:rsidR="00F640CE">
        <w:t>45 spent Kalashnikov</w:t>
      </w:r>
      <w:r w:rsidRPr="007F767A" w:rsidR="002E2128">
        <w:t xml:space="preserve"> cartridges had been discharged from the seven Kalashnikov rifles found </w:t>
      </w:r>
      <w:r w:rsidRPr="007F767A" w:rsidR="00F143EA">
        <w:t>in the area</w:t>
      </w:r>
      <w:r w:rsidRPr="007F767A" w:rsidR="002E2128">
        <w:t xml:space="preserve">. The remaining two had been discharged from two </w:t>
      </w:r>
      <w:r w:rsidRPr="007F767A" w:rsidR="00434ABF">
        <w:t>other</w:t>
      </w:r>
      <w:r w:rsidRPr="007F767A" w:rsidR="002E2128">
        <w:t xml:space="preserve"> Kalashnikov rifles</w:t>
      </w:r>
      <w:r w:rsidRPr="007F767A" w:rsidR="007B1F8A">
        <w:t>,</w:t>
      </w:r>
      <w:r w:rsidRPr="007F767A" w:rsidR="002E2128">
        <w:t xml:space="preserve"> which were not </w:t>
      </w:r>
      <w:r w:rsidRPr="007F767A" w:rsidR="000D79AE">
        <w:t>among those recovered</w:t>
      </w:r>
      <w:r w:rsidRPr="007F767A" w:rsidR="00F143EA">
        <w:t xml:space="preserve"> in the area</w:t>
      </w:r>
      <w:r w:rsidRPr="007F767A" w:rsidR="002E2128">
        <w:t>. It was also established that 2</w:t>
      </w:r>
      <w:r w:rsidRPr="007F767A" w:rsidR="00D417B3">
        <w:t xml:space="preserve">2 of the 23 spent </w:t>
      </w:r>
      <w:r w:rsidRPr="007F767A" w:rsidR="00F640CE">
        <w:t xml:space="preserve">G3 </w:t>
      </w:r>
      <w:r w:rsidRPr="007F767A" w:rsidR="00D417B3">
        <w:t xml:space="preserve">cartridges had been discharged from the four G3 rifles found </w:t>
      </w:r>
      <w:r w:rsidRPr="007F767A" w:rsidR="00F143EA">
        <w:t>in the area</w:t>
      </w:r>
      <w:r w:rsidRPr="007F767A" w:rsidR="00D417B3">
        <w:t xml:space="preserve">. As the remaining </w:t>
      </w:r>
      <w:r w:rsidRPr="007F767A" w:rsidR="00F640CE">
        <w:t xml:space="preserve">G3 </w:t>
      </w:r>
      <w:r w:rsidRPr="007F767A" w:rsidR="00D417B3">
        <w:t xml:space="preserve">spent cartridge had no markings on it, no examination </w:t>
      </w:r>
      <w:r w:rsidRPr="007F767A" w:rsidR="00434ABF">
        <w:t>could be</w:t>
      </w:r>
      <w:r w:rsidRPr="007F767A" w:rsidR="00D417B3">
        <w:t xml:space="preserve"> carried out on it.</w:t>
      </w:r>
    </w:p>
    <w:p w:rsidRPr="007F767A" w:rsidR="00F640CE" w:rsidP="007F767A" w:rsidRDefault="007F767A">
      <w:pPr>
        <w:pStyle w:val="ECHRPara"/>
      </w:pPr>
      <w:fldSimple w:instr=" SEQ level0 \*arabic ">
        <w:r w:rsidRPr="007F767A">
          <w:rPr>
            <w:noProof/>
          </w:rPr>
          <w:t>58</w:t>
        </w:r>
      </w:fldSimple>
      <w:r w:rsidRPr="007F767A" w:rsidR="00F640CE">
        <w:t>.  </w:t>
      </w:r>
      <w:r w:rsidRPr="007F767A" w:rsidR="000530C7">
        <w:t>On 23 September 2005 t</w:t>
      </w:r>
      <w:r w:rsidRPr="007F767A" w:rsidR="00F640CE">
        <w:t xml:space="preserve">he Forensic </w:t>
      </w:r>
      <w:r w:rsidRPr="007F767A" w:rsidR="007B1F8A">
        <w:t>M</w:t>
      </w:r>
      <w:r w:rsidRPr="007F767A" w:rsidR="00F640CE">
        <w:t>edicine Institute prepared its report in response to the Ovacık prosecutor</w:t>
      </w:r>
      <w:r w:rsidRPr="007F767A">
        <w:t>’</w:t>
      </w:r>
      <w:r w:rsidRPr="007F767A" w:rsidR="00F640CE">
        <w:t xml:space="preserve">s request of 29 June 2005 </w:t>
      </w:r>
      <w:r w:rsidRPr="007F767A" w:rsidR="007B1F8A">
        <w:t xml:space="preserve">for </w:t>
      </w:r>
      <w:r w:rsidRPr="007F767A" w:rsidR="00F640CE">
        <w:t xml:space="preserve">the clothes worn by four of the deceased at the time </w:t>
      </w:r>
      <w:r w:rsidRPr="007F767A" w:rsidR="007B1F8A">
        <w:t>they were killed to be examined</w:t>
      </w:r>
      <w:r w:rsidRPr="007F767A" w:rsidR="00F640CE">
        <w:t xml:space="preserve">. </w:t>
      </w:r>
      <w:r w:rsidRPr="007F767A" w:rsidR="004B68A5">
        <w:t xml:space="preserve">It was </w:t>
      </w:r>
      <w:r w:rsidRPr="007F767A" w:rsidR="007B1F8A">
        <w:t>noted</w:t>
      </w:r>
      <w:r w:rsidRPr="007F767A" w:rsidR="000D79AE">
        <w:t xml:space="preserve"> in the report</w:t>
      </w:r>
      <w:r w:rsidRPr="007F767A" w:rsidR="004B68A5">
        <w:t xml:space="preserve"> that</w:t>
      </w:r>
      <w:r w:rsidRPr="007F767A" w:rsidR="004E54A8">
        <w:t xml:space="preserve"> the holes observed on three of the </w:t>
      </w:r>
      <w:r w:rsidRPr="007F767A" w:rsidR="00F77C4B">
        <w:t xml:space="preserve">four </w:t>
      </w:r>
      <w:r w:rsidRPr="007F767A" w:rsidR="00E82D90">
        <w:t xml:space="preserve">sets of </w:t>
      </w:r>
      <w:r w:rsidRPr="007F767A" w:rsidR="004E54A8">
        <w:t>clothes were not bullet holes. The holes observed on the four</w:t>
      </w:r>
      <w:r w:rsidRPr="007F767A" w:rsidR="00F77C4B">
        <w:t>th</w:t>
      </w:r>
      <w:r w:rsidRPr="007F767A" w:rsidR="004E54A8">
        <w:t xml:space="preserve"> set of clothes which belonged to Cemal Çakmak did not have any gunpowder residue and it was not therefore possible to establish the distance from which he had been shot.</w:t>
      </w:r>
    </w:p>
    <w:p w:rsidRPr="007F767A" w:rsidR="000626A5" w:rsidP="007F767A" w:rsidRDefault="007F767A">
      <w:pPr>
        <w:pStyle w:val="ECHRPara"/>
      </w:pPr>
      <w:fldSimple w:instr=" SEQ level0 \*arabic ">
        <w:r w:rsidRPr="007F767A">
          <w:rPr>
            <w:noProof/>
          </w:rPr>
          <w:t>59</w:t>
        </w:r>
      </w:fldSimple>
      <w:r w:rsidRPr="007F767A" w:rsidR="000626A5">
        <w:t>.  On 23 November 2005 the applicants asked the Ovacık prosecutor to give them a copy of the autopsy report and a copy of the document pertaining to the examination of the clothes removed from the bodies of their relatives. The prosecutor complied with tha</w:t>
      </w:r>
      <w:r w:rsidRPr="007F767A" w:rsidR="00C40694">
        <w:t>t request on 8 </w:t>
      </w:r>
      <w:r w:rsidRPr="007F767A" w:rsidR="000626A5">
        <w:t>December 2005.</w:t>
      </w:r>
    </w:p>
    <w:p w:rsidRPr="007F767A" w:rsidR="001E214F" w:rsidP="007F767A" w:rsidRDefault="007F767A">
      <w:pPr>
        <w:pStyle w:val="ECHRPara"/>
      </w:pPr>
      <w:fldSimple w:instr=" SEQ level0 \*arabic ">
        <w:r w:rsidRPr="007F767A">
          <w:rPr>
            <w:noProof/>
          </w:rPr>
          <w:t>60</w:t>
        </w:r>
      </w:fldSimple>
      <w:r w:rsidRPr="007F767A" w:rsidR="000626A5">
        <w:t>.  </w:t>
      </w:r>
      <w:r w:rsidRPr="007F767A" w:rsidR="001E214F">
        <w:t>Between September 2005 and June 200</w:t>
      </w:r>
      <w:r w:rsidRPr="007F767A" w:rsidR="00434ABF">
        <w:t>6</w:t>
      </w:r>
      <w:r w:rsidRPr="007F767A" w:rsidR="001E214F">
        <w:t xml:space="preserve"> a number of ballistic examinations were conducted</w:t>
      </w:r>
      <w:r w:rsidRPr="007F767A" w:rsidR="007B1F8A">
        <w:t>;</w:t>
      </w:r>
      <w:r w:rsidRPr="007F767A" w:rsidR="001E214F">
        <w:t xml:space="preserve"> the Ovacık prosecutor was informed a</w:t>
      </w:r>
      <w:r w:rsidRPr="007F767A" w:rsidR="00434ABF">
        <w:t>t the end of</w:t>
      </w:r>
      <w:r w:rsidRPr="007F767A" w:rsidR="001E214F">
        <w:t xml:space="preserve"> those examinations that the rifles </w:t>
      </w:r>
      <w:r w:rsidRPr="007F767A" w:rsidR="000626A5">
        <w:t>and</w:t>
      </w:r>
      <w:r w:rsidRPr="007F767A" w:rsidR="001310FE">
        <w:t xml:space="preserve"> the spent cartridges </w:t>
      </w:r>
      <w:r w:rsidRPr="007F767A" w:rsidR="001E214F">
        <w:t>found next to the bodies had not been used in any other incident.</w:t>
      </w:r>
    </w:p>
    <w:p w:rsidRPr="007F767A" w:rsidR="007C460D" w:rsidP="007F767A" w:rsidRDefault="007F767A">
      <w:pPr>
        <w:pStyle w:val="ECHRPara"/>
      </w:pPr>
      <w:fldSimple w:instr=" SEQ level0 \*arabic ">
        <w:r w:rsidRPr="007F767A">
          <w:rPr>
            <w:noProof/>
          </w:rPr>
          <w:t>61</w:t>
        </w:r>
      </w:fldSimple>
      <w:r w:rsidRPr="007F767A" w:rsidR="006038AB">
        <w:t>.  </w:t>
      </w:r>
      <w:r w:rsidRPr="007F767A" w:rsidR="00D73464">
        <w:t>On 20 June 2006 the Ovacık prosecutor close</w:t>
      </w:r>
      <w:r w:rsidRPr="007F767A" w:rsidR="007B1F8A">
        <w:t>d</w:t>
      </w:r>
      <w:r w:rsidRPr="007F767A" w:rsidR="00D73464">
        <w:t xml:space="preserve"> the investigation.</w:t>
      </w:r>
      <w:r w:rsidRPr="007F767A" w:rsidR="00DE5FED">
        <w:t xml:space="preserve"> </w:t>
      </w:r>
      <w:r w:rsidRPr="007F767A" w:rsidR="00434ABF">
        <w:t xml:space="preserve">After </w:t>
      </w:r>
      <w:r w:rsidRPr="007F767A" w:rsidR="005E033B">
        <w:t>summaris</w:t>
      </w:r>
      <w:r w:rsidRPr="007F767A" w:rsidR="007B1F8A">
        <w:t>ing</w:t>
      </w:r>
      <w:r w:rsidRPr="007F767A" w:rsidR="005E033B">
        <w:t xml:space="preserve"> </w:t>
      </w:r>
      <w:r w:rsidRPr="007F767A" w:rsidR="00834B02">
        <w:t xml:space="preserve">some of the </w:t>
      </w:r>
      <w:r w:rsidRPr="007F767A" w:rsidR="005E033B">
        <w:t xml:space="preserve">documents </w:t>
      </w:r>
      <w:r w:rsidRPr="007F767A" w:rsidR="00834B02">
        <w:t xml:space="preserve">which are </w:t>
      </w:r>
      <w:r w:rsidRPr="007F767A" w:rsidR="004E54A8">
        <w:t xml:space="preserve">also </w:t>
      </w:r>
      <w:r w:rsidRPr="007F767A" w:rsidR="005E033B">
        <w:t>set out in the preceding paragraphs</w:t>
      </w:r>
      <w:r w:rsidRPr="007F767A" w:rsidR="00434ABF">
        <w:t>,</w:t>
      </w:r>
      <w:r w:rsidRPr="007F767A" w:rsidR="005E033B">
        <w:t xml:space="preserve"> t</w:t>
      </w:r>
      <w:r w:rsidRPr="007F767A" w:rsidR="00B039AE">
        <w:t>he prosecutor</w:t>
      </w:r>
      <w:r w:rsidRPr="007F767A" w:rsidR="005E033B">
        <w:t xml:space="preserve"> </w:t>
      </w:r>
      <w:r w:rsidRPr="007F767A" w:rsidR="00434ABF">
        <w:t>stated</w:t>
      </w:r>
      <w:r w:rsidRPr="007F767A" w:rsidR="005E033B">
        <w:t xml:space="preserve"> the </w:t>
      </w:r>
      <w:r w:rsidRPr="007F767A" w:rsidR="00B039AE">
        <w:t>follow</w:t>
      </w:r>
      <w:r w:rsidRPr="007F767A" w:rsidR="005E033B">
        <w:t>ing</w:t>
      </w:r>
      <w:r w:rsidRPr="007F767A" w:rsidR="00434ABF">
        <w:t xml:space="preserve"> in his decision</w:t>
      </w:r>
      <w:r w:rsidRPr="007F767A" w:rsidR="00B039AE">
        <w:t>:</w:t>
      </w:r>
    </w:p>
    <w:p w:rsidRPr="007F767A" w:rsidR="00EE5EED" w:rsidP="007F767A" w:rsidRDefault="005E033B">
      <w:pPr>
        <w:pStyle w:val="ECHRParaQuote"/>
      </w:pPr>
      <w:r w:rsidRPr="007F767A">
        <w:t>“</w:t>
      </w:r>
      <w:r w:rsidRPr="007F767A" w:rsidR="008B4F20">
        <w:t xml:space="preserve">Sections 86 and 87 of the Code of Criminal Procedure </w:t>
      </w:r>
      <w:r w:rsidRPr="007F767A" w:rsidR="00A66A28">
        <w:t>set out how post</w:t>
      </w:r>
      <w:r w:rsidRPr="007F767A" w:rsidR="003569A2">
        <w:t xml:space="preserve"> </w:t>
      </w:r>
      <w:r w:rsidRPr="007F767A" w:rsidR="00A66A28">
        <w:t xml:space="preserve">mortem examinations should be conducted. </w:t>
      </w:r>
      <w:r w:rsidRPr="007F767A" w:rsidR="00E712BB">
        <w:t xml:space="preserve">As stated in the autopsy reports, there was no one to identify </w:t>
      </w:r>
      <w:r w:rsidRPr="007F767A" w:rsidR="000626A5">
        <w:t xml:space="preserve">the </w:t>
      </w:r>
      <w:r w:rsidRPr="007F767A" w:rsidR="00E712BB">
        <w:t xml:space="preserve">members of the terrorist organisation MKP/HKO who had been recovered dead. That was why they could not be formally identified in Ovacık. Moreover, </w:t>
      </w:r>
      <w:r w:rsidRPr="007F767A" w:rsidR="00A1473D">
        <w:t xml:space="preserve">their clothes were removed </w:t>
      </w:r>
      <w:r w:rsidRPr="007F767A" w:rsidR="00434ABF">
        <w:t>on</w:t>
      </w:r>
      <w:r w:rsidRPr="007F767A" w:rsidR="00A1473D">
        <w:t xml:space="preserve"> the instruction of the prosecutor so that their bodies could be examined. </w:t>
      </w:r>
      <w:r w:rsidRPr="007F767A" w:rsidR="005C2709">
        <w:t>Thus, the bodies were not stripped of</w:t>
      </w:r>
      <w:r w:rsidRPr="007F767A" w:rsidR="00410211">
        <w:t xml:space="preserve"> </w:t>
      </w:r>
      <w:r w:rsidRPr="007F767A" w:rsidR="005C2709">
        <w:t xml:space="preserve">their clothes by members of the security forces so that they could be publicly displayed. </w:t>
      </w:r>
      <w:r w:rsidRPr="007F767A" w:rsidR="00A1473D">
        <w:t>Removing the clothes was a necessity and did not constitute an offence.</w:t>
      </w:r>
    </w:p>
    <w:p w:rsidRPr="007F767A" w:rsidR="005C2709" w:rsidP="007F767A" w:rsidRDefault="005C2709">
      <w:pPr>
        <w:pStyle w:val="ECHRParaQuote"/>
      </w:pPr>
      <w:r w:rsidRPr="007F767A">
        <w:t>As for the complaint concerning the killings</w:t>
      </w:r>
      <w:r w:rsidRPr="007F767A" w:rsidR="00E82D90">
        <w:t>,</w:t>
      </w:r>
      <w:r w:rsidRPr="007F767A">
        <w:t xml:space="preserve"> the terrorist organisation MKP/HKO</w:t>
      </w:r>
      <w:r w:rsidRPr="007F767A" w:rsidR="00B039AE">
        <w:t xml:space="preserve"> issued press releases on 19 and 23 June 2005</w:t>
      </w:r>
      <w:r w:rsidRPr="007F767A" w:rsidR="00753677">
        <w:t xml:space="preserve"> in which</w:t>
      </w:r>
      <w:r w:rsidRPr="007F767A" w:rsidR="00B039AE">
        <w:t xml:space="preserve"> it was made clear that the deceased had indeed been members of that terrorist organisation and </w:t>
      </w:r>
      <w:r w:rsidRPr="007F767A" w:rsidR="006B1921">
        <w:t xml:space="preserve">in which </w:t>
      </w:r>
      <w:r w:rsidRPr="007F767A" w:rsidR="00B039AE">
        <w:t xml:space="preserve">the Turkish Republic was expressly referred to as the enemy. It was stated in the press releases, for example, </w:t>
      </w:r>
      <w:r w:rsidRPr="007F767A" w:rsidR="007F767A">
        <w:t>‘</w:t>
      </w:r>
      <w:r w:rsidRPr="007F767A" w:rsidR="00C52233">
        <w:t xml:space="preserve">during </w:t>
      </w:r>
      <w:r w:rsidRPr="007F767A" w:rsidR="00753677">
        <w:t>the</w:t>
      </w:r>
      <w:r w:rsidRPr="007F767A" w:rsidR="00C52233">
        <w:t xml:space="preserve"> armed clash</w:t>
      </w:r>
      <w:r w:rsidRPr="007F767A" w:rsidR="006B1921">
        <w:t>es that took place between</w:t>
      </w:r>
      <w:r w:rsidRPr="007F767A" w:rsidR="00C52233">
        <w:t xml:space="preserve"> the fascist Turkish State and the forces from the People</w:t>
      </w:r>
      <w:r w:rsidRPr="007F767A" w:rsidR="007F767A">
        <w:t>’</w:t>
      </w:r>
      <w:r w:rsidRPr="007F767A" w:rsidR="00C52233">
        <w:t xml:space="preserve">s Liberation </w:t>
      </w:r>
      <w:r w:rsidRPr="007F767A" w:rsidR="00753677">
        <w:t xml:space="preserve">Army </w:t>
      </w:r>
      <w:r w:rsidRPr="007F767A" w:rsidR="006B1921">
        <w:t>(HKO)</w:t>
      </w:r>
      <w:r w:rsidRPr="007F767A" w:rsidR="00C52233">
        <w:t xml:space="preserve"> </w:t>
      </w:r>
      <w:r w:rsidRPr="007F767A" w:rsidR="00753677">
        <w:t xml:space="preserve">[acting] </w:t>
      </w:r>
      <w:r w:rsidRPr="007F767A" w:rsidR="00C52233">
        <w:t>under the leadership of our Maoist-Communist Party</w:t>
      </w:r>
      <w:r w:rsidRPr="007F767A" w:rsidR="00930B2F">
        <w:t xml:space="preserve">, seventeen of our communist warrior comrades </w:t>
      </w:r>
      <w:r w:rsidRPr="007F767A" w:rsidR="006B1921">
        <w:t>became</w:t>
      </w:r>
      <w:r w:rsidRPr="007F767A" w:rsidR="00930B2F">
        <w:t xml:space="preserve"> martyrs</w:t>
      </w:r>
      <w:r w:rsidRPr="007F767A" w:rsidR="007F767A">
        <w:t>’</w:t>
      </w:r>
      <w:r w:rsidRPr="007F767A" w:rsidR="007A1DB0">
        <w:t>.</w:t>
      </w:r>
      <w:r w:rsidRPr="007F767A" w:rsidR="006B1921">
        <w:t xml:space="preserve"> Thus, those press releases not only confirm that the deceased </w:t>
      </w:r>
      <w:r w:rsidRPr="007F767A" w:rsidR="007B1F8A">
        <w:t>were</w:t>
      </w:r>
      <w:r w:rsidRPr="007F767A" w:rsidR="006B1921">
        <w:t xml:space="preserve"> members of the terrorist organisation, but also </w:t>
      </w:r>
      <w:r w:rsidRPr="007F767A" w:rsidR="007B1F8A">
        <w:t xml:space="preserve">that they </w:t>
      </w:r>
      <w:r w:rsidRPr="007F767A" w:rsidR="006B1921">
        <w:t>died in armed clashes with the security forces.</w:t>
      </w:r>
    </w:p>
    <w:p w:rsidRPr="007F767A" w:rsidR="006B1921" w:rsidP="007F767A" w:rsidRDefault="006B1921">
      <w:pPr>
        <w:pStyle w:val="ECHRParaQuote"/>
      </w:pPr>
      <w:r w:rsidRPr="007F767A">
        <w:t xml:space="preserve">The aim and strategy of the terrorist organisation MKP/HKO </w:t>
      </w:r>
      <w:r w:rsidRPr="007F767A" w:rsidR="00C05770">
        <w:t xml:space="preserve">is to destroy the constitutional order </w:t>
      </w:r>
      <w:r w:rsidRPr="007F767A" w:rsidR="00753677">
        <w:t>of</w:t>
      </w:r>
      <w:r w:rsidRPr="007F767A" w:rsidR="00C05770">
        <w:t xml:space="preserve"> the Turkish Republic </w:t>
      </w:r>
      <w:r w:rsidRPr="007F767A" w:rsidR="00753677">
        <w:t>through</w:t>
      </w:r>
      <w:r w:rsidRPr="007F767A" w:rsidR="00C05770">
        <w:t xml:space="preserve"> armed struggle and to replace it with a different regime. The deceased </w:t>
      </w:r>
      <w:r w:rsidRPr="007F767A" w:rsidR="007B1F8A">
        <w:t>were</w:t>
      </w:r>
      <w:r w:rsidRPr="007F767A" w:rsidR="00C05770">
        <w:t xml:space="preserve"> members of the MKP/HKO and </w:t>
      </w:r>
      <w:r w:rsidRPr="007F767A" w:rsidR="007B1F8A">
        <w:t xml:space="preserve">were </w:t>
      </w:r>
      <w:r w:rsidRPr="007F767A" w:rsidR="00C05770">
        <w:t>carrying out armed and unlawful activities on behalf of that organisation in order to change the constitutional order</w:t>
      </w:r>
      <w:r w:rsidRPr="007F767A" w:rsidR="000626A5">
        <w:t xml:space="preserve"> by force</w:t>
      </w:r>
      <w:r w:rsidRPr="007F767A" w:rsidR="00C05770">
        <w:t xml:space="preserve">. </w:t>
      </w:r>
      <w:r w:rsidRPr="007F767A" w:rsidR="00BA73A3">
        <w:t xml:space="preserve">The investigation documents, the </w:t>
      </w:r>
      <w:r w:rsidRPr="007F767A" w:rsidR="00753677">
        <w:t xml:space="preserve">nature of the </w:t>
      </w:r>
      <w:r w:rsidRPr="007F767A" w:rsidR="00BA73A3">
        <w:t>weapons recovered</w:t>
      </w:r>
      <w:r w:rsidRPr="007F767A" w:rsidR="00720209">
        <w:t>,</w:t>
      </w:r>
      <w:r w:rsidRPr="007F767A" w:rsidR="00BA73A3">
        <w:t xml:space="preserve"> </w:t>
      </w:r>
      <w:r w:rsidRPr="007F767A" w:rsidR="00720209">
        <w:t xml:space="preserve">the other </w:t>
      </w:r>
      <w:r w:rsidRPr="007F767A" w:rsidR="00BA73A3">
        <w:t xml:space="preserve">documents and information </w:t>
      </w:r>
      <w:r w:rsidRPr="007F767A" w:rsidR="00720209">
        <w:t xml:space="preserve">[in </w:t>
      </w:r>
      <w:r w:rsidRPr="007F767A" w:rsidR="00410211">
        <w:t>the file</w:t>
      </w:r>
      <w:r w:rsidRPr="007F767A" w:rsidR="00720209">
        <w:t xml:space="preserve">] and the fact that the deceased </w:t>
      </w:r>
      <w:r w:rsidRPr="007F767A" w:rsidR="00927E8A">
        <w:t>did</w:t>
      </w:r>
      <w:r w:rsidRPr="007F767A" w:rsidR="00720209">
        <w:t xml:space="preserve"> not obey the security forces</w:t>
      </w:r>
      <w:r w:rsidRPr="007F767A" w:rsidR="007F767A">
        <w:t>’</w:t>
      </w:r>
      <w:r w:rsidRPr="007F767A" w:rsidR="00720209">
        <w:t xml:space="preserve"> warning to surrender </w:t>
      </w:r>
      <w:r w:rsidRPr="007F767A" w:rsidR="00753677">
        <w:t>show</w:t>
      </w:r>
      <w:r w:rsidRPr="007F767A" w:rsidR="00BA73A3">
        <w:t xml:space="preserve"> conclusively that </w:t>
      </w:r>
      <w:r w:rsidRPr="007F767A" w:rsidR="00401174">
        <w:t xml:space="preserve">they </w:t>
      </w:r>
      <w:r w:rsidRPr="007F767A" w:rsidR="00927E8A">
        <w:t>were</w:t>
      </w:r>
      <w:r w:rsidRPr="007F767A" w:rsidR="00401174">
        <w:t xml:space="preserve"> members of the MKP/HKO and </w:t>
      </w:r>
      <w:r w:rsidRPr="007F767A" w:rsidR="00927E8A">
        <w:t xml:space="preserve">were </w:t>
      </w:r>
      <w:r w:rsidRPr="007F767A" w:rsidR="00401174">
        <w:t>acting in accordance with that organisation</w:t>
      </w:r>
      <w:r w:rsidRPr="007F767A" w:rsidR="007F767A">
        <w:t>’</w:t>
      </w:r>
      <w:r w:rsidRPr="007F767A" w:rsidR="00401174">
        <w:t>s aims to change the constitutional order through armed struggle.</w:t>
      </w:r>
    </w:p>
    <w:p w:rsidRPr="007F767A" w:rsidR="00401174" w:rsidP="007F767A" w:rsidRDefault="005E571C">
      <w:pPr>
        <w:pStyle w:val="ECHRParaQuote"/>
      </w:pPr>
      <w:r w:rsidRPr="007F767A">
        <w:t xml:space="preserve">In addition, it was openly stated in the press release issued by the </w:t>
      </w:r>
      <w:r w:rsidRPr="007F767A" w:rsidR="004070DF">
        <w:t xml:space="preserve">terrorist organisation </w:t>
      </w:r>
      <w:r w:rsidRPr="007F767A">
        <w:t xml:space="preserve">MKP/HKO that all the deceased </w:t>
      </w:r>
      <w:r w:rsidRPr="007F767A" w:rsidR="00927E8A">
        <w:t>were</w:t>
      </w:r>
      <w:r w:rsidRPr="007F767A">
        <w:t xml:space="preserve"> members of the MKP/HKO terrorist organisation.</w:t>
      </w:r>
    </w:p>
    <w:p w:rsidRPr="007F767A" w:rsidR="005E571C" w:rsidP="007F767A" w:rsidRDefault="005E571C">
      <w:pPr>
        <w:pStyle w:val="ECHRParaQuote"/>
      </w:pPr>
      <w:r w:rsidRPr="007F767A">
        <w:t xml:space="preserve">As explained above, </w:t>
      </w:r>
      <w:r w:rsidRPr="007F767A" w:rsidR="007A0CC4">
        <w:t xml:space="preserve">the deceased </w:t>
      </w:r>
      <w:r w:rsidRPr="007F767A" w:rsidR="00927E8A">
        <w:t>were</w:t>
      </w:r>
      <w:r w:rsidRPr="007F767A" w:rsidR="007A0CC4">
        <w:t xml:space="preserve"> members of the </w:t>
      </w:r>
      <w:r w:rsidRPr="007F767A" w:rsidR="00927E8A">
        <w:t>illegal</w:t>
      </w:r>
      <w:r w:rsidRPr="007F767A" w:rsidR="007A0CC4">
        <w:t xml:space="preserve"> MKP/HKO terrorist organisation</w:t>
      </w:r>
      <w:r w:rsidRPr="007F767A" w:rsidR="00927E8A">
        <w:t>,</w:t>
      </w:r>
      <w:r w:rsidRPr="007F767A" w:rsidR="007A0CC4">
        <w:t xml:space="preserve"> which carr</w:t>
      </w:r>
      <w:r w:rsidRPr="007F767A" w:rsidR="00927E8A">
        <w:t>ies</w:t>
      </w:r>
      <w:r w:rsidRPr="007F767A" w:rsidR="007A0CC4">
        <w:t xml:space="preserve"> out activities </w:t>
      </w:r>
      <w:r w:rsidRPr="007F767A" w:rsidR="00C902FB">
        <w:t>aimed at changing</w:t>
      </w:r>
      <w:r w:rsidRPr="007F767A" w:rsidR="007A0CC4">
        <w:t xml:space="preserve"> the constitutional order </w:t>
      </w:r>
      <w:r w:rsidRPr="007F767A" w:rsidR="00C902FB">
        <w:t xml:space="preserve">by force of </w:t>
      </w:r>
      <w:r w:rsidRPr="007F767A" w:rsidR="007A0CC4">
        <w:t>arms</w:t>
      </w:r>
      <w:r w:rsidRPr="007F767A" w:rsidR="00927E8A">
        <w:t xml:space="preserve">; </w:t>
      </w:r>
      <w:r w:rsidRPr="007F767A" w:rsidR="007A0CC4">
        <w:t xml:space="preserve">they </w:t>
      </w:r>
      <w:r w:rsidRPr="007F767A" w:rsidR="00927E8A">
        <w:t>were</w:t>
      </w:r>
      <w:r w:rsidRPr="007F767A" w:rsidR="007A0CC4">
        <w:t xml:space="preserve"> carrying out armed and unlawful activities on behalf of that organisation. A report</w:t>
      </w:r>
      <w:r w:rsidRPr="007F767A" w:rsidR="00474C1B">
        <w:t xml:space="preserve"> showing that they </w:t>
      </w:r>
      <w:r w:rsidRPr="007F767A" w:rsidR="00927E8A">
        <w:t>were</w:t>
      </w:r>
      <w:r w:rsidRPr="007F767A" w:rsidR="00474C1B">
        <w:t xml:space="preserve"> members of the unlawful MKP/HKO terrorist organisation and that they had carried out armed activities on behalf of that organisation and thus </w:t>
      </w:r>
      <w:r w:rsidRPr="007F767A" w:rsidR="00927E8A">
        <w:t xml:space="preserve">had </w:t>
      </w:r>
      <w:r w:rsidRPr="007F767A" w:rsidR="00474C1B">
        <w:t>committed the offence of attempting to change the Turkish republic</w:t>
      </w:r>
      <w:r w:rsidRPr="007F767A" w:rsidR="007F767A">
        <w:t>’</w:t>
      </w:r>
      <w:r w:rsidRPr="007F767A" w:rsidR="00474C1B">
        <w:t>s constitutional order</w:t>
      </w:r>
      <w:r w:rsidRPr="007F767A" w:rsidR="004070DF">
        <w:t>,</w:t>
      </w:r>
      <w:r w:rsidRPr="007F767A" w:rsidR="00474C1B">
        <w:t xml:space="preserve"> </w:t>
      </w:r>
      <w:r w:rsidRPr="007F767A" w:rsidR="007A0CC4">
        <w:t xml:space="preserve">was prepared </w:t>
      </w:r>
      <w:r w:rsidRPr="007F767A" w:rsidR="00410211">
        <w:t xml:space="preserve">[by me] </w:t>
      </w:r>
      <w:r w:rsidRPr="007F767A" w:rsidR="00474C1B">
        <w:t>and sent to the Malatya prosecutor.</w:t>
      </w:r>
    </w:p>
    <w:p w:rsidRPr="007F767A" w:rsidR="006B1921" w:rsidP="007F767A" w:rsidRDefault="00474C1B">
      <w:pPr>
        <w:pStyle w:val="ECHRParaQuote"/>
      </w:pPr>
      <w:r w:rsidRPr="007F767A">
        <w:t>The [deceased] had been wandering</w:t>
      </w:r>
      <w:r w:rsidRPr="007F767A" w:rsidR="00D315B4">
        <w:t xml:space="preserve"> and hanging around as a group. Their aim was to inflict casualties on members of the security forces. </w:t>
      </w:r>
      <w:r w:rsidRPr="007F767A" w:rsidR="00927E8A">
        <w:t xml:space="preserve">It was </w:t>
      </w:r>
      <w:r w:rsidRPr="007F767A" w:rsidR="00D315B4">
        <w:t>the terrorists</w:t>
      </w:r>
      <w:r w:rsidRPr="007F767A" w:rsidR="00927E8A">
        <w:t xml:space="preserve"> who fired first,</w:t>
      </w:r>
      <w:r w:rsidRPr="007F767A" w:rsidR="00D315B4">
        <w:t xml:space="preserve"> despite an order to surrender issued by members of the security forces.</w:t>
      </w:r>
      <w:r w:rsidRPr="007F767A" w:rsidR="0060153F">
        <w:t xml:space="preserve"> When they first opened fire </w:t>
      </w:r>
      <w:r w:rsidRPr="007F767A" w:rsidR="004E1EE9">
        <w:t xml:space="preserve">they injured </w:t>
      </w:r>
      <w:r w:rsidRPr="007F767A" w:rsidR="0060153F">
        <w:t>a member of the security forces</w:t>
      </w:r>
      <w:r w:rsidRPr="007F767A" w:rsidR="004E1EE9">
        <w:t xml:space="preserve">. Then, despite a warning to surrender, the terrorist group continued to open fire. Faced with an all-out armed attack, the security forces </w:t>
      </w:r>
      <w:r w:rsidRPr="007F767A" w:rsidR="008D754E">
        <w:t xml:space="preserve">had no alternative but </w:t>
      </w:r>
      <w:r w:rsidRPr="007F767A" w:rsidR="004E1EE9">
        <w:t xml:space="preserve">to </w:t>
      </w:r>
      <w:r w:rsidRPr="007F767A" w:rsidR="00753677">
        <w:t>open</w:t>
      </w:r>
      <w:r w:rsidRPr="007F767A" w:rsidR="004E1EE9">
        <w:t xml:space="preserve"> fire. Thus, </w:t>
      </w:r>
      <w:r w:rsidRPr="007F767A" w:rsidR="003C2499">
        <w:t xml:space="preserve">the </w:t>
      </w:r>
      <w:r w:rsidRPr="007F767A" w:rsidR="007F767A">
        <w:t>‘</w:t>
      </w:r>
      <w:r w:rsidRPr="007F767A" w:rsidR="004E1EE9">
        <w:t>absolute necessity</w:t>
      </w:r>
      <w:r w:rsidRPr="007F767A" w:rsidR="007F767A">
        <w:t>’</w:t>
      </w:r>
      <w:r w:rsidRPr="007F767A" w:rsidR="004E1EE9">
        <w:t xml:space="preserve"> and </w:t>
      </w:r>
      <w:r w:rsidRPr="007F767A" w:rsidR="007F767A">
        <w:t>‘</w:t>
      </w:r>
      <w:r w:rsidRPr="007F767A" w:rsidR="004E1EE9">
        <w:t>reasonable</w:t>
      </w:r>
      <w:r w:rsidRPr="007F767A" w:rsidR="003C2499">
        <w:t>ness</w:t>
      </w:r>
      <w:r w:rsidRPr="007F767A" w:rsidR="007F767A">
        <w:t>’</w:t>
      </w:r>
      <w:r w:rsidRPr="007F767A" w:rsidR="004E1EE9">
        <w:t xml:space="preserve"> </w:t>
      </w:r>
      <w:r w:rsidRPr="007F767A" w:rsidR="00F94145">
        <w:t>criteria</w:t>
      </w:r>
      <w:r w:rsidRPr="007F767A" w:rsidR="003C2499">
        <w:t xml:space="preserve"> were </w:t>
      </w:r>
      <w:r w:rsidRPr="007F767A" w:rsidR="00F94145">
        <w:t>satisfied</w:t>
      </w:r>
      <w:r w:rsidRPr="007F767A" w:rsidR="008D754E">
        <w:t>,</w:t>
      </w:r>
      <w:r w:rsidRPr="007F767A" w:rsidR="003C2499">
        <w:t xml:space="preserve"> </w:t>
      </w:r>
      <w:r w:rsidRPr="007F767A" w:rsidR="00753677">
        <w:t xml:space="preserve">which </w:t>
      </w:r>
      <w:r w:rsidRPr="007F767A" w:rsidR="008D754E">
        <w:t>renders</w:t>
      </w:r>
      <w:r w:rsidRPr="007F767A" w:rsidR="003C2499">
        <w:t xml:space="preserve"> the killings lawful</w:t>
      </w:r>
      <w:r w:rsidRPr="007F767A" w:rsidR="00F94145">
        <w:t>.</w:t>
      </w:r>
    </w:p>
    <w:p w:rsidRPr="007F767A" w:rsidR="00F94145" w:rsidP="007F767A" w:rsidRDefault="00CB5619">
      <w:pPr>
        <w:pStyle w:val="ECHRParaQuote"/>
      </w:pPr>
      <w:r w:rsidRPr="007F767A">
        <w:t>I</w:t>
      </w:r>
      <w:r w:rsidRPr="007F767A" w:rsidR="005634A2">
        <w:t xml:space="preserve">n order to realise their so-called ideals, terrorists make plans and act in accordance with those plans. Even when they are dying they think of killing. They prepare traps with explosives and hand grenades </w:t>
      </w:r>
      <w:r w:rsidRPr="007F767A" w:rsidR="00377D02">
        <w:t xml:space="preserve">and set them </w:t>
      </w:r>
      <w:r w:rsidRPr="007F767A" w:rsidR="005634A2">
        <w:t>to explode when member</w:t>
      </w:r>
      <w:r w:rsidRPr="007F767A" w:rsidR="00CA72BA">
        <w:t>s</w:t>
      </w:r>
      <w:r w:rsidRPr="007F767A" w:rsidR="005634A2">
        <w:t xml:space="preserve"> of the security forces</w:t>
      </w:r>
      <w:r w:rsidRPr="007F767A">
        <w:t xml:space="preserve"> </w:t>
      </w:r>
      <w:r w:rsidRPr="007F767A" w:rsidR="00245208">
        <w:t xml:space="preserve">approach them when they are </w:t>
      </w:r>
      <w:r w:rsidRPr="007F767A" w:rsidR="00410211">
        <w:t>seriously</w:t>
      </w:r>
      <w:r w:rsidRPr="007F767A" w:rsidR="00245208">
        <w:t xml:space="preserve"> injured </w:t>
      </w:r>
      <w:r w:rsidRPr="007F767A">
        <w:t>or</w:t>
      </w:r>
      <w:r w:rsidRPr="007F767A" w:rsidR="00245208">
        <w:t xml:space="preserve"> after their death </w:t>
      </w:r>
      <w:r w:rsidRPr="007F767A" w:rsidR="00377D02">
        <w:t xml:space="preserve">to </w:t>
      </w:r>
      <w:r w:rsidRPr="007F767A">
        <w:t>lift their bodies. The response of the security forces to prevent the terrorists</w:t>
      </w:r>
      <w:r w:rsidRPr="007F767A" w:rsidR="007F767A">
        <w:t>’</w:t>
      </w:r>
      <w:r w:rsidRPr="007F767A">
        <w:t xml:space="preserve"> </w:t>
      </w:r>
      <w:r w:rsidRPr="007F767A" w:rsidR="0059389E">
        <w:t xml:space="preserve">so-called </w:t>
      </w:r>
      <w:r w:rsidRPr="007F767A">
        <w:t xml:space="preserve">last mission (the traps) </w:t>
      </w:r>
      <w:r w:rsidRPr="007F767A" w:rsidR="00377D02">
        <w:t>which</w:t>
      </w:r>
      <w:r w:rsidRPr="007F767A">
        <w:t xml:space="preserve"> caused </w:t>
      </w:r>
      <w:r w:rsidRPr="007F767A" w:rsidR="008D754E">
        <w:t xml:space="preserve">severe </w:t>
      </w:r>
      <w:r w:rsidRPr="007F767A">
        <w:t>damage</w:t>
      </w:r>
      <w:r w:rsidRPr="007F767A" w:rsidR="008D754E">
        <w:t xml:space="preserve"> to </w:t>
      </w:r>
      <w:r w:rsidRPr="007F767A">
        <w:t>the terrorists</w:t>
      </w:r>
      <w:r w:rsidRPr="007F767A" w:rsidR="007F767A">
        <w:t>’</w:t>
      </w:r>
      <w:r w:rsidRPr="007F767A">
        <w:t xml:space="preserve"> bodies must be regarded as a lawful action carried out within the </w:t>
      </w:r>
      <w:r w:rsidRPr="007F767A" w:rsidR="008D754E">
        <w:t>ambit</w:t>
      </w:r>
      <w:r w:rsidRPr="007F767A">
        <w:t xml:space="preserve"> of </w:t>
      </w:r>
      <w:r w:rsidRPr="007F767A" w:rsidR="007F767A">
        <w:t>‘</w:t>
      </w:r>
      <w:r w:rsidRPr="007F767A">
        <w:t>self-defence</w:t>
      </w:r>
      <w:r w:rsidRPr="007F767A" w:rsidR="007F767A">
        <w:t>’</w:t>
      </w:r>
      <w:r w:rsidRPr="007F767A">
        <w:t xml:space="preserve"> and </w:t>
      </w:r>
      <w:r w:rsidRPr="007F767A" w:rsidR="007F767A">
        <w:t>‘</w:t>
      </w:r>
      <w:r w:rsidRPr="007F767A">
        <w:t>necessity</w:t>
      </w:r>
      <w:r w:rsidRPr="007F767A" w:rsidR="007F767A">
        <w:t>’</w:t>
      </w:r>
      <w:r w:rsidRPr="007F767A" w:rsidR="008D754E">
        <w:t>,</w:t>
      </w:r>
      <w:r w:rsidRPr="007F767A">
        <w:t xml:space="preserve"> because they act</w:t>
      </w:r>
      <w:r w:rsidRPr="007F767A" w:rsidR="00871A8B">
        <w:t>ed</w:t>
      </w:r>
      <w:r w:rsidRPr="007F767A">
        <w:t xml:space="preserve"> with the aim of protecting their own physical integrity and lives.</w:t>
      </w:r>
    </w:p>
    <w:p w:rsidRPr="007F767A" w:rsidR="00CB5619" w:rsidP="007F767A" w:rsidRDefault="00CB5619">
      <w:pPr>
        <w:pStyle w:val="ECHRParaQuote"/>
      </w:pPr>
      <w:r w:rsidRPr="007F767A">
        <w:t xml:space="preserve">According to the decision of the </w:t>
      </w:r>
      <w:r w:rsidRPr="007F767A" w:rsidR="00EE37D6">
        <w:t xml:space="preserve">Grand Chamber of the Court of Cassation for Criminal Law Matters (10 October 1995, decision no. 1213/271), </w:t>
      </w:r>
      <w:r w:rsidRPr="007F767A" w:rsidR="005E76C6">
        <w:t>the existence of an</w:t>
      </w:r>
      <w:r w:rsidRPr="007F767A" w:rsidR="00EE37D6">
        <w:t xml:space="preserve"> attack must be interpreted widely; if it is definite that an attack is going to begin</w:t>
      </w:r>
      <w:r w:rsidRPr="007F767A" w:rsidR="0059389E">
        <w:t>,</w:t>
      </w:r>
      <w:r w:rsidRPr="007F767A" w:rsidR="00EE37D6">
        <w:t xml:space="preserve"> it can be regarded as</w:t>
      </w:r>
      <w:r w:rsidRPr="007F767A" w:rsidR="0059389E">
        <w:t xml:space="preserve"> an attack already begun</w:t>
      </w:r>
      <w:r w:rsidRPr="007F767A" w:rsidR="009B4C72">
        <w:t>; if it has already come to an end but there is a fear that it m</w:t>
      </w:r>
      <w:r w:rsidRPr="007F767A" w:rsidR="00410211">
        <w:t>ight</w:t>
      </w:r>
      <w:r w:rsidRPr="007F767A" w:rsidR="009B4C72">
        <w:t xml:space="preserve"> begin again, then it must be regarded as not yet ended.</w:t>
      </w:r>
    </w:p>
    <w:p w:rsidRPr="007F767A" w:rsidR="009B4C72" w:rsidP="007F767A" w:rsidRDefault="009B4C72">
      <w:pPr>
        <w:pStyle w:val="ECHRParaQuote"/>
      </w:pPr>
      <w:r w:rsidRPr="007F767A">
        <w:t xml:space="preserve">In the present incident, </w:t>
      </w:r>
      <w:r w:rsidRPr="007F767A" w:rsidR="002670FC">
        <w:t xml:space="preserve">it is established that members of the security </w:t>
      </w:r>
      <w:r w:rsidRPr="007F767A" w:rsidR="00377D02">
        <w:t xml:space="preserve">forces </w:t>
      </w:r>
      <w:r w:rsidRPr="007F767A" w:rsidR="002670FC">
        <w:t>had persistently warned the deceased</w:t>
      </w:r>
      <w:r w:rsidRPr="007F767A" w:rsidR="009B52CE">
        <w:t>,</w:t>
      </w:r>
      <w:r w:rsidRPr="007F767A" w:rsidR="002670FC">
        <w:t xml:space="preserve"> who </w:t>
      </w:r>
      <w:r w:rsidRPr="007F767A" w:rsidR="008D754E">
        <w:t>were</w:t>
      </w:r>
      <w:r w:rsidRPr="007F767A" w:rsidR="002670FC">
        <w:t xml:space="preserve"> members of the MKP/HKO terrorist organi</w:t>
      </w:r>
      <w:r w:rsidRPr="007F767A" w:rsidR="009B52CE">
        <w:t>s</w:t>
      </w:r>
      <w:r w:rsidRPr="007F767A" w:rsidR="002670FC">
        <w:t>ation</w:t>
      </w:r>
      <w:r w:rsidRPr="007F767A" w:rsidR="009B52CE">
        <w:t>,</w:t>
      </w:r>
      <w:r w:rsidRPr="007F767A" w:rsidR="002670FC">
        <w:t xml:space="preserve"> </w:t>
      </w:r>
      <w:r w:rsidRPr="007F767A" w:rsidR="009B52CE">
        <w:t xml:space="preserve">and asked them to stop and surrender. </w:t>
      </w:r>
      <w:r w:rsidRPr="007F767A" w:rsidR="00377D02">
        <w:t>T</w:t>
      </w:r>
      <w:r w:rsidRPr="007F767A" w:rsidR="009B52CE">
        <w:t xml:space="preserve">he deceased, who </w:t>
      </w:r>
      <w:r w:rsidRPr="007F767A" w:rsidR="008D754E">
        <w:t>were</w:t>
      </w:r>
      <w:r w:rsidRPr="007F767A" w:rsidR="009B52CE">
        <w:t xml:space="preserve"> members of the MKP/HKO terrorist organi</w:t>
      </w:r>
      <w:r w:rsidRPr="007F767A" w:rsidR="00377D02">
        <w:t>s</w:t>
      </w:r>
      <w:r w:rsidRPr="007F767A" w:rsidR="009B52CE">
        <w:t xml:space="preserve">ation </w:t>
      </w:r>
      <w:r w:rsidRPr="007F767A" w:rsidR="00377D02">
        <w:t xml:space="preserve">and who </w:t>
      </w:r>
      <w:r w:rsidRPr="007F767A" w:rsidR="009B52CE">
        <w:t xml:space="preserve">opened fire </w:t>
      </w:r>
      <w:r w:rsidRPr="007F767A" w:rsidR="00377D02">
        <w:t>a</w:t>
      </w:r>
      <w:r w:rsidRPr="007F767A" w:rsidR="009B52CE">
        <w:t>nd injured a gendarme soldier, were then recovered dead together with their weapons.</w:t>
      </w:r>
    </w:p>
    <w:p w:rsidRPr="007F767A" w:rsidR="002143C8" w:rsidP="007F767A" w:rsidRDefault="002143C8">
      <w:pPr>
        <w:pStyle w:val="ECHRParaQuote"/>
      </w:pPr>
      <w:r w:rsidRPr="007F767A">
        <w:t>In the course of anti-terroris</w:t>
      </w:r>
      <w:r w:rsidRPr="007F767A" w:rsidR="00A213D9">
        <w:t>m</w:t>
      </w:r>
      <w:r w:rsidRPr="007F767A">
        <w:t xml:space="preserve"> </w:t>
      </w:r>
      <w:r w:rsidRPr="007F767A" w:rsidR="00A213D9">
        <w:t>measures</w:t>
      </w:r>
      <w:r w:rsidRPr="007F767A">
        <w:t xml:space="preserve">, members of the security forces have the power to use weapons </w:t>
      </w:r>
      <w:r w:rsidRPr="007F767A" w:rsidR="00A213D9">
        <w:t>pursuant to</w:t>
      </w:r>
      <w:r w:rsidRPr="007F767A">
        <w:t xml:space="preserve"> s. 1-3 of Law No. 1481</w:t>
      </w:r>
      <w:r w:rsidRPr="007F767A" w:rsidR="008D754E">
        <w:t xml:space="preserve"> and</w:t>
      </w:r>
      <w:r w:rsidRPr="007F767A">
        <w:t xml:space="preserve"> s. 39-40 of the Regulations on the Establishment and Powers of the Gendarmerie</w:t>
      </w:r>
      <w:r w:rsidRPr="007F767A" w:rsidR="008D754E">
        <w:t xml:space="preserve">: the latter was </w:t>
      </w:r>
      <w:r w:rsidRPr="007F767A">
        <w:t>drafted in accordance with s. 24 of Law No. 280</w:t>
      </w:r>
      <w:r w:rsidRPr="007F767A" w:rsidR="00E82D90">
        <w:t>,</w:t>
      </w:r>
      <w:r w:rsidRPr="007F767A">
        <w:t xml:space="preserve"> and addi</w:t>
      </w:r>
      <w:r w:rsidRPr="007F767A" w:rsidR="00237DA5">
        <w:t>tional section 6 § 2 of Law No. </w:t>
      </w:r>
      <w:r w:rsidRPr="007F767A">
        <w:t>2559.</w:t>
      </w:r>
    </w:p>
    <w:p w:rsidRPr="007F767A" w:rsidR="00910E3E" w:rsidP="007F767A" w:rsidRDefault="00910E3E">
      <w:pPr>
        <w:pStyle w:val="ECHRParaQuote"/>
      </w:pPr>
      <w:r w:rsidRPr="007F767A">
        <w:t>According to Article 2 § 2 of the European Convention on Human Rights, members of the security forces can use weapons if it has become absolutely necessary to do so.</w:t>
      </w:r>
    </w:p>
    <w:p w:rsidRPr="007F767A" w:rsidR="00A213D9" w:rsidP="007F767A" w:rsidRDefault="00ED2CCE">
      <w:pPr>
        <w:pStyle w:val="ECHRParaQuote"/>
      </w:pPr>
      <w:r w:rsidRPr="007F767A">
        <w:t xml:space="preserve">In recovering dead the </w:t>
      </w:r>
      <w:r w:rsidRPr="007F767A" w:rsidR="00910E3E">
        <w:t>members of the</w:t>
      </w:r>
      <w:r w:rsidRPr="007F767A">
        <w:t xml:space="preserve"> MKP/HKO terrorist </w:t>
      </w:r>
      <w:r w:rsidRPr="007F767A" w:rsidR="004070DF">
        <w:t>organisation,</w:t>
      </w:r>
      <w:r w:rsidRPr="007F767A">
        <w:t xml:space="preserve"> members of the </w:t>
      </w:r>
      <w:r w:rsidRPr="007F767A" w:rsidR="00910E3E">
        <w:t xml:space="preserve">security forces used </w:t>
      </w:r>
      <w:r w:rsidRPr="007F767A">
        <w:t xml:space="preserve">their </w:t>
      </w:r>
      <w:r w:rsidRPr="007F767A" w:rsidR="00910E3E">
        <w:t>weapons in accordance with s. 24-25 of the Turkish Criminal Code, Article 2 § 2 of the ECHR and s. 17 § 4 of the Turkish Constitution</w:t>
      </w:r>
      <w:r w:rsidRPr="007F767A" w:rsidR="008D754E">
        <w:t>,</w:t>
      </w:r>
      <w:r w:rsidRPr="007F767A" w:rsidR="00910E3E">
        <w:t xml:space="preserve"> and they did so within the limits of their powers and duties</w:t>
      </w:r>
      <w:r w:rsidRPr="007F767A">
        <w:t xml:space="preserve">. It is clearly established that their actions </w:t>
      </w:r>
      <w:r w:rsidRPr="007F767A" w:rsidR="008D754E">
        <w:t>were</w:t>
      </w:r>
      <w:r w:rsidRPr="007F767A">
        <w:t xml:space="preserve"> lawful within the context of self</w:t>
      </w:r>
      <w:r w:rsidRPr="007F767A" w:rsidR="00E82D90">
        <w:t>-</w:t>
      </w:r>
      <w:r w:rsidRPr="007F767A">
        <w:t xml:space="preserve">defence. Thus, no offence was committed by </w:t>
      </w:r>
      <w:r w:rsidRPr="007F767A" w:rsidR="008D754E">
        <w:t xml:space="preserve">the </w:t>
      </w:r>
      <w:r w:rsidRPr="007F767A">
        <w:t>members of the security forces who killed the deceased or by members of the security forces and the administrative officials who planned the operation and ordered it</w:t>
      </w:r>
      <w:r w:rsidRPr="007F767A" w:rsidR="008D754E">
        <w:t xml:space="preserve"> </w:t>
      </w:r>
      <w:r w:rsidRPr="007F767A" w:rsidR="00A51BDE">
        <w:t>...</w:t>
      </w:r>
      <w:r w:rsidRPr="007F767A" w:rsidR="008D754E">
        <w:t xml:space="preserve"> </w:t>
      </w:r>
      <w:r w:rsidRPr="007F767A">
        <w:t>The decision is hereby taken not to continue with the investigation</w:t>
      </w:r>
      <w:r w:rsidRPr="007F767A" w:rsidR="00A51BDE">
        <w:t>...</w:t>
      </w:r>
      <w:r w:rsidRPr="007F767A" w:rsidR="00E90CB1">
        <w:t>”</w:t>
      </w:r>
    </w:p>
    <w:p w:rsidRPr="007F767A" w:rsidR="009251D0" w:rsidP="007F767A" w:rsidRDefault="007F767A">
      <w:pPr>
        <w:pStyle w:val="ECHRPara"/>
      </w:pPr>
      <w:fldSimple w:instr=" SEQ level0 \*arabic ">
        <w:r w:rsidRPr="007F767A">
          <w:rPr>
            <w:noProof/>
          </w:rPr>
          <w:t>62</w:t>
        </w:r>
      </w:fldSimple>
      <w:r w:rsidRPr="007F767A" w:rsidR="009251D0">
        <w:t xml:space="preserve">.  The applicants lodged </w:t>
      </w:r>
      <w:r w:rsidRPr="007F767A" w:rsidR="000254DB">
        <w:t>objections</w:t>
      </w:r>
      <w:r w:rsidRPr="007F767A" w:rsidR="009251D0">
        <w:t xml:space="preserve"> </w:t>
      </w:r>
      <w:r w:rsidRPr="007F767A" w:rsidR="008D754E">
        <w:t>to</w:t>
      </w:r>
      <w:r w:rsidRPr="007F767A" w:rsidR="009251D0">
        <w:t xml:space="preserve"> the prosecutor</w:t>
      </w:r>
      <w:r w:rsidRPr="007F767A">
        <w:t>’</w:t>
      </w:r>
      <w:r w:rsidRPr="007F767A" w:rsidR="009251D0">
        <w:t>s decision</w:t>
      </w:r>
      <w:r w:rsidRPr="007F767A" w:rsidR="000254DB">
        <w:t xml:space="preserve"> on 14</w:t>
      </w:r>
      <w:r w:rsidRPr="007F767A" w:rsidR="00D9474D">
        <w:t> </w:t>
      </w:r>
      <w:r w:rsidRPr="007F767A" w:rsidR="000254DB">
        <w:t>and 22 July 2006</w:t>
      </w:r>
      <w:r w:rsidRPr="007F767A" w:rsidR="009251D0">
        <w:t>.</w:t>
      </w:r>
      <w:r w:rsidRPr="007F767A" w:rsidR="00CF15F1">
        <w:t xml:space="preserve"> In their </w:t>
      </w:r>
      <w:r w:rsidRPr="007F767A" w:rsidR="008D754E">
        <w:t>submissions</w:t>
      </w:r>
      <w:r w:rsidRPr="007F767A" w:rsidR="00CF15F1">
        <w:t xml:space="preserve"> the applicants also </w:t>
      </w:r>
      <w:r w:rsidRPr="007F767A" w:rsidR="003E2CEF">
        <w:t xml:space="preserve">referred to the </w:t>
      </w:r>
      <w:r w:rsidRPr="007F767A" w:rsidR="00C00664">
        <w:t xml:space="preserve">Kemah </w:t>
      </w:r>
      <w:r w:rsidRPr="007F767A" w:rsidR="003262CF">
        <w:t>report</w:t>
      </w:r>
      <w:r w:rsidRPr="007F767A" w:rsidR="004070DF">
        <w:t xml:space="preserve"> </w:t>
      </w:r>
      <w:r w:rsidRPr="007F767A" w:rsidR="003E2CEF">
        <w:t>and</w:t>
      </w:r>
      <w:r w:rsidRPr="007F767A" w:rsidR="009B11A8">
        <w:t xml:space="preserve"> </w:t>
      </w:r>
      <w:r w:rsidRPr="007F767A" w:rsidR="00EA54DD">
        <w:t>drew attention to the discrepancies between th</w:t>
      </w:r>
      <w:r w:rsidRPr="007F767A" w:rsidR="003E2CEF">
        <w:t>at</w:t>
      </w:r>
      <w:r w:rsidRPr="007F767A" w:rsidR="00EA54DD">
        <w:t xml:space="preserve"> report and the </w:t>
      </w:r>
      <w:r w:rsidRPr="007F767A" w:rsidR="00C00664">
        <w:t xml:space="preserve">Ovacık </w:t>
      </w:r>
      <w:r w:rsidRPr="007F767A" w:rsidR="00EA54DD">
        <w:t xml:space="preserve">report. They argued, in particular, that in the </w:t>
      </w:r>
      <w:r w:rsidRPr="007F767A" w:rsidR="00C00664">
        <w:t xml:space="preserve">Kemah </w:t>
      </w:r>
      <w:r w:rsidRPr="007F767A" w:rsidR="00EA54DD">
        <w:t xml:space="preserve">report there was no mention of any warnings </w:t>
      </w:r>
      <w:r w:rsidRPr="007F767A" w:rsidR="008C0025">
        <w:t xml:space="preserve">having been </w:t>
      </w:r>
      <w:r w:rsidRPr="007F767A" w:rsidR="004070DF">
        <w:t>issued</w:t>
      </w:r>
      <w:r w:rsidRPr="007F767A" w:rsidR="00EA54DD">
        <w:t xml:space="preserve"> to the</w:t>
      </w:r>
      <w:r w:rsidRPr="007F767A" w:rsidR="003E2CEF">
        <w:t>ir</w:t>
      </w:r>
      <w:r w:rsidRPr="007F767A" w:rsidR="00EA54DD">
        <w:t xml:space="preserve"> seventeen </w:t>
      </w:r>
      <w:r w:rsidRPr="007F767A" w:rsidR="003E2CEF">
        <w:t xml:space="preserve">relatives </w:t>
      </w:r>
      <w:r w:rsidRPr="007F767A" w:rsidR="00EA54DD">
        <w:t>to surrender</w:t>
      </w:r>
      <w:r w:rsidRPr="007F767A" w:rsidR="00BC43B0">
        <w:t>.</w:t>
      </w:r>
      <w:r w:rsidRPr="007F767A" w:rsidR="00EA54DD">
        <w:t xml:space="preserve"> </w:t>
      </w:r>
      <w:r w:rsidRPr="007F767A" w:rsidR="00BC43B0">
        <w:t>I</w:t>
      </w:r>
      <w:r w:rsidRPr="007F767A" w:rsidR="00EA54DD">
        <w:t xml:space="preserve">n the </w:t>
      </w:r>
      <w:r w:rsidRPr="007F767A" w:rsidR="00C00664">
        <w:t xml:space="preserve">Ovacık </w:t>
      </w:r>
      <w:r w:rsidRPr="007F767A" w:rsidR="00EA54DD">
        <w:t>report</w:t>
      </w:r>
      <w:r w:rsidRPr="007F767A" w:rsidR="005F0144">
        <w:t xml:space="preserve"> </w:t>
      </w:r>
      <w:r w:rsidRPr="007F767A" w:rsidR="00EA54DD">
        <w:t>it was stated</w:t>
      </w:r>
      <w:r w:rsidRPr="007F767A" w:rsidR="00BC43B0">
        <w:t xml:space="preserve">, however, </w:t>
      </w:r>
      <w:r w:rsidRPr="007F767A" w:rsidR="00EA54DD">
        <w:t>that the</w:t>
      </w:r>
      <w:r w:rsidRPr="007F767A" w:rsidR="003E2CEF">
        <w:t>ir</w:t>
      </w:r>
      <w:r w:rsidRPr="007F767A" w:rsidR="00EA54DD">
        <w:t xml:space="preserve"> </w:t>
      </w:r>
      <w:r w:rsidRPr="007F767A" w:rsidR="003E2CEF">
        <w:t xml:space="preserve">relatives </w:t>
      </w:r>
      <w:r w:rsidRPr="007F767A" w:rsidR="00EA54DD">
        <w:t>had been given warnings to surrender. The</w:t>
      </w:r>
      <w:r w:rsidRPr="007F767A" w:rsidR="00BC43B0">
        <w:t xml:space="preserve"> applicants</w:t>
      </w:r>
      <w:r w:rsidRPr="007F767A" w:rsidR="00EA54DD">
        <w:t xml:space="preserve"> </w:t>
      </w:r>
      <w:r w:rsidRPr="007F767A" w:rsidR="00AD217E">
        <w:t xml:space="preserve">pointed out in this connection </w:t>
      </w:r>
      <w:r w:rsidRPr="007F767A" w:rsidR="003E2CEF">
        <w:t xml:space="preserve">that, </w:t>
      </w:r>
      <w:r w:rsidRPr="007F767A" w:rsidR="00B64F89">
        <w:t xml:space="preserve">instead of trying to assess which version had represented the truth, </w:t>
      </w:r>
      <w:r w:rsidRPr="007F767A" w:rsidR="00AD217E">
        <w:t xml:space="preserve">when closing the investigation the prosecutor </w:t>
      </w:r>
      <w:r w:rsidRPr="007F767A" w:rsidR="00E82D90">
        <w:t xml:space="preserve">had </w:t>
      </w:r>
      <w:r w:rsidRPr="007F767A" w:rsidR="00B64F89">
        <w:t>completely ignored</w:t>
      </w:r>
      <w:r w:rsidRPr="007F767A" w:rsidR="00AD217E">
        <w:t xml:space="preserve"> the </w:t>
      </w:r>
      <w:r w:rsidRPr="007F767A" w:rsidR="00602CB1">
        <w:t xml:space="preserve">Kemah </w:t>
      </w:r>
      <w:r w:rsidRPr="007F767A" w:rsidR="00AD217E">
        <w:t>report</w:t>
      </w:r>
      <w:r w:rsidRPr="007F767A" w:rsidR="008D754E">
        <w:t>,</w:t>
      </w:r>
      <w:r w:rsidRPr="007F767A" w:rsidR="00AD217E">
        <w:t xml:space="preserve"> in which no mention was made </w:t>
      </w:r>
      <w:r w:rsidRPr="007F767A" w:rsidR="00C902FB">
        <w:t>of</w:t>
      </w:r>
      <w:r w:rsidRPr="007F767A" w:rsidR="00AD217E">
        <w:t xml:space="preserve"> surrender warnings</w:t>
      </w:r>
      <w:r w:rsidRPr="007F767A" w:rsidR="008D754E">
        <w:t>,</w:t>
      </w:r>
      <w:r w:rsidRPr="007F767A" w:rsidR="00B64F89">
        <w:t xml:space="preserve"> and relied solely on the </w:t>
      </w:r>
      <w:r w:rsidRPr="007F767A" w:rsidR="00602CB1">
        <w:t>Ovacık</w:t>
      </w:r>
      <w:r w:rsidRPr="007F767A" w:rsidR="00B64F89">
        <w:t xml:space="preserve"> report.</w:t>
      </w:r>
    </w:p>
    <w:p w:rsidRPr="007F767A" w:rsidR="00C51DEC" w:rsidP="007F767A" w:rsidRDefault="007F767A">
      <w:pPr>
        <w:pStyle w:val="ECHRPara"/>
      </w:pPr>
      <w:fldSimple w:instr=" SEQ level0 \*arabic ">
        <w:r w:rsidRPr="007F767A">
          <w:rPr>
            <w:noProof/>
          </w:rPr>
          <w:t>63</w:t>
        </w:r>
      </w:fldSimple>
      <w:r w:rsidRPr="007F767A" w:rsidR="00F0204F">
        <w:t xml:space="preserve">.  The applicants </w:t>
      </w:r>
      <w:r w:rsidRPr="007F767A" w:rsidR="004070DF">
        <w:t>further argued</w:t>
      </w:r>
      <w:r w:rsidRPr="007F767A" w:rsidR="00F0204F">
        <w:t xml:space="preserve"> </w:t>
      </w:r>
      <w:r w:rsidRPr="007F767A" w:rsidR="006834A4">
        <w:t xml:space="preserve">that no investigation had been conducted into </w:t>
      </w:r>
      <w:r w:rsidRPr="007F767A" w:rsidR="00B64F89">
        <w:t xml:space="preserve">the roles played by and </w:t>
      </w:r>
      <w:r w:rsidRPr="007F767A" w:rsidR="00F17F9B">
        <w:t xml:space="preserve">the </w:t>
      </w:r>
      <w:r w:rsidRPr="007F767A" w:rsidR="00B64F89">
        <w:t xml:space="preserve">actions of members of the security forces during the operation. In fact, they had not even been named </w:t>
      </w:r>
      <w:r w:rsidRPr="007F767A" w:rsidR="009E290D">
        <w:t>or</w:t>
      </w:r>
      <w:r w:rsidRPr="007F767A" w:rsidR="00B64F89">
        <w:t xml:space="preserve"> questioned. Furthermore, no attempts had been made to find out what types of weapons had been used by the security forces in the operation.</w:t>
      </w:r>
    </w:p>
    <w:p w:rsidRPr="007F767A" w:rsidR="009D7571" w:rsidP="007F767A" w:rsidRDefault="007F767A">
      <w:pPr>
        <w:pStyle w:val="ECHRPara"/>
      </w:pPr>
      <w:fldSimple w:instr=" SEQ level0 \*arabic ">
        <w:r w:rsidRPr="007F767A">
          <w:rPr>
            <w:noProof/>
          </w:rPr>
          <w:t>64</w:t>
        </w:r>
      </w:fldSimple>
      <w:r w:rsidRPr="007F767A" w:rsidR="00B64F89">
        <w:t>.  The applicants also referred to the documents in the Kemah prosecutor</w:t>
      </w:r>
      <w:r w:rsidRPr="007F767A">
        <w:t>’</w:t>
      </w:r>
      <w:r w:rsidRPr="007F767A" w:rsidR="00B64F89">
        <w:t>s investigation file concerning the actions of the three men who had been arrested on suspicion of help</w:t>
      </w:r>
      <w:r w:rsidRPr="007F767A" w:rsidR="00C902FB">
        <w:t>ing</w:t>
      </w:r>
      <w:r w:rsidRPr="007F767A" w:rsidR="00B64F89">
        <w:t xml:space="preserve"> their relatives. </w:t>
      </w:r>
      <w:r w:rsidRPr="007F767A" w:rsidR="008B16A0">
        <w:t>They submitted that those documents showed that members of the security forces had not simply “come across” their relatives on 17 June 2005 as alleged in the</w:t>
      </w:r>
      <w:r w:rsidRPr="007F767A" w:rsidR="00473A7A">
        <w:t xml:space="preserve"> Ovacık</w:t>
      </w:r>
      <w:r w:rsidRPr="007F767A" w:rsidR="008B16A0">
        <w:t xml:space="preserve"> report (see paragraph </w:t>
      </w:r>
      <w:r w:rsidRPr="007F767A" w:rsidR="0067422E">
        <w:t>22</w:t>
      </w:r>
      <w:r w:rsidRPr="007F767A" w:rsidR="008B16A0">
        <w:t xml:space="preserve"> above). </w:t>
      </w:r>
      <w:r w:rsidRPr="007F767A" w:rsidR="002B7DEB">
        <w:t>Instead, t</w:t>
      </w:r>
      <w:r w:rsidRPr="007F767A" w:rsidR="008B16A0">
        <w:t>hose documents</w:t>
      </w:r>
      <w:r w:rsidRPr="007F767A" w:rsidR="00B078E9">
        <w:t xml:space="preserve"> </w:t>
      </w:r>
      <w:r w:rsidRPr="007F767A" w:rsidR="008B16A0">
        <w:t>showed that the operation had in fact started on 2 June 2005 and had been meticulously carried out. For example, twelve of their relatives had been under close observation by the security forces from the time of their arrival in Erzincan on 2 June 2005</w:t>
      </w:r>
      <w:r w:rsidRPr="007F767A" w:rsidR="009E290D">
        <w:t>,</w:t>
      </w:r>
      <w:r w:rsidRPr="007F767A" w:rsidR="008B16A0">
        <w:t xml:space="preserve"> and their telephone conversations with the three men who were under investigation for helping them had been </w:t>
      </w:r>
      <w:r w:rsidRPr="007F767A" w:rsidR="00473A7A">
        <w:t>intercepted</w:t>
      </w:r>
      <w:r w:rsidRPr="007F767A" w:rsidR="008B16A0">
        <w:t xml:space="preserve"> and their meetings photographed.</w:t>
      </w:r>
      <w:r w:rsidRPr="007F767A" w:rsidR="00967F39">
        <w:t xml:space="preserve"> </w:t>
      </w:r>
      <w:r w:rsidRPr="007F767A" w:rsidR="00D30375">
        <w:t xml:space="preserve">According to the </w:t>
      </w:r>
      <w:r w:rsidRPr="007F767A" w:rsidR="00365F34">
        <w:t>applicants</w:t>
      </w:r>
      <w:r w:rsidRPr="007F767A" w:rsidR="00D30375">
        <w:t>,</w:t>
      </w:r>
      <w:r w:rsidRPr="007F767A" w:rsidR="00365F34">
        <w:t xml:space="preserve"> </w:t>
      </w:r>
      <w:r w:rsidRPr="007F767A" w:rsidR="00D30375">
        <w:t>this background information showed that</w:t>
      </w:r>
      <w:r w:rsidRPr="007F767A" w:rsidR="00345A2D">
        <w:t>,</w:t>
      </w:r>
      <w:r w:rsidRPr="007F767A" w:rsidR="00D30375">
        <w:t xml:space="preserve"> instead of arresting their relatives at a much earlier stage, members of the security forces had chosen to wait until the</w:t>
      </w:r>
      <w:r w:rsidRPr="007F767A" w:rsidR="007210E1">
        <w:t>ir relatives</w:t>
      </w:r>
      <w:r w:rsidRPr="007F767A" w:rsidR="00D30375">
        <w:t xml:space="preserve"> </w:t>
      </w:r>
      <w:r w:rsidRPr="007F767A" w:rsidR="007210E1">
        <w:t xml:space="preserve">went to </w:t>
      </w:r>
      <w:r w:rsidRPr="007F767A" w:rsidR="00D30375">
        <w:t xml:space="preserve">the countryside </w:t>
      </w:r>
      <w:r w:rsidRPr="007F767A" w:rsidR="007210E1">
        <w:t xml:space="preserve">where </w:t>
      </w:r>
      <w:r w:rsidRPr="007F767A" w:rsidR="00345A2D">
        <w:t xml:space="preserve">the </w:t>
      </w:r>
      <w:r w:rsidRPr="007F767A" w:rsidR="00D30375">
        <w:t xml:space="preserve">conditions </w:t>
      </w:r>
      <w:r w:rsidRPr="007F767A" w:rsidR="009E290D">
        <w:t xml:space="preserve">were suitable for </w:t>
      </w:r>
      <w:r w:rsidRPr="007F767A" w:rsidR="007210E1">
        <w:t xml:space="preserve">an operation to </w:t>
      </w:r>
      <w:r w:rsidRPr="007F767A" w:rsidR="00D30375">
        <w:t>kill</w:t>
      </w:r>
      <w:r w:rsidRPr="007F767A" w:rsidR="007210E1">
        <w:t xml:space="preserve"> them</w:t>
      </w:r>
      <w:r w:rsidRPr="007F767A" w:rsidR="00D30375">
        <w:t>.</w:t>
      </w:r>
      <w:r w:rsidRPr="007F767A" w:rsidR="00DF14F6">
        <w:t xml:space="preserve"> Nevertheless, despite their importance and relevance</w:t>
      </w:r>
      <w:r w:rsidRPr="007F767A" w:rsidR="007210E1">
        <w:t>,</w:t>
      </w:r>
      <w:r w:rsidRPr="007F767A" w:rsidR="00DF14F6">
        <w:t xml:space="preserve"> none of the above </w:t>
      </w:r>
      <w:r w:rsidRPr="007F767A" w:rsidR="003569A2">
        <w:t xml:space="preserve">factors </w:t>
      </w:r>
      <w:r w:rsidRPr="007F767A" w:rsidR="00DF14F6">
        <w:t>had been taken into account by the prosecutor in the investigation.</w:t>
      </w:r>
    </w:p>
    <w:p w:rsidRPr="007F767A" w:rsidR="00F0204F" w:rsidP="007F767A" w:rsidRDefault="007F767A">
      <w:pPr>
        <w:pStyle w:val="ECHRPara"/>
      </w:pPr>
      <w:fldSimple w:instr=" SEQ level0 \*arabic ">
        <w:r w:rsidRPr="007F767A">
          <w:rPr>
            <w:noProof/>
          </w:rPr>
          <w:t>65</w:t>
        </w:r>
      </w:fldSimple>
      <w:r w:rsidRPr="007F767A" w:rsidR="009D7571">
        <w:t>.  </w:t>
      </w:r>
      <w:r w:rsidRPr="007F767A" w:rsidR="006B31B5">
        <w:t xml:space="preserve"> </w:t>
      </w:r>
      <w:r w:rsidRPr="007F767A" w:rsidR="00EF2EA0">
        <w:t>The applicants argued that</w:t>
      </w:r>
      <w:r w:rsidRPr="007F767A" w:rsidR="000D31D2">
        <w:t xml:space="preserve"> if</w:t>
      </w:r>
      <w:r w:rsidRPr="007F767A" w:rsidR="00EF2EA0">
        <w:t xml:space="preserve"> the prosecutor </w:t>
      </w:r>
      <w:r w:rsidRPr="007F767A" w:rsidR="000D31D2">
        <w:t xml:space="preserve">had </w:t>
      </w:r>
      <w:r w:rsidRPr="007F767A" w:rsidR="00EF2EA0">
        <w:t xml:space="preserve">taken notice of the contents of the </w:t>
      </w:r>
      <w:r w:rsidRPr="007F767A" w:rsidR="00C00664">
        <w:t>Kemah</w:t>
      </w:r>
      <w:r w:rsidRPr="007F767A" w:rsidR="00EF2EA0">
        <w:t xml:space="preserve"> report he would have seen that no warnings had been issued by the soldiers before </w:t>
      </w:r>
      <w:r w:rsidRPr="007F767A" w:rsidR="000D31D2">
        <w:t xml:space="preserve">they </w:t>
      </w:r>
      <w:r w:rsidRPr="007F767A" w:rsidR="00EF2EA0">
        <w:t>open</w:t>
      </w:r>
      <w:r w:rsidRPr="007F767A" w:rsidR="000D31D2">
        <w:t>ed</w:t>
      </w:r>
      <w:r w:rsidRPr="007F767A" w:rsidR="00EF2EA0">
        <w:t xml:space="preserve"> fire on their relatives. Indeed, given that the first contact had been with their relative who had been on lookout duty and the members of the security forces</w:t>
      </w:r>
      <w:r w:rsidRPr="007F767A" w:rsidR="00483399">
        <w:t xml:space="preserve"> who had been</w:t>
      </w:r>
      <w:r w:rsidRPr="007F767A" w:rsidR="00EF2EA0">
        <w:t xml:space="preserve"> </w:t>
      </w:r>
      <w:r w:rsidRPr="007F767A" w:rsidR="00483399">
        <w:t>i</w:t>
      </w:r>
      <w:r w:rsidRPr="007F767A" w:rsidR="00EF2EA0">
        <w:t xml:space="preserve">n the helicopter, it </w:t>
      </w:r>
      <w:r w:rsidRPr="007F767A" w:rsidR="00C00664">
        <w:t>was</w:t>
      </w:r>
      <w:r w:rsidRPr="007F767A" w:rsidR="00EF2EA0">
        <w:t xml:space="preserve"> improbable </w:t>
      </w:r>
      <w:r w:rsidRPr="007F767A" w:rsidR="00C00664">
        <w:t xml:space="preserve">that </w:t>
      </w:r>
      <w:r w:rsidRPr="007F767A" w:rsidR="00EF2EA0">
        <w:t xml:space="preserve">such a warning </w:t>
      </w:r>
      <w:r w:rsidRPr="007F767A" w:rsidR="00C00664">
        <w:t xml:space="preserve">had </w:t>
      </w:r>
      <w:r w:rsidRPr="007F767A" w:rsidR="00EF2EA0">
        <w:t>been issued first. Thus, the prosecutor</w:t>
      </w:r>
      <w:r w:rsidRPr="007F767A">
        <w:t>’</w:t>
      </w:r>
      <w:r w:rsidRPr="007F767A" w:rsidR="00EF2EA0">
        <w:t xml:space="preserve">s reliance on the alleged warnings to surrender when </w:t>
      </w:r>
      <w:r w:rsidRPr="007F767A" w:rsidR="006002D9">
        <w:t xml:space="preserve">concluding that </w:t>
      </w:r>
      <w:r w:rsidRPr="007F767A" w:rsidR="00EF2EA0">
        <w:t xml:space="preserve">the killings </w:t>
      </w:r>
      <w:r w:rsidRPr="007F767A" w:rsidR="006002D9">
        <w:t xml:space="preserve">had been in </w:t>
      </w:r>
      <w:r w:rsidRPr="007F767A" w:rsidR="00EF2EA0">
        <w:t>self-defence was without basis.</w:t>
      </w:r>
    </w:p>
    <w:p w:rsidRPr="007F767A" w:rsidR="00EF2EA0" w:rsidP="007F767A" w:rsidRDefault="007F767A">
      <w:pPr>
        <w:pStyle w:val="ECHRPara"/>
      </w:pPr>
      <w:fldSimple w:instr=" SEQ level0 \*arabic ">
        <w:r w:rsidRPr="007F767A">
          <w:rPr>
            <w:noProof/>
          </w:rPr>
          <w:t>66</w:t>
        </w:r>
      </w:fldSimple>
      <w:r w:rsidRPr="007F767A" w:rsidR="00EF2EA0">
        <w:t>.  The applicants also criticised the justification proffered by the prosecutor for the use of heavy weaponry by a</w:t>
      </w:r>
      <w:r w:rsidRPr="007F767A" w:rsidR="00345A2D">
        <w:t>lleging</w:t>
      </w:r>
      <w:r w:rsidRPr="007F767A" w:rsidR="00EF2EA0">
        <w:t xml:space="preserve"> that their relatives could have set up booby-traps. They argued that there was no evidence in the file to support the prosecutor</w:t>
      </w:r>
      <w:r w:rsidRPr="007F767A">
        <w:t>’</w:t>
      </w:r>
      <w:r w:rsidRPr="007F767A" w:rsidR="00EF2EA0">
        <w:t xml:space="preserve">s conclusion. In particular, it was impossible to reach such a conclusion without first questioning the soldiers who, in any event, had not made any allegations </w:t>
      </w:r>
      <w:r w:rsidRPr="007F767A" w:rsidR="000D31D2">
        <w:t xml:space="preserve">that there were </w:t>
      </w:r>
      <w:r w:rsidRPr="007F767A" w:rsidR="00EF2EA0">
        <w:t>boob</w:t>
      </w:r>
      <w:r w:rsidRPr="007F767A" w:rsidR="00345A2D">
        <w:t>y</w:t>
      </w:r>
      <w:r w:rsidRPr="007F767A" w:rsidR="00C902FB">
        <w:t xml:space="preserve"> </w:t>
      </w:r>
      <w:r w:rsidRPr="007F767A" w:rsidR="00EF2EA0">
        <w:t xml:space="preserve">traps. The applicants argued </w:t>
      </w:r>
      <w:r w:rsidRPr="007F767A" w:rsidR="00345A2D">
        <w:t xml:space="preserve">that </w:t>
      </w:r>
      <w:r w:rsidRPr="007F767A" w:rsidR="00EF2EA0">
        <w:t>by doing so the prosecutor had replaced the lack of any evidence with his subjective assumptions</w:t>
      </w:r>
      <w:r w:rsidRPr="007F767A" w:rsidR="00B14FC8">
        <w:t xml:space="preserve"> and </w:t>
      </w:r>
      <w:r w:rsidRPr="007F767A" w:rsidR="00076506">
        <w:t xml:space="preserve">that </w:t>
      </w:r>
      <w:r w:rsidRPr="007F767A" w:rsidR="000B73A4">
        <w:t>the</w:t>
      </w:r>
      <w:r w:rsidRPr="007F767A" w:rsidR="00B14FC8">
        <w:t xml:space="preserve"> conclusion </w:t>
      </w:r>
      <w:r w:rsidRPr="007F767A" w:rsidR="000B73A4">
        <w:t>reached by hi</w:t>
      </w:r>
      <w:r w:rsidRPr="007F767A" w:rsidR="004E54F6">
        <w:t>m</w:t>
      </w:r>
      <w:r w:rsidRPr="007F767A" w:rsidR="000B73A4">
        <w:t xml:space="preserve"> </w:t>
      </w:r>
      <w:r w:rsidRPr="007F767A" w:rsidR="00B14FC8">
        <w:t xml:space="preserve">could not, therefore, have any legal significance </w:t>
      </w:r>
      <w:r w:rsidRPr="007F767A" w:rsidR="000B73A4">
        <w:t>and could not prove that the force used had not been excessive.</w:t>
      </w:r>
    </w:p>
    <w:p w:rsidRPr="007F767A" w:rsidR="000B73A4" w:rsidP="007F767A" w:rsidRDefault="007F767A">
      <w:pPr>
        <w:pStyle w:val="ECHRPara"/>
      </w:pPr>
      <w:fldSimple w:instr=" SEQ level0 \*arabic ">
        <w:r w:rsidRPr="007F767A">
          <w:rPr>
            <w:noProof/>
          </w:rPr>
          <w:t>67</w:t>
        </w:r>
      </w:fldSimple>
      <w:r w:rsidRPr="007F767A" w:rsidR="000B73A4">
        <w:t>.  The applicants alleged that the prosecutor had failed to establish with any clarity the way in which their relatives had been killed. They submitted that</w:t>
      </w:r>
      <w:r w:rsidRPr="007F767A" w:rsidR="00345A2D">
        <w:t>,</w:t>
      </w:r>
      <w:r w:rsidRPr="007F767A" w:rsidR="000B73A4">
        <w:t xml:space="preserve"> according to the news coverage of </w:t>
      </w:r>
      <w:r w:rsidRPr="007F767A" w:rsidR="00E90CB1">
        <w:t>the incident in the media on 17 </w:t>
      </w:r>
      <w:r w:rsidRPr="007F767A" w:rsidR="000B73A4">
        <w:t xml:space="preserve">June 2005, initially nine of their relatives had been killed </w:t>
      </w:r>
      <w:r w:rsidRPr="007F767A" w:rsidR="000D31D2">
        <w:t>by</w:t>
      </w:r>
      <w:r w:rsidRPr="007F767A" w:rsidR="000B73A4">
        <w:t xml:space="preserve"> bombs</w:t>
      </w:r>
      <w:r w:rsidRPr="007F767A" w:rsidR="000D31D2">
        <w:t>,</w:t>
      </w:r>
      <w:r w:rsidRPr="007F767A" w:rsidR="000B73A4">
        <w:t xml:space="preserve"> and </w:t>
      </w:r>
      <w:r w:rsidRPr="007F767A" w:rsidR="000D31D2">
        <w:t xml:space="preserve">that </w:t>
      </w:r>
      <w:r w:rsidRPr="007F767A" w:rsidR="000B73A4">
        <w:t xml:space="preserve">those media reports were compatible with the </w:t>
      </w:r>
      <w:r w:rsidRPr="007F767A" w:rsidR="00076506">
        <w:t>Kemah</w:t>
      </w:r>
      <w:r w:rsidRPr="007F767A" w:rsidR="000B73A4">
        <w:t xml:space="preserve"> military report. The remaining eight relatives had been killed mostly by bullets</w:t>
      </w:r>
      <w:r w:rsidRPr="007F767A" w:rsidR="000D31D2">
        <w:t>,</w:t>
      </w:r>
      <w:r w:rsidRPr="007F767A" w:rsidR="000B73A4">
        <w:t xml:space="preserve"> because after the initial heavy bombing the soldiers on the ground had formed a circle around the eight relatives and shot them.</w:t>
      </w:r>
    </w:p>
    <w:p w:rsidRPr="007F767A" w:rsidR="008A3F5A" w:rsidP="007F767A" w:rsidRDefault="007F767A">
      <w:pPr>
        <w:pStyle w:val="ECHRPara"/>
      </w:pPr>
      <w:fldSimple w:instr=" SEQ level0 \*arabic ">
        <w:r w:rsidRPr="007F767A">
          <w:rPr>
            <w:noProof/>
          </w:rPr>
          <w:t>68</w:t>
        </w:r>
      </w:fldSimple>
      <w:r w:rsidRPr="007F767A" w:rsidR="000B73A4">
        <w:t xml:space="preserve">.  The applicants also criticised the fact that the swabs taken from the hands of their relatives were examined at the Forensic Laboratories of the Police in Diyarbakır rather than at the </w:t>
      </w:r>
      <w:r w:rsidRPr="007F767A" w:rsidR="00C00664">
        <w:t xml:space="preserve">independent </w:t>
      </w:r>
      <w:r w:rsidRPr="007F767A" w:rsidR="000B73A4">
        <w:t>Forensic Medicine Institute.</w:t>
      </w:r>
      <w:r w:rsidRPr="007F767A" w:rsidR="008A3F5A">
        <w:t xml:space="preserve"> Moreover, when taking into account that their relatives </w:t>
      </w:r>
      <w:r w:rsidRPr="007F767A" w:rsidR="003569A2">
        <w:t>had been</w:t>
      </w:r>
      <w:r w:rsidRPr="007F767A" w:rsidR="008A3F5A">
        <w:t xml:space="preserve"> </w:t>
      </w:r>
      <w:r w:rsidRPr="007F767A" w:rsidR="00C00664">
        <w:t>killed in the course of a</w:t>
      </w:r>
      <w:r w:rsidRPr="007F767A" w:rsidR="008A3F5A">
        <w:t xml:space="preserve"> military operation </w:t>
      </w:r>
      <w:r w:rsidRPr="007F767A" w:rsidR="002B7DEB">
        <w:t>during</w:t>
      </w:r>
      <w:r w:rsidRPr="007F767A" w:rsidR="008A3F5A">
        <w:t xml:space="preserve"> which heavy weapons </w:t>
      </w:r>
      <w:r w:rsidRPr="007F767A" w:rsidR="002B7DEB">
        <w:t>had been</w:t>
      </w:r>
      <w:r w:rsidRPr="007F767A" w:rsidR="008A3F5A">
        <w:t xml:space="preserve"> used and that their bodies </w:t>
      </w:r>
      <w:r w:rsidRPr="007F767A" w:rsidR="003569A2">
        <w:t>had been</w:t>
      </w:r>
      <w:r w:rsidRPr="007F767A" w:rsidR="008A3F5A">
        <w:t xml:space="preserve"> carried by soldiers who had taken part in the operation, the prosecutor</w:t>
      </w:r>
      <w:r w:rsidRPr="007F767A">
        <w:t>’</w:t>
      </w:r>
      <w:r w:rsidRPr="007F767A" w:rsidR="008A3F5A">
        <w:t xml:space="preserve">s conclusion, </w:t>
      </w:r>
      <w:r w:rsidRPr="007F767A" w:rsidR="002B7DEB">
        <w:t xml:space="preserve">which was </w:t>
      </w:r>
      <w:r w:rsidRPr="007F767A" w:rsidR="008A3F5A">
        <w:t>based on the forensic reports showing that they had gunpowder residue on their hands, that their relatives had taken part in the armed clash was not compatible with the other information in the file.</w:t>
      </w:r>
    </w:p>
    <w:p w:rsidRPr="007F767A" w:rsidR="000B73A4" w:rsidP="007F767A" w:rsidRDefault="007F767A">
      <w:pPr>
        <w:pStyle w:val="ECHRPara"/>
      </w:pPr>
      <w:fldSimple w:instr=" SEQ level0 \*arabic ">
        <w:r w:rsidRPr="007F767A">
          <w:rPr>
            <w:noProof/>
          </w:rPr>
          <w:t>69</w:t>
        </w:r>
      </w:fldSimple>
      <w:r w:rsidRPr="007F767A" w:rsidR="008A3F5A">
        <w:t>.  Furthermore,</w:t>
      </w:r>
      <w:r w:rsidRPr="007F767A" w:rsidR="000B73A4">
        <w:t xml:space="preserve"> no fingerprint analysis had been conducted on the rifles with a view to establishing whether they had their relatives</w:t>
      </w:r>
      <w:r w:rsidRPr="007F767A">
        <w:t>’</w:t>
      </w:r>
      <w:r w:rsidRPr="007F767A" w:rsidR="000B73A4">
        <w:t xml:space="preserve"> fingerprints on them.</w:t>
      </w:r>
      <w:r w:rsidRPr="007F767A" w:rsidR="008A3F5A">
        <w:t xml:space="preserve"> </w:t>
      </w:r>
      <w:r w:rsidRPr="007F767A" w:rsidR="00897D98">
        <w:t xml:space="preserve">Similarly, although the fact that only spent cartridges belonging to Kalashnikov and G3 rifles </w:t>
      </w:r>
      <w:r w:rsidRPr="007F767A" w:rsidR="00E82D90">
        <w:t>had been</w:t>
      </w:r>
      <w:r w:rsidRPr="007F767A" w:rsidR="00897D98">
        <w:t xml:space="preserve"> found after the operation could lead to the assumption that only G3 and Kalashnikov rifles had been used in the operation, the failure to specify exactly where those spent cartridges had been found and the added failure to collect the spent cartridges discharged from the rifles used by the soldiers discredited that assumption.</w:t>
      </w:r>
    </w:p>
    <w:p w:rsidRPr="007F767A" w:rsidR="00C155CD" w:rsidP="007F767A" w:rsidRDefault="007F767A">
      <w:pPr>
        <w:pStyle w:val="ECHRPara"/>
      </w:pPr>
      <w:fldSimple w:instr=" SEQ level0 \*arabic ">
        <w:r w:rsidRPr="007F767A">
          <w:rPr>
            <w:noProof/>
          </w:rPr>
          <w:t>70</w:t>
        </w:r>
      </w:fldSimple>
      <w:r w:rsidRPr="007F767A" w:rsidR="00C155CD">
        <w:t xml:space="preserve">.  In addition to the above, in their </w:t>
      </w:r>
      <w:r w:rsidRPr="007F767A" w:rsidR="000D31D2">
        <w:t>complaint</w:t>
      </w:r>
      <w:r w:rsidRPr="007F767A" w:rsidR="00C155CD">
        <w:t xml:space="preserve"> the applicants also criticised the prosecutor</w:t>
      </w:r>
      <w:r w:rsidRPr="007F767A">
        <w:t>’</w:t>
      </w:r>
      <w:r w:rsidRPr="007F767A" w:rsidR="00C155CD">
        <w:t xml:space="preserve">s failure to identify the names of the </w:t>
      </w:r>
      <w:r w:rsidRPr="007F767A" w:rsidR="00B078E9">
        <w:t>soldiers</w:t>
      </w:r>
      <w:r w:rsidRPr="007F767A" w:rsidR="00C155CD">
        <w:t xml:space="preserve"> who </w:t>
      </w:r>
      <w:r w:rsidRPr="007F767A" w:rsidR="003569A2">
        <w:t xml:space="preserve">had </w:t>
      </w:r>
      <w:r w:rsidRPr="007F767A" w:rsidR="00C155CD">
        <w:t>killed their relatives</w:t>
      </w:r>
      <w:r w:rsidRPr="007F767A" w:rsidR="00E82D90">
        <w:t>,</w:t>
      </w:r>
      <w:r w:rsidRPr="007F767A" w:rsidR="00C155CD">
        <w:t xml:space="preserve"> </w:t>
      </w:r>
      <w:r w:rsidRPr="007F767A" w:rsidR="00561B63">
        <w:t xml:space="preserve">to </w:t>
      </w:r>
      <w:r w:rsidRPr="007F767A" w:rsidR="00C155CD">
        <w:t>establish the exact locations and movements of both their relatives and the soldiers</w:t>
      </w:r>
      <w:r w:rsidRPr="007F767A" w:rsidR="00E82D90">
        <w:t>,</w:t>
      </w:r>
      <w:r w:rsidRPr="007F767A" w:rsidR="00561B63">
        <w:t xml:space="preserve"> to </w:t>
      </w:r>
      <w:r w:rsidRPr="007F767A" w:rsidR="00C155CD">
        <w:t>visit the scene</w:t>
      </w:r>
      <w:r w:rsidRPr="007F767A" w:rsidR="00E82D90">
        <w:t>,</w:t>
      </w:r>
      <w:r w:rsidRPr="007F767A" w:rsidR="00C155CD">
        <w:t xml:space="preserve"> </w:t>
      </w:r>
      <w:r w:rsidRPr="007F767A" w:rsidR="00561B63">
        <w:t xml:space="preserve">to </w:t>
      </w:r>
      <w:r w:rsidRPr="007F767A" w:rsidR="000D31D2">
        <w:t>identify</w:t>
      </w:r>
      <w:r w:rsidRPr="007F767A" w:rsidR="00C155CD">
        <w:t xml:space="preserve"> the weapons used by members of the security forces</w:t>
      </w:r>
      <w:r w:rsidRPr="007F767A" w:rsidR="00E82D90">
        <w:t>,</w:t>
      </w:r>
      <w:r w:rsidRPr="007F767A" w:rsidR="00C155CD">
        <w:t xml:space="preserve"> and</w:t>
      </w:r>
      <w:r w:rsidRPr="007F767A" w:rsidR="00561B63">
        <w:t xml:space="preserve"> to </w:t>
      </w:r>
      <w:r w:rsidRPr="007F767A" w:rsidR="00C155CD">
        <w:t>safeguard the clothes removed from the bodies of their relatives.</w:t>
      </w:r>
    </w:p>
    <w:p w:rsidRPr="007F767A" w:rsidR="004E54F6" w:rsidP="007F767A" w:rsidRDefault="007F767A">
      <w:pPr>
        <w:pStyle w:val="ECHRPara"/>
      </w:pPr>
      <w:fldSimple w:instr=" SEQ level0 \*arabic ">
        <w:r w:rsidRPr="007F767A">
          <w:rPr>
            <w:noProof/>
          </w:rPr>
          <w:t>71</w:t>
        </w:r>
      </w:fldSimple>
      <w:r w:rsidRPr="007F767A" w:rsidR="00C155CD">
        <w:t>.  </w:t>
      </w:r>
      <w:r w:rsidRPr="007F767A" w:rsidR="00561B63">
        <w:t>The applicants argued that</w:t>
      </w:r>
      <w:r w:rsidRPr="007F767A" w:rsidR="00345A2D">
        <w:t>,</w:t>
      </w:r>
      <w:r w:rsidRPr="007F767A" w:rsidR="00561B63">
        <w:t xml:space="preserve"> </w:t>
      </w:r>
      <w:r w:rsidRPr="007F767A" w:rsidR="00CF5463">
        <w:t xml:space="preserve">in the light of the serious failures it could not be said that an effective investigation had been conducted. Indeed, when looking at the investigation as a whole, one could see that both the security forces who </w:t>
      </w:r>
      <w:r w:rsidRPr="007F767A" w:rsidR="003569A2">
        <w:t xml:space="preserve">had </w:t>
      </w:r>
      <w:r w:rsidRPr="007F767A" w:rsidR="00CF5463">
        <w:t>prepared the military reports after the operation</w:t>
      </w:r>
      <w:r w:rsidRPr="007F767A" w:rsidR="000D31D2">
        <w:t>,</w:t>
      </w:r>
      <w:r w:rsidRPr="007F767A" w:rsidR="00CF5463">
        <w:t xml:space="preserve"> and </w:t>
      </w:r>
      <w:r w:rsidRPr="007F767A" w:rsidR="006C6BA8">
        <w:t xml:space="preserve">subsequently </w:t>
      </w:r>
      <w:r w:rsidRPr="007F767A" w:rsidR="00CF5463">
        <w:t>the prosecutor</w:t>
      </w:r>
      <w:r w:rsidRPr="007F767A" w:rsidR="000D31D2">
        <w:t>,</w:t>
      </w:r>
      <w:r w:rsidRPr="007F767A" w:rsidR="00CF5463">
        <w:t xml:space="preserve"> had been convinced that their relatives had deserved to die and </w:t>
      </w:r>
      <w:r w:rsidRPr="007F767A" w:rsidR="007175DC">
        <w:t xml:space="preserve">that </w:t>
      </w:r>
      <w:r w:rsidRPr="007F767A" w:rsidR="00CF5463">
        <w:t xml:space="preserve">that had been the </w:t>
      </w:r>
      <w:r w:rsidRPr="007F767A" w:rsidR="00C00664">
        <w:t xml:space="preserve">real </w:t>
      </w:r>
      <w:r w:rsidRPr="007F767A" w:rsidR="00CF5463">
        <w:t>reason behind their failure to take even the most basic investigative steps</w:t>
      </w:r>
      <w:r w:rsidRPr="007F767A" w:rsidR="006C6BA8">
        <w:t xml:space="preserve">. </w:t>
      </w:r>
      <w:r w:rsidRPr="007F767A" w:rsidR="004E54F6">
        <w:t>In that connection they also criticised the fact that evidence had been collected by the soldiers who were supposed to be under investigation.</w:t>
      </w:r>
    </w:p>
    <w:p w:rsidRPr="007F767A" w:rsidR="00C155CD" w:rsidP="007F767A" w:rsidRDefault="007F767A">
      <w:pPr>
        <w:pStyle w:val="ECHRPara"/>
      </w:pPr>
      <w:fldSimple w:instr=" SEQ level0 \*arabic ">
        <w:r w:rsidRPr="007F767A">
          <w:rPr>
            <w:noProof/>
          </w:rPr>
          <w:t>72</w:t>
        </w:r>
      </w:fldSimple>
      <w:r w:rsidRPr="007F767A" w:rsidR="004E54F6">
        <w:t>.  The</w:t>
      </w:r>
      <w:r w:rsidRPr="007F767A" w:rsidR="00345A2D">
        <w:t xml:space="preserve"> applicants </w:t>
      </w:r>
      <w:r w:rsidRPr="007F767A" w:rsidR="002B7DEB">
        <w:t xml:space="preserve">concluded their </w:t>
      </w:r>
      <w:r w:rsidRPr="007F767A" w:rsidR="000D31D2">
        <w:t>complaint</w:t>
      </w:r>
      <w:r w:rsidRPr="007F767A" w:rsidR="002B7DEB">
        <w:t xml:space="preserve"> by </w:t>
      </w:r>
      <w:r w:rsidRPr="007F767A" w:rsidR="004E54F6">
        <w:t>argu</w:t>
      </w:r>
      <w:r w:rsidRPr="007F767A" w:rsidR="002B7DEB">
        <w:t>ing</w:t>
      </w:r>
      <w:r w:rsidRPr="007F767A" w:rsidR="004E54F6">
        <w:t xml:space="preserve"> that</w:t>
      </w:r>
      <w:r w:rsidRPr="007F767A" w:rsidR="00345A2D">
        <w:t>,</w:t>
      </w:r>
      <w:r w:rsidRPr="007F767A" w:rsidR="004E54F6">
        <w:t xml:space="preserve"> i</w:t>
      </w:r>
      <w:r w:rsidRPr="007F767A" w:rsidR="006C6BA8">
        <w:t>n the light of the s</w:t>
      </w:r>
      <w:r w:rsidRPr="007F767A" w:rsidR="004E54F6">
        <w:t>hortcomings in the investigation,</w:t>
      </w:r>
      <w:r w:rsidRPr="007F767A" w:rsidR="006C6BA8">
        <w:t xml:space="preserve"> the prosecutor had not been in a position to </w:t>
      </w:r>
      <w:r w:rsidRPr="007F767A" w:rsidR="009E51D9">
        <w:t xml:space="preserve">decide whether or not the use of force </w:t>
      </w:r>
      <w:r w:rsidRPr="007F767A" w:rsidR="00C902FB">
        <w:t>was</w:t>
      </w:r>
      <w:r w:rsidRPr="007F767A" w:rsidR="009E51D9">
        <w:t xml:space="preserve"> justified under the national legislation </w:t>
      </w:r>
      <w:r w:rsidRPr="007F767A" w:rsidR="00B078E9">
        <w:t>set out</w:t>
      </w:r>
      <w:r w:rsidRPr="007F767A" w:rsidR="009E51D9">
        <w:t xml:space="preserve"> </w:t>
      </w:r>
      <w:r w:rsidRPr="007F767A" w:rsidR="00B078E9">
        <w:t>i</w:t>
      </w:r>
      <w:r w:rsidRPr="007F767A" w:rsidR="009E51D9">
        <w:t>n his decision.</w:t>
      </w:r>
    </w:p>
    <w:p w:rsidRPr="007F767A" w:rsidR="009E51D9" w:rsidP="007F767A" w:rsidRDefault="007F767A">
      <w:pPr>
        <w:pStyle w:val="ECHRPara"/>
      </w:pPr>
      <w:fldSimple w:instr=" SEQ level0 \*arabic ">
        <w:r w:rsidRPr="007F767A">
          <w:rPr>
            <w:noProof/>
          </w:rPr>
          <w:t>73</w:t>
        </w:r>
      </w:fldSimple>
      <w:r w:rsidRPr="007F767A" w:rsidR="00C535B6">
        <w:t>.  </w:t>
      </w:r>
      <w:r w:rsidRPr="007F767A" w:rsidR="009E51D9">
        <w:t>The objection lodged by the applicants against the prosecutor</w:t>
      </w:r>
      <w:r w:rsidRPr="007F767A">
        <w:t>’</w:t>
      </w:r>
      <w:r w:rsidRPr="007F767A" w:rsidR="009E51D9">
        <w:t>s decision was rejected by the Erzincan Assize Court on 24 August 2006. The Assize Court</w:t>
      </w:r>
      <w:r w:rsidRPr="007F767A">
        <w:t>’</w:t>
      </w:r>
      <w:r w:rsidRPr="007F767A" w:rsidR="00C535B6">
        <w:t>s decision is as follows</w:t>
      </w:r>
      <w:r w:rsidRPr="007F767A" w:rsidR="003F0474">
        <w:t>:</w:t>
      </w:r>
    </w:p>
    <w:p w:rsidRPr="007F767A" w:rsidR="00C535B6" w:rsidP="007F767A" w:rsidRDefault="003F0474">
      <w:pPr>
        <w:pStyle w:val="ECHRParaQuote"/>
      </w:pPr>
      <w:r w:rsidRPr="007F767A">
        <w:t>“The complainants submitted through their legal representatives that</w:t>
      </w:r>
      <w:r w:rsidRPr="007F767A" w:rsidR="00345A2D">
        <w:t>,</w:t>
      </w:r>
      <w:r w:rsidRPr="007F767A">
        <w:t xml:space="preserve"> </w:t>
      </w:r>
      <w:r w:rsidRPr="007F767A" w:rsidR="00C535B6">
        <w:t xml:space="preserve">although </w:t>
      </w:r>
      <w:r w:rsidRPr="007F767A">
        <w:t>the</w:t>
      </w:r>
      <w:r w:rsidRPr="007F767A" w:rsidR="002B7DEB">
        <w:t>ir relatives</w:t>
      </w:r>
      <w:r w:rsidRPr="007F767A">
        <w:t xml:space="preserve"> who were killed on 17 May 2005 (</w:t>
      </w:r>
      <w:r w:rsidRPr="007F767A">
        <w:rPr>
          <w:i/>
        </w:rPr>
        <w:t>sic</w:t>
      </w:r>
      <w:r w:rsidRPr="007F767A">
        <w:t xml:space="preserve">) </w:t>
      </w:r>
      <w:r w:rsidRPr="007F767A" w:rsidR="00CD08D4">
        <w:t>could have been apprehended alive</w:t>
      </w:r>
      <w:r w:rsidRPr="007F767A" w:rsidR="00C535B6">
        <w:t>,</w:t>
      </w:r>
      <w:r w:rsidRPr="007F767A" w:rsidR="00CD08D4">
        <w:t xml:space="preserve"> members of the security forces had acted </w:t>
      </w:r>
      <w:r w:rsidRPr="007F767A" w:rsidR="00C535B6">
        <w:t>with the intention to kill</w:t>
      </w:r>
      <w:r w:rsidRPr="007F767A" w:rsidR="002B7DEB">
        <w:t xml:space="preserve"> and</w:t>
      </w:r>
      <w:r w:rsidRPr="007F767A" w:rsidR="00C535B6">
        <w:t xml:space="preserve"> that </w:t>
      </w:r>
      <w:r w:rsidRPr="007F767A" w:rsidR="002B7DEB">
        <w:t xml:space="preserve">they had stripped </w:t>
      </w:r>
      <w:r w:rsidRPr="007F767A" w:rsidR="00C535B6">
        <w:t xml:space="preserve">the </w:t>
      </w:r>
      <w:r w:rsidRPr="007F767A" w:rsidR="002B7DEB">
        <w:t>clothes</w:t>
      </w:r>
      <w:r w:rsidRPr="007F767A" w:rsidR="00C535B6">
        <w:t xml:space="preserve"> of</w:t>
      </w:r>
      <w:r w:rsidRPr="007F767A" w:rsidR="002B7DEB">
        <w:t>f</w:t>
      </w:r>
      <w:r w:rsidRPr="007F767A" w:rsidR="00C535B6">
        <w:t xml:space="preserve"> the</w:t>
      </w:r>
      <w:r w:rsidRPr="007F767A" w:rsidR="002B7DEB">
        <w:t>ir relatives</w:t>
      </w:r>
      <w:r w:rsidRPr="007F767A" w:rsidR="00C535B6">
        <w:t xml:space="preserve"> </w:t>
      </w:r>
      <w:r w:rsidRPr="007F767A" w:rsidR="00345A2D">
        <w:t>and</w:t>
      </w:r>
      <w:r w:rsidRPr="007F767A" w:rsidR="00C535B6">
        <w:t xml:space="preserve"> display</w:t>
      </w:r>
      <w:r w:rsidRPr="007F767A" w:rsidR="00345A2D">
        <w:t xml:space="preserve">ed </w:t>
      </w:r>
      <w:r w:rsidRPr="007F767A" w:rsidR="002B7DEB">
        <w:t xml:space="preserve">their bodies </w:t>
      </w:r>
      <w:r w:rsidRPr="007F767A" w:rsidR="00C535B6">
        <w:t>publicly. The</w:t>
      </w:r>
      <w:r w:rsidRPr="007F767A" w:rsidR="000D31D2">
        <w:t>ir</w:t>
      </w:r>
      <w:r w:rsidRPr="007F767A" w:rsidR="00C535B6">
        <w:t xml:space="preserve"> complain</w:t>
      </w:r>
      <w:r w:rsidRPr="007F767A" w:rsidR="000D31D2">
        <w:t xml:space="preserve">t was therefore </w:t>
      </w:r>
      <w:r w:rsidRPr="007F767A" w:rsidR="00C535B6">
        <w:t>against the military and administrative authorities who had ordered the operation, planned it, and carried it out.</w:t>
      </w:r>
    </w:p>
    <w:p w:rsidRPr="007F767A" w:rsidR="00C535B6" w:rsidP="007F767A" w:rsidRDefault="00C535B6">
      <w:pPr>
        <w:pStyle w:val="ECHRParaQuote"/>
      </w:pPr>
      <w:r w:rsidRPr="007F767A">
        <w:t xml:space="preserve">At the end of the investigation carried out by </w:t>
      </w:r>
      <w:r w:rsidRPr="007F767A" w:rsidR="00B078E9">
        <w:t xml:space="preserve">the </w:t>
      </w:r>
      <w:r w:rsidRPr="007F767A">
        <w:t xml:space="preserve">Ovacık prosecutor a decision was taken not to bring criminal proceedings against the military </w:t>
      </w:r>
      <w:r w:rsidRPr="007F767A" w:rsidR="00345A2D">
        <w:t>or</w:t>
      </w:r>
      <w:r w:rsidRPr="007F767A">
        <w:t xml:space="preserve"> administrative authorities who had ordered the operation, who had overseen it and who had executed it</w:t>
      </w:r>
      <w:r w:rsidRPr="007F767A" w:rsidR="000A413F">
        <w:t>,</w:t>
      </w:r>
      <w:r w:rsidRPr="007F767A">
        <w:t xml:space="preserve"> </w:t>
      </w:r>
      <w:r w:rsidRPr="007F767A" w:rsidR="000A413F">
        <w:t>for the killings of the deceased persons and for displaying their bodies. I</w:t>
      </w:r>
      <w:r w:rsidRPr="007F767A">
        <w:t>t was considered that no offence had been committed.</w:t>
      </w:r>
    </w:p>
    <w:p w:rsidRPr="007F767A" w:rsidR="003F0474" w:rsidP="007F767A" w:rsidRDefault="00C535B6">
      <w:pPr>
        <w:pStyle w:val="ECHRParaQuote"/>
      </w:pPr>
      <w:r w:rsidRPr="007F767A">
        <w:t>Having examined the file, a decision is hereby given to reject the objection lodged by the complainants because the Ovacık prosecutor</w:t>
      </w:r>
      <w:r w:rsidRPr="007F767A" w:rsidR="007F767A">
        <w:t>’</w:t>
      </w:r>
      <w:r w:rsidRPr="007F767A">
        <w:t>s decision is in accordance with the procedure and the legislation”.</w:t>
      </w:r>
    </w:p>
    <w:p w:rsidRPr="007F767A" w:rsidR="00C535B6" w:rsidP="007F767A" w:rsidRDefault="007F767A">
      <w:pPr>
        <w:pStyle w:val="ECHRPara"/>
      </w:pPr>
      <w:fldSimple w:instr=" SEQ level0 \*arabic ">
        <w:r w:rsidRPr="007F767A">
          <w:rPr>
            <w:noProof/>
          </w:rPr>
          <w:t>74</w:t>
        </w:r>
      </w:fldSimple>
      <w:r w:rsidRPr="007F767A" w:rsidR="00C535B6">
        <w:t xml:space="preserve">.  In the meantime, on the same date as he closed the investigation </w:t>
      </w:r>
      <w:r w:rsidRPr="007F767A" w:rsidR="00517FF6">
        <w:noBreakHyphen/>
        <w:t xml:space="preserve"> </w:t>
      </w:r>
      <w:r w:rsidRPr="007F767A" w:rsidR="0068260D">
        <w:t>that is on</w:t>
      </w:r>
      <w:r w:rsidRPr="007F767A" w:rsidR="00C535B6">
        <w:t xml:space="preserve"> 20 June 2006 </w:t>
      </w:r>
      <w:r w:rsidRPr="007F767A" w:rsidR="00E90CB1">
        <w:t>–</w:t>
      </w:r>
      <w:r w:rsidRPr="007F767A" w:rsidR="00C535B6">
        <w:t xml:space="preserve"> the Ovacık prosecutor also prepared a report and sent it to </w:t>
      </w:r>
      <w:r w:rsidRPr="007F767A" w:rsidR="00B078E9">
        <w:t xml:space="preserve">the </w:t>
      </w:r>
      <w:r w:rsidRPr="007F767A" w:rsidR="00C535B6">
        <w:t>Malatya prosecutor</w:t>
      </w:r>
      <w:r w:rsidRPr="007F767A">
        <w:t>’</w:t>
      </w:r>
      <w:r w:rsidRPr="007F767A" w:rsidR="00C535B6">
        <w:t>s office.</w:t>
      </w:r>
      <w:r w:rsidRPr="007F767A" w:rsidR="000117A4">
        <w:t xml:space="preserve"> In his report the Ovacık prosecutor asked his colleague in Malatya to take the necessary action against the applicants</w:t>
      </w:r>
      <w:r w:rsidRPr="007F767A">
        <w:t>’</w:t>
      </w:r>
      <w:r w:rsidRPr="007F767A" w:rsidR="000117A4">
        <w:t xml:space="preserve"> deceased relatives who, according to the evidence in his possession, had committed the offences of membership of a terrorist organisation</w:t>
      </w:r>
      <w:r w:rsidRPr="007F767A" w:rsidR="00B65824">
        <w:t xml:space="preserve"> and </w:t>
      </w:r>
      <w:r w:rsidRPr="007F767A" w:rsidR="000117A4">
        <w:t>had attempted to destroy the constit</w:t>
      </w:r>
      <w:r w:rsidRPr="007F767A" w:rsidR="00A513D2">
        <w:t>u</w:t>
      </w:r>
      <w:r w:rsidRPr="007F767A" w:rsidR="000117A4">
        <w:t>tion</w:t>
      </w:r>
      <w:r w:rsidRPr="007F767A" w:rsidR="00A513D2">
        <w:t>al order through armed struggle</w:t>
      </w:r>
      <w:r w:rsidRPr="007F767A" w:rsidR="000D31D2">
        <w:t>,</w:t>
      </w:r>
      <w:r w:rsidRPr="007F767A" w:rsidR="00A513D2">
        <w:t xml:space="preserve"> and had injured a soldier.</w:t>
      </w:r>
    </w:p>
    <w:p w:rsidRPr="007F767A" w:rsidR="000117A4" w:rsidP="007F767A" w:rsidRDefault="007F767A">
      <w:pPr>
        <w:pStyle w:val="ECHRPara"/>
      </w:pPr>
      <w:fldSimple w:instr=" SEQ level0 \*arabic ">
        <w:r w:rsidRPr="007F767A">
          <w:rPr>
            <w:noProof/>
          </w:rPr>
          <w:t>75</w:t>
        </w:r>
      </w:fldSimple>
      <w:r w:rsidRPr="007F767A" w:rsidR="00B078E9">
        <w:t>.  </w:t>
      </w:r>
      <w:r w:rsidRPr="007F767A" w:rsidR="0072323B">
        <w:t xml:space="preserve">On </w:t>
      </w:r>
      <w:r w:rsidRPr="007F767A" w:rsidR="00A513D2">
        <w:t xml:space="preserve">18 August 2006 </w:t>
      </w:r>
      <w:r w:rsidRPr="007F767A" w:rsidR="0072323B">
        <w:t>the Malatya prosecutor decided not to bring criminal proceedings against the applicants</w:t>
      </w:r>
      <w:r w:rsidRPr="007F767A">
        <w:t>’</w:t>
      </w:r>
      <w:r w:rsidRPr="007F767A" w:rsidR="0072323B">
        <w:t xml:space="preserve"> relatives</w:t>
      </w:r>
      <w:r w:rsidRPr="007F767A" w:rsidR="000D31D2">
        <w:t>,</w:t>
      </w:r>
      <w:r w:rsidRPr="007F767A" w:rsidR="0072323B">
        <w:t xml:space="preserve"> because they were dead.</w:t>
      </w:r>
    </w:p>
    <w:p w:rsidRPr="007F767A" w:rsidR="00515FEB" w:rsidP="007F767A" w:rsidRDefault="007F767A">
      <w:pPr>
        <w:pStyle w:val="ECHRPara"/>
      </w:pPr>
      <w:fldSimple w:instr=" SEQ level0 \*arabic ">
        <w:r w:rsidRPr="007F767A">
          <w:rPr>
            <w:noProof/>
          </w:rPr>
          <w:t>76</w:t>
        </w:r>
      </w:fldSimple>
      <w:r w:rsidRPr="007F767A" w:rsidR="00515FEB">
        <w:t xml:space="preserve">.  According to a document </w:t>
      </w:r>
      <w:r w:rsidRPr="007F767A" w:rsidR="002F0511">
        <w:t xml:space="preserve">which was made available to the Court by the respondent Government and which was </w:t>
      </w:r>
      <w:r w:rsidRPr="007F767A" w:rsidR="00515FEB">
        <w:t xml:space="preserve">prepared by the Ministry of Justice on 12 May 2009 and sent to the Ministry of Foreign Affairs </w:t>
      </w:r>
      <w:r w:rsidRPr="007F767A" w:rsidR="002F0511">
        <w:t xml:space="preserve">apparently </w:t>
      </w:r>
      <w:r w:rsidRPr="007F767A" w:rsidR="00515FEB">
        <w:t xml:space="preserve">in order to advise the latter </w:t>
      </w:r>
      <w:r w:rsidRPr="007F767A" w:rsidR="001E652F">
        <w:t>w</w:t>
      </w:r>
      <w:r w:rsidRPr="007F767A" w:rsidR="000A413F">
        <w:t>hen preparing</w:t>
      </w:r>
      <w:r w:rsidRPr="007F767A" w:rsidR="001E652F">
        <w:t xml:space="preserve"> </w:t>
      </w:r>
      <w:r w:rsidRPr="007F767A" w:rsidR="00E82D90">
        <w:t>i</w:t>
      </w:r>
      <w:r w:rsidRPr="007F767A" w:rsidR="00515FEB">
        <w:t>t</w:t>
      </w:r>
      <w:r w:rsidRPr="007F767A" w:rsidR="00E82D90">
        <w:t>s</w:t>
      </w:r>
      <w:r w:rsidRPr="007F767A" w:rsidR="00515FEB">
        <w:t xml:space="preserve"> observations to be submitted to the Court, the applicants</w:t>
      </w:r>
      <w:r w:rsidRPr="007F767A">
        <w:t>’</w:t>
      </w:r>
      <w:r w:rsidRPr="007F767A" w:rsidR="00515FEB">
        <w:t xml:space="preserve"> relatives</w:t>
      </w:r>
      <w:r w:rsidRPr="007F767A">
        <w:t>’</w:t>
      </w:r>
      <w:r w:rsidRPr="007F767A" w:rsidR="00515FEB">
        <w:t xml:space="preserve"> clothes </w:t>
      </w:r>
      <w:r w:rsidRPr="007F767A" w:rsidR="001E652F">
        <w:t xml:space="preserve">and a number of other items found on their persons </w:t>
      </w:r>
      <w:r w:rsidRPr="007F767A" w:rsidR="00515FEB">
        <w:t>were destroyed on the orders of the Ova</w:t>
      </w:r>
      <w:r w:rsidRPr="007F767A" w:rsidR="001E652F">
        <w:t>cık prosecutor</w:t>
      </w:r>
      <w:r w:rsidRPr="007F767A" w:rsidR="000D31D2">
        <w:t>,</w:t>
      </w:r>
      <w:r w:rsidRPr="007F767A" w:rsidR="001E652F">
        <w:t xml:space="preserve"> </w:t>
      </w:r>
      <w:r w:rsidRPr="007F767A" w:rsidR="000A413F">
        <w:t xml:space="preserve">on the ground that </w:t>
      </w:r>
      <w:r w:rsidRPr="007F767A" w:rsidR="001E652F">
        <w:t>they had no evidential value.</w:t>
      </w:r>
    </w:p>
    <w:p w:rsidRPr="007F767A" w:rsidR="00014566" w:rsidP="007F767A" w:rsidRDefault="00014566">
      <w:pPr>
        <w:pStyle w:val="ECHRTitle1"/>
      </w:pPr>
      <w:r w:rsidRPr="007F767A">
        <w:t>THE LAW</w:t>
      </w:r>
    </w:p>
    <w:p w:rsidRPr="007F767A" w:rsidR="00014566" w:rsidP="007F767A" w:rsidRDefault="00014566">
      <w:pPr>
        <w:pStyle w:val="ECHRHeading1"/>
      </w:pPr>
      <w:r w:rsidRPr="007F767A">
        <w:t xml:space="preserve">I.  ALLEGED VIOLATION OF ARTICLE </w:t>
      </w:r>
      <w:r w:rsidRPr="007F767A" w:rsidR="00B11C23">
        <w:t xml:space="preserve">2 </w:t>
      </w:r>
      <w:r w:rsidRPr="007F767A">
        <w:t>OF THE CONVENTION</w:t>
      </w:r>
    </w:p>
    <w:p w:rsidRPr="007F767A" w:rsidR="00C00664" w:rsidP="007F767A" w:rsidRDefault="007F767A">
      <w:pPr>
        <w:pStyle w:val="ECHRPara"/>
      </w:pPr>
      <w:fldSimple w:instr=" SEQ level0 \*arabic ">
        <w:r w:rsidRPr="007F767A">
          <w:rPr>
            <w:noProof/>
          </w:rPr>
          <w:t>77</w:t>
        </w:r>
      </w:fldSimple>
      <w:r w:rsidRPr="007F767A" w:rsidR="00345A2D">
        <w:t>.  </w:t>
      </w:r>
      <w:r w:rsidRPr="007F767A" w:rsidR="00C00664">
        <w:t>The applicants complained under Article 2 of the Convention that their relatives had been deliberately killed by the security forces and that the authorities ha</w:t>
      </w:r>
      <w:r w:rsidRPr="007F767A" w:rsidR="000A413F">
        <w:t>d</w:t>
      </w:r>
      <w:r w:rsidRPr="007F767A" w:rsidR="00C00664">
        <w:t xml:space="preserve"> failed to carry out an effective investigation into the circumstances of their deaths. The applicants also maintained that they had not been provided with an effective remedy under Article</w:t>
      </w:r>
      <w:r w:rsidRPr="007F767A" w:rsidR="00E90CB1">
        <w:t xml:space="preserve"> </w:t>
      </w:r>
      <w:r w:rsidRPr="007F767A" w:rsidR="00C00664">
        <w:t>13 of the Convention in respect of their complaints under Arti</w:t>
      </w:r>
      <w:r w:rsidRPr="007F767A" w:rsidR="00237DA5">
        <w:t xml:space="preserve">cle </w:t>
      </w:r>
      <w:r w:rsidRPr="007F767A" w:rsidR="00C00664">
        <w:t>2 of the Convention.</w:t>
      </w:r>
    </w:p>
    <w:p w:rsidRPr="007F767A" w:rsidR="00C00664" w:rsidP="007F767A" w:rsidRDefault="007F767A">
      <w:pPr>
        <w:pStyle w:val="ECHRPara"/>
      </w:pPr>
      <w:fldSimple w:instr=" SEQ level0 \*arabic ">
        <w:r w:rsidRPr="007F767A">
          <w:rPr>
            <w:noProof/>
          </w:rPr>
          <w:t>78</w:t>
        </w:r>
      </w:fldSimple>
      <w:r w:rsidRPr="007F767A" w:rsidR="00C00664">
        <w:t>.  The Court considers it appropriate to examine the applicants</w:t>
      </w:r>
      <w:r w:rsidRPr="007F767A">
        <w:t>’</w:t>
      </w:r>
      <w:r w:rsidRPr="007F767A" w:rsidR="00C00664">
        <w:t xml:space="preserve"> complaints solely from the standpoint of Article 2 of the Convention</w:t>
      </w:r>
      <w:r w:rsidRPr="007F767A" w:rsidR="00443894">
        <w:t>,</w:t>
      </w:r>
      <w:r w:rsidRPr="007F767A" w:rsidR="00C00664">
        <w:t xml:space="preserve"> the relevant parts of which read as follows:</w:t>
      </w:r>
    </w:p>
    <w:p w:rsidRPr="007F767A" w:rsidR="00C00664" w:rsidP="007F767A" w:rsidRDefault="00880D7D">
      <w:pPr>
        <w:pStyle w:val="ECHRParaQuote"/>
        <w:ind w:left="0" w:firstLine="284"/>
      </w:pPr>
      <w:r w:rsidRPr="007F767A">
        <w:t>“</w:t>
      </w:r>
      <w:r w:rsidRPr="007F767A" w:rsidR="00C00664">
        <w:t>1.  Everyone</w:t>
      </w:r>
      <w:r w:rsidRPr="007F767A" w:rsidR="007F767A">
        <w:t>’</w:t>
      </w:r>
      <w:r w:rsidRPr="007F767A" w:rsidR="00C00664">
        <w:t>s right to life shall be protected by law</w:t>
      </w:r>
      <w:r w:rsidRPr="007F767A" w:rsidR="00A51BDE">
        <w:t>...</w:t>
      </w:r>
    </w:p>
    <w:p w:rsidRPr="007F767A" w:rsidR="00C00664" w:rsidP="007F767A" w:rsidRDefault="00C00664">
      <w:pPr>
        <w:pStyle w:val="ECHRParaQuote"/>
        <w:ind w:firstLine="0"/>
      </w:pPr>
      <w:r w:rsidRPr="007F767A">
        <w:t>2.  Deprivation of life shall not be regarded as inflicted in contravention of this article when it results from the use of force which is no more than absolutely necessary:</w:t>
      </w:r>
    </w:p>
    <w:p w:rsidRPr="007F767A" w:rsidR="00C00664" w:rsidP="007F767A" w:rsidRDefault="00C00664">
      <w:pPr>
        <w:pStyle w:val="ECHRParaQuote"/>
      </w:pPr>
      <w:r w:rsidRPr="007F767A">
        <w:t>(a)  in defence of any person from unlawful violence;</w:t>
      </w:r>
    </w:p>
    <w:p w:rsidRPr="007F767A" w:rsidR="00C00664" w:rsidP="007F767A" w:rsidRDefault="00C00664">
      <w:pPr>
        <w:pStyle w:val="ECHRParaQuote"/>
      </w:pPr>
      <w:r w:rsidRPr="007F767A">
        <w:t>(b)  in order to effect a lawful arrest or to prevent the escape of a person lawfully detained;</w:t>
      </w:r>
    </w:p>
    <w:p w:rsidRPr="007F767A" w:rsidR="00014566" w:rsidP="007F767A" w:rsidRDefault="00C00664">
      <w:pPr>
        <w:pStyle w:val="ECHRParaQuote"/>
      </w:pPr>
      <w:r w:rsidRPr="007F767A">
        <w:t>(c)  in action lawfully taken for the purpose of quelling a riot or insurrection.”</w:t>
      </w:r>
    </w:p>
    <w:p w:rsidRPr="007F767A" w:rsidR="00014566" w:rsidP="007F767A" w:rsidRDefault="007F767A">
      <w:pPr>
        <w:pStyle w:val="ECHRPara"/>
      </w:pPr>
      <w:fldSimple w:instr=" SEQ level0 \*arabic ">
        <w:r w:rsidRPr="007F767A">
          <w:rPr>
            <w:noProof/>
          </w:rPr>
          <w:t>79</w:t>
        </w:r>
      </w:fldSimple>
      <w:r w:rsidRPr="007F767A" w:rsidR="00014566">
        <w:t>.  The Government contested that argument.</w:t>
      </w:r>
    </w:p>
    <w:p w:rsidRPr="007F767A" w:rsidR="00014566" w:rsidP="007F767A" w:rsidRDefault="00014566">
      <w:pPr>
        <w:pStyle w:val="ECHRHeading2"/>
      </w:pPr>
      <w:r w:rsidRPr="007F767A">
        <w:t>A.  Admissibility</w:t>
      </w:r>
    </w:p>
    <w:p w:rsidRPr="007F767A" w:rsidR="00014566" w:rsidP="007F767A" w:rsidRDefault="007F767A">
      <w:pPr>
        <w:pStyle w:val="ECHRPara"/>
      </w:pPr>
      <w:fldSimple w:instr=" SEQ level0 \*arabic ">
        <w:r w:rsidRPr="007F767A">
          <w:rPr>
            <w:noProof/>
          </w:rPr>
          <w:t>80</w:t>
        </w:r>
      </w:fldSimple>
      <w:r w:rsidRPr="007F767A" w:rsidR="00C00664">
        <w:t>.  </w:t>
      </w:r>
      <w:r w:rsidRPr="007F767A" w:rsidR="00014566">
        <w:t xml:space="preserve">The Court notes that </w:t>
      </w:r>
      <w:r w:rsidRPr="007F767A" w:rsidR="00C00664">
        <w:t>t</w:t>
      </w:r>
      <w:r w:rsidRPr="007F767A" w:rsidR="00014566">
        <w:t>his complaint is not manifestly ill-founded within the meaning of Article 35 § 3 (a) of the Convention. It further notes that it is not inadmissible on any other grounds. It must therefore be declared admissible.</w:t>
      </w:r>
    </w:p>
    <w:p w:rsidRPr="007F767A" w:rsidR="00014566" w:rsidP="007F767A" w:rsidRDefault="00014566">
      <w:pPr>
        <w:pStyle w:val="ECHRHeading2"/>
      </w:pPr>
      <w:r w:rsidRPr="007F767A">
        <w:t>B.  Merits</w:t>
      </w:r>
    </w:p>
    <w:p w:rsidRPr="007F767A" w:rsidR="00C80C44" w:rsidP="007F767A" w:rsidRDefault="00880D7D">
      <w:pPr>
        <w:pStyle w:val="ECHRHeading3"/>
      </w:pPr>
      <w:r w:rsidRPr="007F767A">
        <w:t>1.  </w:t>
      </w:r>
      <w:r w:rsidRPr="007F767A" w:rsidR="00C80C44">
        <w:t>The applicants</w:t>
      </w:r>
      <w:r w:rsidRPr="007F767A" w:rsidR="007F767A">
        <w:t>’</w:t>
      </w:r>
      <w:r w:rsidRPr="007F767A" w:rsidR="00C80C44">
        <w:t xml:space="preserve"> submissions</w:t>
      </w:r>
    </w:p>
    <w:p w:rsidRPr="007F767A" w:rsidR="00C00664" w:rsidP="007F767A" w:rsidRDefault="007F767A">
      <w:pPr>
        <w:pStyle w:val="ECHRPara"/>
      </w:pPr>
      <w:fldSimple w:instr=" SEQ level0 \*arabic ">
        <w:r w:rsidRPr="007F767A">
          <w:rPr>
            <w:noProof/>
          </w:rPr>
          <w:t>81</w:t>
        </w:r>
      </w:fldSimple>
      <w:r w:rsidRPr="007F767A" w:rsidR="00C00664">
        <w:t xml:space="preserve">.  The applicants alleged that the killing of their relatives had not been absolutely necessary and that the force used against them had been excessive. </w:t>
      </w:r>
      <w:r w:rsidRPr="007F767A" w:rsidR="00107C29">
        <w:t>They argued that t</w:t>
      </w:r>
      <w:r w:rsidRPr="007F767A" w:rsidR="00C00664">
        <w:t>heir relatives had been killed in circumstances of which only the soldiers were aware. Moreover, the prosecutor had not collected any evidence</w:t>
      </w:r>
      <w:r w:rsidRPr="007F767A" w:rsidR="00443894">
        <w:t xml:space="preserve">, so the evidence must have been </w:t>
      </w:r>
      <w:r w:rsidRPr="007F767A" w:rsidR="00C00664">
        <w:t xml:space="preserve">either collected or forged by the soldiers who killed their relatives. Thus, the Government had to bear the burden of providing a plausible explanation for the killings. In particular, it was for the Government to show that the evidence and information in the investigation file was sufficient to prove that the force used had been no more than absolutely necessary. However, in </w:t>
      </w:r>
      <w:r w:rsidRPr="007F767A" w:rsidR="00C902FB">
        <w:t>view</w:t>
      </w:r>
      <w:r w:rsidRPr="007F767A" w:rsidR="00C00664">
        <w:t xml:space="preserve"> of their arguments below, the Government had failed to discharge </w:t>
      </w:r>
      <w:r w:rsidRPr="007F767A" w:rsidR="000A413F">
        <w:t>their</w:t>
      </w:r>
      <w:r w:rsidRPr="007F767A" w:rsidR="00C00664">
        <w:t xml:space="preserve"> burden of providing such an explanation.</w:t>
      </w:r>
    </w:p>
    <w:p w:rsidRPr="007F767A" w:rsidR="00C00664" w:rsidP="007F767A" w:rsidRDefault="007F767A">
      <w:pPr>
        <w:pStyle w:val="ECHRPara"/>
      </w:pPr>
      <w:fldSimple w:instr=" SEQ level0 \*arabic ">
        <w:r w:rsidRPr="007F767A">
          <w:rPr>
            <w:noProof/>
          </w:rPr>
          <w:t>82</w:t>
        </w:r>
      </w:fldSimple>
      <w:r w:rsidRPr="007F767A" w:rsidR="003A5DEF">
        <w:t>.  </w:t>
      </w:r>
      <w:r w:rsidRPr="007F767A" w:rsidR="00C00664">
        <w:t>In support of their argument</w:t>
      </w:r>
      <w:r w:rsidRPr="007F767A" w:rsidR="000A413F">
        <w:t xml:space="preserve"> above,</w:t>
      </w:r>
      <w:r w:rsidRPr="007F767A" w:rsidR="00C00664">
        <w:t xml:space="preserve"> the applicants drew the Court</w:t>
      </w:r>
      <w:r w:rsidRPr="007F767A">
        <w:t>’</w:t>
      </w:r>
      <w:r w:rsidRPr="007F767A" w:rsidR="00C00664">
        <w:t xml:space="preserve">s attention to the fact that the security forces had become aware of the arrival of their relatives in the area long before they carried out the military operation. To that end they highlighted, in particular, that telephone conversations between some of their relatives and the locals had been intercepted by the authorities (see paragraph </w:t>
      </w:r>
      <w:r w:rsidRPr="007F767A" w:rsidR="0067422E">
        <w:t>25</w:t>
      </w:r>
      <w:r w:rsidRPr="007F767A" w:rsidR="00C00664">
        <w:t xml:space="preserve"> above). This, in the opinion of the applicants, showed that the security forces had been aware that their relatives</w:t>
      </w:r>
      <w:r w:rsidRPr="007F767A">
        <w:t>’</w:t>
      </w:r>
      <w:r w:rsidRPr="007F767A" w:rsidR="00C00664">
        <w:t xml:space="preserve"> presence in the area was not to carry out any armed a</w:t>
      </w:r>
      <w:r w:rsidRPr="007F767A" w:rsidR="002D3113">
        <w:t>ctivities but to hold a meeting</w:t>
      </w:r>
      <w:r w:rsidRPr="007F767A" w:rsidR="00443894">
        <w:t>,</w:t>
      </w:r>
      <w:r w:rsidRPr="007F767A" w:rsidR="002D3113">
        <w:t xml:space="preserve"> and </w:t>
      </w:r>
      <w:r w:rsidRPr="007F767A" w:rsidR="00443894">
        <w:t xml:space="preserve">that this had </w:t>
      </w:r>
      <w:r w:rsidRPr="007F767A" w:rsidR="002D3113">
        <w:t>presented the soldiers with an opportunity to apprehend their relatives without resorting to lethal means.</w:t>
      </w:r>
    </w:p>
    <w:p w:rsidRPr="007F767A" w:rsidR="00C00664" w:rsidP="007F767A" w:rsidRDefault="007F767A">
      <w:pPr>
        <w:pStyle w:val="ECHRPara"/>
      </w:pPr>
      <w:fldSimple w:instr=" SEQ level0 \*arabic ">
        <w:r w:rsidRPr="007F767A">
          <w:rPr>
            <w:noProof/>
          </w:rPr>
          <w:t>83</w:t>
        </w:r>
      </w:fldSimple>
      <w:r w:rsidRPr="007F767A" w:rsidR="003A5DEF">
        <w:t>.  </w:t>
      </w:r>
      <w:r w:rsidRPr="007F767A" w:rsidR="000A413F">
        <w:t>T</w:t>
      </w:r>
      <w:r w:rsidRPr="007F767A" w:rsidR="00C00664">
        <w:t xml:space="preserve">he existence of a written order and </w:t>
      </w:r>
      <w:r w:rsidRPr="007F767A" w:rsidR="003A5DEF">
        <w:t>a</w:t>
      </w:r>
      <w:r w:rsidRPr="007F767A" w:rsidR="00C00664">
        <w:t xml:space="preserve"> sketch </w:t>
      </w:r>
      <w:r w:rsidRPr="007F767A" w:rsidR="003A5DEF">
        <w:t>drawn up</w:t>
      </w:r>
      <w:r w:rsidRPr="007F767A" w:rsidR="00C00664">
        <w:t xml:space="preserve"> by the military on 15 June 2005 for the operation (see paragraph </w:t>
      </w:r>
      <w:r w:rsidRPr="007F767A" w:rsidR="0067422E">
        <w:t>24</w:t>
      </w:r>
      <w:r w:rsidRPr="007F767A" w:rsidR="00C00664">
        <w:t xml:space="preserve"> above) </w:t>
      </w:r>
      <w:r w:rsidRPr="007F767A" w:rsidR="0067422E">
        <w:t xml:space="preserve">had </w:t>
      </w:r>
      <w:r w:rsidRPr="007F767A" w:rsidR="000A413F">
        <w:t xml:space="preserve">made it clear </w:t>
      </w:r>
      <w:r w:rsidRPr="007F767A" w:rsidR="00C00664">
        <w:t>that the soldiers had planned the operation in advance and had known exactly where they would be encountering the</w:t>
      </w:r>
      <w:r w:rsidRPr="007F767A" w:rsidR="008864AD">
        <w:t xml:space="preserve"> applicants</w:t>
      </w:r>
      <w:r w:rsidRPr="007F767A">
        <w:t>’</w:t>
      </w:r>
      <w:r w:rsidRPr="007F767A" w:rsidR="008864AD">
        <w:t xml:space="preserve"> </w:t>
      </w:r>
      <w:r w:rsidRPr="007F767A" w:rsidR="00C00664">
        <w:t>relatives and had already taken security measures in th</w:t>
      </w:r>
      <w:r w:rsidRPr="007F767A" w:rsidR="000A413F">
        <w:t>at</w:t>
      </w:r>
      <w:r w:rsidRPr="007F767A" w:rsidR="00C00664">
        <w:t xml:space="preserve"> area. As those two documents had not been made available by the Government</w:t>
      </w:r>
      <w:r w:rsidRPr="007F767A" w:rsidR="008864AD">
        <w:t>,</w:t>
      </w:r>
      <w:r w:rsidRPr="007F767A" w:rsidR="00C00664">
        <w:t xml:space="preserve"> and as no adequate investigation had been conducted into the circumstances of the killings, it was impossible to ascertain the number </w:t>
      </w:r>
      <w:r w:rsidRPr="007F767A" w:rsidR="002D3113">
        <w:t xml:space="preserve">of </w:t>
      </w:r>
      <w:r w:rsidRPr="007F767A" w:rsidR="00C00664">
        <w:t xml:space="preserve">soldiers who had taken part in the operation, their exact locations </w:t>
      </w:r>
      <w:r w:rsidRPr="007F767A" w:rsidR="00107C29">
        <w:t>and</w:t>
      </w:r>
      <w:r w:rsidRPr="007F767A" w:rsidR="00C00664">
        <w:t xml:space="preserve"> the quantity and the nature of the weapons used by them.</w:t>
      </w:r>
    </w:p>
    <w:p w:rsidRPr="007F767A" w:rsidR="00107C29" w:rsidP="007F767A" w:rsidRDefault="007F767A">
      <w:pPr>
        <w:pStyle w:val="ECHRPara"/>
      </w:pPr>
      <w:fldSimple w:instr=" SEQ level0 \*arabic ">
        <w:r w:rsidRPr="007F767A">
          <w:rPr>
            <w:noProof/>
          </w:rPr>
          <w:t>84</w:t>
        </w:r>
      </w:fldSimple>
      <w:r w:rsidRPr="007F767A" w:rsidR="00107C29">
        <w:t xml:space="preserve">.  The applicants highlighted the fact that their relatives had been killed in a river bed. This, in the opinion of the applicants, was another indication that they could have been apprehended there easily as they had no </w:t>
      </w:r>
      <w:r w:rsidRPr="007F767A" w:rsidR="008864AD">
        <w:t>way of hiding or escaping</w:t>
      </w:r>
      <w:r w:rsidRPr="007F767A" w:rsidR="00107C29">
        <w:t>.</w:t>
      </w:r>
    </w:p>
    <w:p w:rsidRPr="007F767A" w:rsidR="00C00664" w:rsidP="007F767A" w:rsidRDefault="007F767A">
      <w:pPr>
        <w:pStyle w:val="ECHRPara"/>
      </w:pPr>
      <w:fldSimple w:instr=" SEQ level0 \*arabic ">
        <w:r w:rsidRPr="007F767A">
          <w:rPr>
            <w:noProof/>
          </w:rPr>
          <w:t>85</w:t>
        </w:r>
      </w:fldSimple>
      <w:r w:rsidRPr="007F767A" w:rsidR="003A5DEF">
        <w:t>.  </w:t>
      </w:r>
      <w:r w:rsidRPr="007F767A" w:rsidR="00C00664">
        <w:t>The applicants also submitted that the Government</w:t>
      </w:r>
      <w:r w:rsidRPr="007F767A">
        <w:t>’</w:t>
      </w:r>
      <w:r w:rsidRPr="007F767A" w:rsidR="00C00664">
        <w:t xml:space="preserve">s version of the events </w:t>
      </w:r>
      <w:r w:rsidRPr="007F767A" w:rsidR="008864AD">
        <w:t xml:space="preserve">was contradicted </w:t>
      </w:r>
      <w:r w:rsidRPr="007F767A" w:rsidR="00C00664">
        <w:t xml:space="preserve">by the </w:t>
      </w:r>
      <w:r w:rsidRPr="007F767A" w:rsidR="003A5DEF">
        <w:t>Kema</w:t>
      </w:r>
      <w:r w:rsidRPr="007F767A" w:rsidR="00107C29">
        <w:t>h</w:t>
      </w:r>
      <w:r w:rsidRPr="007F767A" w:rsidR="003A5DEF">
        <w:t xml:space="preserve"> </w:t>
      </w:r>
      <w:r w:rsidRPr="007F767A" w:rsidR="00C00664">
        <w:t>military report</w:t>
      </w:r>
      <w:r w:rsidRPr="007F767A" w:rsidR="008864AD">
        <w:t>,</w:t>
      </w:r>
      <w:r w:rsidRPr="007F767A" w:rsidR="00C00664">
        <w:t xml:space="preserve"> according to which their relatives had been spotted in a river bed by </w:t>
      </w:r>
      <w:r w:rsidRPr="007F767A" w:rsidR="008864AD">
        <w:t>military</w:t>
      </w:r>
      <w:r w:rsidRPr="007F767A" w:rsidR="00C00664">
        <w:t xml:space="preserve"> personnel in armed Cobra-type military helicopters at 11 a.m.</w:t>
      </w:r>
      <w:r w:rsidRPr="007F767A" w:rsidR="008864AD">
        <w:t>,</w:t>
      </w:r>
      <w:r w:rsidRPr="007F767A" w:rsidR="00C00664">
        <w:t xml:space="preserve"> </w:t>
      </w:r>
      <w:r w:rsidRPr="007F767A" w:rsidR="000A413F">
        <w:t xml:space="preserve">and </w:t>
      </w:r>
      <w:r w:rsidRPr="007F767A" w:rsidR="00A64427">
        <w:t xml:space="preserve">that </w:t>
      </w:r>
      <w:r w:rsidRPr="007F767A" w:rsidR="000A413F">
        <w:t>w</w:t>
      </w:r>
      <w:r w:rsidRPr="007F767A" w:rsidR="00C00664">
        <w:t>hen one of their relatives had noticed the presence of the security forces he had opened fire and an armed clash had ensued during which nine relatives had been killed. The applicants stressed that the military report prepared by the Kemah gendarmerie did not make reference to any surrender warnings having been given.</w:t>
      </w:r>
    </w:p>
    <w:p w:rsidRPr="007F767A" w:rsidR="00C00664" w:rsidP="007F767A" w:rsidRDefault="007F767A">
      <w:pPr>
        <w:pStyle w:val="ECHRPara"/>
      </w:pPr>
      <w:fldSimple w:instr=" SEQ level0 \*arabic ">
        <w:r w:rsidRPr="007F767A">
          <w:rPr>
            <w:noProof/>
          </w:rPr>
          <w:t>86</w:t>
        </w:r>
      </w:fldSimple>
      <w:r w:rsidRPr="007F767A" w:rsidR="003A5DEF">
        <w:t>.  </w:t>
      </w:r>
      <w:r w:rsidRPr="007F767A" w:rsidR="00C00664">
        <w:t xml:space="preserve">The helicopters used in the operation </w:t>
      </w:r>
      <w:r w:rsidRPr="007F767A" w:rsidR="005975D3">
        <w:t>were</w:t>
      </w:r>
      <w:r w:rsidRPr="007F767A" w:rsidR="00C00664">
        <w:t xml:space="preserve"> “Cobra” helicopters, armed with highly destructive weapons. The extensive injuries detailed in the autopsy reports were compatible with </w:t>
      </w:r>
      <w:r w:rsidRPr="007F767A" w:rsidR="005975D3">
        <w:t xml:space="preserve">their </w:t>
      </w:r>
      <w:r w:rsidRPr="007F767A" w:rsidR="00C00664">
        <w:t xml:space="preserve">having been inflicted by </w:t>
      </w:r>
      <w:r w:rsidRPr="007F767A" w:rsidR="005975D3">
        <w:t xml:space="preserve">shots </w:t>
      </w:r>
      <w:r w:rsidRPr="007F767A" w:rsidR="00C00664">
        <w:t>fire</w:t>
      </w:r>
      <w:r w:rsidRPr="007F767A" w:rsidR="005975D3">
        <w:t>d</w:t>
      </w:r>
      <w:r w:rsidRPr="007F767A" w:rsidR="00B4078D">
        <w:t xml:space="preserve"> </w:t>
      </w:r>
      <w:r w:rsidRPr="007F767A" w:rsidR="00E82D90">
        <w:t>f</w:t>
      </w:r>
      <w:r w:rsidRPr="007F767A" w:rsidR="00C00664">
        <w:t>rom heavy weapons</w:t>
      </w:r>
      <w:r w:rsidRPr="007F767A" w:rsidR="005975D3">
        <w:t xml:space="preserve"> of this type</w:t>
      </w:r>
      <w:r w:rsidRPr="007F767A" w:rsidR="00C00664">
        <w:t>.</w:t>
      </w:r>
    </w:p>
    <w:p w:rsidRPr="007F767A" w:rsidR="00C00664" w:rsidP="007F767A" w:rsidRDefault="007F767A">
      <w:pPr>
        <w:pStyle w:val="ECHRPara"/>
      </w:pPr>
      <w:fldSimple w:instr=" SEQ level0 \*arabic ">
        <w:r w:rsidRPr="007F767A">
          <w:rPr>
            <w:noProof/>
          </w:rPr>
          <w:t>87</w:t>
        </w:r>
      </w:fldSimple>
      <w:r w:rsidRPr="007F767A" w:rsidR="003A5DEF">
        <w:t>.  </w:t>
      </w:r>
      <w:r w:rsidRPr="007F767A" w:rsidR="00C00664">
        <w:t xml:space="preserve">The applicants referred to the medical report </w:t>
      </w:r>
      <w:r w:rsidRPr="007F767A" w:rsidR="005975D3">
        <w:t xml:space="preserve">which stated that </w:t>
      </w:r>
      <w:r w:rsidRPr="007F767A" w:rsidR="00C00664">
        <w:t xml:space="preserve">one of the soldiers had been injured by a “foreign object” (see paragraph </w:t>
      </w:r>
      <w:r w:rsidRPr="007F767A" w:rsidR="0067422E">
        <w:t>41</w:t>
      </w:r>
      <w:r w:rsidRPr="007F767A" w:rsidR="00C00664">
        <w:t xml:space="preserve"> above) and not by a bullet. According to the applicants, it was more likely that the soldier </w:t>
      </w:r>
      <w:r w:rsidRPr="007F767A" w:rsidR="00A64427">
        <w:t>had been</w:t>
      </w:r>
      <w:r w:rsidRPr="007F767A" w:rsidR="00C00664">
        <w:t xml:space="preserve"> injured by shrapnel from the explosives used </w:t>
      </w:r>
      <w:r w:rsidRPr="007F767A" w:rsidR="00B4078D">
        <w:t xml:space="preserve">by the soldiers </w:t>
      </w:r>
      <w:r w:rsidRPr="007F767A" w:rsidR="00C00664">
        <w:t>in the killing of their relatives. Thus, the Government</w:t>
      </w:r>
      <w:r w:rsidRPr="007F767A">
        <w:t>’</w:t>
      </w:r>
      <w:r w:rsidRPr="007F767A" w:rsidR="00C00664">
        <w:t>s submission that the military clash had begun after the soldier was injured was baseless.</w:t>
      </w:r>
    </w:p>
    <w:p w:rsidRPr="007F767A" w:rsidR="00B4078D" w:rsidP="007F767A" w:rsidRDefault="007F767A">
      <w:pPr>
        <w:pStyle w:val="ECHRPara"/>
      </w:pPr>
      <w:fldSimple w:instr=" SEQ level0 \*arabic ">
        <w:r w:rsidRPr="007F767A">
          <w:rPr>
            <w:noProof/>
          </w:rPr>
          <w:t>88</w:t>
        </w:r>
      </w:fldSimple>
      <w:r w:rsidRPr="007F767A" w:rsidR="003A5DEF">
        <w:t>.  </w:t>
      </w:r>
      <w:r w:rsidRPr="007F767A" w:rsidR="00C00664">
        <w:t>The applicants complained that no effective investigation had been conducted by the national authorities into the killing of their relatives. In that connection they referred to the document drawn up by the Ovac</w:t>
      </w:r>
      <w:r w:rsidRPr="007F767A" w:rsidR="002B130E">
        <w:t xml:space="preserve">ık </w:t>
      </w:r>
      <w:r w:rsidRPr="007F767A" w:rsidR="00C00664">
        <w:t>prosecutor on 18 June 2005</w:t>
      </w:r>
      <w:r w:rsidRPr="007F767A" w:rsidR="005975D3">
        <w:t>,</w:t>
      </w:r>
      <w:r w:rsidRPr="007F767A" w:rsidR="00C00664">
        <w:t xml:space="preserve"> in which it was stated that that prosecutor had not gone to the area where their relatives had been killed because of security concerns. The applicants pointed out that that document clearly disproved the Government</w:t>
      </w:r>
      <w:r w:rsidRPr="007F767A">
        <w:t>’</w:t>
      </w:r>
      <w:r w:rsidRPr="007F767A" w:rsidR="00C00664">
        <w:t xml:space="preserve">s submissions </w:t>
      </w:r>
      <w:r w:rsidRPr="007F767A" w:rsidR="002B130E">
        <w:t>according to which “</w:t>
      </w:r>
      <w:r w:rsidRPr="007F767A" w:rsidR="00C00664">
        <w:t xml:space="preserve">immediately after the armed clash had ended the prosecutor had </w:t>
      </w:r>
      <w:r w:rsidRPr="007F767A" w:rsidR="00C902FB">
        <w:t>gone to</w:t>
      </w:r>
      <w:r w:rsidRPr="007F767A" w:rsidR="00C00664">
        <w:t xml:space="preserve"> the incident area, conducted an on-site inspection</w:t>
      </w:r>
      <w:r w:rsidRPr="007F767A" w:rsidR="002B130E">
        <w:t>,</w:t>
      </w:r>
      <w:r w:rsidRPr="007F767A" w:rsidR="00C00664">
        <w:t xml:space="preserve"> </w:t>
      </w:r>
      <w:r w:rsidRPr="007F767A" w:rsidR="002B130E">
        <w:t xml:space="preserve">prepared an incident report </w:t>
      </w:r>
      <w:r w:rsidRPr="007F767A" w:rsidR="00C00664">
        <w:t>and opened an investigation</w:t>
      </w:r>
      <w:r w:rsidRPr="007F767A" w:rsidR="002B130E">
        <w:t>”</w:t>
      </w:r>
      <w:r w:rsidRPr="007F767A" w:rsidR="00C00664">
        <w:t xml:space="preserve"> (see paragraph </w:t>
      </w:r>
      <w:r w:rsidRPr="007F767A" w:rsidR="0067422E">
        <w:t>17</w:t>
      </w:r>
      <w:r w:rsidRPr="007F767A" w:rsidR="00C00664">
        <w:t xml:space="preserve"> </w:t>
      </w:r>
      <w:r w:rsidRPr="007F767A" w:rsidR="002B130E">
        <w:t>above and paragraph</w:t>
      </w:r>
      <w:r w:rsidRPr="007F767A" w:rsidR="0067422E">
        <w:t xml:space="preserve"> 103 </w:t>
      </w:r>
      <w:r w:rsidRPr="007F767A" w:rsidR="002B130E">
        <w:t>below</w:t>
      </w:r>
      <w:r w:rsidRPr="007F767A" w:rsidR="00C00664">
        <w:t>).</w:t>
      </w:r>
      <w:r w:rsidRPr="007F767A" w:rsidR="00B4078D">
        <w:t xml:space="preserve"> The applicants questioned the validity of the prosecutor</w:t>
      </w:r>
      <w:r w:rsidRPr="007F767A">
        <w:t>’</w:t>
      </w:r>
      <w:r w:rsidRPr="007F767A" w:rsidR="00B4078D">
        <w:t xml:space="preserve">s concerns for his security </w:t>
      </w:r>
      <w:r w:rsidRPr="007F767A" w:rsidR="005975D3">
        <w:t xml:space="preserve">in connection with a </w:t>
      </w:r>
      <w:r w:rsidRPr="007F767A" w:rsidR="00B4078D">
        <w:t xml:space="preserve">visit </w:t>
      </w:r>
      <w:r w:rsidRPr="007F767A" w:rsidR="005975D3">
        <w:t xml:space="preserve">to </w:t>
      </w:r>
      <w:r w:rsidRPr="007F767A" w:rsidR="00B4078D">
        <w:t>an area where the operation had ended and which was under the control of the soldiers.</w:t>
      </w:r>
    </w:p>
    <w:p w:rsidRPr="007F767A" w:rsidR="00A64427" w:rsidP="007F767A" w:rsidRDefault="007F767A">
      <w:pPr>
        <w:pStyle w:val="ECHRPara"/>
      </w:pPr>
      <w:fldSimple w:instr=" SEQ level0 \*arabic ">
        <w:r w:rsidRPr="007F767A">
          <w:rPr>
            <w:noProof/>
          </w:rPr>
          <w:t>89</w:t>
        </w:r>
      </w:fldSimple>
      <w:r w:rsidRPr="007F767A" w:rsidR="00A64427">
        <w:t xml:space="preserve">.  They also complained that they had been “ousted” from the investigation at the </w:t>
      </w:r>
      <w:r w:rsidRPr="007F767A" w:rsidR="005975D3">
        <w:t xml:space="preserve">very </w:t>
      </w:r>
      <w:r w:rsidRPr="007F767A" w:rsidR="00A64427">
        <w:t>outset</w:t>
      </w:r>
      <w:r w:rsidRPr="007F767A" w:rsidR="005975D3">
        <w:t>,</w:t>
      </w:r>
      <w:r w:rsidRPr="007F767A" w:rsidR="00A64427">
        <w:t xml:space="preserve"> because the investigation file </w:t>
      </w:r>
      <w:r w:rsidRPr="007F767A" w:rsidR="00E82D90">
        <w:t>had been</w:t>
      </w:r>
      <w:r w:rsidRPr="007F767A" w:rsidR="00A64427">
        <w:t xml:space="preserve"> categorised as “confidential” by a judge at the request of the prosecutor and they had therefore been unable to take any part in it. The decision of the judge </w:t>
      </w:r>
      <w:r w:rsidRPr="007F767A" w:rsidR="00E82D90">
        <w:t xml:space="preserve">had </w:t>
      </w:r>
      <w:r w:rsidRPr="007F767A" w:rsidR="00A64427">
        <w:t xml:space="preserve">also prevented them from seeing the entire investigation file until it was submitted to the Court by the Government and </w:t>
      </w:r>
      <w:r w:rsidRPr="007F767A" w:rsidR="005975D3">
        <w:t>was</w:t>
      </w:r>
      <w:r w:rsidRPr="007F767A" w:rsidR="00A64427">
        <w:t xml:space="preserve"> then forwarded to them by the Court in September 2009.</w:t>
      </w:r>
    </w:p>
    <w:p w:rsidRPr="007F767A" w:rsidR="00B425DC" w:rsidP="007F767A" w:rsidRDefault="007F767A">
      <w:pPr>
        <w:pStyle w:val="ECHRPara"/>
      </w:pPr>
      <w:fldSimple w:instr=" SEQ level0 \*arabic ">
        <w:r w:rsidRPr="007F767A">
          <w:rPr>
            <w:noProof/>
          </w:rPr>
          <w:t>90</w:t>
        </w:r>
      </w:fldSimple>
      <w:r w:rsidRPr="007F767A" w:rsidR="00A64427">
        <w:t>.  </w:t>
      </w:r>
      <w:r w:rsidRPr="007F767A" w:rsidR="006A5628">
        <w:t xml:space="preserve">The applicants </w:t>
      </w:r>
      <w:r w:rsidRPr="007F767A" w:rsidR="00B4078D">
        <w:t xml:space="preserve">argued </w:t>
      </w:r>
      <w:r w:rsidRPr="007F767A" w:rsidR="006A5628">
        <w:t xml:space="preserve">that </w:t>
      </w:r>
      <w:r w:rsidRPr="007F767A" w:rsidR="00A64427">
        <w:t xml:space="preserve">no </w:t>
      </w:r>
      <w:r w:rsidRPr="007F767A" w:rsidR="006A5628">
        <w:t xml:space="preserve">mention </w:t>
      </w:r>
      <w:r w:rsidRPr="007F767A" w:rsidR="00A64427">
        <w:t xml:space="preserve">was made </w:t>
      </w:r>
      <w:r w:rsidRPr="007F767A" w:rsidR="006A5628">
        <w:t xml:space="preserve">on the sketch of the place of operation </w:t>
      </w:r>
      <w:r w:rsidRPr="007F767A" w:rsidR="00A64427">
        <w:t xml:space="preserve">of </w:t>
      </w:r>
      <w:r w:rsidRPr="007F767A" w:rsidR="007C3422">
        <w:t xml:space="preserve">a number of </w:t>
      </w:r>
      <w:r w:rsidRPr="007F767A" w:rsidR="006A5628">
        <w:t>important details such as the numbers of soldiers, their locations during the operation, the nature and quantity of their weapons</w:t>
      </w:r>
      <w:r w:rsidRPr="007F767A" w:rsidR="005975D3">
        <w:t>,</w:t>
      </w:r>
      <w:r w:rsidRPr="007F767A" w:rsidR="006A5628">
        <w:t xml:space="preserve"> and the number of spent cartridges discharged from their weapons.</w:t>
      </w:r>
      <w:r w:rsidRPr="007F767A" w:rsidR="007C3422">
        <w:t xml:space="preserve"> </w:t>
      </w:r>
      <w:r w:rsidRPr="007F767A" w:rsidR="00B425DC">
        <w:t>Furthermore, the bodies of their relatives and the weapons were not photographed at the site of the incident</w:t>
      </w:r>
      <w:r w:rsidRPr="007F767A" w:rsidR="005975D3">
        <w:t>,</w:t>
      </w:r>
      <w:r w:rsidRPr="007F767A" w:rsidR="00B425DC">
        <w:t xml:space="preserve"> and the weapons which were allegedly recovered together with the bodies of their relatives were not examined with a view to establishing whether they had </w:t>
      </w:r>
      <w:r w:rsidRPr="007F767A" w:rsidR="00B4078D">
        <w:t>their relatives</w:t>
      </w:r>
      <w:r w:rsidRPr="007F767A">
        <w:t>’</w:t>
      </w:r>
      <w:r w:rsidRPr="007F767A" w:rsidR="00B4078D">
        <w:t xml:space="preserve"> </w:t>
      </w:r>
      <w:r w:rsidRPr="007F767A" w:rsidR="00B425DC">
        <w:t>fingerprints on them.</w:t>
      </w:r>
    </w:p>
    <w:p w:rsidRPr="007F767A" w:rsidR="006A5628" w:rsidP="007F767A" w:rsidRDefault="007F767A">
      <w:pPr>
        <w:pStyle w:val="ECHRPara"/>
      </w:pPr>
      <w:fldSimple w:instr=" SEQ level0 \*arabic ">
        <w:r w:rsidRPr="007F767A">
          <w:rPr>
            <w:noProof/>
          </w:rPr>
          <w:t>91</w:t>
        </w:r>
      </w:fldSimple>
      <w:r w:rsidRPr="007F767A" w:rsidR="00B425DC">
        <w:t>.  </w:t>
      </w:r>
      <w:r w:rsidRPr="007F767A" w:rsidR="007C3422">
        <w:t>The</w:t>
      </w:r>
      <w:r w:rsidRPr="007F767A" w:rsidR="00B425DC">
        <w:t xml:space="preserve"> applicants</w:t>
      </w:r>
      <w:r w:rsidRPr="007F767A" w:rsidR="007C3422">
        <w:t xml:space="preserve"> complained that their relatives</w:t>
      </w:r>
      <w:r w:rsidRPr="007F767A">
        <w:t>’</w:t>
      </w:r>
      <w:r w:rsidRPr="007F767A" w:rsidR="007C3422">
        <w:t xml:space="preserve"> clothes had disappeared after the</w:t>
      </w:r>
      <w:r w:rsidRPr="007F767A" w:rsidR="00162C30">
        <w:t xml:space="preserve"> decision was taken for the</w:t>
      </w:r>
      <w:r w:rsidRPr="007F767A" w:rsidR="00A64427">
        <w:t>ir</w:t>
      </w:r>
      <w:r w:rsidRPr="007F767A" w:rsidR="00162C30">
        <w:t xml:space="preserve"> </w:t>
      </w:r>
      <w:r w:rsidRPr="007F767A" w:rsidR="007C3422">
        <w:t xml:space="preserve">bodies to be </w:t>
      </w:r>
      <w:r w:rsidRPr="007F767A" w:rsidR="00A64427">
        <w:t>tr</w:t>
      </w:r>
      <w:r w:rsidRPr="007F767A" w:rsidR="005975D3">
        <w:t>a</w:t>
      </w:r>
      <w:r w:rsidRPr="007F767A" w:rsidR="00A64427">
        <w:t>n</w:t>
      </w:r>
      <w:r w:rsidRPr="007F767A" w:rsidR="005975D3">
        <w:t>s</w:t>
      </w:r>
      <w:r w:rsidRPr="007F767A" w:rsidR="00A64427">
        <w:t>ferred</w:t>
      </w:r>
      <w:r w:rsidRPr="007F767A" w:rsidR="007C3422">
        <w:t xml:space="preserve"> to </w:t>
      </w:r>
      <w:r w:rsidRPr="007F767A" w:rsidR="00162C30">
        <w:t xml:space="preserve">the </w:t>
      </w:r>
      <w:r w:rsidRPr="007F767A" w:rsidR="007C3422">
        <w:t>Malatya Branch of the Forensic Medicine Institution. In the opinion of the applicants, the prosecutor</w:t>
      </w:r>
      <w:r w:rsidRPr="007F767A">
        <w:t>’</w:t>
      </w:r>
      <w:r w:rsidRPr="007F767A" w:rsidR="007C3422">
        <w:t>s failure to investigate the fate of the clothes was so serious as to have a negative bearing on the investigation.</w:t>
      </w:r>
    </w:p>
    <w:p w:rsidRPr="007F767A" w:rsidR="00196A30" w:rsidP="007F767A" w:rsidRDefault="007F767A">
      <w:pPr>
        <w:pStyle w:val="ECHRPara"/>
      </w:pPr>
      <w:fldSimple w:instr=" SEQ level0 \*arabic ">
        <w:r w:rsidRPr="007F767A">
          <w:rPr>
            <w:noProof/>
          </w:rPr>
          <w:t>92</w:t>
        </w:r>
      </w:fldSimple>
      <w:r w:rsidRPr="007F767A" w:rsidR="00DE54E0">
        <w:t>.  Finally, t</w:t>
      </w:r>
      <w:r w:rsidRPr="007F767A" w:rsidR="004A71F5">
        <w:t xml:space="preserve">he applicants </w:t>
      </w:r>
      <w:r w:rsidRPr="007F767A" w:rsidR="00B4078D">
        <w:t>highlighted the prosecutor</w:t>
      </w:r>
      <w:r w:rsidRPr="007F767A">
        <w:t>’</w:t>
      </w:r>
      <w:r w:rsidRPr="007F767A" w:rsidR="00B4078D">
        <w:t xml:space="preserve">s failure to question </w:t>
      </w:r>
      <w:r w:rsidRPr="007F767A" w:rsidR="004A71F5">
        <w:t xml:space="preserve">the soldiers who killed their relatives. </w:t>
      </w:r>
      <w:r w:rsidRPr="007F767A" w:rsidR="00B4078D">
        <w:t xml:space="preserve">In the opinion of the applicants, </w:t>
      </w:r>
      <w:r w:rsidRPr="007F767A" w:rsidR="004A71F5">
        <w:t>the prosecutor in charge of the operation had accepted at the outset that the soldiers had no responsibility for the deaths</w:t>
      </w:r>
      <w:r w:rsidRPr="007F767A" w:rsidR="00196A30">
        <w:t xml:space="preserve"> and </w:t>
      </w:r>
      <w:r w:rsidRPr="007F767A" w:rsidR="00DE54E0">
        <w:t xml:space="preserve">he </w:t>
      </w:r>
      <w:r w:rsidRPr="007F767A" w:rsidR="00196A30">
        <w:t xml:space="preserve">had </w:t>
      </w:r>
      <w:r w:rsidRPr="007F767A" w:rsidR="00DE54E0">
        <w:t xml:space="preserve">thus </w:t>
      </w:r>
      <w:r w:rsidRPr="007F767A" w:rsidR="00196A30">
        <w:t>overlooked the evidence which showed that the soldiers had committed criminal offences. The prosecutor had not, for example, deemed it important to question the soldiers</w:t>
      </w:r>
      <w:r w:rsidRPr="007F767A" w:rsidR="005975D3">
        <w:t>,</w:t>
      </w:r>
      <w:r w:rsidRPr="007F767A" w:rsidR="00196A30">
        <w:t xml:space="preserve"> even though the autopsy report showed, contrary to what had been suggested by the soldiers in their reports, that their relatives had been killed by heavy weapons. Furthermore, </w:t>
      </w:r>
      <w:r w:rsidRPr="007F767A" w:rsidR="00634258">
        <w:t>the prosecutor had not taken any steps</w:t>
      </w:r>
      <w:r w:rsidRPr="007F767A" w:rsidR="00196A30">
        <w:t xml:space="preserve"> </w:t>
      </w:r>
      <w:r w:rsidRPr="007F767A" w:rsidR="00454502">
        <w:t>to</w:t>
      </w:r>
      <w:r w:rsidRPr="007F767A" w:rsidR="00634258">
        <w:t xml:space="preserve"> eliminat</w:t>
      </w:r>
      <w:r w:rsidRPr="007F767A" w:rsidR="00454502">
        <w:t>e</w:t>
      </w:r>
      <w:r w:rsidRPr="007F767A" w:rsidR="00634258">
        <w:t xml:space="preserve"> the inconsistencies between the </w:t>
      </w:r>
      <w:r w:rsidRPr="007F767A" w:rsidR="00454502">
        <w:t xml:space="preserve">Ovacık </w:t>
      </w:r>
      <w:r w:rsidRPr="007F767A" w:rsidR="00634258">
        <w:t xml:space="preserve">military report and the Kemah </w:t>
      </w:r>
      <w:r w:rsidRPr="007F767A" w:rsidR="00454502">
        <w:t>military report</w:t>
      </w:r>
      <w:r w:rsidRPr="007F767A" w:rsidR="00634258">
        <w:t>.</w:t>
      </w:r>
    </w:p>
    <w:p w:rsidRPr="007F767A" w:rsidR="00F65EFD" w:rsidP="007F767A" w:rsidRDefault="00880D7D">
      <w:pPr>
        <w:pStyle w:val="ECHRHeading3"/>
      </w:pPr>
      <w:r w:rsidRPr="007F767A">
        <w:t>2.  </w:t>
      </w:r>
      <w:r w:rsidRPr="007F767A" w:rsidR="00C80C44">
        <w:t>The Government</w:t>
      </w:r>
      <w:r w:rsidRPr="007F767A" w:rsidR="007F767A">
        <w:t>’</w:t>
      </w:r>
      <w:r w:rsidRPr="007F767A" w:rsidR="00C80C44">
        <w:t>s submissions</w:t>
      </w:r>
    </w:p>
    <w:p w:rsidRPr="007F767A" w:rsidR="00982D8F" w:rsidP="007F767A" w:rsidRDefault="007F767A">
      <w:pPr>
        <w:pStyle w:val="ECHRPara"/>
      </w:pPr>
      <w:fldSimple w:instr=" SEQ level0 \*arabic ">
        <w:r w:rsidRPr="007F767A">
          <w:rPr>
            <w:noProof/>
          </w:rPr>
          <w:t>93</w:t>
        </w:r>
      </w:fldSimple>
      <w:r w:rsidRPr="007F767A" w:rsidR="00982D8F">
        <w:t>.  The Government submitted that the security forces had obtained intelligence reports showing that a group of terrorists were on their way to a meeting</w:t>
      </w:r>
      <w:r w:rsidRPr="007F767A" w:rsidR="00E07E8E">
        <w:t xml:space="preserve"> </w:t>
      </w:r>
      <w:r w:rsidRPr="007F767A" w:rsidR="00E55520">
        <w:t xml:space="preserve">and some of them would </w:t>
      </w:r>
      <w:r w:rsidRPr="007F767A" w:rsidR="005975D3">
        <w:t xml:space="preserve">be </w:t>
      </w:r>
      <w:r w:rsidRPr="007F767A" w:rsidR="00E55520">
        <w:t>com</w:t>
      </w:r>
      <w:r w:rsidRPr="007F767A" w:rsidR="005975D3">
        <w:t>ing</w:t>
      </w:r>
      <w:r w:rsidRPr="007F767A" w:rsidR="00E55520">
        <w:t xml:space="preserve"> from abroad. </w:t>
      </w:r>
      <w:r w:rsidRPr="007F767A" w:rsidR="008A2F8C">
        <w:t>However, w</w:t>
      </w:r>
      <w:r w:rsidRPr="007F767A" w:rsidR="00E55520">
        <w:t>hen the security forces received the above</w:t>
      </w:r>
      <w:r w:rsidRPr="007F767A" w:rsidR="005975D3">
        <w:t>-</w:t>
      </w:r>
      <w:r w:rsidRPr="007F767A" w:rsidR="00E55520">
        <w:t xml:space="preserve">mentioned intelligence reports the whole group had already arrived in the city of Tunceli, </w:t>
      </w:r>
      <w:r w:rsidRPr="007F767A" w:rsidR="002A462D">
        <w:t xml:space="preserve">which meant that </w:t>
      </w:r>
      <w:r w:rsidRPr="007F767A" w:rsidR="00E55520">
        <w:t xml:space="preserve">the security forces could not </w:t>
      </w:r>
      <w:r w:rsidRPr="007F767A" w:rsidR="00A64427">
        <w:t>apprehend</w:t>
      </w:r>
      <w:r w:rsidRPr="007F767A" w:rsidR="00E55520">
        <w:t xml:space="preserve"> them at the border. In any event, the terrorists </w:t>
      </w:r>
      <w:r w:rsidRPr="007F767A" w:rsidR="008A2F8C">
        <w:t>had either entered the country clandestinely or had used fake identification documents</w:t>
      </w:r>
      <w:r w:rsidRPr="007F767A" w:rsidR="005975D3">
        <w:t>,</w:t>
      </w:r>
      <w:r w:rsidRPr="007F767A" w:rsidR="00A64427">
        <w:t xml:space="preserve"> which </w:t>
      </w:r>
      <w:r w:rsidRPr="007F767A" w:rsidR="005975D3">
        <w:t xml:space="preserve">had </w:t>
      </w:r>
      <w:r w:rsidRPr="007F767A" w:rsidR="00A64427">
        <w:t>made</w:t>
      </w:r>
      <w:r w:rsidRPr="007F767A" w:rsidR="008A2F8C">
        <w:t xml:space="preserve"> it impossible </w:t>
      </w:r>
      <w:r w:rsidRPr="007F767A" w:rsidR="005975D3">
        <w:t xml:space="preserve">for </w:t>
      </w:r>
      <w:r w:rsidRPr="007F767A" w:rsidR="008A2F8C">
        <w:t xml:space="preserve">them </w:t>
      </w:r>
      <w:r w:rsidRPr="007F767A" w:rsidR="005975D3">
        <w:t xml:space="preserve">to be arrested </w:t>
      </w:r>
      <w:r w:rsidRPr="007F767A" w:rsidR="008A2F8C">
        <w:t>at the border.</w:t>
      </w:r>
    </w:p>
    <w:p w:rsidRPr="007F767A" w:rsidR="008A2F8C" w:rsidP="007F767A" w:rsidRDefault="007F767A">
      <w:pPr>
        <w:pStyle w:val="ECHRPara"/>
      </w:pPr>
      <w:fldSimple w:instr=" SEQ level0 \*arabic ">
        <w:r w:rsidRPr="007F767A">
          <w:rPr>
            <w:noProof/>
          </w:rPr>
          <w:t>94</w:t>
        </w:r>
      </w:fldSimple>
      <w:r w:rsidRPr="007F767A" w:rsidR="008A2F8C">
        <w:t>.  The Government argued that the aim of the security forces had been to arrest the terrorists and to hand them over to justice. The aim of sending a patrol helicopter to the area was to establish the number of persons in the group, the quantity and the nature of their weapons</w:t>
      </w:r>
      <w:r w:rsidRPr="007F767A" w:rsidR="005975D3">
        <w:t>,</w:t>
      </w:r>
      <w:r w:rsidRPr="007F767A" w:rsidR="008A2F8C">
        <w:t xml:space="preserve"> and their possible targets</w:t>
      </w:r>
      <w:r w:rsidRPr="007F767A" w:rsidR="005D7BDA">
        <w:t>. T</w:t>
      </w:r>
      <w:r w:rsidRPr="007F767A" w:rsidR="005D777C">
        <w:t>he helicopter was therefore only used for patrol purposes</w:t>
      </w:r>
      <w:r w:rsidRPr="007F767A" w:rsidR="005D7BDA">
        <w:t xml:space="preserve"> and the c</w:t>
      </w:r>
      <w:r w:rsidRPr="007F767A" w:rsidR="008A2F8C">
        <w:t xml:space="preserve">arrying out </w:t>
      </w:r>
      <w:r w:rsidRPr="007F767A" w:rsidR="005D7BDA">
        <w:t xml:space="preserve">of </w:t>
      </w:r>
      <w:r w:rsidRPr="007F767A" w:rsidR="008A2F8C">
        <w:t xml:space="preserve">such </w:t>
      </w:r>
      <w:r w:rsidRPr="007F767A" w:rsidR="00E404A4">
        <w:t>patrol</w:t>
      </w:r>
      <w:r w:rsidRPr="007F767A" w:rsidR="008A2F8C">
        <w:t>s had great importance for the security forces</w:t>
      </w:r>
      <w:r w:rsidRPr="007F767A" w:rsidR="007F6B1D">
        <w:t xml:space="preserve">, who wished </w:t>
      </w:r>
      <w:r w:rsidRPr="007F767A" w:rsidR="008A2F8C">
        <w:t xml:space="preserve">to arrest the terrorists easily with the minimum loss. Therefore the </w:t>
      </w:r>
      <w:r w:rsidRPr="007F767A" w:rsidR="00A64427">
        <w:t xml:space="preserve">patrolling </w:t>
      </w:r>
      <w:r w:rsidRPr="007F767A" w:rsidR="008A2F8C">
        <w:t>was the main part of the operation and it show</w:t>
      </w:r>
      <w:r w:rsidRPr="007F767A" w:rsidR="00A64427">
        <w:t>ed</w:t>
      </w:r>
      <w:r w:rsidRPr="007F767A" w:rsidR="008A2F8C">
        <w:t xml:space="preserve"> that the operation </w:t>
      </w:r>
      <w:r w:rsidRPr="007F767A" w:rsidR="00A64427">
        <w:t>had been</w:t>
      </w:r>
      <w:r w:rsidRPr="007F767A" w:rsidR="008A2F8C">
        <w:t xml:space="preserve"> well planned.</w:t>
      </w:r>
    </w:p>
    <w:p w:rsidRPr="007F767A" w:rsidR="00300651" w:rsidP="007F767A" w:rsidRDefault="007F767A">
      <w:pPr>
        <w:pStyle w:val="ECHRPara"/>
      </w:pPr>
      <w:fldSimple w:instr=" SEQ level0 \*arabic ">
        <w:r w:rsidRPr="007F767A">
          <w:rPr>
            <w:noProof/>
          </w:rPr>
          <w:t>95</w:t>
        </w:r>
      </w:fldSimple>
      <w:r w:rsidRPr="007F767A" w:rsidR="008A2F8C">
        <w:t xml:space="preserve">.  After the group </w:t>
      </w:r>
      <w:r w:rsidRPr="007F767A" w:rsidR="00A64427">
        <w:t>had been</w:t>
      </w:r>
      <w:r w:rsidRPr="007F767A" w:rsidR="008A2F8C">
        <w:t xml:space="preserve"> located by the helicopter, the gendarmes</w:t>
      </w:r>
      <w:r w:rsidRPr="007F767A" w:rsidR="00300651">
        <w:t xml:space="preserve"> arrived in the area to arrest the</w:t>
      </w:r>
      <w:r w:rsidRPr="007F767A" w:rsidR="00A64427">
        <w:t xml:space="preserve"> terrorists</w:t>
      </w:r>
      <w:r w:rsidRPr="007F767A" w:rsidR="005D7BDA">
        <w:t xml:space="preserve"> </w:t>
      </w:r>
      <w:r w:rsidRPr="007F767A" w:rsidR="004B4CDE">
        <w:t xml:space="preserve">and </w:t>
      </w:r>
      <w:r w:rsidRPr="007F767A" w:rsidR="00300651">
        <w:t xml:space="preserve">warned the terrorists to surrender. The aim of the warning was to arrest them without an armed clash. The security forces had thus planned to </w:t>
      </w:r>
      <w:r w:rsidRPr="007F767A" w:rsidR="001142A1">
        <w:t xml:space="preserve">have as little as </w:t>
      </w:r>
      <w:r w:rsidRPr="007F767A" w:rsidR="00300651">
        <w:t>possible recourse to lethal force in order to minimi</w:t>
      </w:r>
      <w:r w:rsidRPr="007F767A" w:rsidR="004B4CDE">
        <w:t>se incidental loss of life o</w:t>
      </w:r>
      <w:r w:rsidRPr="007F767A" w:rsidR="00300651">
        <w:t>n both sides.</w:t>
      </w:r>
    </w:p>
    <w:p w:rsidRPr="007F767A" w:rsidR="00C80C44" w:rsidP="007F767A" w:rsidRDefault="007F767A">
      <w:pPr>
        <w:pStyle w:val="ECHRPara"/>
      </w:pPr>
      <w:fldSimple w:instr=" SEQ level0 \*arabic ">
        <w:r w:rsidRPr="007F767A">
          <w:rPr>
            <w:noProof/>
          </w:rPr>
          <w:t>96</w:t>
        </w:r>
      </w:fldSimple>
      <w:r w:rsidRPr="007F767A" w:rsidR="00960D6E">
        <w:t>.  H</w:t>
      </w:r>
      <w:r w:rsidRPr="007F767A" w:rsidR="000D4E18">
        <w:t xml:space="preserve">owever, members of the terrorist group had </w:t>
      </w:r>
      <w:r w:rsidRPr="007F767A" w:rsidR="00960D6E">
        <w:t xml:space="preserve">then immediately </w:t>
      </w:r>
      <w:r w:rsidRPr="007F767A" w:rsidR="000D4E18">
        <w:t xml:space="preserve">opened fire </w:t>
      </w:r>
      <w:r w:rsidRPr="007F767A" w:rsidR="001142A1">
        <w:t>on</w:t>
      </w:r>
      <w:r w:rsidRPr="007F767A" w:rsidR="000D4E18">
        <w:t xml:space="preserve"> the patrol helicopter and the soldiers on the ground, injuring one of the soldiers. As a result, the security forces </w:t>
      </w:r>
      <w:r w:rsidRPr="007F767A" w:rsidR="008E20FB">
        <w:t>had been</w:t>
      </w:r>
      <w:r w:rsidRPr="007F767A" w:rsidR="000D4E18">
        <w:t xml:space="preserve"> obliged to respond to the terrorists in order to protect themselves and to arrest them. They had no other means </w:t>
      </w:r>
      <w:r w:rsidRPr="007F767A" w:rsidR="001142A1">
        <w:t>of</w:t>
      </w:r>
      <w:r w:rsidRPr="007F767A" w:rsidR="000D4E18">
        <w:t xml:space="preserve"> protect</w:t>
      </w:r>
      <w:r w:rsidRPr="007F767A" w:rsidR="001142A1">
        <w:t>ing</w:t>
      </w:r>
      <w:r w:rsidRPr="007F767A" w:rsidR="000D4E18">
        <w:t xml:space="preserve"> themselves and arrest</w:t>
      </w:r>
      <w:r w:rsidRPr="007F767A" w:rsidR="001142A1">
        <w:t>ing</w:t>
      </w:r>
      <w:r w:rsidRPr="007F767A" w:rsidR="000D4E18">
        <w:t xml:space="preserve"> the terrorists. Furthermore, the security forces had the obligation to protect </w:t>
      </w:r>
      <w:r w:rsidRPr="007F767A" w:rsidR="001142A1">
        <w:t>civilian</w:t>
      </w:r>
      <w:r w:rsidRPr="007F767A" w:rsidR="000D4E18">
        <w:t xml:space="preserve"> lives from the terrorists</w:t>
      </w:r>
      <w:r w:rsidRPr="007F767A" w:rsidR="001142A1">
        <w:t>,</w:t>
      </w:r>
      <w:r w:rsidRPr="007F767A" w:rsidR="000D4E18">
        <w:t xml:space="preserve"> who had weapons and </w:t>
      </w:r>
      <w:r w:rsidRPr="007F767A" w:rsidR="008E20FB">
        <w:t xml:space="preserve">who </w:t>
      </w:r>
      <w:r w:rsidRPr="007F767A" w:rsidR="001142A1">
        <w:t>were seeking</w:t>
      </w:r>
      <w:r w:rsidRPr="007F767A" w:rsidR="000D4E18">
        <w:t xml:space="preserve"> to overthrow the </w:t>
      </w:r>
      <w:r w:rsidRPr="007F767A" w:rsidR="00C902FB">
        <w:t>c</w:t>
      </w:r>
      <w:r w:rsidRPr="007F767A" w:rsidR="000D4E18">
        <w:t>onstitutional order through arm</w:t>
      </w:r>
      <w:r w:rsidRPr="007F767A" w:rsidR="008E20FB">
        <w:t>ed struggle</w:t>
      </w:r>
      <w:r w:rsidRPr="007F767A" w:rsidR="000D4E18">
        <w:t xml:space="preserve">. Therefore it was absolutely necessary to fire </w:t>
      </w:r>
      <w:r w:rsidRPr="007F767A" w:rsidR="001142A1">
        <w:t>on</w:t>
      </w:r>
      <w:r w:rsidRPr="007F767A" w:rsidR="000D4E18">
        <w:t xml:space="preserve"> the terrorists in order to achieve the aims cited in Article 2 § 2 </w:t>
      </w:r>
      <w:r w:rsidRPr="007F767A" w:rsidR="004B4CDE">
        <w:t xml:space="preserve">(a) and </w:t>
      </w:r>
      <w:r w:rsidRPr="007F767A" w:rsidR="000D4E18">
        <w:t>(c) of the Convention.</w:t>
      </w:r>
    </w:p>
    <w:p w:rsidRPr="007F767A" w:rsidR="00840449" w:rsidP="007F767A" w:rsidRDefault="007F767A">
      <w:pPr>
        <w:pStyle w:val="ECHRPara"/>
      </w:pPr>
      <w:fldSimple w:instr=" SEQ level0 \*arabic ">
        <w:r w:rsidRPr="007F767A">
          <w:rPr>
            <w:noProof/>
          </w:rPr>
          <w:t>97</w:t>
        </w:r>
      </w:fldSimple>
      <w:r w:rsidRPr="007F767A" w:rsidR="000D4E18">
        <w:t>.  According to the ballistic report o</w:t>
      </w:r>
      <w:r w:rsidRPr="007F767A" w:rsidR="00E90CB1">
        <w:t>f 19 August 2005 (see paragraph </w:t>
      </w:r>
      <w:r w:rsidRPr="007F767A" w:rsidR="0067422E">
        <w:t>57</w:t>
      </w:r>
      <w:r w:rsidRPr="007F767A" w:rsidR="000D4E18">
        <w:t xml:space="preserve"> above) the weapons recovered were in working order and had </w:t>
      </w:r>
      <w:r w:rsidRPr="007F767A" w:rsidR="004B4CDE">
        <w:t>been</w:t>
      </w:r>
      <w:r w:rsidRPr="007F767A" w:rsidR="000D4E18">
        <w:t xml:space="preserve"> fired during the armed clash. Moreover, according </w:t>
      </w:r>
      <w:r w:rsidRPr="007F767A" w:rsidR="00D9474D">
        <w:t>to another report drawn up on 1</w:t>
      </w:r>
      <w:r w:rsidRPr="007F767A" w:rsidR="00E90CB1">
        <w:t xml:space="preserve"> </w:t>
      </w:r>
      <w:r w:rsidRPr="007F767A" w:rsidR="000D4E18">
        <w:t>July 2005</w:t>
      </w:r>
      <w:r w:rsidRPr="007F767A" w:rsidR="004B4CDE">
        <w:t>,</w:t>
      </w:r>
      <w:r w:rsidRPr="007F767A" w:rsidR="000D4E18">
        <w:t xml:space="preserve"> 16 of the 17 terrorists had actively fired at the security forces during the clash.</w:t>
      </w:r>
      <w:r w:rsidRPr="007F767A" w:rsidR="002E081F">
        <w:t xml:space="preserve"> Furthermore, the three terrorists arrested </w:t>
      </w:r>
      <w:r w:rsidRPr="007F767A" w:rsidR="001142A1">
        <w:t>a</w:t>
      </w:r>
      <w:r w:rsidRPr="007F767A" w:rsidR="002E081F">
        <w:t>live had actively fired as well.</w:t>
      </w:r>
    </w:p>
    <w:p w:rsidRPr="007F767A" w:rsidR="000D4E18" w:rsidP="007F767A" w:rsidRDefault="007F767A">
      <w:pPr>
        <w:pStyle w:val="ECHRPara"/>
      </w:pPr>
      <w:fldSimple w:instr=" SEQ level0 \*arabic ">
        <w:r w:rsidRPr="007F767A">
          <w:rPr>
            <w:noProof/>
          </w:rPr>
          <w:t>98</w:t>
        </w:r>
      </w:fldSimple>
      <w:r w:rsidRPr="007F767A" w:rsidR="00EF61DE">
        <w:t xml:space="preserve">.  Consequently, it was clear that 19 terrorists had </w:t>
      </w:r>
      <w:r w:rsidRPr="007F767A" w:rsidR="001142A1">
        <w:t xml:space="preserve">used their weapons to </w:t>
      </w:r>
      <w:r w:rsidRPr="007F767A" w:rsidR="00EF61DE">
        <w:t xml:space="preserve">resist the security forces who </w:t>
      </w:r>
      <w:r w:rsidRPr="007F767A" w:rsidR="001142A1">
        <w:t xml:space="preserve">had </w:t>
      </w:r>
      <w:r w:rsidRPr="007F767A" w:rsidR="00EF61DE">
        <w:t>tried to arrest them.</w:t>
      </w:r>
      <w:r w:rsidRPr="007F767A" w:rsidR="008527CF">
        <w:t xml:space="preserve"> The soldiers had responded to the terrorists </w:t>
      </w:r>
      <w:r w:rsidRPr="007F767A" w:rsidR="008E20FB">
        <w:t xml:space="preserve">with the same kind of weapons, namely </w:t>
      </w:r>
      <w:r w:rsidRPr="007F767A" w:rsidR="008527CF">
        <w:t>assault rifles.</w:t>
      </w:r>
      <w:r w:rsidRPr="007F767A" w:rsidR="00D07288">
        <w:t xml:space="preserve"> Therefore the force used by the security forces was proportionate to the force </w:t>
      </w:r>
      <w:r w:rsidRPr="007F767A" w:rsidR="00E82D90">
        <w:t xml:space="preserve">which </w:t>
      </w:r>
      <w:r w:rsidRPr="007F767A" w:rsidR="008E20FB">
        <w:t>emanated from</w:t>
      </w:r>
      <w:r w:rsidRPr="007F767A" w:rsidR="00D07288">
        <w:t xml:space="preserve"> the terrorists.</w:t>
      </w:r>
    </w:p>
    <w:p w:rsidRPr="007F767A" w:rsidR="00D07288" w:rsidP="007F767A" w:rsidRDefault="007F767A">
      <w:pPr>
        <w:pStyle w:val="ECHRPara"/>
      </w:pPr>
      <w:fldSimple w:instr=" SEQ level0 \*arabic ">
        <w:r w:rsidRPr="007F767A">
          <w:rPr>
            <w:noProof/>
          </w:rPr>
          <w:t>99</w:t>
        </w:r>
      </w:fldSimple>
      <w:r w:rsidRPr="007F767A" w:rsidR="00D07288">
        <w:t xml:space="preserve">.  The security forces had never opened fire </w:t>
      </w:r>
      <w:r w:rsidRPr="007F767A" w:rsidR="001142A1">
        <w:t>on</w:t>
      </w:r>
      <w:r w:rsidRPr="007F767A" w:rsidR="00D07288">
        <w:t xml:space="preserve"> the terrorists from </w:t>
      </w:r>
      <w:r w:rsidRPr="007F767A" w:rsidR="001142A1">
        <w:t>a</w:t>
      </w:r>
      <w:r w:rsidRPr="007F767A" w:rsidR="00D07288">
        <w:t xml:space="preserve"> distance; the helicopter </w:t>
      </w:r>
      <w:r w:rsidRPr="007F767A" w:rsidR="008E20FB">
        <w:t>had been</w:t>
      </w:r>
      <w:r w:rsidRPr="007F767A" w:rsidR="00D07288">
        <w:t xml:space="preserve"> used only for patrol purposes. </w:t>
      </w:r>
      <w:r w:rsidRPr="007F767A" w:rsidR="009C44B2">
        <w:t xml:space="preserve">Had the security forces used the Air Force to kill them, they could easily </w:t>
      </w:r>
      <w:r w:rsidRPr="007F767A" w:rsidR="008E20FB">
        <w:t xml:space="preserve">have </w:t>
      </w:r>
      <w:r w:rsidRPr="007F767A" w:rsidR="009C44B2">
        <w:t>destroy</w:t>
      </w:r>
      <w:r w:rsidRPr="007F767A" w:rsidR="008E20FB">
        <w:t>ed</w:t>
      </w:r>
      <w:r w:rsidRPr="007F767A" w:rsidR="009C44B2">
        <w:t xml:space="preserve"> the terrorists in a few hours, whereas the operation had lasted approximately </w:t>
      </w:r>
      <w:r w:rsidRPr="007F767A" w:rsidR="001142A1">
        <w:t>sixteen</w:t>
      </w:r>
      <w:r w:rsidRPr="007F767A" w:rsidR="009C44B2">
        <w:t xml:space="preserve"> hours because the security forces </w:t>
      </w:r>
      <w:r w:rsidRPr="007F767A" w:rsidR="00AB05E5">
        <w:t xml:space="preserve">had </w:t>
      </w:r>
      <w:r w:rsidRPr="007F767A" w:rsidR="009C44B2">
        <w:t xml:space="preserve">responded to the terrorists with rifles. Furthermore, one soldier had been injured by the terrorists; this proved that an armed clash had taken place between the two groups within the </w:t>
      </w:r>
      <w:r w:rsidRPr="007F767A" w:rsidR="008E20FB">
        <w:t xml:space="preserve">firing </w:t>
      </w:r>
      <w:r w:rsidRPr="007F767A" w:rsidR="009C44B2">
        <w:t>range.</w:t>
      </w:r>
    </w:p>
    <w:p w:rsidRPr="007F767A" w:rsidR="004A1413" w:rsidP="007F767A" w:rsidRDefault="007F767A">
      <w:pPr>
        <w:pStyle w:val="ECHRPara"/>
      </w:pPr>
      <w:fldSimple w:instr=" SEQ level0 \*arabic ">
        <w:r w:rsidRPr="007F767A">
          <w:rPr>
            <w:noProof/>
          </w:rPr>
          <w:t>100</w:t>
        </w:r>
      </w:fldSimple>
      <w:r w:rsidRPr="007F767A" w:rsidR="00960D6E">
        <w:t>.  At 9.30 a.m. on 18 June 2005 the armed clashes had ended and three terrorists were arrested alive, together with their weapons.</w:t>
      </w:r>
    </w:p>
    <w:p w:rsidRPr="007F767A" w:rsidR="00982D8F" w:rsidP="007F767A" w:rsidRDefault="007F767A">
      <w:pPr>
        <w:pStyle w:val="ECHRPara"/>
      </w:pPr>
      <w:fldSimple w:instr=" SEQ level0 \*arabic ">
        <w:r w:rsidRPr="007F767A">
          <w:rPr>
            <w:noProof/>
          </w:rPr>
          <w:t>101</w:t>
        </w:r>
      </w:fldSimple>
      <w:r w:rsidRPr="007F767A" w:rsidR="00982D8F">
        <w:t>.  </w:t>
      </w:r>
      <w:r w:rsidRPr="007F767A" w:rsidR="00960D6E">
        <w:t xml:space="preserve">In the opinion of the Government it was clear that the operation had been planned and executed by soldiers who </w:t>
      </w:r>
      <w:r w:rsidRPr="007F767A" w:rsidR="00637B39">
        <w:t>were</w:t>
      </w:r>
      <w:r w:rsidRPr="007F767A" w:rsidR="00960D6E">
        <w:t xml:space="preserve"> well educated in respect of human rights issues and well trained in anti-terrorism operations.</w:t>
      </w:r>
    </w:p>
    <w:p w:rsidRPr="007F767A" w:rsidR="00960D6E" w:rsidP="007F767A" w:rsidRDefault="007F767A">
      <w:pPr>
        <w:pStyle w:val="ECHRPara"/>
      </w:pPr>
      <w:fldSimple w:instr=" SEQ level0 \*arabic ">
        <w:r w:rsidRPr="007F767A">
          <w:rPr>
            <w:noProof/>
          </w:rPr>
          <w:t>102</w:t>
        </w:r>
      </w:fldSimple>
      <w:r w:rsidRPr="007F767A" w:rsidR="00960D6E">
        <w:t xml:space="preserve">.  The Government maintained that the prosecutor had conducted an investigation which was in compliance with the requirements of Article 2 of the Convention. He had not </w:t>
      </w:r>
      <w:r w:rsidRPr="007F767A" w:rsidR="007D4692">
        <w:t>ignored</w:t>
      </w:r>
      <w:r w:rsidRPr="007F767A" w:rsidR="00960D6E">
        <w:t xml:space="preserve"> any small detail or evidence and </w:t>
      </w:r>
      <w:r w:rsidRPr="007F767A" w:rsidR="00637B39">
        <w:t xml:space="preserve">had </w:t>
      </w:r>
      <w:r w:rsidRPr="007F767A" w:rsidR="00960D6E">
        <w:t>conducted the entire investigation swiftly within one year.</w:t>
      </w:r>
      <w:r w:rsidRPr="007F767A" w:rsidR="009A5866">
        <w:t xml:space="preserve"> The aim of the investigation had been to secure the effective implementation of the domestic law and to ensure the accountability of the State agents </w:t>
      </w:r>
      <w:r w:rsidRPr="007F767A" w:rsidR="00753EC9">
        <w:t xml:space="preserve">in respect of </w:t>
      </w:r>
      <w:r w:rsidRPr="007F767A" w:rsidR="009A5866">
        <w:t>the deaths.</w:t>
      </w:r>
    </w:p>
    <w:p w:rsidRPr="007F767A" w:rsidR="001A611A" w:rsidP="007F767A" w:rsidRDefault="007F767A">
      <w:pPr>
        <w:pStyle w:val="ECHRPara"/>
      </w:pPr>
      <w:fldSimple w:instr=" SEQ level0 \*arabic ">
        <w:r w:rsidRPr="007F767A">
          <w:rPr>
            <w:noProof/>
          </w:rPr>
          <w:t>103</w:t>
        </w:r>
      </w:fldSimple>
      <w:r w:rsidRPr="007F767A" w:rsidR="007D42E0">
        <w:t>.  </w:t>
      </w:r>
      <w:r w:rsidRPr="007F767A" w:rsidR="00960D6E">
        <w:t>The prosecutor had immediately gone to the area and personally conducted an on-site inspection</w:t>
      </w:r>
      <w:r w:rsidRPr="007F767A" w:rsidR="005459B0">
        <w:t xml:space="preserve"> before opening an investigation concerning the deaths of the </w:t>
      </w:r>
      <w:r w:rsidRPr="007F767A" w:rsidR="00753EC9">
        <w:t>seventeen</w:t>
      </w:r>
      <w:r w:rsidRPr="007F767A" w:rsidR="005459B0">
        <w:t xml:space="preserve"> terrorists.</w:t>
      </w:r>
      <w:r w:rsidRPr="007F767A" w:rsidR="00564304">
        <w:t xml:space="preserve"> He had personally carried out the procedure throughout the investigation and had </w:t>
      </w:r>
      <w:r w:rsidRPr="007F767A" w:rsidR="00753EC9">
        <w:t xml:space="preserve">not </w:t>
      </w:r>
      <w:r w:rsidRPr="007F767A" w:rsidR="00564304">
        <w:t>relied heavily on the information provided by the gendarmes</w:t>
      </w:r>
      <w:r w:rsidRPr="007F767A" w:rsidR="00F37706">
        <w:t>.</w:t>
      </w:r>
      <w:r w:rsidRPr="007F767A" w:rsidR="009830C7">
        <w:t xml:space="preserve"> </w:t>
      </w:r>
      <w:r w:rsidRPr="007F767A" w:rsidR="009E1429">
        <w:t>The prosecutor ha</w:t>
      </w:r>
      <w:r w:rsidRPr="007F767A" w:rsidR="008E20FB">
        <w:t>d</w:t>
      </w:r>
      <w:r w:rsidRPr="007F767A" w:rsidR="009E1429">
        <w:t xml:space="preserve"> taken into consideration all </w:t>
      </w:r>
      <w:r w:rsidRPr="007F767A" w:rsidR="00753EC9">
        <w:t xml:space="preserve">the </w:t>
      </w:r>
      <w:r w:rsidRPr="007F767A" w:rsidR="009E1429">
        <w:t xml:space="preserve">allegations made by the relatives of the deceased and </w:t>
      </w:r>
      <w:r w:rsidRPr="007F767A" w:rsidR="00753EC9">
        <w:t>had met</w:t>
      </w:r>
      <w:r w:rsidRPr="007F767A" w:rsidR="009E1429">
        <w:t xml:space="preserve"> all their demands</w:t>
      </w:r>
      <w:r w:rsidRPr="007F767A" w:rsidR="008E20FB">
        <w:t>.</w:t>
      </w:r>
    </w:p>
    <w:p w:rsidRPr="007F767A" w:rsidR="005459B0" w:rsidP="007F767A" w:rsidRDefault="007F767A">
      <w:pPr>
        <w:pStyle w:val="ECHRPara"/>
      </w:pPr>
      <w:fldSimple w:instr=" SEQ level0 \*arabic ">
        <w:r w:rsidRPr="007F767A">
          <w:rPr>
            <w:noProof/>
          </w:rPr>
          <w:t>104</w:t>
        </w:r>
      </w:fldSimple>
      <w:r w:rsidRPr="007F767A" w:rsidR="001A611A">
        <w:t>.  </w:t>
      </w:r>
      <w:r w:rsidRPr="007F767A" w:rsidR="005459B0">
        <w:t>The applicants</w:t>
      </w:r>
      <w:r w:rsidRPr="007F767A">
        <w:t>’</w:t>
      </w:r>
      <w:r w:rsidRPr="007F767A" w:rsidR="005459B0">
        <w:t xml:space="preserve"> access to the investigation file </w:t>
      </w:r>
      <w:r w:rsidRPr="007F767A" w:rsidR="008E20FB">
        <w:t>had been</w:t>
      </w:r>
      <w:r w:rsidRPr="007F767A" w:rsidR="005459B0">
        <w:t xml:space="preserve"> restricted because </w:t>
      </w:r>
      <w:r w:rsidRPr="007F767A" w:rsidR="006D45B9">
        <w:t>t</w:t>
      </w:r>
      <w:r w:rsidRPr="007F767A" w:rsidR="008E20FB">
        <w:t>he file</w:t>
      </w:r>
      <w:r w:rsidRPr="007F767A" w:rsidR="006D45B9">
        <w:t xml:space="preserve"> contained intelligence reports </w:t>
      </w:r>
      <w:r w:rsidRPr="007F767A" w:rsidR="008E20FB">
        <w:t xml:space="preserve">and </w:t>
      </w:r>
      <w:r w:rsidRPr="007F767A" w:rsidR="006D45B9">
        <w:t xml:space="preserve">statements made by the arrested terrorists concerning the current situation of the illegal organisation. That information had to be kept confidential </w:t>
      </w:r>
      <w:r w:rsidRPr="007F767A" w:rsidR="00753EC9">
        <w:t xml:space="preserve">so that </w:t>
      </w:r>
      <w:r w:rsidRPr="007F767A" w:rsidR="006D45B9">
        <w:t>other members of the organisation</w:t>
      </w:r>
      <w:r w:rsidRPr="007F767A" w:rsidR="00753EC9">
        <w:t xml:space="preserve"> could be arrested</w:t>
      </w:r>
      <w:r w:rsidRPr="007F767A" w:rsidR="006D45B9">
        <w:t>.</w:t>
      </w:r>
      <w:r w:rsidRPr="007F767A" w:rsidR="003F3F5B">
        <w:t xml:space="preserve"> The Ovacık Magistrates</w:t>
      </w:r>
      <w:r w:rsidRPr="007F767A">
        <w:t>’</w:t>
      </w:r>
      <w:r w:rsidRPr="007F767A" w:rsidR="003F3F5B">
        <w:t xml:space="preserve"> Court decision </w:t>
      </w:r>
      <w:r w:rsidRPr="007F767A" w:rsidR="008E20FB">
        <w:t>had</w:t>
      </w:r>
      <w:r w:rsidRPr="007F767A" w:rsidR="003F3F5B">
        <w:t xml:space="preserve"> not prevent</w:t>
      </w:r>
      <w:r w:rsidRPr="007F767A" w:rsidR="008E20FB">
        <w:t>ed</w:t>
      </w:r>
      <w:r w:rsidRPr="007F767A" w:rsidR="003F3F5B">
        <w:t xml:space="preserve"> the relatives from accessing the file; it </w:t>
      </w:r>
      <w:r w:rsidRPr="007F767A" w:rsidR="008E20FB">
        <w:t xml:space="preserve">had </w:t>
      </w:r>
      <w:r w:rsidRPr="007F767A" w:rsidR="003F3F5B">
        <w:t xml:space="preserve">only restricted </w:t>
      </w:r>
      <w:r w:rsidRPr="007F767A" w:rsidR="008E20FB">
        <w:t xml:space="preserve">the </w:t>
      </w:r>
      <w:r w:rsidRPr="007F767A" w:rsidR="003F3F5B">
        <w:t xml:space="preserve">taking </w:t>
      </w:r>
      <w:r w:rsidRPr="007F767A" w:rsidR="008E20FB">
        <w:t xml:space="preserve">of </w:t>
      </w:r>
      <w:r w:rsidRPr="007F767A" w:rsidR="003F3F5B">
        <w:t xml:space="preserve">some </w:t>
      </w:r>
      <w:r w:rsidRPr="007F767A" w:rsidR="008E20FB">
        <w:t xml:space="preserve">of the </w:t>
      </w:r>
      <w:r w:rsidRPr="007F767A" w:rsidR="003F3F5B">
        <w:t>documents from the investigation file</w:t>
      </w:r>
      <w:r w:rsidRPr="007F767A" w:rsidR="009A5866">
        <w:t xml:space="preserve">. The file </w:t>
      </w:r>
      <w:r w:rsidRPr="007F767A" w:rsidR="008E20FB">
        <w:t xml:space="preserve">had </w:t>
      </w:r>
      <w:r w:rsidRPr="007F767A" w:rsidR="009A5866">
        <w:t xml:space="preserve">always </w:t>
      </w:r>
      <w:r w:rsidRPr="007F767A" w:rsidR="008E20FB">
        <w:t xml:space="preserve">been </w:t>
      </w:r>
      <w:r w:rsidRPr="007F767A" w:rsidR="009A5866">
        <w:t>accessible to the relatives.</w:t>
      </w:r>
    </w:p>
    <w:p w:rsidRPr="007F767A" w:rsidR="00C80C44" w:rsidP="007F767A" w:rsidRDefault="00880D7D">
      <w:pPr>
        <w:pStyle w:val="ECHRHeading3"/>
      </w:pPr>
      <w:r w:rsidRPr="007F767A">
        <w:t>3.  </w:t>
      </w:r>
      <w:r w:rsidRPr="007F767A" w:rsidR="00C80C44">
        <w:t>The Court</w:t>
      </w:r>
      <w:r w:rsidRPr="007F767A" w:rsidR="007F767A">
        <w:t>’</w:t>
      </w:r>
      <w:r w:rsidRPr="007F767A" w:rsidR="00C80C44">
        <w:t>s assessment</w:t>
      </w:r>
    </w:p>
    <w:p w:rsidRPr="007F767A" w:rsidR="0008026A" w:rsidP="007F767A" w:rsidRDefault="00880D7D">
      <w:pPr>
        <w:pStyle w:val="ECHRHeading4"/>
      </w:pPr>
      <w:r w:rsidRPr="007F767A">
        <w:t>a.  </w:t>
      </w:r>
      <w:r w:rsidRPr="007F767A" w:rsidR="0008026A">
        <w:t>The killing of the applicants</w:t>
      </w:r>
      <w:r w:rsidRPr="007F767A" w:rsidR="007F767A">
        <w:t>’</w:t>
      </w:r>
      <w:r w:rsidRPr="007F767A" w:rsidR="0008026A">
        <w:t xml:space="preserve"> relatives</w:t>
      </w:r>
    </w:p>
    <w:p w:rsidRPr="007F767A" w:rsidR="00F652D2" w:rsidP="007F767A" w:rsidRDefault="007F767A">
      <w:pPr>
        <w:pStyle w:val="ECHRPara"/>
      </w:pPr>
      <w:fldSimple w:instr=" SEQ level0 \*arabic ">
        <w:r w:rsidRPr="007F767A">
          <w:rPr>
            <w:noProof/>
          </w:rPr>
          <w:t>105</w:t>
        </w:r>
      </w:fldSimple>
      <w:r w:rsidRPr="007F767A" w:rsidR="00894949">
        <w:t>.  The Court reiterates that the text of Article 2</w:t>
      </w:r>
      <w:r w:rsidRPr="007F767A" w:rsidR="00852FBE">
        <w:t xml:space="preserve"> of the Convention</w:t>
      </w:r>
      <w:r w:rsidRPr="007F767A" w:rsidR="00894949">
        <w:t>, read as a whole, demonstrates that paragraph 2 does not primarily define instances where it is permitted to intentionally kill an individual, but describes situations where it is permitted to “use force” which may result, as an unintended outcome, in the deprivation of life. The use of force, however, must be no more than “absolutely necessary” for the achievement of any of the purposes set out in subparagraphs (a), (b) or (c). In this respect the use of the term “absolutely necessary” in Article 2 § 2 indicates that a stricter and more compelling test of necessity must be employed than that normally applicable when determining whether State action is “necessary in a democratic society” under paragraph 2 of Articles 8-11 of the Convention</w:t>
      </w:r>
      <w:r w:rsidRPr="007F767A" w:rsidR="00F652D2">
        <w:t>.</w:t>
      </w:r>
      <w:r w:rsidRPr="007F767A" w:rsidR="003C1E6F">
        <w:t xml:space="preserve"> </w:t>
      </w:r>
      <w:r w:rsidRPr="007F767A" w:rsidR="00F652D2">
        <w:t>In particular, the force used must be strictly proportionate to the achievement of the aims set out in sub-paragraphs 2 (a</w:t>
      </w:r>
      <w:r w:rsidRPr="007F767A" w:rsidR="008D5FDC">
        <w:t>), (b) and (c) of Article </w:t>
      </w:r>
      <w:r w:rsidRPr="007F767A" w:rsidR="00F652D2">
        <w:t xml:space="preserve">2 </w:t>
      </w:r>
      <w:r w:rsidRPr="007F767A" w:rsidR="002247D9">
        <w:t>of the Convention</w:t>
      </w:r>
      <w:r w:rsidRPr="007F767A" w:rsidR="00F652D2">
        <w:t xml:space="preserve"> (see </w:t>
      </w:r>
      <w:r w:rsidRPr="007F767A" w:rsidR="00F652D2">
        <w:rPr>
          <w:i/>
        </w:rPr>
        <w:t>McCann and Others v.</w:t>
      </w:r>
      <w:r w:rsidRPr="007F767A" w:rsidR="003A4706">
        <w:rPr>
          <w:i/>
        </w:rPr>
        <w:t> </w:t>
      </w:r>
      <w:r w:rsidRPr="007F767A" w:rsidR="00F652D2">
        <w:rPr>
          <w:i/>
        </w:rPr>
        <w:t>the United Kingdom</w:t>
      </w:r>
      <w:r w:rsidRPr="007F767A" w:rsidR="00F652D2">
        <w:t>, 27 September 1995, §§ 148-149, Series A no. 324).</w:t>
      </w:r>
    </w:p>
    <w:p w:rsidRPr="007F767A" w:rsidR="00A51BDE" w:rsidP="007F767A" w:rsidRDefault="007F767A">
      <w:pPr>
        <w:pStyle w:val="ECHRPara"/>
      </w:pPr>
      <w:fldSimple w:instr=" SEQ level0 \*arabic ">
        <w:r w:rsidRPr="007F767A">
          <w:rPr>
            <w:noProof/>
          </w:rPr>
          <w:t>106</w:t>
        </w:r>
      </w:fldSimple>
      <w:r w:rsidRPr="007F767A" w:rsidR="00F652D2">
        <w:t>.  </w:t>
      </w:r>
      <w:r w:rsidRPr="007F767A" w:rsidR="00894949">
        <w:t>In the present case, the Court notes that it is undisputed between the parties that the applicants</w:t>
      </w:r>
      <w:r w:rsidRPr="007F767A">
        <w:t>’</w:t>
      </w:r>
      <w:r w:rsidRPr="007F767A" w:rsidR="00894949">
        <w:t xml:space="preserve"> </w:t>
      </w:r>
      <w:r w:rsidRPr="007F767A" w:rsidR="00753EC9">
        <w:t>seventeen</w:t>
      </w:r>
      <w:r w:rsidRPr="007F767A" w:rsidR="00894949">
        <w:t xml:space="preserve"> relatives were killed by soldiers </w:t>
      </w:r>
      <w:r w:rsidRPr="007F767A" w:rsidR="00753EC9">
        <w:t>of</w:t>
      </w:r>
      <w:r w:rsidRPr="007F767A" w:rsidR="00894949">
        <w:t xml:space="preserve"> the armed forces of the respondent State. It follows that the Government bear the burden of proving that the force used by the soldiers w</w:t>
      </w:r>
      <w:r w:rsidRPr="007F767A" w:rsidR="008E20FB">
        <w:t>as</w:t>
      </w:r>
      <w:r w:rsidRPr="007F767A" w:rsidR="00894949">
        <w:t xml:space="preserve"> no more than absolutely necessary and strictly proportionate to the achievement of the aims set out in the subparagraphs of Article 2 § 2 of the Convention. In examining whether the Government have discharged their burden</w:t>
      </w:r>
      <w:r w:rsidRPr="007F767A" w:rsidR="00852FBE">
        <w:t>,</w:t>
      </w:r>
      <w:r w:rsidRPr="007F767A" w:rsidR="00894949">
        <w:t xml:space="preserve"> the Court will not only examine whether the </w:t>
      </w:r>
      <w:r w:rsidRPr="007F767A" w:rsidR="008E20FB">
        <w:t>resort to the use</w:t>
      </w:r>
      <w:r w:rsidRPr="007F767A" w:rsidR="00894949">
        <w:t xml:space="preserve"> of lethal force by the </w:t>
      </w:r>
      <w:r w:rsidRPr="007F767A" w:rsidR="008E20FB">
        <w:t>soldiers</w:t>
      </w:r>
      <w:r w:rsidRPr="007F767A" w:rsidR="00894949">
        <w:t xml:space="preserve"> was no more than absolutely necessary</w:t>
      </w:r>
      <w:r w:rsidRPr="007F767A" w:rsidR="00526B6D">
        <w:t xml:space="preserve"> and was strictly proportionate to the achievement of the aims set out in the subparagraphs of Article</w:t>
      </w:r>
      <w:r w:rsidRPr="007F767A" w:rsidR="00237DA5">
        <w:t> </w:t>
      </w:r>
      <w:r w:rsidRPr="007F767A" w:rsidR="00526B6D">
        <w:t>2 § 2 of the Convention</w:t>
      </w:r>
      <w:r w:rsidRPr="007F767A" w:rsidR="00894949">
        <w:t xml:space="preserve">, but also whether the operation was regulated and organised in such a way as to minimise to the greatest extent possible any risk to life (see </w:t>
      </w:r>
      <w:r w:rsidRPr="007F767A" w:rsidR="00894949">
        <w:rPr>
          <w:i/>
        </w:rPr>
        <w:t xml:space="preserve">Makaratzis v. Greece </w:t>
      </w:r>
      <w:r w:rsidRPr="007F767A" w:rsidR="00894949">
        <w:t>[GC], no.</w:t>
      </w:r>
      <w:r w:rsidRPr="007F767A" w:rsidR="004C6E02">
        <w:t xml:space="preserve"> </w:t>
      </w:r>
      <w:r w:rsidRPr="007F767A" w:rsidR="00894949">
        <w:t>50385/99, §</w:t>
      </w:r>
      <w:r w:rsidRPr="007F767A" w:rsidR="004C6E02">
        <w:t> </w:t>
      </w:r>
      <w:r w:rsidRPr="007F767A" w:rsidR="00894949">
        <w:t>60, ECHR 2004</w:t>
      </w:r>
      <w:r w:rsidRPr="007F767A" w:rsidR="00894949">
        <w:noBreakHyphen/>
        <w:t>XI).</w:t>
      </w:r>
      <w:r w:rsidRPr="007F767A" w:rsidR="00AC5D8E">
        <w:t xml:space="preserve"> In this connection the Court reiterates that</w:t>
      </w:r>
      <w:r w:rsidRPr="007F767A" w:rsidR="00237DA5">
        <w:t xml:space="preserve"> </w:t>
      </w:r>
      <w:r w:rsidRPr="007F767A" w:rsidR="00AC5D8E">
        <w:t>t</w:t>
      </w:r>
      <w:r w:rsidRPr="007F767A" w:rsidR="001C5314">
        <w:t>he central importance of the protection afforded under Article 2 of the Convention is such that the Court is required to subject allegations of a breach of this provision to the most careful scrutiny, taking into consideration not only the actions of the agents of the State who actually administered the force</w:t>
      </w:r>
      <w:r w:rsidRPr="007F767A" w:rsidR="00753EC9">
        <w:t>,</w:t>
      </w:r>
      <w:r w:rsidRPr="007F767A" w:rsidR="001C5314">
        <w:t xml:space="preserve"> but also all the surrounding circumstances</w:t>
      </w:r>
      <w:r w:rsidRPr="007F767A" w:rsidR="00753EC9">
        <w:t>,</w:t>
      </w:r>
      <w:r w:rsidRPr="007F767A" w:rsidR="001C5314">
        <w:t xml:space="preserve"> including such matters as the planning and control of the actions under examination</w:t>
      </w:r>
      <w:r w:rsidRPr="007F767A" w:rsidR="00753EC9">
        <w:t>,</w:t>
      </w:r>
      <w:r w:rsidRPr="007F767A" w:rsidR="001C5314">
        <w:t xml:space="preserve"> even whe</w:t>
      </w:r>
      <w:r w:rsidRPr="007F767A" w:rsidR="00C902FB">
        <w:t>n</w:t>
      </w:r>
      <w:r w:rsidRPr="007F767A" w:rsidR="001C5314">
        <w:t xml:space="preserve"> domestic proceedings and investigations have already taken place (see </w:t>
      </w:r>
      <w:r w:rsidRPr="007F767A" w:rsidR="001C5314">
        <w:rPr>
          <w:i/>
        </w:rPr>
        <w:t>Erdoğan and Others v. Turkey</w:t>
      </w:r>
      <w:r w:rsidRPr="007F767A" w:rsidR="001C5314">
        <w:t>, no. 19807/92, § 71, 25</w:t>
      </w:r>
      <w:r w:rsidRPr="007F767A" w:rsidR="00237DA5">
        <w:t xml:space="preserve"> </w:t>
      </w:r>
      <w:r w:rsidRPr="007F767A" w:rsidR="001C5314">
        <w:t>April 2006).</w:t>
      </w:r>
      <w:r w:rsidRPr="007F767A" w:rsidR="00AB2C99">
        <w:t xml:space="preserve"> Finally, t</w:t>
      </w:r>
      <w:r w:rsidRPr="007F767A" w:rsidR="00052A8A">
        <w:t>he Court reiterates that law</w:t>
      </w:r>
      <w:r w:rsidRPr="007F767A" w:rsidR="00753EC9">
        <w:t>-</w:t>
      </w:r>
      <w:r w:rsidRPr="007F767A" w:rsidR="00052A8A">
        <w:t xml:space="preserve">enforcement personnel in a democratic society </w:t>
      </w:r>
      <w:r w:rsidRPr="007F767A" w:rsidR="0007526A">
        <w:t>are</w:t>
      </w:r>
      <w:r w:rsidRPr="007F767A" w:rsidR="00052A8A">
        <w:t xml:space="preserve"> expected to show a degree of caution in the use of firearms even when dealing with dangerous terrorist</w:t>
      </w:r>
      <w:r w:rsidRPr="007F767A" w:rsidR="00753EC9">
        <w:t>s</w:t>
      </w:r>
      <w:r w:rsidRPr="007F767A" w:rsidR="00052A8A">
        <w:t xml:space="preserve"> (see </w:t>
      </w:r>
      <w:r w:rsidRPr="007F767A" w:rsidR="00052A8A">
        <w:rPr>
          <w:i/>
        </w:rPr>
        <w:t>McCann and Others</w:t>
      </w:r>
      <w:r w:rsidRPr="007F767A" w:rsidR="004C6E02">
        <w:t>, cited above, § </w:t>
      </w:r>
      <w:r w:rsidRPr="007F767A" w:rsidR="00052A8A">
        <w:t>212).</w:t>
      </w:r>
    </w:p>
    <w:p w:rsidRPr="007F767A" w:rsidR="00AC5D8E" w:rsidP="007F767A" w:rsidRDefault="007F767A">
      <w:pPr>
        <w:pStyle w:val="ECHRPara"/>
        <w:rPr>
          <w:i/>
        </w:rPr>
      </w:pPr>
      <w:fldSimple w:instr=" SEQ level0 \*arabic ">
        <w:r w:rsidRPr="007F767A">
          <w:rPr>
            <w:noProof/>
          </w:rPr>
          <w:t>107</w:t>
        </w:r>
      </w:fldSimple>
      <w:r w:rsidRPr="007F767A" w:rsidR="00AB2C99">
        <w:t>.  </w:t>
      </w:r>
      <w:r w:rsidRPr="007F767A" w:rsidR="003569A2">
        <w:t>A</w:t>
      </w:r>
      <w:r w:rsidRPr="007F767A" w:rsidR="008040CD">
        <w:t xml:space="preserve">ccording to the documents in the file, </w:t>
      </w:r>
      <w:r w:rsidRPr="007F767A" w:rsidR="0007526A">
        <w:t xml:space="preserve">intelligence obtained by </w:t>
      </w:r>
      <w:r w:rsidRPr="007F767A" w:rsidR="008040CD">
        <w:t xml:space="preserve">the security forces </w:t>
      </w:r>
      <w:r w:rsidRPr="007F767A" w:rsidR="0007526A">
        <w:t xml:space="preserve">showed that </w:t>
      </w:r>
      <w:r w:rsidRPr="007F767A" w:rsidR="008040CD">
        <w:t>the applicants</w:t>
      </w:r>
      <w:r w:rsidRPr="007F767A">
        <w:t>’</w:t>
      </w:r>
      <w:r w:rsidRPr="007F767A" w:rsidR="008040CD">
        <w:t xml:space="preserve"> </w:t>
      </w:r>
      <w:r w:rsidRPr="007F767A" w:rsidR="00753EC9">
        <w:t>seventeen</w:t>
      </w:r>
      <w:r w:rsidRPr="007F767A" w:rsidR="008040CD">
        <w:t xml:space="preserve"> relatives were </w:t>
      </w:r>
      <w:r w:rsidRPr="007F767A" w:rsidR="00753EC9">
        <w:t>planning</w:t>
      </w:r>
      <w:r w:rsidRPr="007F767A" w:rsidR="008040CD">
        <w:t xml:space="preserve"> </w:t>
      </w:r>
      <w:r w:rsidRPr="007F767A" w:rsidR="00AB2C99">
        <w:t xml:space="preserve">to </w:t>
      </w:r>
      <w:r w:rsidRPr="007F767A" w:rsidR="008040CD">
        <w:t xml:space="preserve">go to the area in question to hold a meeting. No allegation was made at any stage before the national authorities or </w:t>
      </w:r>
      <w:r w:rsidRPr="007F767A" w:rsidR="0007526A">
        <w:t xml:space="preserve">in the proceedings </w:t>
      </w:r>
      <w:r w:rsidRPr="007F767A" w:rsidR="008040CD">
        <w:t>before the Court that they were planning to carry out any armed attacks in the area</w:t>
      </w:r>
      <w:r w:rsidRPr="007F767A" w:rsidR="00E07E8E">
        <w:t xml:space="preserve">. Indeed the Government also accepted </w:t>
      </w:r>
      <w:r w:rsidRPr="007F767A" w:rsidR="0007526A">
        <w:t xml:space="preserve">in their submissions that </w:t>
      </w:r>
      <w:r w:rsidRPr="007F767A" w:rsidR="00AB2C99">
        <w:t xml:space="preserve">the </w:t>
      </w:r>
      <w:r w:rsidRPr="007F767A" w:rsidR="0007526A">
        <w:t xml:space="preserve">reason for the </w:t>
      </w:r>
      <w:r w:rsidRPr="007F767A" w:rsidR="00753EC9">
        <w:t>seventeen</w:t>
      </w:r>
      <w:r w:rsidRPr="007F767A" w:rsidR="0007526A">
        <w:t xml:space="preserve"> relatives</w:t>
      </w:r>
      <w:r w:rsidRPr="007F767A">
        <w:t>’</w:t>
      </w:r>
      <w:r w:rsidRPr="007F767A" w:rsidR="0007526A">
        <w:t xml:space="preserve"> presence in the area was to hold a meeting.</w:t>
      </w:r>
      <w:r w:rsidRPr="007F767A" w:rsidR="00E07E8E">
        <w:t xml:space="preserve"> </w:t>
      </w:r>
      <w:r w:rsidRPr="007F767A" w:rsidR="00052A8A">
        <w:t>T</w:t>
      </w:r>
      <w:r w:rsidRPr="007F767A" w:rsidR="00E64A7A">
        <w:t>he Court considers t</w:t>
      </w:r>
      <w:r w:rsidRPr="007F767A" w:rsidR="003569A2">
        <w:t>his</w:t>
      </w:r>
      <w:r w:rsidRPr="007F767A" w:rsidR="00E64A7A">
        <w:t xml:space="preserve"> to be a relevant factor to take into account when assessing whether it was absolutely necessary to resort to the use of lethal force against the </w:t>
      </w:r>
      <w:r w:rsidRPr="007F767A" w:rsidR="00753EC9">
        <w:t>seventeen</w:t>
      </w:r>
      <w:r w:rsidRPr="007F767A" w:rsidR="00E64A7A">
        <w:t xml:space="preserve"> relatives</w:t>
      </w:r>
      <w:r w:rsidRPr="007F767A" w:rsidR="00753EC9">
        <w:t>,</w:t>
      </w:r>
      <w:r w:rsidRPr="007F767A" w:rsidR="0078748C">
        <w:t xml:space="preserve"> whose sole aim at the time was to hold a meeting (see, </w:t>
      </w:r>
      <w:r w:rsidRPr="007F767A" w:rsidR="0078748C">
        <w:rPr>
          <w:i/>
        </w:rPr>
        <w:t>mutatis mutandis</w:t>
      </w:r>
      <w:r w:rsidRPr="007F767A" w:rsidR="0078748C">
        <w:t>,</w:t>
      </w:r>
      <w:r w:rsidRPr="007F767A" w:rsidR="0078748C">
        <w:rPr>
          <w:i/>
        </w:rPr>
        <w:t xml:space="preserve"> Ülüfer v. Turkey</w:t>
      </w:r>
      <w:r w:rsidRPr="007F767A" w:rsidR="0078748C">
        <w:t>, no.</w:t>
      </w:r>
      <w:r w:rsidRPr="007F767A" w:rsidR="00D9474D">
        <w:t> </w:t>
      </w:r>
      <w:r w:rsidRPr="007F767A" w:rsidR="0078748C">
        <w:t>23038/07</w:t>
      </w:r>
      <w:r w:rsidRPr="007F767A" w:rsidR="00237DA5">
        <w:rPr>
          <w:snapToGrid w:val="0"/>
          <w:szCs w:val="24"/>
        </w:rPr>
        <w:t>, § </w:t>
      </w:r>
      <w:r w:rsidRPr="007F767A" w:rsidR="0078748C">
        <w:rPr>
          <w:snapToGrid w:val="0"/>
          <w:szCs w:val="24"/>
        </w:rPr>
        <w:t>64, 5 June 2012)</w:t>
      </w:r>
      <w:r w:rsidRPr="007F767A" w:rsidR="00E64A7A">
        <w:t>.</w:t>
      </w:r>
    </w:p>
    <w:p w:rsidRPr="007F767A" w:rsidR="00D94CD9" w:rsidP="007F767A" w:rsidRDefault="007F767A">
      <w:pPr>
        <w:pStyle w:val="ECHRPara"/>
      </w:pPr>
      <w:fldSimple w:instr=" SEQ level0 \*arabic ">
        <w:r w:rsidRPr="007F767A">
          <w:rPr>
            <w:noProof/>
          </w:rPr>
          <w:t>108</w:t>
        </w:r>
      </w:fldSimple>
      <w:r w:rsidRPr="007F767A" w:rsidR="00147F34">
        <w:t>.  </w:t>
      </w:r>
      <w:r w:rsidRPr="007F767A" w:rsidR="00052A8A">
        <w:t xml:space="preserve">As stated above, </w:t>
      </w:r>
      <w:r w:rsidRPr="007F767A" w:rsidR="00187052">
        <w:t xml:space="preserve">the security forces </w:t>
      </w:r>
      <w:r w:rsidRPr="007F767A" w:rsidR="0007526A">
        <w:t xml:space="preserve">had prior notice of the intended </w:t>
      </w:r>
      <w:r w:rsidRPr="007F767A" w:rsidR="00187052">
        <w:t>arrival of the applicants</w:t>
      </w:r>
      <w:r w:rsidRPr="007F767A">
        <w:t>’</w:t>
      </w:r>
      <w:r w:rsidRPr="007F767A" w:rsidR="00187052">
        <w:t xml:space="preserve"> relatives in th</w:t>
      </w:r>
      <w:r w:rsidRPr="007F767A" w:rsidR="0007526A">
        <w:t>e</w:t>
      </w:r>
      <w:r w:rsidRPr="007F767A" w:rsidR="00187052">
        <w:t xml:space="preserve"> area </w:t>
      </w:r>
      <w:r w:rsidRPr="007F767A" w:rsidR="0007526A">
        <w:t>in question</w:t>
      </w:r>
      <w:r w:rsidRPr="007F767A" w:rsidR="00187052">
        <w:t xml:space="preserve">. Although, as pointed out by the Government, the national authorities might </w:t>
      </w:r>
      <w:r w:rsidRPr="007F767A" w:rsidR="00550C20">
        <w:t xml:space="preserve">indeed </w:t>
      </w:r>
      <w:r w:rsidRPr="007F767A" w:rsidR="00187052">
        <w:t>have b</w:t>
      </w:r>
      <w:r w:rsidRPr="007F767A" w:rsidR="00187052">
        <w:rPr>
          <w:rFonts w:cstheme="minorHAnsi"/>
        </w:rPr>
        <w:t>een unable to arrest them before their arrival</w:t>
      </w:r>
      <w:r w:rsidRPr="007F767A" w:rsidR="00753EC9">
        <w:rPr>
          <w:rFonts w:cstheme="minorHAnsi"/>
        </w:rPr>
        <w:t>, for example</w:t>
      </w:r>
      <w:r w:rsidRPr="007F767A" w:rsidR="00187052">
        <w:rPr>
          <w:rFonts w:cstheme="minorHAnsi"/>
          <w:lang w:eastAsia="ja-JP"/>
        </w:rPr>
        <w:t xml:space="preserve"> at border crossings (see paragraph </w:t>
      </w:r>
      <w:r w:rsidRPr="007F767A" w:rsidR="00DD52E2">
        <w:rPr>
          <w:rFonts w:cstheme="minorHAnsi"/>
          <w:lang w:eastAsia="ja-JP"/>
        </w:rPr>
        <w:t>93</w:t>
      </w:r>
      <w:r w:rsidRPr="007F767A" w:rsidR="00187052">
        <w:rPr>
          <w:rFonts w:cstheme="minorHAnsi"/>
          <w:lang w:eastAsia="ja-JP"/>
        </w:rPr>
        <w:t xml:space="preserve"> above), </w:t>
      </w:r>
      <w:r w:rsidRPr="007F767A" w:rsidR="00D94CD9">
        <w:rPr>
          <w:rFonts w:cstheme="minorHAnsi"/>
        </w:rPr>
        <w:t>the documents from the Kemah prosecutor</w:t>
      </w:r>
      <w:r w:rsidRPr="007F767A">
        <w:rPr>
          <w:rFonts w:cstheme="minorHAnsi"/>
        </w:rPr>
        <w:t>’</w:t>
      </w:r>
      <w:r w:rsidRPr="007F767A" w:rsidR="00D94CD9">
        <w:rPr>
          <w:rFonts w:cstheme="minorHAnsi"/>
        </w:rPr>
        <w:t>s investigat</w:t>
      </w:r>
      <w:r w:rsidRPr="007F767A" w:rsidR="00D94CD9">
        <w:t xml:space="preserve">ion file </w:t>
      </w:r>
      <w:r w:rsidRPr="007F767A" w:rsidR="00187052">
        <w:t xml:space="preserve">show that the </w:t>
      </w:r>
      <w:r w:rsidRPr="007F767A" w:rsidR="00D94CD9">
        <w:t>security forces be</w:t>
      </w:r>
      <w:r w:rsidRPr="007F767A" w:rsidR="00187052">
        <w:t>c</w:t>
      </w:r>
      <w:r w:rsidRPr="007F767A" w:rsidR="00D03ADC">
        <w:t>a</w:t>
      </w:r>
      <w:r w:rsidRPr="007F767A" w:rsidR="00187052">
        <w:t xml:space="preserve">me aware </w:t>
      </w:r>
      <w:r w:rsidRPr="007F767A" w:rsidR="0007526A">
        <w:t xml:space="preserve">at the beginning of June 2005 </w:t>
      </w:r>
      <w:r w:rsidRPr="007F767A" w:rsidR="00187052">
        <w:t>of the</w:t>
      </w:r>
      <w:r w:rsidRPr="007F767A" w:rsidR="0007526A">
        <w:t xml:space="preserve"> </w:t>
      </w:r>
      <w:r w:rsidRPr="007F767A" w:rsidR="00753EC9">
        <w:t>seventeen</w:t>
      </w:r>
      <w:r w:rsidRPr="007F767A">
        <w:t>’</w:t>
      </w:r>
      <w:r w:rsidRPr="007F767A" w:rsidR="00753EC9">
        <w:t xml:space="preserve">s </w:t>
      </w:r>
      <w:r w:rsidRPr="007F767A" w:rsidR="0007526A">
        <w:t>plans to go to the area</w:t>
      </w:r>
      <w:r w:rsidRPr="007F767A" w:rsidR="00187052">
        <w:t>. On 9</w:t>
      </w:r>
      <w:r w:rsidRPr="007F767A" w:rsidR="00E47F52">
        <w:t> </w:t>
      </w:r>
      <w:r w:rsidRPr="007F767A" w:rsidR="00187052">
        <w:t>June 2005 the</w:t>
      </w:r>
      <w:r w:rsidRPr="007F767A" w:rsidR="00385D4C">
        <w:t xml:space="preserve"> security forces</w:t>
      </w:r>
      <w:r w:rsidRPr="007F767A" w:rsidR="00D94CD9">
        <w:t xml:space="preserve"> obtained </w:t>
      </w:r>
      <w:r w:rsidRPr="007F767A" w:rsidR="00385D4C">
        <w:t xml:space="preserve">authorisation </w:t>
      </w:r>
      <w:r w:rsidRPr="007F767A" w:rsidR="00D94CD9">
        <w:t xml:space="preserve">from a judge to intercept their telephone conversations (see paragraph </w:t>
      </w:r>
      <w:r w:rsidRPr="007F767A" w:rsidR="00DD52E2">
        <w:t>37</w:t>
      </w:r>
      <w:r w:rsidRPr="007F767A" w:rsidR="00D94CD9">
        <w:t xml:space="preserve"> above) and</w:t>
      </w:r>
      <w:r w:rsidRPr="007F767A" w:rsidR="002A7966">
        <w:t>, according to the applicants</w:t>
      </w:r>
      <w:r w:rsidRPr="007F767A">
        <w:t>’</w:t>
      </w:r>
      <w:r w:rsidRPr="007F767A" w:rsidR="002A7966">
        <w:t xml:space="preserve"> submissions, </w:t>
      </w:r>
      <w:r w:rsidRPr="007F767A" w:rsidR="00187052">
        <w:t xml:space="preserve">even photographed some of </w:t>
      </w:r>
      <w:r w:rsidRPr="007F767A" w:rsidR="00D94CD9">
        <w:t>their meetings</w:t>
      </w:r>
      <w:r w:rsidRPr="007F767A" w:rsidR="00385D4C">
        <w:t xml:space="preserve"> </w:t>
      </w:r>
      <w:r w:rsidRPr="007F767A" w:rsidR="000C788C">
        <w:t xml:space="preserve">with locals </w:t>
      </w:r>
      <w:r w:rsidRPr="007F767A" w:rsidR="00385D4C">
        <w:t xml:space="preserve">(see paragraph </w:t>
      </w:r>
      <w:r w:rsidRPr="007F767A" w:rsidR="00DD52E2">
        <w:t>64</w:t>
      </w:r>
      <w:r w:rsidRPr="007F767A" w:rsidR="00385D4C">
        <w:t xml:space="preserve"> above)</w:t>
      </w:r>
      <w:r w:rsidRPr="007F767A" w:rsidR="00D94CD9">
        <w:t xml:space="preserve">. </w:t>
      </w:r>
      <w:r w:rsidRPr="007F767A" w:rsidR="00187052">
        <w:t>I</w:t>
      </w:r>
      <w:r w:rsidRPr="007F767A" w:rsidR="00D94CD9">
        <w:t>t appears from the transcript of the intercepted telephone conversations that the applicants</w:t>
      </w:r>
      <w:r w:rsidRPr="007F767A">
        <w:t>’</w:t>
      </w:r>
      <w:r w:rsidRPr="007F767A" w:rsidR="00D94CD9">
        <w:t xml:space="preserve"> relatives</w:t>
      </w:r>
      <w:r w:rsidRPr="007F767A">
        <w:t>’</w:t>
      </w:r>
      <w:r w:rsidRPr="007F767A" w:rsidR="00D94CD9">
        <w:t xml:space="preserve"> movements</w:t>
      </w:r>
      <w:r w:rsidRPr="007F767A" w:rsidR="002A7966">
        <w:t xml:space="preserve"> in the area</w:t>
      </w:r>
      <w:r w:rsidRPr="007F767A" w:rsidR="00550C20">
        <w:t xml:space="preserve"> </w:t>
      </w:r>
      <w:r w:rsidRPr="007F767A" w:rsidR="00550C20">
        <w:rPr>
          <w:rFonts w:cstheme="minorHAnsi"/>
          <w:lang w:eastAsia="ja-JP"/>
        </w:rPr>
        <w:t>–</w:t>
      </w:r>
      <w:r w:rsidRPr="007F767A" w:rsidR="00237DA5">
        <w:rPr>
          <w:rFonts w:cstheme="minorHAnsi"/>
          <w:lang w:eastAsia="ja-JP"/>
        </w:rPr>
        <w:t> </w:t>
      </w:r>
      <w:r w:rsidRPr="007F767A" w:rsidR="000F079C">
        <w:t xml:space="preserve">down </w:t>
      </w:r>
      <w:r w:rsidRPr="007F767A" w:rsidR="00385D4C">
        <w:t>to the details of their arrangements to rent cars</w:t>
      </w:r>
      <w:r w:rsidRPr="007F767A" w:rsidR="00237DA5">
        <w:t> </w:t>
      </w:r>
      <w:r w:rsidRPr="007F767A" w:rsidR="00550C20">
        <w:rPr>
          <w:rFonts w:cstheme="minorHAnsi"/>
          <w:lang w:eastAsia="ja-JP"/>
        </w:rPr>
        <w:t>–</w:t>
      </w:r>
      <w:r w:rsidRPr="007F767A" w:rsidR="00D94CD9">
        <w:t xml:space="preserve"> were being very closely watched</w:t>
      </w:r>
      <w:r w:rsidRPr="007F767A" w:rsidR="00385D4C">
        <w:t xml:space="preserve"> by the security forces</w:t>
      </w:r>
      <w:r w:rsidRPr="007F767A" w:rsidR="002A7966">
        <w:t xml:space="preserve"> during that time</w:t>
      </w:r>
      <w:r w:rsidRPr="007F767A" w:rsidR="00187052">
        <w:t>.</w:t>
      </w:r>
    </w:p>
    <w:p w:rsidRPr="007F767A" w:rsidR="00EC44B2" w:rsidP="007F767A" w:rsidRDefault="007F767A">
      <w:pPr>
        <w:pStyle w:val="ECHRPara"/>
      </w:pPr>
      <w:fldSimple w:instr=" SEQ level0 \*arabic ">
        <w:r w:rsidRPr="007F767A">
          <w:rPr>
            <w:noProof/>
          </w:rPr>
          <w:t>109</w:t>
        </w:r>
      </w:fldSimple>
      <w:r w:rsidRPr="007F767A" w:rsidR="00EC44B2">
        <w:t xml:space="preserve">.  Nevertheless, </w:t>
      </w:r>
      <w:r w:rsidRPr="007F767A" w:rsidR="00243858">
        <w:t xml:space="preserve">despite that </w:t>
      </w:r>
      <w:r w:rsidRPr="007F767A" w:rsidR="00FA31D1">
        <w:t>opportunity</w:t>
      </w:r>
      <w:r w:rsidRPr="007F767A" w:rsidR="00243858">
        <w:t xml:space="preserve"> and the fact that the operation had been prepared well in advance and an order had been issued (see paragraph</w:t>
      </w:r>
      <w:r w:rsidRPr="007F767A" w:rsidR="008D5FDC">
        <w:t> </w:t>
      </w:r>
      <w:r w:rsidRPr="007F767A" w:rsidR="00DD52E2">
        <w:t>24</w:t>
      </w:r>
      <w:r w:rsidRPr="007F767A" w:rsidR="00243858">
        <w:t xml:space="preserve"> above), </w:t>
      </w:r>
      <w:r w:rsidRPr="007F767A" w:rsidR="00EC44B2">
        <w:t xml:space="preserve">the </w:t>
      </w:r>
      <w:r w:rsidRPr="007F767A" w:rsidR="00243858">
        <w:t xml:space="preserve">Government have not provided the </w:t>
      </w:r>
      <w:r w:rsidRPr="007F767A" w:rsidR="00EC44B2">
        <w:t>Court with any evidence that clear instructions had been issued by those planning the operation as to how to capture and detain the suspects alive or as to how to negotiate a peaceful surrender</w:t>
      </w:r>
      <w:r w:rsidRPr="007F767A" w:rsidR="00550C20">
        <w:t xml:space="preserve">. That failure, in the opinion of the Court, must have </w:t>
      </w:r>
      <w:r w:rsidRPr="007F767A" w:rsidR="00EC44B2">
        <w:t>increased the risk to the lives of any who might have been willing to surrender (see</w:t>
      </w:r>
      <w:r w:rsidRPr="007F767A" w:rsidR="004B0FFE">
        <w:t xml:space="preserve"> </w:t>
      </w:r>
      <w:r w:rsidRPr="007F767A" w:rsidR="004B0FFE">
        <w:rPr>
          <w:i/>
        </w:rPr>
        <w:t>Erdoğan and Others</w:t>
      </w:r>
      <w:r w:rsidRPr="007F767A" w:rsidR="004B0FFE">
        <w:t>, cited above, § 79).</w:t>
      </w:r>
    </w:p>
    <w:p w:rsidRPr="007F767A" w:rsidR="00E404A4" w:rsidP="007F767A" w:rsidRDefault="007F767A">
      <w:pPr>
        <w:pStyle w:val="ECHRPara"/>
      </w:pPr>
      <w:fldSimple w:instr=" SEQ level0 \*arabic ">
        <w:r w:rsidRPr="007F767A">
          <w:rPr>
            <w:noProof/>
          </w:rPr>
          <w:t>110</w:t>
        </w:r>
      </w:fldSimple>
      <w:r w:rsidRPr="007F767A" w:rsidR="00EC44B2">
        <w:t>.  </w:t>
      </w:r>
      <w:r w:rsidRPr="007F767A" w:rsidR="00113FDA">
        <w:t xml:space="preserve">The Court observes that in their objection </w:t>
      </w:r>
      <w:r w:rsidRPr="007F767A" w:rsidR="000F079C">
        <w:t>to</w:t>
      </w:r>
      <w:r w:rsidRPr="007F767A" w:rsidR="00113FDA">
        <w:t xml:space="preserve"> the prosecutor</w:t>
      </w:r>
      <w:r w:rsidRPr="007F767A">
        <w:t>’</w:t>
      </w:r>
      <w:r w:rsidRPr="007F767A" w:rsidR="00113FDA">
        <w:t>s decision closing the investigation the applicants tried to draw the Assize Court</w:t>
      </w:r>
      <w:r w:rsidRPr="007F767A">
        <w:t>’</w:t>
      </w:r>
      <w:r w:rsidRPr="007F767A" w:rsidR="00113FDA">
        <w:t xml:space="preserve">s attention to the evidence </w:t>
      </w:r>
      <w:r w:rsidRPr="007F767A" w:rsidR="00AB1CD4">
        <w:t xml:space="preserve">which </w:t>
      </w:r>
      <w:r w:rsidRPr="007F767A" w:rsidR="00113FDA">
        <w:t>show</w:t>
      </w:r>
      <w:r w:rsidRPr="007F767A" w:rsidR="00AB1CD4">
        <w:t>ed</w:t>
      </w:r>
      <w:r w:rsidRPr="007F767A" w:rsidR="00113FDA">
        <w:t xml:space="preserve"> that the security forces </w:t>
      </w:r>
      <w:r w:rsidRPr="007F767A" w:rsidR="000F079C">
        <w:t>were</w:t>
      </w:r>
      <w:r w:rsidRPr="007F767A" w:rsidR="00113FDA">
        <w:t xml:space="preserve"> aware of their relatives</w:t>
      </w:r>
      <w:r w:rsidRPr="007F767A">
        <w:t>’</w:t>
      </w:r>
      <w:r w:rsidRPr="007F767A" w:rsidR="00113FDA">
        <w:t xml:space="preserve"> arrival in the area long before they killed them. As summarised above (see paragraph</w:t>
      </w:r>
      <w:r w:rsidRPr="007F767A" w:rsidR="00466C9C">
        <w:t xml:space="preserve"> 64</w:t>
      </w:r>
      <w:r w:rsidRPr="007F767A" w:rsidR="00113FDA">
        <w:t>)</w:t>
      </w:r>
      <w:r w:rsidRPr="007F767A" w:rsidR="00D03ADC">
        <w:t>,</w:t>
      </w:r>
      <w:r w:rsidRPr="007F767A" w:rsidR="00113FDA">
        <w:t xml:space="preserve"> the applicants </w:t>
      </w:r>
      <w:r w:rsidRPr="007F767A" w:rsidR="00550C20">
        <w:t>alleged</w:t>
      </w:r>
      <w:r w:rsidRPr="007F767A" w:rsidR="00113FDA">
        <w:t xml:space="preserve"> in th</w:t>
      </w:r>
      <w:r w:rsidRPr="007F767A" w:rsidR="00AB1CD4">
        <w:t>at</w:t>
      </w:r>
      <w:r w:rsidRPr="007F767A" w:rsidR="00113FDA">
        <w:t xml:space="preserve"> </w:t>
      </w:r>
      <w:r w:rsidRPr="007F767A" w:rsidR="00C902FB">
        <w:t>objection</w:t>
      </w:r>
      <w:r w:rsidRPr="007F767A" w:rsidR="00113FDA">
        <w:t xml:space="preserve"> that, instead of arresting their relatives at much earlier stage</w:t>
      </w:r>
      <w:r w:rsidRPr="007F767A" w:rsidR="005E3AEA">
        <w:t>s</w:t>
      </w:r>
      <w:r w:rsidRPr="007F767A" w:rsidR="00113FDA">
        <w:t>, members of the security forces had chosen to wait until their relatives went to the countryside</w:t>
      </w:r>
      <w:r w:rsidRPr="007F767A" w:rsidR="000F079C">
        <w:t>,</w:t>
      </w:r>
      <w:r w:rsidRPr="007F767A" w:rsidR="00113FDA">
        <w:t xml:space="preserve"> where the conditions </w:t>
      </w:r>
      <w:r w:rsidRPr="007F767A" w:rsidR="000F079C">
        <w:t xml:space="preserve">were suitable for the </w:t>
      </w:r>
      <w:r w:rsidRPr="007F767A" w:rsidR="00113FDA">
        <w:t xml:space="preserve">start </w:t>
      </w:r>
      <w:r w:rsidRPr="007F767A" w:rsidR="000F079C">
        <w:t xml:space="preserve">of </w:t>
      </w:r>
      <w:r w:rsidRPr="007F767A" w:rsidR="00113FDA">
        <w:t xml:space="preserve">an operation to kill them. Nevertheless, </w:t>
      </w:r>
      <w:r w:rsidRPr="007F767A" w:rsidR="00AB1CD4">
        <w:t>this pertinent point was not taken on board by the Assize Court</w:t>
      </w:r>
      <w:r w:rsidRPr="007F767A" w:rsidR="000F079C">
        <w:t>,</w:t>
      </w:r>
      <w:r w:rsidRPr="007F767A" w:rsidR="00AB1CD4">
        <w:t xml:space="preserve"> </w:t>
      </w:r>
      <w:r w:rsidRPr="007F767A" w:rsidR="00385D4C">
        <w:t>a</w:t>
      </w:r>
      <w:r w:rsidRPr="007F767A" w:rsidR="00D41E38">
        <w:t xml:space="preserve">nd </w:t>
      </w:r>
      <w:r w:rsidRPr="007F767A" w:rsidR="002A7966">
        <w:t>as a result</w:t>
      </w:r>
      <w:r w:rsidRPr="007F767A" w:rsidR="00AB1CD4">
        <w:t xml:space="preserve"> no </w:t>
      </w:r>
      <w:r w:rsidRPr="007F767A" w:rsidR="000E68E5">
        <w:t>investigation w</w:t>
      </w:r>
      <w:r w:rsidRPr="007F767A" w:rsidR="00AB1CD4">
        <w:t>as</w:t>
      </w:r>
      <w:r w:rsidRPr="007F767A" w:rsidR="000E68E5">
        <w:t xml:space="preserve"> carried out </w:t>
      </w:r>
      <w:r w:rsidRPr="007F767A" w:rsidR="00D41E38">
        <w:t xml:space="preserve">by the </w:t>
      </w:r>
      <w:r w:rsidRPr="007F767A" w:rsidR="00AB1CD4">
        <w:t xml:space="preserve">national authorities </w:t>
      </w:r>
      <w:r w:rsidRPr="007F767A" w:rsidR="00D41E38">
        <w:t xml:space="preserve">to </w:t>
      </w:r>
      <w:r w:rsidRPr="007F767A" w:rsidR="00550C20">
        <w:t>find out</w:t>
      </w:r>
      <w:r w:rsidRPr="007F767A" w:rsidR="00D41E38">
        <w:t xml:space="preserve"> why </w:t>
      </w:r>
      <w:r w:rsidRPr="007F767A" w:rsidR="00550C20">
        <w:t xml:space="preserve">such </w:t>
      </w:r>
      <w:r w:rsidRPr="007F767A" w:rsidR="00D41E38">
        <w:t xml:space="preserve">steps </w:t>
      </w:r>
      <w:r w:rsidRPr="007F767A" w:rsidR="000F079C">
        <w:t>were</w:t>
      </w:r>
      <w:r w:rsidRPr="007F767A" w:rsidR="00D41E38">
        <w:t xml:space="preserve"> not taken while </w:t>
      </w:r>
      <w:r w:rsidRPr="007F767A" w:rsidR="006A1239">
        <w:t>the</w:t>
      </w:r>
      <w:r w:rsidRPr="007F767A" w:rsidR="00550C20">
        <w:t xml:space="preserve"> applicants</w:t>
      </w:r>
      <w:r w:rsidRPr="007F767A">
        <w:t>’</w:t>
      </w:r>
      <w:r w:rsidRPr="007F767A" w:rsidR="00550C20">
        <w:t xml:space="preserve"> relatives</w:t>
      </w:r>
      <w:r w:rsidRPr="007F767A" w:rsidR="006A1239">
        <w:t xml:space="preserve"> were effectively under surveillance</w:t>
      </w:r>
      <w:r w:rsidRPr="007F767A" w:rsidR="00D41E38">
        <w:t xml:space="preserve"> by the security forces.</w:t>
      </w:r>
    </w:p>
    <w:p w:rsidRPr="007F767A" w:rsidR="00A51BDE" w:rsidP="007F767A" w:rsidRDefault="007F767A">
      <w:pPr>
        <w:pStyle w:val="ECHRPara"/>
      </w:pPr>
      <w:fldSimple w:instr=" SEQ level0 \*arabic ">
        <w:r w:rsidRPr="007F767A">
          <w:rPr>
            <w:noProof/>
          </w:rPr>
          <w:t>111</w:t>
        </w:r>
      </w:fldSimple>
      <w:r w:rsidRPr="007F767A" w:rsidR="00E404A4">
        <w:t>.  </w:t>
      </w:r>
      <w:r w:rsidRPr="007F767A" w:rsidR="00AB1CD4">
        <w:t>Similarly, n</w:t>
      </w:r>
      <w:r w:rsidRPr="007F767A" w:rsidR="00385D4C">
        <w:t xml:space="preserve">o explanation was proffered by the Government </w:t>
      </w:r>
      <w:r w:rsidRPr="007F767A" w:rsidR="00AB1CD4">
        <w:t>on this issue</w:t>
      </w:r>
      <w:r w:rsidRPr="007F767A" w:rsidR="000F079C">
        <w:t>,</w:t>
      </w:r>
      <w:r w:rsidRPr="007F767A" w:rsidR="00AB1CD4">
        <w:t xml:space="preserve"> other than </w:t>
      </w:r>
      <w:r w:rsidRPr="007F767A" w:rsidR="000F079C">
        <w:t xml:space="preserve">the </w:t>
      </w:r>
      <w:r w:rsidRPr="007F767A" w:rsidR="00AB1CD4">
        <w:t>argu</w:t>
      </w:r>
      <w:r w:rsidRPr="007F767A" w:rsidR="000F079C">
        <w:t>ment</w:t>
      </w:r>
      <w:r w:rsidRPr="007F767A" w:rsidR="00AB1CD4">
        <w:t xml:space="preserve"> </w:t>
      </w:r>
      <w:r w:rsidRPr="007F767A" w:rsidR="000E68E5">
        <w:t>that</w:t>
      </w:r>
      <w:r w:rsidRPr="007F767A" w:rsidR="00D41E38">
        <w:t xml:space="preserve"> </w:t>
      </w:r>
      <w:r w:rsidRPr="007F767A" w:rsidR="00E404A4">
        <w:t>“</w:t>
      </w:r>
      <w:r w:rsidRPr="007F767A" w:rsidR="00D41E38">
        <w:t>the</w:t>
      </w:r>
      <w:r w:rsidRPr="007F767A" w:rsidR="00E404A4">
        <w:t xml:space="preserve"> </w:t>
      </w:r>
      <w:r w:rsidRPr="007F767A" w:rsidR="000F079C">
        <w:t>intention</w:t>
      </w:r>
      <w:r w:rsidRPr="007F767A" w:rsidR="00E404A4">
        <w:t xml:space="preserve"> of the security forces </w:t>
      </w:r>
      <w:r w:rsidRPr="007F767A" w:rsidR="000F079C">
        <w:t>was</w:t>
      </w:r>
      <w:r w:rsidRPr="007F767A" w:rsidR="00E404A4">
        <w:t xml:space="preserve"> to arrest the terrorists and hand them over to justice” and that the </w:t>
      </w:r>
      <w:r w:rsidRPr="007F767A" w:rsidR="00D41E38">
        <w:t xml:space="preserve">security forces </w:t>
      </w:r>
      <w:r w:rsidRPr="007F767A" w:rsidR="00E404A4">
        <w:t>“</w:t>
      </w:r>
      <w:r w:rsidRPr="007F767A" w:rsidR="00D41E38">
        <w:t xml:space="preserve">had planned to </w:t>
      </w:r>
      <w:r w:rsidRPr="007F767A" w:rsidR="000F079C">
        <w:t xml:space="preserve">have as little as </w:t>
      </w:r>
      <w:r w:rsidRPr="007F767A" w:rsidR="00D41E38">
        <w:t>possible recourse to lethal force in order to minimise incidental loss of life on both sides”</w:t>
      </w:r>
      <w:r w:rsidRPr="007F767A" w:rsidR="00857AC0">
        <w:t xml:space="preserve"> (see paragraph</w:t>
      </w:r>
      <w:r w:rsidRPr="007F767A" w:rsidR="00466C9C">
        <w:t>s 94</w:t>
      </w:r>
      <w:r w:rsidRPr="007F767A" w:rsidR="003A4706">
        <w:noBreakHyphen/>
      </w:r>
      <w:r w:rsidRPr="007F767A" w:rsidR="00466C9C">
        <w:t>95</w:t>
      </w:r>
      <w:r w:rsidRPr="007F767A" w:rsidR="00857AC0">
        <w:t xml:space="preserve"> above)</w:t>
      </w:r>
      <w:r w:rsidRPr="007F767A" w:rsidR="00AB1CD4">
        <w:t>.</w:t>
      </w:r>
      <w:r w:rsidRPr="007F767A" w:rsidR="00D41E38">
        <w:t xml:space="preserve"> </w:t>
      </w:r>
      <w:r w:rsidRPr="007F767A" w:rsidR="00AB1CD4">
        <w:t>In support of th</w:t>
      </w:r>
      <w:r w:rsidRPr="007F767A" w:rsidR="00E404A4">
        <w:t>ose submissions</w:t>
      </w:r>
      <w:r w:rsidRPr="007F767A" w:rsidR="00AB1CD4">
        <w:t xml:space="preserve"> the Government</w:t>
      </w:r>
      <w:r w:rsidRPr="007F767A" w:rsidR="000E68E5">
        <w:t xml:space="preserve"> </w:t>
      </w:r>
      <w:r w:rsidRPr="007F767A" w:rsidR="00BB324C">
        <w:t>added</w:t>
      </w:r>
      <w:r w:rsidRPr="007F767A" w:rsidR="000E68E5">
        <w:t xml:space="preserve"> that</w:t>
      </w:r>
      <w:r w:rsidRPr="007F767A" w:rsidR="00E404A4">
        <w:t xml:space="preserve"> the aim of sending a patrol helicopter to the area was to establish the number</w:t>
      </w:r>
      <w:r w:rsidRPr="007F767A" w:rsidR="000F079C">
        <w:t xml:space="preserve"> of members of </w:t>
      </w:r>
      <w:r w:rsidRPr="007F767A" w:rsidR="00E404A4">
        <w:t>the group, the quantity and nature of their weapons</w:t>
      </w:r>
      <w:r w:rsidRPr="007F767A" w:rsidR="000F079C">
        <w:t>,</w:t>
      </w:r>
      <w:r w:rsidRPr="007F767A" w:rsidR="00E404A4">
        <w:t xml:space="preserve"> and their possible targets. The helicopter was therefore only used for patrol purposes</w:t>
      </w:r>
      <w:r w:rsidRPr="007F767A" w:rsidR="000F079C">
        <w:t>,</w:t>
      </w:r>
      <w:r w:rsidRPr="007F767A" w:rsidR="00E404A4">
        <w:t xml:space="preserve"> and the carrying out of such patrols had great importance for the security forces</w:t>
      </w:r>
      <w:r w:rsidRPr="007F767A" w:rsidR="00E82D90">
        <w:t>, who wished</w:t>
      </w:r>
      <w:r w:rsidRPr="007F767A" w:rsidR="00E404A4">
        <w:t xml:space="preserve"> to arrest the terrorists easily with the minimum loss. The Government also maintained that </w:t>
      </w:r>
      <w:r w:rsidRPr="007F767A" w:rsidR="000E68E5">
        <w:t>a</w:t>
      </w:r>
      <w:r w:rsidRPr="007F767A" w:rsidR="005D7BDA">
        <w:t xml:space="preserve"> warning </w:t>
      </w:r>
      <w:r w:rsidRPr="007F767A" w:rsidR="000E68E5">
        <w:t xml:space="preserve">had been issued to the </w:t>
      </w:r>
      <w:r w:rsidRPr="007F767A" w:rsidR="00291816">
        <w:t>seventeen</w:t>
      </w:r>
      <w:r w:rsidRPr="007F767A" w:rsidR="000E68E5">
        <w:t xml:space="preserve"> to surrender.</w:t>
      </w:r>
    </w:p>
    <w:p w:rsidRPr="007F767A" w:rsidR="00857AC0" w:rsidP="007F767A" w:rsidRDefault="007F767A">
      <w:pPr>
        <w:pStyle w:val="ECHRPara"/>
      </w:pPr>
      <w:fldSimple w:instr=" SEQ level0 \*arabic ">
        <w:r w:rsidRPr="007F767A">
          <w:rPr>
            <w:noProof/>
          </w:rPr>
          <w:t>112</w:t>
        </w:r>
      </w:fldSimple>
      <w:r w:rsidRPr="007F767A" w:rsidR="00BB324C">
        <w:t>.  </w:t>
      </w:r>
      <w:r w:rsidRPr="007F767A" w:rsidR="00857AC0">
        <w:t xml:space="preserve">Although it will deal </w:t>
      </w:r>
      <w:r w:rsidRPr="007F767A" w:rsidR="00BB324C">
        <w:t xml:space="preserve">below </w:t>
      </w:r>
      <w:r w:rsidRPr="007F767A" w:rsidR="00857AC0">
        <w:t xml:space="preserve">with the issue of </w:t>
      </w:r>
      <w:r w:rsidRPr="007F767A" w:rsidR="005E3AEA">
        <w:t xml:space="preserve">the helicopter and </w:t>
      </w:r>
      <w:r w:rsidRPr="007F767A" w:rsidR="00550C20">
        <w:t xml:space="preserve">the existence or otherwise of </w:t>
      </w:r>
      <w:r w:rsidRPr="007F767A" w:rsidR="00857AC0">
        <w:t>surrender warnings, the Court already at this stage stresses that it remains unconvinced</w:t>
      </w:r>
      <w:r w:rsidRPr="007F767A" w:rsidR="00AB1CD4">
        <w:t xml:space="preserve"> that </w:t>
      </w:r>
      <w:r w:rsidRPr="007F767A" w:rsidR="00857AC0">
        <w:t xml:space="preserve">issuing warnings – the </w:t>
      </w:r>
      <w:r w:rsidRPr="007F767A" w:rsidR="005D7BDA">
        <w:t xml:space="preserve">accuracy of which is </w:t>
      </w:r>
      <w:r w:rsidRPr="007F767A" w:rsidR="00857AC0">
        <w:t xml:space="preserve">in any event </w:t>
      </w:r>
      <w:r w:rsidRPr="007F767A" w:rsidR="005D7BDA">
        <w:t xml:space="preserve">strongly doubted on account of the </w:t>
      </w:r>
      <w:r w:rsidRPr="007F767A" w:rsidR="00857AC0">
        <w:t xml:space="preserve">information in the </w:t>
      </w:r>
      <w:r w:rsidRPr="007F767A" w:rsidR="005D7BDA">
        <w:t xml:space="preserve">Kemah report – can be </w:t>
      </w:r>
      <w:r w:rsidRPr="007F767A" w:rsidR="00270100">
        <w:t xml:space="preserve">said to </w:t>
      </w:r>
      <w:r w:rsidRPr="007F767A" w:rsidR="00857AC0">
        <w:t xml:space="preserve">amount </w:t>
      </w:r>
      <w:r w:rsidRPr="007F767A" w:rsidR="00270100">
        <w:t xml:space="preserve">to </w:t>
      </w:r>
      <w:r w:rsidRPr="007F767A" w:rsidR="00857AC0">
        <w:t xml:space="preserve">a meaningful attempt to </w:t>
      </w:r>
      <w:r w:rsidRPr="007F767A" w:rsidR="00270100">
        <w:t>“</w:t>
      </w:r>
      <w:r w:rsidRPr="007F767A" w:rsidR="00291816">
        <w:t xml:space="preserve">have as little </w:t>
      </w:r>
      <w:r w:rsidRPr="007F767A" w:rsidR="00270100">
        <w:t xml:space="preserve">recourse </w:t>
      </w:r>
      <w:r w:rsidRPr="007F767A" w:rsidR="00291816">
        <w:t xml:space="preserve">as possible </w:t>
      </w:r>
      <w:r w:rsidRPr="007F767A" w:rsidR="00270100">
        <w:t>to lethal force”</w:t>
      </w:r>
      <w:r w:rsidRPr="007F767A" w:rsidR="00857AC0">
        <w:t>.</w:t>
      </w:r>
      <w:r w:rsidRPr="007F767A" w:rsidR="005E3AEA">
        <w:t xml:space="preserve"> </w:t>
      </w:r>
      <w:r w:rsidRPr="007F767A" w:rsidR="00D03ADC">
        <w:t>Furthermore, h</w:t>
      </w:r>
      <w:r w:rsidRPr="007F767A" w:rsidR="00411F63">
        <w:t xml:space="preserve">aving regard to </w:t>
      </w:r>
      <w:r w:rsidRPr="007F767A" w:rsidR="005E3AEA">
        <w:t>the unambiguous language of the Kemah report</w:t>
      </w:r>
      <w:r w:rsidRPr="007F767A" w:rsidR="00291816">
        <w:t>,</w:t>
      </w:r>
      <w:r w:rsidRPr="007F767A" w:rsidR="005E3AEA">
        <w:t xml:space="preserve"> according </w:t>
      </w:r>
      <w:r w:rsidRPr="007F767A" w:rsidR="00291816">
        <w:t xml:space="preserve">to </w:t>
      </w:r>
      <w:r w:rsidRPr="007F767A" w:rsidR="005E3AEA">
        <w:t xml:space="preserve">which </w:t>
      </w:r>
      <w:r w:rsidRPr="007F767A" w:rsidR="00411F63">
        <w:t>“armed Cobra-type military helicopters” had been sent to find the applicants</w:t>
      </w:r>
      <w:r w:rsidRPr="007F767A">
        <w:t>’</w:t>
      </w:r>
      <w:r w:rsidRPr="007F767A" w:rsidR="00411F63">
        <w:t xml:space="preserve"> relatives</w:t>
      </w:r>
      <w:r w:rsidRPr="007F767A" w:rsidR="00291816">
        <w:t>,</w:t>
      </w:r>
      <w:r w:rsidRPr="007F767A" w:rsidR="002A7966">
        <w:t xml:space="preserve"> and armed clashe</w:t>
      </w:r>
      <w:r w:rsidRPr="007F767A" w:rsidR="00291816">
        <w:t>s</w:t>
      </w:r>
      <w:r w:rsidRPr="007F767A" w:rsidR="002A7966">
        <w:t xml:space="preserve"> had begun immediately after the helicopters </w:t>
      </w:r>
      <w:r w:rsidRPr="007F767A" w:rsidR="00291816">
        <w:t>had been</w:t>
      </w:r>
      <w:r w:rsidRPr="007F767A" w:rsidR="002A7966">
        <w:t xml:space="preserve"> spotted by the applicants</w:t>
      </w:r>
      <w:r w:rsidRPr="007F767A">
        <w:t>’</w:t>
      </w:r>
      <w:r w:rsidRPr="007F767A" w:rsidR="002A7966">
        <w:t xml:space="preserve"> relatives (see paragraph </w:t>
      </w:r>
      <w:r w:rsidRPr="007F767A" w:rsidR="00466C9C">
        <w:t>26</w:t>
      </w:r>
      <w:r w:rsidRPr="007F767A" w:rsidR="002A7966">
        <w:t xml:space="preserve"> above), </w:t>
      </w:r>
      <w:r w:rsidRPr="007F767A" w:rsidR="005E3AEA">
        <w:t xml:space="preserve">the Court </w:t>
      </w:r>
      <w:r w:rsidRPr="007F767A" w:rsidR="00411F63">
        <w:t>is un</w:t>
      </w:r>
      <w:r w:rsidRPr="007F767A" w:rsidR="005E3AEA">
        <w:t xml:space="preserve">able to accept the </w:t>
      </w:r>
      <w:r w:rsidRPr="007F767A" w:rsidR="00411F63">
        <w:t>Government</w:t>
      </w:r>
      <w:r w:rsidRPr="007F767A">
        <w:t>’</w:t>
      </w:r>
      <w:r w:rsidRPr="007F767A" w:rsidR="00411F63">
        <w:t xml:space="preserve">s submission that a single helicopter </w:t>
      </w:r>
      <w:r w:rsidRPr="007F767A" w:rsidR="00A417C1">
        <w:t>had been</w:t>
      </w:r>
      <w:r w:rsidRPr="007F767A" w:rsidR="00411F63">
        <w:t xml:space="preserve"> sent to the area </w:t>
      </w:r>
      <w:r w:rsidRPr="007F767A" w:rsidR="002A7966">
        <w:t xml:space="preserve">solely </w:t>
      </w:r>
      <w:r w:rsidRPr="007F767A" w:rsidR="00411F63">
        <w:t>for patrol purposes.</w:t>
      </w:r>
    </w:p>
    <w:p w:rsidRPr="007F767A" w:rsidR="00B37241" w:rsidP="007F767A" w:rsidRDefault="007F767A">
      <w:pPr>
        <w:pStyle w:val="ECHRPara"/>
      </w:pPr>
      <w:fldSimple w:instr=" SEQ level0 \*arabic ">
        <w:r w:rsidRPr="007F767A">
          <w:rPr>
            <w:noProof/>
          </w:rPr>
          <w:t>113</w:t>
        </w:r>
      </w:fldSimple>
      <w:r w:rsidRPr="007F767A" w:rsidR="00EC44B2">
        <w:t>.  </w:t>
      </w:r>
      <w:r w:rsidRPr="007F767A" w:rsidR="001E2D1E">
        <w:t>In the light of the foregoing</w:t>
      </w:r>
      <w:r w:rsidRPr="007F767A" w:rsidR="00AA71AC">
        <w:t>,</w:t>
      </w:r>
      <w:r w:rsidRPr="007F767A" w:rsidR="001E2D1E">
        <w:t xml:space="preserve"> </w:t>
      </w:r>
      <w:r w:rsidRPr="007F767A" w:rsidR="00B37241">
        <w:t xml:space="preserve">the Court is not persuaded that </w:t>
      </w:r>
      <w:r w:rsidRPr="007F767A" w:rsidR="00D72324">
        <w:t>alternative and non-lethal means</w:t>
      </w:r>
      <w:r w:rsidRPr="007F767A" w:rsidR="002247D9">
        <w:t xml:space="preserve"> were considered or used</w:t>
      </w:r>
      <w:r w:rsidRPr="007F767A" w:rsidR="00D72324">
        <w:t xml:space="preserve"> </w:t>
      </w:r>
      <w:r w:rsidRPr="007F767A" w:rsidR="002247D9">
        <w:t>to</w:t>
      </w:r>
      <w:r w:rsidRPr="007F767A" w:rsidR="00D72324">
        <w:t xml:space="preserve"> a</w:t>
      </w:r>
      <w:r w:rsidRPr="007F767A" w:rsidR="00AA71AC">
        <w:t>pprehend</w:t>
      </w:r>
      <w:r w:rsidRPr="007F767A" w:rsidR="00D72324">
        <w:t xml:space="preserve"> the applicants</w:t>
      </w:r>
      <w:r w:rsidRPr="007F767A">
        <w:t>’</w:t>
      </w:r>
      <w:r w:rsidRPr="007F767A" w:rsidR="00D72324">
        <w:t xml:space="preserve"> </w:t>
      </w:r>
      <w:r w:rsidRPr="007F767A" w:rsidR="00291816">
        <w:t>seventeen</w:t>
      </w:r>
      <w:r w:rsidRPr="007F767A" w:rsidR="00D72324">
        <w:t xml:space="preserve"> relatives</w:t>
      </w:r>
      <w:r w:rsidRPr="007F767A" w:rsidR="00291816">
        <w:t>,</w:t>
      </w:r>
      <w:r w:rsidRPr="007F767A" w:rsidR="00D72324">
        <w:t xml:space="preserve"> and it therefore has strong doubts about the necessity to resort to the use of lethal force which resulted in the</w:t>
      </w:r>
      <w:r w:rsidRPr="007F767A" w:rsidR="002247D9">
        <w:t>ir</w:t>
      </w:r>
      <w:r w:rsidRPr="007F767A" w:rsidR="00D72324">
        <w:t xml:space="preserve"> deaths (see </w:t>
      </w:r>
      <w:r w:rsidRPr="007F767A" w:rsidR="00D72324">
        <w:rPr>
          <w:i/>
        </w:rPr>
        <w:t>McCann and Others</w:t>
      </w:r>
      <w:r w:rsidRPr="007F767A" w:rsidR="00D72324">
        <w:t>, cited above, §§ 202-13).</w:t>
      </w:r>
      <w:r w:rsidRPr="007F767A" w:rsidR="00340059">
        <w:t xml:space="preserve"> </w:t>
      </w:r>
      <w:r w:rsidRPr="007F767A" w:rsidR="003522C3">
        <w:t>Nevertheless</w:t>
      </w:r>
      <w:r w:rsidRPr="007F767A" w:rsidR="00535D35">
        <w:t>,</w:t>
      </w:r>
      <w:r w:rsidRPr="007F767A" w:rsidR="002247D9">
        <w:t xml:space="preserve"> in the circumstances of the present application</w:t>
      </w:r>
      <w:r w:rsidRPr="007F767A" w:rsidR="003522C3">
        <w:t xml:space="preserve">, </w:t>
      </w:r>
      <w:r w:rsidRPr="007F767A" w:rsidR="00340059">
        <w:t xml:space="preserve">instead of </w:t>
      </w:r>
      <w:r w:rsidRPr="007F767A" w:rsidR="003522C3">
        <w:t xml:space="preserve">concluding at this stage </w:t>
      </w:r>
      <w:r w:rsidRPr="007F767A" w:rsidR="00AA71AC">
        <w:t>of</w:t>
      </w:r>
      <w:r w:rsidRPr="007F767A" w:rsidR="005D0BC3">
        <w:t xml:space="preserve"> its examination </w:t>
      </w:r>
      <w:r w:rsidRPr="007F767A" w:rsidR="003522C3">
        <w:t>that resort to the use of force against the applicants</w:t>
      </w:r>
      <w:r w:rsidRPr="007F767A">
        <w:t>’</w:t>
      </w:r>
      <w:r w:rsidRPr="007F767A" w:rsidR="003522C3">
        <w:t xml:space="preserve"> </w:t>
      </w:r>
      <w:r w:rsidRPr="007F767A" w:rsidR="00291816">
        <w:t>seventeen</w:t>
      </w:r>
      <w:r w:rsidRPr="007F767A" w:rsidR="003522C3">
        <w:t xml:space="preserve"> relatives constituted </w:t>
      </w:r>
      <w:r w:rsidRPr="007F767A" w:rsidR="002247D9">
        <w:t>a</w:t>
      </w:r>
      <w:r w:rsidRPr="007F767A" w:rsidR="003522C3">
        <w:t xml:space="preserve"> use of force which was </w:t>
      </w:r>
      <w:r w:rsidRPr="007F767A" w:rsidR="00AA71AC">
        <w:t xml:space="preserve">not </w:t>
      </w:r>
      <w:r w:rsidRPr="007F767A" w:rsidR="003522C3">
        <w:t xml:space="preserve">absolutely necessary and </w:t>
      </w:r>
      <w:r w:rsidRPr="007F767A" w:rsidR="005D0BC3">
        <w:t xml:space="preserve">which </w:t>
      </w:r>
      <w:r w:rsidRPr="007F767A" w:rsidR="003522C3">
        <w:t>was th</w:t>
      </w:r>
      <w:r w:rsidRPr="007F767A" w:rsidR="00D03ADC">
        <w:t>erefore</w:t>
      </w:r>
      <w:r w:rsidRPr="007F767A" w:rsidR="003522C3">
        <w:t xml:space="preserve"> in breach of Article 2 of the Convention,</w:t>
      </w:r>
      <w:r w:rsidRPr="007F767A" w:rsidR="00340059">
        <w:t xml:space="preserve"> the Court deems it more </w:t>
      </w:r>
      <w:r w:rsidRPr="007F767A" w:rsidR="003522C3">
        <w:t xml:space="preserve">appropriate to </w:t>
      </w:r>
      <w:r w:rsidRPr="007F767A" w:rsidR="00AA71AC">
        <w:t xml:space="preserve">proceed to </w:t>
      </w:r>
      <w:r w:rsidRPr="007F767A" w:rsidR="006C4DF3">
        <w:t xml:space="preserve">examine whether </w:t>
      </w:r>
      <w:r w:rsidRPr="007F767A" w:rsidR="000E4E3C">
        <w:t xml:space="preserve">the Government have </w:t>
      </w:r>
      <w:r w:rsidRPr="007F767A" w:rsidR="00535D35">
        <w:t xml:space="preserve">discharged </w:t>
      </w:r>
      <w:r w:rsidRPr="007F767A" w:rsidR="00291816">
        <w:t xml:space="preserve">their </w:t>
      </w:r>
      <w:r w:rsidRPr="007F767A" w:rsidR="00A8663F">
        <w:t>burden</w:t>
      </w:r>
      <w:r w:rsidRPr="007F767A" w:rsidR="00535D35">
        <w:t xml:space="preserve"> to </w:t>
      </w:r>
      <w:r w:rsidRPr="007F767A" w:rsidR="000E4E3C">
        <w:t>show that the</w:t>
      </w:r>
      <w:r w:rsidRPr="007F767A" w:rsidR="006C4DF3">
        <w:t xml:space="preserve"> use of force </w:t>
      </w:r>
      <w:r w:rsidRPr="007F767A" w:rsidR="00291816">
        <w:t>was</w:t>
      </w:r>
      <w:r w:rsidRPr="007F767A" w:rsidR="000E4E3C">
        <w:t xml:space="preserve"> </w:t>
      </w:r>
      <w:r w:rsidRPr="007F767A" w:rsidR="006C4DF3">
        <w:t xml:space="preserve">in any event </w:t>
      </w:r>
      <w:r w:rsidRPr="007F767A" w:rsidR="002247D9">
        <w:t>strictly proportionate to the achievement of the aims set out in sub-paragraphs 2 (a), and (c) of the Convention</w:t>
      </w:r>
      <w:r w:rsidRPr="007F767A" w:rsidR="00D03ADC">
        <w:t xml:space="preserve"> relied on by the</w:t>
      </w:r>
      <w:r w:rsidRPr="007F767A" w:rsidR="000E4E3C">
        <w:t>m</w:t>
      </w:r>
      <w:r w:rsidRPr="007F767A" w:rsidR="002247D9">
        <w:t>.</w:t>
      </w:r>
    </w:p>
    <w:p w:rsidRPr="007F767A" w:rsidR="00EA03F7" w:rsidP="007F767A" w:rsidRDefault="007F767A">
      <w:pPr>
        <w:pStyle w:val="ECHRPara"/>
      </w:pPr>
      <w:fldSimple w:instr=" SEQ level0 \*arabic ">
        <w:r w:rsidRPr="007F767A">
          <w:rPr>
            <w:noProof/>
          </w:rPr>
          <w:t>114</w:t>
        </w:r>
      </w:fldSimple>
      <w:r w:rsidRPr="007F767A" w:rsidR="00852FBE">
        <w:t>.  </w:t>
      </w:r>
      <w:r w:rsidRPr="007F767A" w:rsidR="00D03670">
        <w:t>The Court reiterates that the obligation to protect the right to life under Article 2 of the Convention, read in conjunction with the State</w:t>
      </w:r>
      <w:r w:rsidRPr="007F767A">
        <w:t>’</w:t>
      </w:r>
      <w:r w:rsidRPr="007F767A" w:rsidR="00D03670">
        <w:t xml:space="preserve">s general duty under Article 1 of the Convention to </w:t>
      </w:r>
      <w:r w:rsidRPr="007F767A">
        <w:t>‘</w:t>
      </w:r>
      <w:r w:rsidRPr="007F767A" w:rsidR="00D03670">
        <w:t>secure to everyone within [its] jurisdiction the rights and freedoms defined in [the] Convention</w:t>
      </w:r>
      <w:r w:rsidRPr="007F767A">
        <w:t>’</w:t>
      </w:r>
      <w:r w:rsidRPr="007F767A" w:rsidR="00D03670">
        <w:t>, requires by implication that there should be some form of effective official investigation when individuals have been killed as a result of the use of force (</w:t>
      </w:r>
      <w:r w:rsidRPr="007F767A" w:rsidR="00291816">
        <w:t xml:space="preserve">see </w:t>
      </w:r>
      <w:r w:rsidRPr="007F767A" w:rsidR="00D03670">
        <w:rPr>
          <w:i/>
        </w:rPr>
        <w:t>McCann and Others</w:t>
      </w:r>
      <w:r w:rsidRPr="007F767A" w:rsidR="00D03670">
        <w:t>, cited above, § 161-63). In order to be “effective” as this expression is to be understood in the context of Article</w:t>
      </w:r>
      <w:r w:rsidRPr="007F767A" w:rsidR="00E47F52">
        <w:t> </w:t>
      </w:r>
      <w:r w:rsidRPr="007F767A" w:rsidR="00D03670">
        <w:t xml:space="preserve">2 of the Convention, an investigation must firstly be adequate. That is, it must be capable of leading to the establishment of the facts and, where appropriate, the identification and punishment of those responsible </w:t>
      </w:r>
      <w:r w:rsidRPr="007F767A" w:rsidR="00291816">
        <w:t xml:space="preserve">(see </w:t>
      </w:r>
      <w:r w:rsidRPr="007F767A" w:rsidR="00D03670">
        <w:rPr>
          <w:i/>
        </w:rPr>
        <w:t>Mustafa Tunç and Fecire Tunç</w:t>
      </w:r>
      <w:r w:rsidRPr="007F767A" w:rsidR="00D03670">
        <w:t xml:space="preserve"> </w:t>
      </w:r>
      <w:r w:rsidRPr="007F767A" w:rsidR="00D03670">
        <w:rPr>
          <w:i/>
        </w:rPr>
        <w:t xml:space="preserve">v. Turkey </w:t>
      </w:r>
      <w:r w:rsidRPr="007F767A" w:rsidR="00D03670">
        <w:t>[GC], no. 24014/05</w:t>
      </w:r>
      <w:r w:rsidRPr="007F767A" w:rsidR="00D03670">
        <w:rPr>
          <w:snapToGrid w:val="0"/>
        </w:rPr>
        <w:t>, §</w:t>
      </w:r>
      <w:r w:rsidRPr="007F767A" w:rsidR="00E47F52">
        <w:rPr>
          <w:snapToGrid w:val="0"/>
        </w:rPr>
        <w:t> </w:t>
      </w:r>
      <w:r w:rsidRPr="007F767A" w:rsidR="00D03670">
        <w:rPr>
          <w:snapToGrid w:val="0"/>
        </w:rPr>
        <w:t xml:space="preserve">172, </w:t>
      </w:r>
      <w:r w:rsidRPr="007F767A" w:rsidR="00D03670">
        <w:t>14</w:t>
      </w:r>
      <w:r w:rsidRPr="007F767A" w:rsidR="00E47F52">
        <w:t> </w:t>
      </w:r>
      <w:r w:rsidRPr="007F767A" w:rsidR="00D03670">
        <w:rPr>
          <w:snapToGrid w:val="0"/>
        </w:rPr>
        <w:t>April 2015 and the case cited therein)</w:t>
      </w:r>
      <w:r w:rsidRPr="007F767A" w:rsidR="00D03670">
        <w:t>.</w:t>
      </w:r>
    </w:p>
    <w:p w:rsidRPr="007F767A" w:rsidR="00B56612" w:rsidP="007F767A" w:rsidRDefault="00C31132">
      <w:pPr>
        <w:pStyle w:val="ECHRPara"/>
        <w:rPr>
          <w:snapToGrid w:val="0"/>
        </w:rPr>
      </w:pPr>
      <w:r w:rsidRPr="007F767A">
        <w:rPr>
          <w:snapToGrid w:val="0"/>
        </w:rPr>
        <w:fldChar w:fldCharType="begin"/>
      </w:r>
      <w:r w:rsidRPr="007F767A">
        <w:rPr>
          <w:snapToGrid w:val="0"/>
        </w:rPr>
        <w:instrText xml:space="preserve"> SEQ level0 \*arabic </w:instrText>
      </w:r>
      <w:r w:rsidRPr="007F767A">
        <w:rPr>
          <w:snapToGrid w:val="0"/>
        </w:rPr>
        <w:fldChar w:fldCharType="separate"/>
      </w:r>
      <w:r w:rsidRPr="007F767A" w:rsidR="007F767A">
        <w:rPr>
          <w:noProof/>
          <w:snapToGrid w:val="0"/>
        </w:rPr>
        <w:t>115</w:t>
      </w:r>
      <w:r w:rsidRPr="007F767A">
        <w:rPr>
          <w:snapToGrid w:val="0"/>
        </w:rPr>
        <w:fldChar w:fldCharType="end"/>
      </w:r>
      <w:r w:rsidRPr="007F767A">
        <w:rPr>
          <w:snapToGrid w:val="0"/>
        </w:rPr>
        <w:t>.  </w:t>
      </w:r>
      <w:r w:rsidRPr="007F767A" w:rsidR="00EA03F7">
        <w:rPr>
          <w:snapToGrid w:val="0"/>
        </w:rPr>
        <w:t xml:space="preserve">In cases where </w:t>
      </w:r>
      <w:r w:rsidRPr="007F767A" w:rsidR="00403EC9">
        <w:rPr>
          <w:snapToGrid w:val="0"/>
        </w:rPr>
        <w:t>the</w:t>
      </w:r>
      <w:r w:rsidRPr="007F767A" w:rsidR="00EA03F7">
        <w:rPr>
          <w:snapToGrid w:val="0"/>
        </w:rPr>
        <w:t xml:space="preserve"> respondent Government bear the burden of justifying a killing</w:t>
      </w:r>
      <w:r w:rsidRPr="007F767A" w:rsidR="00C567CC">
        <w:rPr>
          <w:snapToGrid w:val="0"/>
        </w:rPr>
        <w:t xml:space="preserve">, </w:t>
      </w:r>
      <w:r w:rsidRPr="007F767A" w:rsidR="00147F34">
        <w:t xml:space="preserve">the </w:t>
      </w:r>
      <w:r w:rsidRPr="007F767A" w:rsidR="003964A2">
        <w:t xml:space="preserve">examination of the steps taken in an </w:t>
      </w:r>
      <w:r w:rsidRPr="007F767A" w:rsidR="00147F34">
        <w:t xml:space="preserve">investigation </w:t>
      </w:r>
      <w:r w:rsidRPr="007F767A" w:rsidR="005557EA">
        <w:t xml:space="preserve">does not only </w:t>
      </w:r>
      <w:r w:rsidRPr="007F767A" w:rsidR="003964A2">
        <w:t xml:space="preserve">serve the purpose of assessing whether </w:t>
      </w:r>
      <w:r w:rsidRPr="007F767A" w:rsidR="00B56612">
        <w:t>t</w:t>
      </w:r>
      <w:r w:rsidRPr="007F767A" w:rsidR="005557EA">
        <w:t>he investigation</w:t>
      </w:r>
      <w:r w:rsidRPr="007F767A" w:rsidR="00B56612">
        <w:t xml:space="preserve"> was in compliance with the requirements of the procedural obligation, but also </w:t>
      </w:r>
      <w:r w:rsidRPr="007F767A" w:rsidR="003529EB">
        <w:t>of deciding</w:t>
      </w:r>
      <w:r w:rsidRPr="007F767A" w:rsidR="005557EA">
        <w:t xml:space="preserve"> </w:t>
      </w:r>
      <w:r w:rsidRPr="007F767A" w:rsidR="00B56612">
        <w:t xml:space="preserve">whether </w:t>
      </w:r>
      <w:r w:rsidRPr="007F767A" w:rsidR="00147F34">
        <w:t>it was capable of leading to the establishment of whether the force used was or was not justified in the circumstances</w:t>
      </w:r>
      <w:r w:rsidRPr="007F767A" w:rsidR="00D926F0">
        <w:t xml:space="preserve"> and whether the Government have </w:t>
      </w:r>
      <w:r w:rsidRPr="007F767A" w:rsidR="00403EC9">
        <w:t xml:space="preserve">thus </w:t>
      </w:r>
      <w:r w:rsidRPr="007F767A" w:rsidR="00D926F0">
        <w:t xml:space="preserve">satisfactorily discharged </w:t>
      </w:r>
      <w:r w:rsidRPr="007F767A" w:rsidR="00403EC9">
        <w:t xml:space="preserve">their </w:t>
      </w:r>
      <w:r w:rsidRPr="007F767A" w:rsidR="00A8663F">
        <w:t>burden</w:t>
      </w:r>
      <w:r w:rsidRPr="007F767A" w:rsidR="00403EC9">
        <w:t xml:space="preserve"> to justify</w:t>
      </w:r>
      <w:r w:rsidRPr="007F767A" w:rsidR="00D926F0">
        <w:t xml:space="preserve"> the killing</w:t>
      </w:r>
      <w:r w:rsidRPr="007F767A" w:rsidR="00121F99">
        <w:t xml:space="preserve"> (see</w:t>
      </w:r>
      <w:r w:rsidRPr="007F767A" w:rsidR="00D926F0">
        <w:t xml:space="preserve">, </w:t>
      </w:r>
      <w:r w:rsidRPr="007F767A" w:rsidR="00D926F0">
        <w:rPr>
          <w:i/>
        </w:rPr>
        <w:t>inter alia</w:t>
      </w:r>
      <w:r w:rsidRPr="007F767A" w:rsidR="00D926F0">
        <w:t>,</w:t>
      </w:r>
      <w:r w:rsidRPr="007F767A" w:rsidR="00D13CE6">
        <w:t xml:space="preserve"> </w:t>
      </w:r>
      <w:r w:rsidRPr="007F767A" w:rsidR="008D5FDC">
        <w:rPr>
          <w:i/>
        </w:rPr>
        <w:t>Erdoğan and Others</w:t>
      </w:r>
      <w:r w:rsidRPr="007F767A" w:rsidR="008D5FDC">
        <w:t>, cited above, §</w:t>
      </w:r>
      <w:r w:rsidRPr="007F767A" w:rsidR="00237DA5">
        <w:t> </w:t>
      </w:r>
      <w:r w:rsidRPr="007F767A" w:rsidR="008D5FDC">
        <w:t xml:space="preserve">80; </w:t>
      </w:r>
      <w:r w:rsidRPr="007F767A" w:rsidR="008D5FDC">
        <w:rPr>
          <w:i/>
        </w:rPr>
        <w:t>Beker v. Turkey</w:t>
      </w:r>
      <w:r w:rsidRPr="007F767A" w:rsidR="008D5FDC">
        <w:t xml:space="preserve">, no. 27866/03, </w:t>
      </w:r>
      <w:r w:rsidRPr="007F767A" w:rsidR="008D5FDC">
        <w:rPr>
          <w:snapToGrid w:val="0"/>
        </w:rPr>
        <w:t>§§ 44 and</w:t>
      </w:r>
      <w:r w:rsidRPr="007F767A" w:rsidR="00237DA5">
        <w:rPr>
          <w:snapToGrid w:val="0"/>
        </w:rPr>
        <w:t xml:space="preserve"> 53, 24 </w:t>
      </w:r>
      <w:r w:rsidRPr="007F767A" w:rsidR="008D5FDC">
        <w:rPr>
          <w:snapToGrid w:val="0"/>
        </w:rPr>
        <w:t xml:space="preserve">March 2009; </w:t>
      </w:r>
      <w:r w:rsidRPr="007F767A" w:rsidR="008D5FDC">
        <w:rPr>
          <w:i/>
        </w:rPr>
        <w:t>Özcan and Others v. Turkey</w:t>
      </w:r>
      <w:r w:rsidRPr="007F767A" w:rsidR="008D5FDC">
        <w:t xml:space="preserve">, </w:t>
      </w:r>
      <w:r w:rsidRPr="007F767A" w:rsidR="008D5FDC">
        <w:rPr>
          <w:snapToGrid w:val="0"/>
        </w:rPr>
        <w:t>no.</w:t>
      </w:r>
      <w:r w:rsidRPr="007F767A" w:rsidR="008D5FDC">
        <w:t xml:space="preserve"> 18893/05</w:t>
      </w:r>
      <w:r w:rsidRPr="007F767A" w:rsidR="008D5FDC">
        <w:rPr>
          <w:snapToGrid w:val="0"/>
        </w:rPr>
        <w:t xml:space="preserve">, § 61, </w:t>
      </w:r>
      <w:r w:rsidRPr="007F767A" w:rsidR="008D5FDC">
        <w:t>20</w:t>
      </w:r>
      <w:r w:rsidRPr="007F767A" w:rsidR="00237DA5">
        <w:t xml:space="preserve"> </w:t>
      </w:r>
      <w:r w:rsidRPr="007F767A" w:rsidR="008D5FDC">
        <w:rPr>
          <w:snapToGrid w:val="0"/>
        </w:rPr>
        <w:t xml:space="preserve">April 2010; and </w:t>
      </w:r>
      <w:r w:rsidRPr="007F767A" w:rsidR="00D13CE6">
        <w:rPr>
          <w:i/>
          <w:snapToGrid w:val="0"/>
        </w:rPr>
        <w:t>Gülbahar Özer</w:t>
      </w:r>
      <w:r w:rsidRPr="007F767A" w:rsidR="00D13CE6">
        <w:rPr>
          <w:snapToGrid w:val="0"/>
        </w:rPr>
        <w:t xml:space="preserve"> </w:t>
      </w:r>
      <w:r w:rsidRPr="007F767A" w:rsidR="00D13CE6">
        <w:rPr>
          <w:i/>
          <w:snapToGrid w:val="0"/>
        </w:rPr>
        <w:t>and Others v. Turkey</w:t>
      </w:r>
      <w:r w:rsidRPr="007F767A" w:rsidR="00D13CE6">
        <w:rPr>
          <w:snapToGrid w:val="0"/>
        </w:rPr>
        <w:t>, no. 44125/06, § 59, 2</w:t>
      </w:r>
      <w:r w:rsidRPr="007F767A" w:rsidR="00237DA5">
        <w:rPr>
          <w:snapToGrid w:val="0"/>
        </w:rPr>
        <w:t xml:space="preserve"> </w:t>
      </w:r>
      <w:r w:rsidRPr="007F767A" w:rsidR="00D13CE6">
        <w:rPr>
          <w:snapToGrid w:val="0"/>
        </w:rPr>
        <w:t>July 2013</w:t>
      </w:r>
      <w:r w:rsidRPr="007F767A" w:rsidR="00046BEA">
        <w:rPr>
          <w:snapToGrid w:val="0"/>
        </w:rPr>
        <w:t>)</w:t>
      </w:r>
      <w:r w:rsidRPr="007F767A" w:rsidR="005D0BC3">
        <w:rPr>
          <w:snapToGrid w:val="0"/>
        </w:rPr>
        <w:t>.</w:t>
      </w:r>
    </w:p>
    <w:p w:rsidRPr="007F767A" w:rsidR="00EB5595" w:rsidP="007F767A" w:rsidRDefault="000F183E">
      <w:pPr>
        <w:pStyle w:val="ECHRPara"/>
      </w:pPr>
      <w:r w:rsidRPr="007F767A">
        <w:rPr>
          <w:snapToGrid w:val="0"/>
        </w:rPr>
        <w:fldChar w:fldCharType="begin"/>
      </w:r>
      <w:r w:rsidRPr="007F767A">
        <w:rPr>
          <w:snapToGrid w:val="0"/>
        </w:rPr>
        <w:instrText xml:space="preserve"> SEQ level0 \*arabic </w:instrText>
      </w:r>
      <w:r w:rsidRPr="007F767A">
        <w:rPr>
          <w:snapToGrid w:val="0"/>
        </w:rPr>
        <w:fldChar w:fldCharType="separate"/>
      </w:r>
      <w:r w:rsidRPr="007F767A" w:rsidR="007F767A">
        <w:rPr>
          <w:noProof/>
          <w:snapToGrid w:val="0"/>
        </w:rPr>
        <w:t>116</w:t>
      </w:r>
      <w:r w:rsidRPr="007F767A">
        <w:rPr>
          <w:snapToGrid w:val="0"/>
        </w:rPr>
        <w:fldChar w:fldCharType="end"/>
      </w:r>
      <w:r w:rsidRPr="007F767A">
        <w:rPr>
          <w:snapToGrid w:val="0"/>
        </w:rPr>
        <w:t>.  </w:t>
      </w:r>
      <w:r w:rsidRPr="007F767A" w:rsidR="003529EB">
        <w:rPr>
          <w:snapToGrid w:val="0"/>
        </w:rPr>
        <w:t xml:space="preserve">In the light of the foregoing the </w:t>
      </w:r>
      <w:r w:rsidRPr="007F767A" w:rsidR="00EB5595">
        <w:t xml:space="preserve">Court </w:t>
      </w:r>
      <w:r w:rsidRPr="007F767A" w:rsidR="000460A2">
        <w:t xml:space="preserve">also </w:t>
      </w:r>
      <w:r w:rsidRPr="007F767A" w:rsidR="00EB5595">
        <w:t xml:space="preserve">agrees with the applicants </w:t>
      </w:r>
      <w:r w:rsidRPr="007F767A" w:rsidR="003529EB">
        <w:t xml:space="preserve">in the present case </w:t>
      </w:r>
      <w:r w:rsidRPr="007F767A" w:rsidR="00EB5595">
        <w:t xml:space="preserve">that it is for the Government to </w:t>
      </w:r>
      <w:r w:rsidRPr="007F767A" w:rsidR="00004C3E">
        <w:t xml:space="preserve">show that </w:t>
      </w:r>
      <w:r w:rsidRPr="007F767A" w:rsidR="00121F99">
        <w:t xml:space="preserve">the evidence and </w:t>
      </w:r>
      <w:r w:rsidRPr="007F767A" w:rsidR="00292A79">
        <w:t xml:space="preserve">the </w:t>
      </w:r>
      <w:r w:rsidRPr="007F767A" w:rsidR="00121F99">
        <w:t xml:space="preserve">information in the investigation file </w:t>
      </w:r>
      <w:r w:rsidRPr="007F767A" w:rsidR="00A058B1">
        <w:t>are</w:t>
      </w:r>
      <w:r w:rsidRPr="007F767A" w:rsidR="00121F99">
        <w:t xml:space="preserve"> sufficient to prove that the force used </w:t>
      </w:r>
      <w:r w:rsidRPr="007F767A" w:rsidR="00403EC9">
        <w:t>was</w:t>
      </w:r>
      <w:r w:rsidRPr="007F767A" w:rsidR="00121F99">
        <w:t xml:space="preserve"> no </w:t>
      </w:r>
      <w:r w:rsidRPr="007F767A" w:rsidR="00A8663F">
        <w:t>more</w:t>
      </w:r>
      <w:r w:rsidRPr="007F767A" w:rsidR="00121F99">
        <w:t xml:space="preserve"> than absolutely necessary</w:t>
      </w:r>
      <w:r w:rsidRPr="007F767A" w:rsidR="00292A79">
        <w:t xml:space="preserve"> and </w:t>
      </w:r>
      <w:r w:rsidRPr="007F767A" w:rsidR="00403EC9">
        <w:t xml:space="preserve">was </w:t>
      </w:r>
      <w:r w:rsidRPr="007F767A" w:rsidR="00292A79">
        <w:t>proportionate</w:t>
      </w:r>
      <w:r w:rsidRPr="007F767A" w:rsidR="00121F99">
        <w:t>.</w:t>
      </w:r>
      <w:r w:rsidRPr="007F767A" w:rsidR="005D0BC3">
        <w:t xml:space="preserve"> It will therefore also examine </w:t>
      </w:r>
      <w:r w:rsidRPr="007F767A" w:rsidR="003529EB">
        <w:t xml:space="preserve">firstly </w:t>
      </w:r>
      <w:r w:rsidRPr="007F767A" w:rsidR="005D0BC3">
        <w:t>whether the arguments advanced by the Government are supported by the documentary evidence in the file</w:t>
      </w:r>
      <w:r w:rsidRPr="007F767A" w:rsidR="00403EC9">
        <w:t>,</w:t>
      </w:r>
      <w:r w:rsidRPr="007F767A" w:rsidR="005D0BC3">
        <w:t xml:space="preserve"> which is summari</w:t>
      </w:r>
      <w:r w:rsidRPr="007F767A" w:rsidR="00A058B1">
        <w:t>s</w:t>
      </w:r>
      <w:r w:rsidRPr="007F767A" w:rsidR="005D0BC3">
        <w:t>ed above.</w:t>
      </w:r>
    </w:p>
    <w:p w:rsidRPr="007F767A" w:rsidR="005D0BC3" w:rsidP="007F767A" w:rsidRDefault="007F767A">
      <w:pPr>
        <w:pStyle w:val="ECHRPara"/>
      </w:pPr>
      <w:fldSimple w:instr=" SEQ level0 \*arabic ">
        <w:r w:rsidRPr="007F767A">
          <w:rPr>
            <w:noProof/>
          </w:rPr>
          <w:t>117</w:t>
        </w:r>
      </w:fldSimple>
      <w:r w:rsidRPr="007F767A" w:rsidR="005D0BC3">
        <w:t>.  </w:t>
      </w:r>
      <w:r w:rsidRPr="007F767A" w:rsidR="000460A2">
        <w:t>To that end, t</w:t>
      </w:r>
      <w:r w:rsidRPr="007F767A" w:rsidR="00014566">
        <w:t xml:space="preserve">he Court </w:t>
      </w:r>
      <w:r w:rsidRPr="007F767A" w:rsidR="005D0BC3">
        <w:t xml:space="preserve">observes that </w:t>
      </w:r>
      <w:r w:rsidRPr="007F767A" w:rsidR="009F2065">
        <w:t xml:space="preserve">a number of important submissions made by the Government </w:t>
      </w:r>
      <w:r w:rsidRPr="007F767A" w:rsidR="007D42E0">
        <w:t>are</w:t>
      </w:r>
      <w:r w:rsidRPr="007F767A" w:rsidR="00E07E8E">
        <w:t xml:space="preserve"> either not supported by the documents </w:t>
      </w:r>
      <w:r w:rsidRPr="007F767A" w:rsidR="00A058B1">
        <w:t xml:space="preserve">in the file </w:t>
      </w:r>
      <w:r w:rsidRPr="007F767A" w:rsidR="00E07E8E">
        <w:t xml:space="preserve">or </w:t>
      </w:r>
      <w:r w:rsidRPr="007F767A" w:rsidR="007D42E0">
        <w:t>are</w:t>
      </w:r>
      <w:r w:rsidRPr="007F767A" w:rsidR="00E07E8E">
        <w:t xml:space="preserve"> in fact </w:t>
      </w:r>
      <w:r w:rsidRPr="007F767A" w:rsidR="00A058B1">
        <w:t>contradicted</w:t>
      </w:r>
      <w:r w:rsidRPr="007F767A" w:rsidR="00E07E8E">
        <w:t xml:space="preserve"> by </w:t>
      </w:r>
      <w:r w:rsidRPr="007F767A" w:rsidR="007D42E0">
        <w:t>them</w:t>
      </w:r>
      <w:r w:rsidRPr="007F767A" w:rsidR="00E07E8E">
        <w:t>.</w:t>
      </w:r>
    </w:p>
    <w:p w:rsidRPr="007F767A" w:rsidR="00840449" w:rsidP="007F767A" w:rsidRDefault="007F767A">
      <w:pPr>
        <w:pStyle w:val="ECHRPara"/>
      </w:pPr>
      <w:fldSimple w:instr=" SEQ level0 \*arabic ">
        <w:r w:rsidRPr="007F767A">
          <w:rPr>
            <w:noProof/>
          </w:rPr>
          <w:t>118</w:t>
        </w:r>
      </w:fldSimple>
      <w:r w:rsidRPr="007F767A" w:rsidR="00E07E8E">
        <w:t>.  It notes, for example, that although the Government submitted that “the prosecutor had immediately gone to the area and personally conducted an on-site inspection”</w:t>
      </w:r>
      <w:r w:rsidRPr="007F767A" w:rsidR="008065FC">
        <w:t xml:space="preserve"> (see paragraph</w:t>
      </w:r>
      <w:r w:rsidRPr="007F767A" w:rsidR="00466C9C">
        <w:t>s</w:t>
      </w:r>
      <w:r w:rsidRPr="007F767A" w:rsidR="008065FC">
        <w:t xml:space="preserve"> </w:t>
      </w:r>
      <w:r w:rsidRPr="007F767A" w:rsidR="00466C9C">
        <w:t>17 and 103</w:t>
      </w:r>
      <w:r w:rsidRPr="007F767A" w:rsidR="008065FC">
        <w:t xml:space="preserve"> above)</w:t>
      </w:r>
      <w:r w:rsidRPr="007F767A" w:rsidR="00E07E8E">
        <w:t>, t</w:t>
      </w:r>
      <w:r w:rsidRPr="007F767A" w:rsidR="006466ED">
        <w:t>he official document</w:t>
      </w:r>
      <w:r w:rsidRPr="007F767A" w:rsidR="0064121A">
        <w:t xml:space="preserve"> drawn up by the prosecutor in question</w:t>
      </w:r>
      <w:r w:rsidRPr="007F767A" w:rsidR="006466ED">
        <w:t xml:space="preserve"> </w:t>
      </w:r>
      <w:r w:rsidRPr="007F767A" w:rsidR="00E07E8E">
        <w:t xml:space="preserve">clearly </w:t>
      </w:r>
      <w:r w:rsidRPr="007F767A" w:rsidR="006466ED">
        <w:t>indicate</w:t>
      </w:r>
      <w:r w:rsidRPr="007F767A" w:rsidR="0064121A">
        <w:t>s</w:t>
      </w:r>
      <w:r w:rsidRPr="007F767A" w:rsidR="006466ED">
        <w:t xml:space="preserve"> that he </w:t>
      </w:r>
      <w:r w:rsidRPr="007F767A" w:rsidR="00E07E8E">
        <w:t xml:space="preserve">had in fact </w:t>
      </w:r>
      <w:r w:rsidRPr="007F767A" w:rsidR="006466ED">
        <w:t xml:space="preserve">never </w:t>
      </w:r>
      <w:r w:rsidRPr="007F767A" w:rsidR="00E07E8E">
        <w:t>gone</w:t>
      </w:r>
      <w:r w:rsidRPr="007F767A" w:rsidR="006466ED">
        <w:t xml:space="preserve"> t</w:t>
      </w:r>
      <w:r w:rsidRPr="007F767A" w:rsidR="00A058B1">
        <w:t>o the area</w:t>
      </w:r>
      <w:r w:rsidRPr="007F767A" w:rsidR="00403EC9">
        <w:t>,</w:t>
      </w:r>
      <w:r w:rsidRPr="007F767A" w:rsidR="00E07E8E">
        <w:t xml:space="preserve"> because of security concerns</w:t>
      </w:r>
      <w:r w:rsidRPr="007F767A" w:rsidR="0064121A">
        <w:t xml:space="preserve"> (see paragraph</w:t>
      </w:r>
      <w:r w:rsidRPr="007F767A" w:rsidR="00237DA5">
        <w:t> </w:t>
      </w:r>
      <w:r w:rsidRPr="007F767A" w:rsidR="00466C9C">
        <w:t>29</w:t>
      </w:r>
      <w:r w:rsidRPr="007F767A" w:rsidR="0064121A">
        <w:t xml:space="preserve"> above)</w:t>
      </w:r>
      <w:r w:rsidRPr="007F767A" w:rsidR="00E07E8E">
        <w:t>.</w:t>
      </w:r>
    </w:p>
    <w:p w:rsidRPr="007F767A" w:rsidR="00840449" w:rsidP="007F767A" w:rsidRDefault="007F767A">
      <w:pPr>
        <w:pStyle w:val="ECHRPara"/>
      </w:pPr>
      <w:fldSimple w:instr=" SEQ level0 \*arabic ">
        <w:r w:rsidRPr="007F767A">
          <w:rPr>
            <w:noProof/>
          </w:rPr>
          <w:t>119</w:t>
        </w:r>
      </w:fldSimple>
      <w:r w:rsidRPr="007F767A" w:rsidR="00840449">
        <w:t>.  The Government also argued that</w:t>
      </w:r>
      <w:r w:rsidRPr="007F767A" w:rsidR="004A1413">
        <w:t xml:space="preserve"> after the armed clashes had ended three terrorists were </w:t>
      </w:r>
      <w:r w:rsidRPr="007F767A" w:rsidR="00A058B1">
        <w:t>apprehended</w:t>
      </w:r>
      <w:r w:rsidRPr="007F767A" w:rsidR="004A1413">
        <w:t xml:space="preserve"> alive together with their weapons (see paragraph </w:t>
      </w:r>
      <w:r w:rsidRPr="007F767A" w:rsidR="00466C9C">
        <w:t>100</w:t>
      </w:r>
      <w:r w:rsidRPr="007F767A" w:rsidR="004A1413">
        <w:t xml:space="preserve"> above). They also added that </w:t>
      </w:r>
      <w:r w:rsidRPr="007F767A" w:rsidR="000460A2">
        <w:t xml:space="preserve">during the operation </w:t>
      </w:r>
      <w:r w:rsidRPr="007F767A" w:rsidR="00840449">
        <w:t>“</w:t>
      </w:r>
      <w:r w:rsidRPr="007F767A" w:rsidR="000460A2">
        <w:t xml:space="preserve">the </w:t>
      </w:r>
      <w:r w:rsidRPr="007F767A" w:rsidR="00840449">
        <w:t>three terrorists apprehended alive had actively fired as well”</w:t>
      </w:r>
      <w:r w:rsidRPr="007F767A" w:rsidR="008065FC">
        <w:t xml:space="preserve"> (see paragraph</w:t>
      </w:r>
      <w:r w:rsidRPr="007F767A" w:rsidR="00E47F52">
        <w:t> </w:t>
      </w:r>
      <w:r w:rsidRPr="007F767A" w:rsidR="002E081F">
        <w:t>97</w:t>
      </w:r>
      <w:r w:rsidRPr="007F767A" w:rsidR="008065FC">
        <w:t xml:space="preserve"> above).</w:t>
      </w:r>
      <w:r w:rsidRPr="007F767A" w:rsidR="0064121A">
        <w:t xml:space="preserve"> The Court observes that according to the Kemah military report the three men in question had been arrested well before the military clashes started</w:t>
      </w:r>
      <w:r w:rsidRPr="007F767A" w:rsidR="00403EC9">
        <w:t>,</w:t>
      </w:r>
      <w:r w:rsidRPr="007F767A" w:rsidR="0064121A">
        <w:t xml:space="preserve"> and </w:t>
      </w:r>
      <w:r w:rsidRPr="007F767A" w:rsidR="00A058B1">
        <w:t xml:space="preserve">they </w:t>
      </w:r>
      <w:r w:rsidRPr="007F767A" w:rsidR="0064121A">
        <w:t>had in fact assisted the soldiers in locating the applicants</w:t>
      </w:r>
      <w:r w:rsidRPr="007F767A">
        <w:t>’</w:t>
      </w:r>
      <w:r w:rsidRPr="007F767A" w:rsidR="0064121A">
        <w:t xml:space="preserve"> relatives</w:t>
      </w:r>
      <w:r w:rsidRPr="007F767A" w:rsidR="008065FC">
        <w:t xml:space="preserve"> </w:t>
      </w:r>
      <w:r w:rsidRPr="007F767A" w:rsidR="0064121A">
        <w:t>(see paragraph</w:t>
      </w:r>
      <w:r w:rsidRPr="007F767A" w:rsidR="002E081F">
        <w:t xml:space="preserve"> 25</w:t>
      </w:r>
      <w:r w:rsidRPr="007F767A" w:rsidR="0064121A">
        <w:t xml:space="preserve"> above). </w:t>
      </w:r>
      <w:r w:rsidRPr="007F767A" w:rsidR="00A058B1">
        <w:t xml:space="preserve">According to the </w:t>
      </w:r>
      <w:r w:rsidRPr="007F767A" w:rsidR="000460A2">
        <w:t xml:space="preserve">same </w:t>
      </w:r>
      <w:r w:rsidRPr="007F767A" w:rsidR="00A058B1">
        <w:t>document t</w:t>
      </w:r>
      <w:r w:rsidRPr="007F767A" w:rsidR="004A1413">
        <w:t>hey stayed in the soldiers</w:t>
      </w:r>
      <w:r w:rsidRPr="007F767A">
        <w:t>’</w:t>
      </w:r>
      <w:r w:rsidRPr="007F767A" w:rsidR="004A1413">
        <w:t xml:space="preserve"> custody until </w:t>
      </w:r>
      <w:r w:rsidRPr="007F767A" w:rsidR="00403EC9">
        <w:t xml:space="preserve">the </w:t>
      </w:r>
      <w:r w:rsidRPr="007F767A" w:rsidR="004A1413">
        <w:t xml:space="preserve">end of the operation and </w:t>
      </w:r>
      <w:r w:rsidRPr="007F767A" w:rsidR="005A0C1E">
        <w:t xml:space="preserve">one of them </w:t>
      </w:r>
      <w:r w:rsidRPr="007F767A" w:rsidR="004A1413">
        <w:t xml:space="preserve">identified the bodies of the </w:t>
      </w:r>
      <w:r w:rsidRPr="007F767A" w:rsidR="00403EC9">
        <w:t>seventeen</w:t>
      </w:r>
      <w:r w:rsidRPr="007F767A" w:rsidR="004A1413">
        <w:t xml:space="preserve"> </w:t>
      </w:r>
      <w:r w:rsidRPr="007F767A" w:rsidR="007338C3">
        <w:rPr>
          <w:i/>
        </w:rPr>
        <w:t>in situ</w:t>
      </w:r>
      <w:r w:rsidRPr="007F767A" w:rsidR="007338C3">
        <w:t xml:space="preserve"> </w:t>
      </w:r>
      <w:r w:rsidRPr="007F767A" w:rsidR="004A1413">
        <w:t xml:space="preserve">(see paragraph </w:t>
      </w:r>
      <w:r w:rsidRPr="007F767A" w:rsidR="002E081F">
        <w:t>26</w:t>
      </w:r>
      <w:r w:rsidRPr="007F767A" w:rsidR="004A1413">
        <w:t xml:space="preserve"> above). </w:t>
      </w:r>
      <w:r w:rsidRPr="007F767A" w:rsidR="000460A2">
        <w:t>In any event, t</w:t>
      </w:r>
      <w:r w:rsidRPr="007F767A" w:rsidR="004A1413">
        <w:t xml:space="preserve">here was no allegation </w:t>
      </w:r>
      <w:r w:rsidRPr="007F767A" w:rsidR="008065FC">
        <w:t>at the national level that the</w:t>
      </w:r>
      <w:r w:rsidRPr="007F767A" w:rsidR="004A1413">
        <w:t xml:space="preserve"> three men</w:t>
      </w:r>
      <w:r w:rsidRPr="007F767A" w:rsidR="008065FC">
        <w:t xml:space="preserve"> </w:t>
      </w:r>
      <w:r w:rsidRPr="007F767A" w:rsidR="004A1413">
        <w:t>“</w:t>
      </w:r>
      <w:r w:rsidRPr="007F767A" w:rsidR="008065FC">
        <w:t>had actively fired” as suggested by the Government.</w:t>
      </w:r>
    </w:p>
    <w:p w:rsidRPr="007F767A" w:rsidR="0080056F" w:rsidP="007F767A" w:rsidRDefault="007F767A">
      <w:pPr>
        <w:pStyle w:val="ECHRPara"/>
      </w:pPr>
      <w:fldSimple w:instr=" SEQ level0 \*arabic ">
        <w:r w:rsidRPr="007F767A">
          <w:rPr>
            <w:noProof/>
          </w:rPr>
          <w:t>120</w:t>
        </w:r>
      </w:fldSimple>
      <w:r w:rsidRPr="007F767A" w:rsidR="008065FC">
        <w:t>.  In the opinion of the Government “t</w:t>
      </w:r>
      <w:r w:rsidRPr="007F767A" w:rsidR="00E07E8E">
        <w:t>he soldiers had responded to the terrorists with the same kind of weapons</w:t>
      </w:r>
      <w:r w:rsidRPr="007F767A" w:rsidR="00D507B2">
        <w:t>, namely</w:t>
      </w:r>
      <w:r w:rsidRPr="007F767A" w:rsidR="00E07E8E">
        <w:t xml:space="preserve"> assault rifles</w:t>
      </w:r>
      <w:r w:rsidRPr="007F767A" w:rsidR="008065FC">
        <w:t>” (see paragraph</w:t>
      </w:r>
      <w:r w:rsidRPr="007F767A" w:rsidR="00237DA5">
        <w:t> </w:t>
      </w:r>
      <w:r w:rsidRPr="007F767A" w:rsidR="002E081F">
        <w:t>98</w:t>
      </w:r>
      <w:r w:rsidRPr="007F767A" w:rsidR="008065FC">
        <w:t xml:space="preserve"> above).</w:t>
      </w:r>
      <w:r w:rsidRPr="007F767A" w:rsidR="00E07E8E">
        <w:t xml:space="preserve"> </w:t>
      </w:r>
      <w:r w:rsidRPr="007F767A" w:rsidR="008065FC">
        <w:t>The Court observes that this particular allegation is rebutted by the nature of the injuries detailed in the autopsy report</w:t>
      </w:r>
      <w:r w:rsidRPr="007F767A" w:rsidR="00305D8F">
        <w:t>,</w:t>
      </w:r>
      <w:r w:rsidRPr="007F767A" w:rsidR="008065FC">
        <w:t xml:space="preserve"> according to which </w:t>
      </w:r>
      <w:r w:rsidRPr="007F767A" w:rsidR="00D507B2">
        <w:t xml:space="preserve">the </w:t>
      </w:r>
      <w:r w:rsidRPr="007F767A" w:rsidR="008065FC">
        <w:t xml:space="preserve">injuries on most of the bodies </w:t>
      </w:r>
      <w:r w:rsidRPr="007F767A" w:rsidR="00305D8F">
        <w:t>were</w:t>
      </w:r>
      <w:r w:rsidRPr="007F767A" w:rsidR="008065FC">
        <w:t xml:space="preserve"> caused by explosives (see paragraph </w:t>
      </w:r>
      <w:r w:rsidRPr="007F767A" w:rsidR="002E081F">
        <w:t>34</w:t>
      </w:r>
      <w:r w:rsidRPr="007F767A" w:rsidR="008065FC">
        <w:t xml:space="preserve"> above).</w:t>
      </w:r>
      <w:r w:rsidRPr="007F767A" w:rsidR="00D63DDF">
        <w:t xml:space="preserve"> The Court has also examined the video footage showing the </w:t>
      </w:r>
      <w:r w:rsidRPr="007F767A" w:rsidR="00305D8F">
        <w:t>condition</w:t>
      </w:r>
      <w:r w:rsidRPr="007F767A" w:rsidR="00D63DDF">
        <w:t xml:space="preserve"> of the bodies </w:t>
      </w:r>
      <w:r w:rsidRPr="007F767A" w:rsidR="00D507B2">
        <w:t xml:space="preserve">(see paragraph </w:t>
      </w:r>
      <w:r w:rsidRPr="007F767A" w:rsidR="002E081F">
        <w:t>13</w:t>
      </w:r>
      <w:r w:rsidRPr="007F767A" w:rsidR="00D507B2">
        <w:t xml:space="preserve"> above) </w:t>
      </w:r>
      <w:r w:rsidRPr="007F767A" w:rsidR="00D63DDF">
        <w:t xml:space="preserve">and it considers </w:t>
      </w:r>
      <w:r w:rsidRPr="007F767A" w:rsidR="00D507B2">
        <w:t xml:space="preserve">it </w:t>
      </w:r>
      <w:r w:rsidRPr="007F767A" w:rsidR="00D63DDF">
        <w:t xml:space="preserve">impossible that such </w:t>
      </w:r>
      <w:r w:rsidRPr="007F767A" w:rsidR="00D507B2">
        <w:t>extensive</w:t>
      </w:r>
      <w:r w:rsidRPr="007F767A" w:rsidR="00D63DDF">
        <w:t xml:space="preserve"> injuries could have been caused by assault rifles. Indeed, when closing the investigation the prosecutor also </w:t>
      </w:r>
      <w:r w:rsidRPr="007F767A" w:rsidR="00E221A1">
        <w:t>accepted that the soldiers had caused “heavy damage”</w:t>
      </w:r>
      <w:r w:rsidRPr="007F767A" w:rsidR="00D63DDF">
        <w:t xml:space="preserve"> </w:t>
      </w:r>
      <w:r w:rsidRPr="007F767A" w:rsidR="00305D8F">
        <w:t>to</w:t>
      </w:r>
      <w:r w:rsidRPr="007F767A" w:rsidR="00E221A1">
        <w:t xml:space="preserve"> the bodies.</w:t>
      </w:r>
    </w:p>
    <w:p w:rsidRPr="007F767A" w:rsidR="005A0C1E" w:rsidP="007F767A" w:rsidRDefault="007F767A">
      <w:pPr>
        <w:pStyle w:val="ECHRPara"/>
      </w:pPr>
      <w:fldSimple w:instr=" SEQ level0 \*arabic ">
        <w:r w:rsidRPr="007F767A">
          <w:rPr>
            <w:noProof/>
          </w:rPr>
          <w:t>121</w:t>
        </w:r>
      </w:fldSimple>
      <w:r w:rsidRPr="007F767A" w:rsidR="00E221A1">
        <w:t>.  </w:t>
      </w:r>
      <w:r w:rsidRPr="007F767A" w:rsidR="007315D9">
        <w:t>Similarly, t</w:t>
      </w:r>
      <w:r w:rsidRPr="007F767A" w:rsidR="000D0C90">
        <w:t>he Government</w:t>
      </w:r>
      <w:r w:rsidRPr="007F767A">
        <w:t>’</w:t>
      </w:r>
      <w:r w:rsidRPr="007F767A" w:rsidR="000D0C90">
        <w:t xml:space="preserve">s submission that a helicopter </w:t>
      </w:r>
      <w:r w:rsidRPr="007F767A" w:rsidR="00305D8F">
        <w:t>was</w:t>
      </w:r>
      <w:r w:rsidRPr="007F767A" w:rsidR="000D0C90">
        <w:t xml:space="preserve"> sent to the area for patrol purposes only (see paragraph </w:t>
      </w:r>
      <w:r w:rsidRPr="007F767A" w:rsidR="002E081F">
        <w:t>99</w:t>
      </w:r>
      <w:r w:rsidRPr="007F767A" w:rsidR="000D0C90">
        <w:t xml:space="preserve"> above) is refuted not only by the Kemah report according to which “</w:t>
      </w:r>
      <w:r w:rsidRPr="007F767A" w:rsidR="00305D8F">
        <w:t>soldiers</w:t>
      </w:r>
      <w:r w:rsidRPr="007F767A" w:rsidR="000D0C90">
        <w:t xml:space="preserve"> in armed Cobra-type military helicopters” (see paragraph </w:t>
      </w:r>
      <w:r w:rsidRPr="007F767A" w:rsidR="002E081F">
        <w:t>26</w:t>
      </w:r>
      <w:r w:rsidRPr="007F767A" w:rsidR="000D0C90">
        <w:t xml:space="preserve"> above) had first l</w:t>
      </w:r>
      <w:r w:rsidRPr="007F767A" w:rsidR="00A058B1">
        <w:t>ocated the applicants</w:t>
      </w:r>
      <w:r w:rsidRPr="007F767A">
        <w:t>’</w:t>
      </w:r>
      <w:r w:rsidRPr="007F767A" w:rsidR="00A058B1">
        <w:t xml:space="preserve"> relatives</w:t>
      </w:r>
      <w:r w:rsidRPr="007F767A" w:rsidR="000D0C90">
        <w:t>, but also by the Ovac</w:t>
      </w:r>
      <w:r w:rsidRPr="007F767A" w:rsidR="000D0C90">
        <w:rPr>
          <w:rFonts w:cstheme="minorHAnsi"/>
        </w:rPr>
        <w:t>ı</w:t>
      </w:r>
      <w:r w:rsidRPr="007F767A" w:rsidR="000D0C90">
        <w:t>k report</w:t>
      </w:r>
      <w:r w:rsidRPr="007F767A" w:rsidR="00305D8F">
        <w:t>,</w:t>
      </w:r>
      <w:r w:rsidRPr="007F767A" w:rsidR="000D0C90">
        <w:t xml:space="preserve"> according to which the operation had been “supported from the air”</w:t>
      </w:r>
      <w:r w:rsidRPr="007F767A" w:rsidR="00A058B1">
        <w:t xml:space="preserve"> (see paragraph </w:t>
      </w:r>
      <w:r w:rsidRPr="007F767A" w:rsidR="002E081F">
        <w:t>22</w:t>
      </w:r>
      <w:r w:rsidRPr="007F767A" w:rsidR="00A058B1">
        <w:t xml:space="preserve"> above)</w:t>
      </w:r>
      <w:r w:rsidRPr="007F767A" w:rsidR="000D0C90">
        <w:t>.</w:t>
      </w:r>
    </w:p>
    <w:p w:rsidRPr="007F767A" w:rsidR="00AC2ADE" w:rsidP="007F767A" w:rsidRDefault="007F767A">
      <w:pPr>
        <w:pStyle w:val="ECHRPara"/>
      </w:pPr>
      <w:fldSimple w:instr=" SEQ level0 \*arabic ">
        <w:r w:rsidRPr="007F767A">
          <w:rPr>
            <w:noProof/>
          </w:rPr>
          <w:t>122</w:t>
        </w:r>
      </w:fldSimple>
      <w:r w:rsidRPr="007F767A" w:rsidR="008D5FDC">
        <w:t>.  </w:t>
      </w:r>
      <w:r w:rsidRPr="007F767A" w:rsidR="0051255F">
        <w:t>The Government alleged that</w:t>
      </w:r>
      <w:r w:rsidRPr="007F767A" w:rsidR="000460A2">
        <w:t>,</w:t>
      </w:r>
      <w:r w:rsidRPr="007F767A" w:rsidR="0051255F">
        <w:t xml:space="preserve"> </w:t>
      </w:r>
      <w:r w:rsidRPr="007F767A" w:rsidR="00797530">
        <w:t xml:space="preserve">according to </w:t>
      </w:r>
      <w:r w:rsidRPr="007F767A" w:rsidR="0051255F">
        <w:t>the forensic report of 1</w:t>
      </w:r>
      <w:r w:rsidRPr="007F767A" w:rsidR="00A058B1">
        <w:t> </w:t>
      </w:r>
      <w:r w:rsidRPr="007F767A" w:rsidR="0051255F">
        <w:t>July 2005</w:t>
      </w:r>
      <w:r w:rsidRPr="007F767A" w:rsidR="000460A2">
        <w:t>,</w:t>
      </w:r>
      <w:r w:rsidRPr="007F767A" w:rsidR="0051255F">
        <w:t xml:space="preserve"> 16 of the applicants</w:t>
      </w:r>
      <w:r w:rsidRPr="007F767A">
        <w:t>’</w:t>
      </w:r>
      <w:r w:rsidRPr="007F767A" w:rsidR="0051255F">
        <w:t xml:space="preserve"> relatives </w:t>
      </w:r>
      <w:r w:rsidRPr="007F767A" w:rsidR="00DC469A">
        <w:t xml:space="preserve">“had actively fired at the security forces during the clash”. Without casting any doubt on the accuracy of the </w:t>
      </w:r>
      <w:r w:rsidRPr="007F767A" w:rsidR="000E1AEA">
        <w:t xml:space="preserve">findings </w:t>
      </w:r>
      <w:r w:rsidRPr="007F767A" w:rsidR="00DC469A">
        <w:t>of that report according to which 16 of the 17 relatives had gunpowder residue on the</w:t>
      </w:r>
      <w:r w:rsidRPr="007F767A" w:rsidR="000460A2">
        <w:t>ir hands</w:t>
      </w:r>
      <w:r w:rsidRPr="007F767A" w:rsidR="000E1AEA">
        <w:t xml:space="preserve"> which</w:t>
      </w:r>
      <w:r w:rsidRPr="007F767A" w:rsidR="00A058B1">
        <w:t>, according to the report,</w:t>
      </w:r>
      <w:r w:rsidRPr="007F767A" w:rsidR="000E1AEA">
        <w:t xml:space="preserve"> could indicate that they had either handled firearms or had pulled the triggers</w:t>
      </w:r>
      <w:r w:rsidRPr="007F767A" w:rsidR="00A151E9">
        <w:t xml:space="preserve">, </w:t>
      </w:r>
      <w:r w:rsidRPr="007F767A" w:rsidR="000E1AEA">
        <w:t xml:space="preserve">it is to be noted that </w:t>
      </w:r>
      <w:r w:rsidRPr="007F767A" w:rsidR="00A151E9">
        <w:t xml:space="preserve">the same report also goes on to </w:t>
      </w:r>
      <w:r w:rsidRPr="007F767A" w:rsidR="003D4F42">
        <w:t xml:space="preserve">highlight the volatile nature of gunpowder residue and </w:t>
      </w:r>
      <w:r w:rsidRPr="007F767A" w:rsidR="00A151E9">
        <w:t>state</w:t>
      </w:r>
      <w:r w:rsidRPr="007F767A" w:rsidR="003D4F42">
        <w:t>s</w:t>
      </w:r>
      <w:r w:rsidRPr="007F767A" w:rsidR="00A151E9">
        <w:t xml:space="preserve"> how</w:t>
      </w:r>
      <w:r w:rsidRPr="007F767A" w:rsidR="000E1AEA">
        <w:t xml:space="preserve"> a number of other </w:t>
      </w:r>
      <w:r w:rsidRPr="007F767A" w:rsidR="00761891">
        <w:t>events –</w:t>
      </w:r>
      <w:r w:rsidRPr="007F767A" w:rsidR="00A96AA9">
        <w:t> </w:t>
      </w:r>
      <w:r w:rsidRPr="007F767A" w:rsidR="00761891">
        <w:t>such as contamination</w:t>
      </w:r>
      <w:r w:rsidRPr="007F767A" w:rsidR="00A96AA9">
        <w:t> </w:t>
      </w:r>
      <w:r w:rsidRPr="007F767A" w:rsidR="003D4F42">
        <w:t>–</w:t>
      </w:r>
      <w:r w:rsidRPr="007F767A" w:rsidR="00761891">
        <w:t xml:space="preserve"> could explain the presence of the gunpowder residue on their hands. </w:t>
      </w:r>
      <w:r w:rsidRPr="007F767A" w:rsidR="00F20BB4">
        <w:t xml:space="preserve">In this connection the Court notes, </w:t>
      </w:r>
      <w:r w:rsidRPr="007F767A" w:rsidR="00305D8F">
        <w:t xml:space="preserve">as have </w:t>
      </w:r>
      <w:r w:rsidRPr="007F767A" w:rsidR="00A96AA9">
        <w:t>the applicants (see paragraph </w:t>
      </w:r>
      <w:r w:rsidRPr="007F767A" w:rsidR="002E081F">
        <w:t>68</w:t>
      </w:r>
      <w:r w:rsidRPr="007F767A" w:rsidR="00F20BB4">
        <w:t xml:space="preserve"> above)</w:t>
      </w:r>
      <w:r w:rsidRPr="007F767A" w:rsidR="00A058B1">
        <w:t>,</w:t>
      </w:r>
      <w:r w:rsidRPr="007F767A" w:rsidR="00F20BB4">
        <w:t xml:space="preserve"> that the bodies of the </w:t>
      </w:r>
      <w:r w:rsidRPr="007F767A" w:rsidR="00F54635">
        <w:t>seventeen</w:t>
      </w:r>
      <w:r w:rsidRPr="007F767A" w:rsidR="00F20BB4">
        <w:t xml:space="preserve"> were </w:t>
      </w:r>
      <w:r w:rsidRPr="007F767A" w:rsidR="0000095C">
        <w:t>carried</w:t>
      </w:r>
      <w:r w:rsidRPr="007F767A" w:rsidR="00F20BB4">
        <w:t xml:space="preserve"> by the soldiers</w:t>
      </w:r>
      <w:r w:rsidRPr="007F767A" w:rsidR="00F54635">
        <w:t>,</w:t>
      </w:r>
      <w:r w:rsidRPr="007F767A" w:rsidR="00F20BB4">
        <w:t xml:space="preserve"> who </w:t>
      </w:r>
      <w:r w:rsidRPr="007F767A" w:rsidR="00F54635">
        <w:t xml:space="preserve">had </w:t>
      </w:r>
      <w:r w:rsidRPr="007F767A" w:rsidR="00F20BB4">
        <w:t xml:space="preserve">killed them by opening fire </w:t>
      </w:r>
      <w:r w:rsidRPr="007F767A" w:rsidR="00F54635">
        <w:t>on</w:t>
      </w:r>
      <w:r w:rsidRPr="007F767A" w:rsidR="00F20BB4">
        <w:t xml:space="preserve"> them</w:t>
      </w:r>
      <w:r w:rsidRPr="007F767A" w:rsidR="0000095C">
        <w:t>. Furthermore, after they were taken to the Ovacık Gendarmerie Command by the soldiers</w:t>
      </w:r>
      <w:r w:rsidRPr="007F767A" w:rsidR="000460A2">
        <w:t>,</w:t>
      </w:r>
      <w:r w:rsidRPr="007F767A" w:rsidR="0000095C">
        <w:t xml:space="preserve"> swabs were not taken from their hands immediately. They were first examined at that military base outdoors, then handed over to a non-commissioned officer and taken to the Forensic Medicine Institute</w:t>
      </w:r>
      <w:r w:rsidRPr="007F767A">
        <w:t>’</w:t>
      </w:r>
      <w:r w:rsidRPr="007F767A" w:rsidR="0000095C">
        <w:t>s Malatya branch</w:t>
      </w:r>
      <w:r w:rsidRPr="007F767A" w:rsidR="00F54635">
        <w:t>,</w:t>
      </w:r>
      <w:r w:rsidRPr="007F767A" w:rsidR="0000095C">
        <w:t xml:space="preserve"> where swabs were </w:t>
      </w:r>
      <w:r w:rsidRPr="007F767A" w:rsidR="000460A2">
        <w:t xml:space="preserve">finally </w:t>
      </w:r>
      <w:r w:rsidRPr="007F767A" w:rsidR="0000095C">
        <w:t>taken some 12-36 hours after the killing</w:t>
      </w:r>
      <w:r w:rsidRPr="007F767A" w:rsidR="00F54635">
        <w:t>s</w:t>
      </w:r>
      <w:r w:rsidRPr="007F767A" w:rsidR="0000095C">
        <w:t xml:space="preserve">. As a result of the failure to take swabs immediately after the </w:t>
      </w:r>
      <w:r w:rsidRPr="007F767A" w:rsidR="000460A2">
        <w:t>applicants</w:t>
      </w:r>
      <w:r w:rsidRPr="007F767A">
        <w:t>’</w:t>
      </w:r>
      <w:r w:rsidRPr="007F767A" w:rsidR="000460A2">
        <w:t xml:space="preserve"> relatives</w:t>
      </w:r>
      <w:r w:rsidRPr="007F767A" w:rsidR="00F54635">
        <w:t xml:space="preserve"> were killed, </w:t>
      </w:r>
      <w:r w:rsidRPr="007F767A" w:rsidR="0000095C">
        <w:t xml:space="preserve">and by experts independent </w:t>
      </w:r>
      <w:r w:rsidRPr="007F767A" w:rsidR="00F54635">
        <w:t>of</w:t>
      </w:r>
      <w:r w:rsidRPr="007F767A" w:rsidR="0000095C">
        <w:t xml:space="preserve"> those who were implicated in the events, the Court cannot</w:t>
      </w:r>
      <w:r w:rsidRPr="007F767A" w:rsidR="00AC2ADE">
        <w:t xml:space="preserve"> exclude that </w:t>
      </w:r>
      <w:r w:rsidRPr="007F767A" w:rsidR="005A7022">
        <w:t xml:space="preserve">some, if not all, of the gunpowder residue </w:t>
      </w:r>
      <w:r w:rsidRPr="007F767A" w:rsidR="0000095C">
        <w:t xml:space="preserve">found on their hands </w:t>
      </w:r>
      <w:r w:rsidRPr="007F767A" w:rsidR="005A7022">
        <w:t xml:space="preserve">had been left by contamination. </w:t>
      </w:r>
      <w:r w:rsidRPr="007F767A" w:rsidR="00261FF2">
        <w:t xml:space="preserve">Without calling into </w:t>
      </w:r>
      <w:r w:rsidRPr="007F767A" w:rsidR="001B0B71">
        <w:t>question</w:t>
      </w:r>
      <w:r w:rsidRPr="007F767A" w:rsidR="00261FF2">
        <w:t xml:space="preserve"> whether there was an exchange of fire, t</w:t>
      </w:r>
      <w:r w:rsidRPr="007F767A" w:rsidR="00A97838">
        <w:t>he Court is unable to accept the Government</w:t>
      </w:r>
      <w:r w:rsidRPr="007F767A">
        <w:t>’</w:t>
      </w:r>
      <w:r w:rsidRPr="007F767A" w:rsidR="003569A2">
        <w:t>s</w:t>
      </w:r>
      <w:r w:rsidRPr="007F767A" w:rsidR="00A97838">
        <w:t xml:space="preserve"> </w:t>
      </w:r>
      <w:r w:rsidRPr="007F767A" w:rsidR="00797530">
        <w:t xml:space="preserve">interpretation of the forensic report as </w:t>
      </w:r>
      <w:r w:rsidRPr="007F767A" w:rsidR="00A97838">
        <w:t>unequivocal</w:t>
      </w:r>
      <w:r w:rsidRPr="007F767A" w:rsidR="00A058B1">
        <w:t>ly</w:t>
      </w:r>
      <w:r w:rsidRPr="007F767A" w:rsidR="00A97838">
        <w:t xml:space="preserve"> </w:t>
      </w:r>
      <w:r w:rsidRPr="007F767A" w:rsidR="00797530">
        <w:t xml:space="preserve">showing </w:t>
      </w:r>
      <w:r w:rsidRPr="007F767A" w:rsidR="00A97838">
        <w:t xml:space="preserve">that the </w:t>
      </w:r>
      <w:r w:rsidRPr="007F767A" w:rsidR="00C902FB">
        <w:t>sixteen</w:t>
      </w:r>
      <w:r w:rsidRPr="007F767A" w:rsidR="00A97838">
        <w:t xml:space="preserve"> “had actively fired </w:t>
      </w:r>
      <w:r w:rsidRPr="007F767A" w:rsidR="00F54635">
        <w:t>on</w:t>
      </w:r>
      <w:r w:rsidRPr="007F767A" w:rsidR="00A97838">
        <w:t xml:space="preserve"> the security forces”.</w:t>
      </w:r>
    </w:p>
    <w:p w:rsidRPr="007F767A" w:rsidR="00583B3F" w:rsidP="007F767A" w:rsidRDefault="007F767A">
      <w:pPr>
        <w:pStyle w:val="ECHRPara"/>
      </w:pPr>
      <w:fldSimple w:instr=" SEQ level0 \*arabic ">
        <w:r w:rsidRPr="007F767A">
          <w:rPr>
            <w:noProof/>
          </w:rPr>
          <w:t>123</w:t>
        </w:r>
      </w:fldSimple>
      <w:r w:rsidRPr="007F767A" w:rsidR="00A97838">
        <w:t>.  </w:t>
      </w:r>
      <w:r w:rsidRPr="007F767A" w:rsidR="00614D22">
        <w:t>Finally, t</w:t>
      </w:r>
      <w:r w:rsidRPr="007F767A" w:rsidR="007D42E0">
        <w:t>he Government considered that the applicants</w:t>
      </w:r>
      <w:r w:rsidRPr="007F767A">
        <w:t>’</w:t>
      </w:r>
      <w:r w:rsidRPr="007F767A" w:rsidR="007D42E0">
        <w:t xml:space="preserve"> access to the investigation file had been restricted because it contained intelligence reports </w:t>
      </w:r>
      <w:r w:rsidRPr="007F767A" w:rsidR="00C71D01">
        <w:t xml:space="preserve">and </w:t>
      </w:r>
      <w:r w:rsidRPr="007F767A" w:rsidR="00A058B1">
        <w:t xml:space="preserve">also </w:t>
      </w:r>
      <w:r w:rsidRPr="007F767A" w:rsidR="007D42E0">
        <w:t>statements made by the arrested terrorists concerning the current situation of the illegal organisation</w:t>
      </w:r>
      <w:r w:rsidRPr="007F767A" w:rsidR="00C71D01">
        <w:t xml:space="preserve"> and that t</w:t>
      </w:r>
      <w:r w:rsidRPr="007F767A" w:rsidR="007D42E0">
        <w:t xml:space="preserve">hat information had to be kept confidential </w:t>
      </w:r>
      <w:r w:rsidRPr="007F767A" w:rsidR="00F54635">
        <w:t xml:space="preserve">so that </w:t>
      </w:r>
      <w:r w:rsidRPr="007F767A" w:rsidR="007D42E0">
        <w:t>other members of the organisation</w:t>
      </w:r>
      <w:r w:rsidRPr="007F767A" w:rsidR="00C71D01">
        <w:t xml:space="preserve"> </w:t>
      </w:r>
      <w:r w:rsidRPr="007F767A" w:rsidR="00F54635">
        <w:t xml:space="preserve">could be arrested </w:t>
      </w:r>
      <w:r w:rsidRPr="007F767A" w:rsidR="00C71D01">
        <w:t xml:space="preserve">(see paragraph </w:t>
      </w:r>
      <w:r w:rsidRPr="007F767A" w:rsidR="00743F3F">
        <w:t>104</w:t>
      </w:r>
      <w:r w:rsidRPr="007F767A" w:rsidR="00C71D01">
        <w:t xml:space="preserve"> above).</w:t>
      </w:r>
      <w:r w:rsidRPr="007F767A" w:rsidR="007D42E0">
        <w:t xml:space="preserve"> </w:t>
      </w:r>
      <w:r w:rsidRPr="007F767A" w:rsidR="00C71D01">
        <w:t>The Court notes that the Government</w:t>
      </w:r>
      <w:r w:rsidRPr="007F767A">
        <w:t>’</w:t>
      </w:r>
      <w:r w:rsidRPr="007F767A" w:rsidR="00C71D01">
        <w:t>s assertion is refuted by the Ovac</w:t>
      </w:r>
      <w:r w:rsidRPr="007F767A" w:rsidR="00C71D01">
        <w:rPr>
          <w:rFonts w:cstheme="minorHAnsi"/>
        </w:rPr>
        <w:t>ı</w:t>
      </w:r>
      <w:r w:rsidRPr="007F767A" w:rsidR="00C71D01">
        <w:t>k prosecutor</w:t>
      </w:r>
      <w:r w:rsidRPr="007F767A">
        <w:t>’</w:t>
      </w:r>
      <w:r w:rsidRPr="007F767A" w:rsidR="00C71D01">
        <w:t xml:space="preserve">s </w:t>
      </w:r>
      <w:r w:rsidRPr="007F767A" w:rsidR="000460A2">
        <w:t xml:space="preserve">written </w:t>
      </w:r>
      <w:r w:rsidRPr="007F767A" w:rsidR="00C71D01">
        <w:t xml:space="preserve">request to have the investigation file classified </w:t>
      </w:r>
      <w:r w:rsidRPr="007F767A" w:rsidR="00835F1C">
        <w:t xml:space="preserve">as </w:t>
      </w:r>
      <w:r w:rsidRPr="007F767A" w:rsidR="00C71D01">
        <w:t>confidential and the Ovacık Magistrates</w:t>
      </w:r>
      <w:r w:rsidRPr="007F767A">
        <w:t>’</w:t>
      </w:r>
      <w:r w:rsidRPr="007F767A" w:rsidR="00C71D01">
        <w:t xml:space="preserve"> decision accepting the prosecutor</w:t>
      </w:r>
      <w:r w:rsidRPr="007F767A">
        <w:t>’</w:t>
      </w:r>
      <w:r w:rsidRPr="007F767A" w:rsidR="00C71D01">
        <w:t xml:space="preserve">s request (see paragraphs </w:t>
      </w:r>
      <w:r w:rsidRPr="007F767A" w:rsidR="00743F3F">
        <w:t>44-45</w:t>
      </w:r>
      <w:r w:rsidRPr="007F767A" w:rsidR="00C71D01">
        <w:t xml:space="preserve"> above) in which </w:t>
      </w:r>
      <w:r w:rsidRPr="007F767A" w:rsidR="007D42E0">
        <w:t xml:space="preserve">no mention </w:t>
      </w:r>
      <w:r w:rsidRPr="007F767A" w:rsidR="00C71D01">
        <w:t>was made of any sensitive documents or of any sta</w:t>
      </w:r>
      <w:r w:rsidRPr="007F767A" w:rsidR="00A058B1">
        <w:t>te</w:t>
      </w:r>
      <w:r w:rsidRPr="007F767A" w:rsidR="00C71D01">
        <w:t>men</w:t>
      </w:r>
      <w:r w:rsidRPr="007F767A" w:rsidR="00A058B1">
        <w:t>ts</w:t>
      </w:r>
      <w:r w:rsidRPr="007F767A" w:rsidR="00C71D01">
        <w:t xml:space="preserve"> having been made by any arrested persons</w:t>
      </w:r>
      <w:r w:rsidRPr="007F767A" w:rsidR="007D42E0">
        <w:t xml:space="preserve">. </w:t>
      </w:r>
      <w:r w:rsidRPr="007F767A" w:rsidR="00C71D01">
        <w:t>The real reason for the prosecutor</w:t>
      </w:r>
      <w:r w:rsidRPr="007F767A">
        <w:t>’</w:t>
      </w:r>
      <w:r w:rsidRPr="007F767A" w:rsidR="00C71D01">
        <w:t>s request was</w:t>
      </w:r>
      <w:r w:rsidRPr="007F767A" w:rsidR="00A058B1">
        <w:t>, according to those two documents,</w:t>
      </w:r>
      <w:r w:rsidRPr="007F767A" w:rsidR="00C71D01">
        <w:t xml:space="preserve"> because the three applicants who requested those documents from the file were related to “the deceased members of the terrorist organisation”. The Court is also unable to accept the Government</w:t>
      </w:r>
      <w:r w:rsidRPr="007F767A">
        <w:t>’</w:t>
      </w:r>
      <w:r w:rsidRPr="007F767A" w:rsidR="00C71D01">
        <w:t xml:space="preserve">s submissions that the decision to classify the investigation as confidential </w:t>
      </w:r>
      <w:r w:rsidRPr="007F767A" w:rsidR="00463A3F">
        <w:t>ha</w:t>
      </w:r>
      <w:r w:rsidRPr="007F767A" w:rsidR="00C71D01">
        <w:t>d</w:t>
      </w:r>
      <w:r w:rsidRPr="007F767A" w:rsidR="007D42E0">
        <w:t xml:space="preserve"> not prevent</w:t>
      </w:r>
      <w:r w:rsidRPr="007F767A" w:rsidR="00463A3F">
        <w:t>ed</w:t>
      </w:r>
      <w:r w:rsidRPr="007F767A" w:rsidR="007D42E0">
        <w:t xml:space="preserve"> the relatives from accessing the file</w:t>
      </w:r>
      <w:r w:rsidRPr="007F767A" w:rsidR="00C71D01">
        <w:t xml:space="preserve"> because in the Government</w:t>
      </w:r>
      <w:r w:rsidRPr="007F767A">
        <w:t>’</w:t>
      </w:r>
      <w:r w:rsidRPr="007F767A" w:rsidR="00C71D01">
        <w:t xml:space="preserve">s opinion that decision </w:t>
      </w:r>
      <w:r w:rsidRPr="007F767A" w:rsidR="007D42E0">
        <w:t xml:space="preserve">only </w:t>
      </w:r>
      <w:r w:rsidRPr="007F767A" w:rsidR="00835F1C">
        <w:t xml:space="preserve">placed </w:t>
      </w:r>
      <w:r w:rsidRPr="007F767A" w:rsidR="007D42E0">
        <w:t>restrict</w:t>
      </w:r>
      <w:r w:rsidRPr="007F767A" w:rsidR="00835F1C">
        <w:t>ions</w:t>
      </w:r>
      <w:r w:rsidRPr="007F767A" w:rsidR="00C902FB">
        <w:t xml:space="preserve"> </w:t>
      </w:r>
      <w:r w:rsidRPr="007F767A" w:rsidR="00835F1C">
        <w:t xml:space="preserve">on the removal of </w:t>
      </w:r>
      <w:r w:rsidRPr="007F767A" w:rsidR="007D42E0">
        <w:t xml:space="preserve">some </w:t>
      </w:r>
      <w:r w:rsidRPr="007F767A" w:rsidR="00835F1C">
        <w:t xml:space="preserve">of the </w:t>
      </w:r>
      <w:r w:rsidRPr="007F767A" w:rsidR="007D42E0">
        <w:t xml:space="preserve">documents </w:t>
      </w:r>
      <w:r w:rsidRPr="007F767A" w:rsidR="00835F1C">
        <w:t>in</w:t>
      </w:r>
      <w:r w:rsidRPr="007F767A" w:rsidR="007D42E0">
        <w:t xml:space="preserve"> the file</w:t>
      </w:r>
      <w:r w:rsidRPr="007F767A" w:rsidR="00C71D01">
        <w:t xml:space="preserve"> and that the file </w:t>
      </w:r>
      <w:r w:rsidRPr="007F767A" w:rsidR="003569A2">
        <w:t>had</w:t>
      </w:r>
      <w:r w:rsidRPr="007F767A" w:rsidR="00C71D01">
        <w:t xml:space="preserve"> always been accessible to the relatives. Unlike the Government, the Court notes that that decision</w:t>
      </w:r>
      <w:r w:rsidRPr="007F767A" w:rsidR="007D42E0">
        <w:t xml:space="preserve"> </w:t>
      </w:r>
      <w:r w:rsidRPr="007F767A" w:rsidR="00C71D01">
        <w:t xml:space="preserve">effectively </w:t>
      </w:r>
      <w:r w:rsidRPr="007F767A" w:rsidR="00E932A8">
        <w:t xml:space="preserve">prevented the applicants from seeing any </w:t>
      </w:r>
      <w:r w:rsidRPr="007F767A" w:rsidR="00835F1C">
        <w:t xml:space="preserve">of the </w:t>
      </w:r>
      <w:r w:rsidRPr="007F767A" w:rsidR="00E932A8">
        <w:t>documents in the file</w:t>
      </w:r>
      <w:r w:rsidRPr="007F767A" w:rsidR="00835F1C">
        <w:t>,</w:t>
      </w:r>
      <w:r w:rsidRPr="007F767A" w:rsidR="00E932A8">
        <w:t xml:space="preserve"> with the exception of the autopsy reports. In fact the applicants did not have access to the </w:t>
      </w:r>
      <w:r w:rsidRPr="007F767A" w:rsidR="000460A2">
        <w:t>documents in the fi</w:t>
      </w:r>
      <w:r w:rsidRPr="007F767A" w:rsidR="00E932A8">
        <w:t>le until some three years after the investigation was closed</w:t>
      </w:r>
      <w:r w:rsidRPr="007F767A" w:rsidR="00C902FB">
        <w:t>;</w:t>
      </w:r>
      <w:r w:rsidRPr="007F767A" w:rsidR="00E932A8">
        <w:t xml:space="preserve"> those documents were made available to the Court and the Court forwarded them to the applicants (see paragraph </w:t>
      </w:r>
      <w:r w:rsidRPr="007F767A" w:rsidR="00743F3F">
        <w:t>89</w:t>
      </w:r>
      <w:r w:rsidRPr="007F767A" w:rsidR="00E932A8">
        <w:t xml:space="preserve"> above).</w:t>
      </w:r>
    </w:p>
    <w:p w:rsidRPr="007F767A" w:rsidR="006C6CD7" w:rsidP="007F767A" w:rsidRDefault="007F767A">
      <w:pPr>
        <w:pStyle w:val="ECHRPara"/>
      </w:pPr>
      <w:fldSimple w:instr=" SEQ level0 \*arabic ">
        <w:r w:rsidRPr="007F767A">
          <w:rPr>
            <w:noProof/>
          </w:rPr>
          <w:t>124</w:t>
        </w:r>
      </w:fldSimple>
      <w:r w:rsidRPr="007F767A" w:rsidR="00583B3F">
        <w:t>.  </w:t>
      </w:r>
      <w:r w:rsidRPr="007F767A" w:rsidR="007D624E">
        <w:t>In the light of the</w:t>
      </w:r>
      <w:r w:rsidRPr="007F767A" w:rsidR="006C6CD7">
        <w:t xml:space="preserve"> serious contradictions and unsupported allegations </w:t>
      </w:r>
      <w:r w:rsidRPr="007F767A" w:rsidR="00A058B1">
        <w:t xml:space="preserve">contained </w:t>
      </w:r>
      <w:r w:rsidRPr="007F767A" w:rsidR="006C6CD7">
        <w:t xml:space="preserve">in them, the </w:t>
      </w:r>
      <w:r w:rsidRPr="007F767A" w:rsidR="00B46D3E">
        <w:t xml:space="preserve">Court </w:t>
      </w:r>
      <w:r w:rsidRPr="007F767A" w:rsidR="006C6CD7">
        <w:t>considers that the Government</w:t>
      </w:r>
      <w:r w:rsidRPr="007F767A">
        <w:t>’</w:t>
      </w:r>
      <w:r w:rsidRPr="007F767A" w:rsidR="006C6CD7">
        <w:t xml:space="preserve">s above-mentioned submissions cannot be taken into account in its examination of whether the Government </w:t>
      </w:r>
      <w:r w:rsidRPr="007F767A" w:rsidR="00DA6062">
        <w:t xml:space="preserve">have </w:t>
      </w:r>
      <w:r w:rsidRPr="007F767A" w:rsidR="006C6CD7">
        <w:t xml:space="preserve">discharged </w:t>
      </w:r>
      <w:r w:rsidRPr="007F767A" w:rsidR="00DA6062">
        <w:t>their</w:t>
      </w:r>
      <w:r w:rsidRPr="007F767A" w:rsidR="006C6CD7">
        <w:t xml:space="preserve"> </w:t>
      </w:r>
      <w:r w:rsidRPr="007F767A" w:rsidR="00A8663F">
        <w:t>burden</w:t>
      </w:r>
      <w:r w:rsidRPr="007F767A" w:rsidR="00835F1C">
        <w:t xml:space="preserve"> to </w:t>
      </w:r>
      <w:r w:rsidRPr="007F767A" w:rsidR="00DA6062">
        <w:t>justify the killings.</w:t>
      </w:r>
    </w:p>
    <w:p w:rsidRPr="007F767A" w:rsidR="00396A43" w:rsidP="007F767A" w:rsidRDefault="007F767A">
      <w:pPr>
        <w:pStyle w:val="ECHRPara"/>
      </w:pPr>
      <w:fldSimple w:instr=" SEQ level0 \*arabic ">
        <w:r w:rsidRPr="007F767A">
          <w:rPr>
            <w:noProof/>
          </w:rPr>
          <w:t>125</w:t>
        </w:r>
      </w:fldSimple>
      <w:r w:rsidRPr="007F767A" w:rsidR="006C6CD7">
        <w:t>.  </w:t>
      </w:r>
      <w:r w:rsidRPr="007F767A" w:rsidR="00D926F0">
        <w:t xml:space="preserve">Turning to the </w:t>
      </w:r>
      <w:r w:rsidRPr="007F767A" w:rsidR="00114988">
        <w:t xml:space="preserve">examination of the </w:t>
      </w:r>
      <w:r w:rsidRPr="007F767A" w:rsidR="00CD0114">
        <w:t xml:space="preserve">steps taken during </w:t>
      </w:r>
      <w:r w:rsidRPr="007F767A" w:rsidR="00D926F0">
        <w:t>the investigation</w:t>
      </w:r>
      <w:r w:rsidRPr="007F767A" w:rsidR="00CD0114">
        <w:t xml:space="preserve"> by the national authorities</w:t>
      </w:r>
      <w:r w:rsidRPr="007F767A" w:rsidR="000460A2">
        <w:t xml:space="preserve"> which are summarised above</w:t>
      </w:r>
      <w:r w:rsidRPr="007F767A" w:rsidR="00D926F0">
        <w:t>, t</w:t>
      </w:r>
      <w:r w:rsidRPr="007F767A" w:rsidR="000C1ABB">
        <w:t xml:space="preserve">he Court </w:t>
      </w:r>
      <w:r w:rsidRPr="007F767A" w:rsidR="00AB1AAE">
        <w:t xml:space="preserve">has </w:t>
      </w:r>
      <w:r w:rsidRPr="007F767A" w:rsidR="00D926F0">
        <w:t>already noted</w:t>
      </w:r>
      <w:r w:rsidRPr="007F767A" w:rsidR="000C1ABB">
        <w:t xml:space="preserve"> that the prosecutor failed to go to the place of the incident to secure the scene and to collect </w:t>
      </w:r>
      <w:r w:rsidRPr="007F767A" w:rsidR="00460F8D">
        <w:t xml:space="preserve">the evidence. In this connection </w:t>
      </w:r>
      <w:r w:rsidRPr="007F767A" w:rsidR="00D926F0">
        <w:t xml:space="preserve">it must be noted that </w:t>
      </w:r>
      <w:r w:rsidRPr="007F767A" w:rsidR="005F4D49">
        <w:t>the Government</w:t>
      </w:r>
      <w:r w:rsidRPr="007F767A" w:rsidR="00D926F0">
        <w:t>, wh</w:t>
      </w:r>
      <w:r w:rsidRPr="007F767A" w:rsidR="00E82D90">
        <w:t>o</w:t>
      </w:r>
      <w:r w:rsidRPr="007F767A" w:rsidR="00D926F0">
        <w:t xml:space="preserve"> </w:t>
      </w:r>
      <w:r w:rsidRPr="007F767A" w:rsidR="00114988">
        <w:t xml:space="preserve">limited their arguments to incorrectly maintaining </w:t>
      </w:r>
      <w:r w:rsidRPr="007F767A" w:rsidR="00D926F0">
        <w:t xml:space="preserve">that the prosecutor had gone to the </w:t>
      </w:r>
      <w:r w:rsidRPr="007F767A" w:rsidR="00114988">
        <w:t xml:space="preserve">incident </w:t>
      </w:r>
      <w:r w:rsidRPr="007F767A" w:rsidR="00D926F0">
        <w:t>area immediately after the operation, did</w:t>
      </w:r>
      <w:r w:rsidRPr="007F767A" w:rsidR="005F4D49">
        <w:t xml:space="preserve"> not</w:t>
      </w:r>
      <w:r w:rsidRPr="007F767A" w:rsidR="00D926F0">
        <w:t>, as a result,</w:t>
      </w:r>
      <w:r w:rsidRPr="007F767A" w:rsidR="005F4D49">
        <w:t xml:space="preserve"> elaborate on what actual “</w:t>
      </w:r>
      <w:r w:rsidRPr="007F767A" w:rsidR="002D1395">
        <w:t>safety concerns</w:t>
      </w:r>
      <w:r w:rsidRPr="007F767A" w:rsidR="005F4D49">
        <w:t>”</w:t>
      </w:r>
      <w:r w:rsidRPr="007F767A" w:rsidR="00062362">
        <w:t xml:space="preserve"> </w:t>
      </w:r>
      <w:r w:rsidRPr="007F767A" w:rsidR="005F4D49">
        <w:t>had prevented th</w:t>
      </w:r>
      <w:r w:rsidRPr="007F767A" w:rsidR="00AB1AAE">
        <w:t>at</w:t>
      </w:r>
      <w:r w:rsidRPr="007F767A" w:rsidR="005F4D49">
        <w:t xml:space="preserve"> prosecutor from visiting the area after the operation had come to an end and </w:t>
      </w:r>
      <w:r w:rsidRPr="007F767A" w:rsidR="00062362">
        <w:t xml:space="preserve">the area </w:t>
      </w:r>
      <w:r w:rsidRPr="007F767A" w:rsidR="005F4D49">
        <w:t xml:space="preserve">was under the control of the soldiers. </w:t>
      </w:r>
      <w:r w:rsidRPr="007F767A" w:rsidR="00FE3143">
        <w:t xml:space="preserve">Neither did the prosecutor seem to have considered </w:t>
      </w:r>
      <w:r w:rsidRPr="007F767A" w:rsidR="00114988">
        <w:t>other possibilities</w:t>
      </w:r>
      <w:r w:rsidRPr="007F767A" w:rsidR="00835F1C">
        <w:t>, such as</w:t>
      </w:r>
      <w:r w:rsidRPr="007F767A" w:rsidR="00114988">
        <w:t xml:space="preserve"> having the incident site examined and the evidence there collected by independent experts</w:t>
      </w:r>
      <w:r w:rsidRPr="007F767A" w:rsidR="004E2AAC">
        <w:t xml:space="preserve"> from, </w:t>
      </w:r>
      <w:r w:rsidRPr="007F767A" w:rsidR="004E2AAC">
        <w:rPr>
          <w:i/>
        </w:rPr>
        <w:t>inter alia</w:t>
      </w:r>
      <w:r w:rsidRPr="007F767A" w:rsidR="004E2AAC">
        <w:t>,</w:t>
      </w:r>
      <w:r w:rsidRPr="007F767A" w:rsidR="00114988">
        <w:t xml:space="preserve"> </w:t>
      </w:r>
      <w:r w:rsidRPr="007F767A" w:rsidR="00396A43">
        <w:t>the Gendarmerie</w:t>
      </w:r>
      <w:r w:rsidRPr="007F767A">
        <w:t>’</w:t>
      </w:r>
      <w:r w:rsidRPr="007F767A" w:rsidR="00396A43">
        <w:t>s Forensic Branch</w:t>
      </w:r>
      <w:r w:rsidRPr="007F767A" w:rsidR="00835F1C">
        <w:t>,</w:t>
      </w:r>
      <w:r w:rsidRPr="007F767A" w:rsidR="00396A43">
        <w:t xml:space="preserve"> wh</w:t>
      </w:r>
      <w:r w:rsidRPr="007F767A" w:rsidR="004E2AAC">
        <w:t>ich</w:t>
      </w:r>
      <w:r w:rsidRPr="007F767A" w:rsidR="00396A43">
        <w:t xml:space="preserve"> ha</w:t>
      </w:r>
      <w:r w:rsidRPr="007F767A" w:rsidR="004E2AAC">
        <w:t>s</w:t>
      </w:r>
      <w:r w:rsidRPr="007F767A" w:rsidR="00396A43">
        <w:t xml:space="preserve"> the expertise to carry out such examinations.</w:t>
      </w:r>
    </w:p>
    <w:p w:rsidRPr="007F767A" w:rsidR="008E5E70" w:rsidP="007F767A" w:rsidRDefault="007F767A">
      <w:pPr>
        <w:pStyle w:val="ECHRPara"/>
      </w:pPr>
      <w:fldSimple w:instr=" SEQ level0 \*arabic ">
        <w:r w:rsidRPr="007F767A">
          <w:rPr>
            <w:noProof/>
          </w:rPr>
          <w:t>126</w:t>
        </w:r>
      </w:fldSimple>
      <w:r w:rsidRPr="007F767A" w:rsidR="00396A43">
        <w:t>.  As a result of the prosecutor</w:t>
      </w:r>
      <w:r w:rsidRPr="007F767A">
        <w:t>’</w:t>
      </w:r>
      <w:r w:rsidRPr="007F767A" w:rsidR="00396A43">
        <w:t xml:space="preserve">s failure, </w:t>
      </w:r>
      <w:r w:rsidRPr="007F767A" w:rsidR="00062362">
        <w:t xml:space="preserve">the initial and critical phases of the investigation were carried out by </w:t>
      </w:r>
      <w:r w:rsidRPr="007F767A" w:rsidR="000460A2">
        <w:t>the soldiers</w:t>
      </w:r>
      <w:r w:rsidRPr="007F767A" w:rsidR="00062362">
        <w:t xml:space="preserve"> who killed the applicants</w:t>
      </w:r>
      <w:r w:rsidRPr="007F767A">
        <w:t>’</w:t>
      </w:r>
      <w:r w:rsidRPr="007F767A" w:rsidR="00062362">
        <w:t xml:space="preserve"> relatives and who were therefore supposed to be under investigation.</w:t>
      </w:r>
      <w:r w:rsidRPr="007F767A" w:rsidR="00396A43">
        <w:t xml:space="preserve"> </w:t>
      </w:r>
      <w:r w:rsidRPr="007F767A" w:rsidR="00CD0114">
        <w:t xml:space="preserve">Thus, </w:t>
      </w:r>
      <w:r w:rsidRPr="007F767A" w:rsidR="00D926F0">
        <w:t>the crucial evidence, such as the weapons, ammunition, spent bullet cases and the bodies of the app</w:t>
      </w:r>
      <w:r w:rsidRPr="007F767A" w:rsidR="000460A2">
        <w:t>licants</w:t>
      </w:r>
      <w:r w:rsidRPr="007F767A">
        <w:t>’</w:t>
      </w:r>
      <w:r w:rsidRPr="007F767A" w:rsidR="000460A2">
        <w:t xml:space="preserve"> relatives</w:t>
      </w:r>
      <w:r w:rsidRPr="007F767A" w:rsidR="00835F1C">
        <w:t>,</w:t>
      </w:r>
      <w:r w:rsidRPr="007F767A" w:rsidR="000460A2">
        <w:t xml:space="preserve"> were secured </w:t>
      </w:r>
      <w:r w:rsidRPr="007F767A" w:rsidR="00D926F0">
        <w:t xml:space="preserve">by those soldiers. </w:t>
      </w:r>
      <w:r w:rsidRPr="007F767A" w:rsidR="00460F8D">
        <w:t xml:space="preserve">The Court considers that allowing </w:t>
      </w:r>
      <w:r w:rsidRPr="007F767A" w:rsidR="00396A43">
        <w:t xml:space="preserve">those </w:t>
      </w:r>
      <w:r w:rsidRPr="007F767A" w:rsidR="00460F8D">
        <w:t xml:space="preserve">soldiers to take such an active part in the investigation into the killing is not only so serious as to taint the independence of the entirety of the criminal proceedings (see </w:t>
      </w:r>
      <w:r w:rsidRPr="007F767A" w:rsidR="00460F8D">
        <w:rPr>
          <w:i/>
        </w:rPr>
        <w:t>Ramsahai and Others v. the Netherlands</w:t>
      </w:r>
      <w:r w:rsidRPr="007F767A" w:rsidR="00460F8D">
        <w:t xml:space="preserve"> [GC], no. 52391/99, §§</w:t>
      </w:r>
      <w:r w:rsidRPr="007F767A" w:rsidR="00A96AA9">
        <w:t> </w:t>
      </w:r>
      <w:r w:rsidRPr="007F767A" w:rsidR="00460F8D">
        <w:t>339-341, ECHR 2007</w:t>
      </w:r>
      <w:r w:rsidRPr="007F767A" w:rsidR="00460F8D">
        <w:rPr>
          <w:rFonts w:ascii="MS Mincho" w:hAnsi="MS Mincho" w:eastAsia="MS Mincho" w:cs="MS Mincho"/>
        </w:rPr>
        <w:t>‑</w:t>
      </w:r>
      <w:r w:rsidRPr="007F767A" w:rsidR="00460F8D">
        <w:t xml:space="preserve">II), but also entailed the risk that crucial evidence implicating the soldiers in the killing would be </w:t>
      </w:r>
      <w:r w:rsidRPr="007F767A" w:rsidR="00934EB9">
        <w:t xml:space="preserve">contaminated, </w:t>
      </w:r>
      <w:r w:rsidRPr="007F767A" w:rsidR="00460F8D">
        <w:t>destroyed or ignored (see</w:t>
      </w:r>
      <w:r w:rsidRPr="007F767A" w:rsidR="00811A8C">
        <w:rPr>
          <w:i/>
          <w:snapToGrid w:val="0"/>
        </w:rPr>
        <w:t xml:space="preserve"> Gülbahar Özer</w:t>
      </w:r>
      <w:r w:rsidRPr="007F767A" w:rsidR="00811A8C">
        <w:rPr>
          <w:snapToGrid w:val="0"/>
        </w:rPr>
        <w:t xml:space="preserve"> </w:t>
      </w:r>
      <w:r w:rsidRPr="007F767A" w:rsidR="00811A8C">
        <w:rPr>
          <w:i/>
          <w:snapToGrid w:val="0"/>
        </w:rPr>
        <w:t>and Others</w:t>
      </w:r>
      <w:r w:rsidRPr="007F767A" w:rsidR="00811A8C">
        <w:rPr>
          <w:snapToGrid w:val="0"/>
        </w:rPr>
        <w:t>,</w:t>
      </w:r>
      <w:r w:rsidRPr="007F767A" w:rsidR="008A234A">
        <w:rPr>
          <w:snapToGrid w:val="0"/>
        </w:rPr>
        <w:t xml:space="preserve"> cited above,</w:t>
      </w:r>
      <w:r w:rsidRPr="007F767A" w:rsidR="00811A8C">
        <w:rPr>
          <w:snapToGrid w:val="0"/>
        </w:rPr>
        <w:t xml:space="preserve"> § 62; see also</w:t>
      </w:r>
      <w:r w:rsidRPr="007F767A" w:rsidR="00460F8D">
        <w:t xml:space="preserve"> </w:t>
      </w:r>
      <w:r w:rsidRPr="007F767A" w:rsidR="00460F8D">
        <w:rPr>
          <w:rFonts w:ascii="Times New Roman" w:hAnsi="Times New Roman" w:cs="Times New Roman"/>
          <w:i/>
        </w:rPr>
        <w:t>Ö</w:t>
      </w:r>
      <w:r w:rsidRPr="007F767A" w:rsidR="00460F8D">
        <w:rPr>
          <w:i/>
        </w:rPr>
        <w:t>zcan and Others</w:t>
      </w:r>
      <w:r w:rsidRPr="007F767A" w:rsidR="00460F8D">
        <w:t>,</w:t>
      </w:r>
      <w:r w:rsidRPr="007F767A" w:rsidR="006B644D">
        <w:t xml:space="preserve"> cited above,</w:t>
      </w:r>
      <w:r w:rsidRPr="007F767A" w:rsidR="00460F8D">
        <w:t xml:space="preserve"> </w:t>
      </w:r>
      <w:r w:rsidRPr="007F767A" w:rsidR="00460F8D">
        <w:rPr>
          <w:rFonts w:ascii="Times New Roman" w:hAnsi="Times New Roman" w:cs="Times New Roman"/>
        </w:rPr>
        <w:t>§</w:t>
      </w:r>
      <w:r w:rsidRPr="007F767A" w:rsidR="00460F8D">
        <w:t xml:space="preserve"> 66).</w:t>
      </w:r>
      <w:r w:rsidRPr="007F767A" w:rsidR="00C81470">
        <w:t xml:space="preserve"> In its examination below of the evidence collected from the scene and </w:t>
      </w:r>
      <w:r w:rsidRPr="007F767A" w:rsidR="008E47B2">
        <w:t xml:space="preserve">in </w:t>
      </w:r>
      <w:r w:rsidRPr="007F767A" w:rsidR="00A91BD1">
        <w:t xml:space="preserve">assessing </w:t>
      </w:r>
      <w:r w:rsidRPr="007F767A" w:rsidR="008E47B2">
        <w:t>its</w:t>
      </w:r>
      <w:r w:rsidRPr="007F767A" w:rsidR="00C81470">
        <w:t xml:space="preserve"> corroborative value</w:t>
      </w:r>
      <w:r w:rsidRPr="007F767A" w:rsidR="00A91BD1">
        <w:t>,</w:t>
      </w:r>
      <w:r w:rsidRPr="007F767A" w:rsidR="00C81470">
        <w:t xml:space="preserve"> the Court will take into account th</w:t>
      </w:r>
      <w:r w:rsidRPr="007F767A" w:rsidR="00031FB6">
        <w:t>at</w:t>
      </w:r>
      <w:r w:rsidRPr="007F767A" w:rsidR="00C81470">
        <w:t xml:space="preserve"> risk.</w:t>
      </w:r>
      <w:r w:rsidRPr="007F767A" w:rsidR="00F37706">
        <w:t xml:space="preserve"> </w:t>
      </w:r>
      <w:r w:rsidRPr="007F767A" w:rsidR="008E5E70">
        <w:t>In this connection t</w:t>
      </w:r>
      <w:r w:rsidRPr="007F767A" w:rsidR="00AD3004">
        <w:t xml:space="preserve">he Court </w:t>
      </w:r>
      <w:r w:rsidRPr="007F767A" w:rsidR="00031FB6">
        <w:t xml:space="preserve">must also stress that it </w:t>
      </w:r>
      <w:r w:rsidRPr="007F767A" w:rsidR="00AD3004">
        <w:t>cannot accept th</w:t>
      </w:r>
      <w:r w:rsidRPr="007F767A" w:rsidR="00F37706">
        <w:t>e Government</w:t>
      </w:r>
      <w:r w:rsidRPr="007F767A">
        <w:t>’</w:t>
      </w:r>
      <w:r w:rsidRPr="007F767A" w:rsidR="00614D22">
        <w:t>s submissions</w:t>
      </w:r>
      <w:r w:rsidRPr="007F767A" w:rsidR="00AD3004">
        <w:t xml:space="preserve"> that</w:t>
      </w:r>
      <w:r w:rsidRPr="007F767A" w:rsidR="00F37706">
        <w:t xml:space="preserve"> the prosecutor “had personally carried out the procedure throughout the investigation and had never relied heavily on the information provided b</w:t>
      </w:r>
      <w:r w:rsidRPr="007F767A" w:rsidR="008D5FDC">
        <w:t>y the gendarmes” (see paragraph </w:t>
      </w:r>
      <w:r w:rsidRPr="007F767A" w:rsidR="00743F3F">
        <w:t>103</w:t>
      </w:r>
      <w:r w:rsidRPr="007F767A" w:rsidR="00F37706">
        <w:t xml:space="preserve"> above)</w:t>
      </w:r>
      <w:r w:rsidRPr="007F767A" w:rsidR="00AD3004">
        <w:t>. It</w:t>
      </w:r>
      <w:r w:rsidRPr="007F767A" w:rsidR="00F37706">
        <w:t xml:space="preserve"> observes that </w:t>
      </w:r>
      <w:r w:rsidRPr="007F767A" w:rsidR="00D926F0">
        <w:t xml:space="preserve">almost all the </w:t>
      </w:r>
      <w:r w:rsidRPr="007F767A" w:rsidR="008E47B2">
        <w:t>actions</w:t>
      </w:r>
      <w:r w:rsidRPr="007F767A" w:rsidR="00D926F0">
        <w:t xml:space="preserve"> taken in the</w:t>
      </w:r>
      <w:r w:rsidRPr="007F767A" w:rsidR="00F37706">
        <w:t xml:space="preserve"> investigation w</w:t>
      </w:r>
      <w:r w:rsidRPr="007F767A" w:rsidR="00D926F0">
        <w:t>ere</w:t>
      </w:r>
      <w:r w:rsidRPr="007F767A" w:rsidR="00F37706">
        <w:t xml:space="preserve"> based on the information </w:t>
      </w:r>
      <w:r w:rsidRPr="007F767A" w:rsidR="0026023D">
        <w:t xml:space="preserve">contained in the incident reports </w:t>
      </w:r>
      <w:r w:rsidRPr="007F767A" w:rsidR="00F37706">
        <w:t>pr</w:t>
      </w:r>
      <w:r w:rsidRPr="007F767A" w:rsidR="0026023D">
        <w:t>epared</w:t>
      </w:r>
      <w:r w:rsidRPr="007F767A" w:rsidR="00F37706">
        <w:t xml:space="preserve"> by the soldiers who killed the applicants</w:t>
      </w:r>
      <w:r w:rsidRPr="007F767A">
        <w:t>’</w:t>
      </w:r>
      <w:r w:rsidRPr="007F767A" w:rsidR="00F37706">
        <w:t xml:space="preserve"> relatives</w:t>
      </w:r>
      <w:r w:rsidRPr="007F767A" w:rsidR="00AD3004">
        <w:t xml:space="preserve"> and the evidence collected </w:t>
      </w:r>
      <w:r w:rsidRPr="007F767A" w:rsidR="005230C5">
        <w:t>by them from</w:t>
      </w:r>
      <w:r w:rsidRPr="007F767A" w:rsidR="00AD3004">
        <w:t xml:space="preserve"> the scene.</w:t>
      </w:r>
    </w:p>
    <w:p w:rsidRPr="007F767A" w:rsidR="007D03BD" w:rsidP="007F767A" w:rsidRDefault="007F767A">
      <w:pPr>
        <w:pStyle w:val="ECHRPara"/>
        <w:rPr>
          <w:i/>
        </w:rPr>
      </w:pPr>
      <w:fldSimple w:instr=" SEQ level0 \*arabic ">
        <w:r w:rsidRPr="007F767A">
          <w:rPr>
            <w:noProof/>
          </w:rPr>
          <w:t>127</w:t>
        </w:r>
      </w:fldSimple>
      <w:r w:rsidRPr="007F767A" w:rsidR="00222DD1">
        <w:t>.  T</w:t>
      </w:r>
      <w:r w:rsidRPr="007F767A" w:rsidR="00AB1AAE">
        <w:t xml:space="preserve">he Court also notes that </w:t>
      </w:r>
      <w:r w:rsidRPr="007F767A" w:rsidR="00C9139D">
        <w:t xml:space="preserve">no attempts were made by the prosecutor to question </w:t>
      </w:r>
      <w:r w:rsidRPr="007F767A" w:rsidR="00AD3004">
        <w:t xml:space="preserve">any of </w:t>
      </w:r>
      <w:r w:rsidRPr="007F767A" w:rsidR="00BD5B13">
        <w:t xml:space="preserve">the </w:t>
      </w:r>
      <w:r w:rsidRPr="007F767A" w:rsidR="00AB1AAE">
        <w:t xml:space="preserve">military </w:t>
      </w:r>
      <w:r w:rsidRPr="007F767A" w:rsidR="00AD3004">
        <w:t>personnel</w:t>
      </w:r>
      <w:r w:rsidRPr="007F767A" w:rsidR="009C17C9">
        <w:t xml:space="preserve"> </w:t>
      </w:r>
      <w:r w:rsidRPr="007F767A" w:rsidR="00AB1AAE">
        <w:t>who took part in the operation</w:t>
      </w:r>
      <w:r w:rsidRPr="007F767A" w:rsidR="009C17C9">
        <w:t>.</w:t>
      </w:r>
      <w:r w:rsidRPr="007F767A" w:rsidR="003048CF">
        <w:t xml:space="preserve"> </w:t>
      </w:r>
      <w:r w:rsidRPr="007F767A" w:rsidR="00DD443F">
        <w:t>Having reviewed its case-law, t</w:t>
      </w:r>
      <w:r w:rsidRPr="007F767A" w:rsidR="007D03BD">
        <w:t xml:space="preserve">he Court </w:t>
      </w:r>
      <w:r w:rsidRPr="007F767A" w:rsidR="00DD443F">
        <w:t>observes</w:t>
      </w:r>
      <w:r w:rsidRPr="007F767A" w:rsidR="009C17C9">
        <w:t xml:space="preserve"> </w:t>
      </w:r>
      <w:r w:rsidRPr="007F767A" w:rsidR="007D03BD">
        <w:t xml:space="preserve">that one of the common features of investigations </w:t>
      </w:r>
      <w:r w:rsidRPr="007F767A" w:rsidR="00AB29A8">
        <w:t>c</w:t>
      </w:r>
      <w:r w:rsidRPr="007F767A" w:rsidR="007D03BD">
        <w:t xml:space="preserve">onducted by prosecutors in Turkey into killings by members of the security forces is failure to question the perpetrators in a timely manner or to question them </w:t>
      </w:r>
      <w:r w:rsidRPr="007F767A" w:rsidR="003048CF">
        <w:t xml:space="preserve">at all (see, </w:t>
      </w:r>
      <w:r w:rsidRPr="007F767A" w:rsidR="009A6126">
        <w:t>most recently,</w:t>
      </w:r>
      <w:r w:rsidRPr="007F767A" w:rsidR="003048CF">
        <w:t xml:space="preserve"> </w:t>
      </w:r>
      <w:r w:rsidRPr="007F767A" w:rsidR="000619B7">
        <w:rPr>
          <w:i/>
        </w:rPr>
        <w:t>Makbule Kaymaz</w:t>
      </w:r>
      <w:r w:rsidRPr="007F767A" w:rsidR="000619B7">
        <w:t xml:space="preserve"> </w:t>
      </w:r>
      <w:r w:rsidRPr="007F767A" w:rsidR="000619B7">
        <w:rPr>
          <w:i/>
          <w:snapToGrid w:val="0"/>
        </w:rPr>
        <w:t>and Others v. Turkey</w:t>
      </w:r>
      <w:r w:rsidRPr="007F767A" w:rsidR="000619B7">
        <w:rPr>
          <w:snapToGrid w:val="0"/>
        </w:rPr>
        <w:t xml:space="preserve">, </w:t>
      </w:r>
      <w:r w:rsidRPr="007F767A" w:rsidR="000619B7">
        <w:t>no. 651/10</w:t>
      </w:r>
      <w:r w:rsidRPr="007F767A" w:rsidR="000619B7">
        <w:rPr>
          <w:snapToGrid w:val="0"/>
        </w:rPr>
        <w:t>, § 142, 25 February 2014</w:t>
      </w:r>
      <w:r w:rsidRPr="007F767A" w:rsidR="00930ED7">
        <w:rPr>
          <w:snapToGrid w:val="0"/>
        </w:rPr>
        <w:t xml:space="preserve">; </w:t>
      </w:r>
      <w:r w:rsidRPr="007F767A" w:rsidR="009C1F72">
        <w:rPr>
          <w:i/>
        </w:rPr>
        <w:t>Benzer and Others v. Turkey</w:t>
      </w:r>
      <w:r w:rsidRPr="007F767A" w:rsidR="009C1F72">
        <w:t>, no.</w:t>
      </w:r>
      <w:r w:rsidRPr="007F767A" w:rsidR="00A96AA9">
        <w:t xml:space="preserve"> </w:t>
      </w:r>
      <w:r w:rsidRPr="007F767A" w:rsidR="009C1F72">
        <w:t>23502/06</w:t>
      </w:r>
      <w:r w:rsidRPr="007F767A" w:rsidR="009C1F72">
        <w:rPr>
          <w:snapToGrid w:val="0"/>
        </w:rPr>
        <w:t xml:space="preserve">, § 188, 12 November 2013; </w:t>
      </w:r>
      <w:r w:rsidRPr="007F767A" w:rsidR="00F37706">
        <w:rPr>
          <w:i/>
          <w:snapToGrid w:val="0"/>
        </w:rPr>
        <w:t>Gülbahar Özer</w:t>
      </w:r>
      <w:r w:rsidRPr="007F767A" w:rsidR="00F37706">
        <w:rPr>
          <w:snapToGrid w:val="0"/>
        </w:rPr>
        <w:t xml:space="preserve"> </w:t>
      </w:r>
      <w:r w:rsidRPr="007F767A" w:rsidR="00F37706">
        <w:rPr>
          <w:i/>
          <w:snapToGrid w:val="0"/>
        </w:rPr>
        <w:t>and Others</w:t>
      </w:r>
      <w:r w:rsidRPr="007F767A" w:rsidR="00F37706">
        <w:rPr>
          <w:snapToGrid w:val="0"/>
        </w:rPr>
        <w:t>, cited above, § 69;</w:t>
      </w:r>
      <w:r w:rsidRPr="007F767A" w:rsidR="00FE10A2">
        <w:rPr>
          <w:snapToGrid w:val="0"/>
        </w:rPr>
        <w:t xml:space="preserve"> and</w:t>
      </w:r>
      <w:r w:rsidRPr="007F767A" w:rsidR="00F37706">
        <w:rPr>
          <w:snapToGrid w:val="0"/>
        </w:rPr>
        <w:t xml:space="preserve"> </w:t>
      </w:r>
      <w:r w:rsidRPr="007F767A" w:rsidR="00DD443F">
        <w:rPr>
          <w:rFonts w:ascii="Times New Roman" w:hAnsi="Times New Roman" w:cs="Times New Roman"/>
          <w:i/>
        </w:rPr>
        <w:t>Ö</w:t>
      </w:r>
      <w:r w:rsidRPr="007F767A" w:rsidR="00DD443F">
        <w:rPr>
          <w:i/>
        </w:rPr>
        <w:t>zcan and Others</w:t>
      </w:r>
      <w:r w:rsidRPr="007F767A" w:rsidR="00DD443F">
        <w:t>, cited above, §</w:t>
      </w:r>
      <w:r w:rsidRPr="007F767A" w:rsidR="00A96AA9">
        <w:t> </w:t>
      </w:r>
      <w:r w:rsidRPr="007F767A" w:rsidR="00DD443F">
        <w:t>67</w:t>
      </w:r>
      <w:r w:rsidRPr="007F767A" w:rsidR="00FE10A2">
        <w:t>).</w:t>
      </w:r>
    </w:p>
    <w:p w:rsidRPr="007F767A" w:rsidR="00C752B5" w:rsidP="007F767A" w:rsidRDefault="007F767A">
      <w:pPr>
        <w:pStyle w:val="ECHRPara"/>
      </w:pPr>
      <w:fldSimple w:instr=" SEQ level0 \*arabic ">
        <w:r w:rsidRPr="007F767A">
          <w:rPr>
            <w:noProof/>
          </w:rPr>
          <w:t>128</w:t>
        </w:r>
      </w:fldSimple>
      <w:r w:rsidRPr="007F767A" w:rsidR="00CD3D52">
        <w:t>.  </w:t>
      </w:r>
      <w:r w:rsidRPr="007F767A" w:rsidR="001B0C4A">
        <w:t>For t</w:t>
      </w:r>
      <w:r w:rsidRPr="007F767A" w:rsidR="003048CF">
        <w:t>he Court</w:t>
      </w:r>
      <w:r w:rsidRPr="007F767A" w:rsidR="001B0C4A">
        <w:t>,</w:t>
      </w:r>
      <w:r w:rsidRPr="007F767A" w:rsidR="003048CF">
        <w:t xml:space="preserve"> the failure to question the main suspects in an investigation into multiple killings</w:t>
      </w:r>
      <w:r w:rsidRPr="007F767A" w:rsidR="00CD3D52">
        <w:t>, as happened in the present case,</w:t>
      </w:r>
      <w:r w:rsidRPr="007F767A" w:rsidR="003048CF">
        <w:t xml:space="preserve"> </w:t>
      </w:r>
      <w:r w:rsidRPr="007F767A" w:rsidR="001B0C4A">
        <w:t>is not only a serious failure to comply with one of the most important tenets of an effective investigation required by the procedural obligation under Article</w:t>
      </w:r>
      <w:r w:rsidRPr="007F767A" w:rsidR="008D5FDC">
        <w:t> </w:t>
      </w:r>
      <w:r w:rsidRPr="007F767A" w:rsidR="001B0C4A">
        <w:t xml:space="preserve">2 of the Convention, but </w:t>
      </w:r>
      <w:r w:rsidRPr="007F767A" w:rsidR="00C271B9">
        <w:t xml:space="preserve">also </w:t>
      </w:r>
      <w:r w:rsidRPr="007F767A" w:rsidR="001B0C4A">
        <w:t xml:space="preserve">had </w:t>
      </w:r>
      <w:r w:rsidRPr="007F767A" w:rsidR="00C9139D">
        <w:t xml:space="preserve">negative </w:t>
      </w:r>
      <w:r w:rsidRPr="007F767A" w:rsidR="001B0C4A">
        <w:t>repercussions on establishing the truth. The Court also considers that th</w:t>
      </w:r>
      <w:r w:rsidRPr="007F767A" w:rsidR="00C271B9">
        <w:t>is</w:t>
      </w:r>
      <w:r w:rsidRPr="007F767A" w:rsidR="001B0C4A">
        <w:t xml:space="preserve"> failure </w:t>
      </w:r>
      <w:r w:rsidRPr="007F767A" w:rsidR="007F2DBB">
        <w:t>exemplifies</w:t>
      </w:r>
      <w:r w:rsidRPr="007F767A" w:rsidR="001B0C4A">
        <w:t xml:space="preserve"> the attitude displayed throughout the investigation by the prosecutor</w:t>
      </w:r>
      <w:r w:rsidRPr="007F767A" w:rsidR="00C271B9">
        <w:t>,</w:t>
      </w:r>
      <w:r w:rsidRPr="007F767A" w:rsidR="001B0C4A">
        <w:t xml:space="preserve"> </w:t>
      </w:r>
      <w:r w:rsidRPr="007F767A" w:rsidR="004913AA">
        <w:t>who accepted at face value the information given by the military  and</w:t>
      </w:r>
      <w:r w:rsidRPr="007F767A" w:rsidR="001B0C4A">
        <w:t xml:space="preserve"> did not </w:t>
      </w:r>
      <w:r w:rsidRPr="007F767A" w:rsidR="00C9139D">
        <w:t xml:space="preserve">look beyond what was stated in the </w:t>
      </w:r>
      <w:r w:rsidRPr="007F767A" w:rsidR="00B810F4">
        <w:t xml:space="preserve">military </w:t>
      </w:r>
      <w:r w:rsidRPr="007F767A" w:rsidR="00C9139D">
        <w:t>reports</w:t>
      </w:r>
      <w:r w:rsidRPr="007F767A" w:rsidR="00B810F4">
        <w:t>.</w:t>
      </w:r>
    </w:p>
    <w:p w:rsidRPr="007F767A" w:rsidR="005441AE" w:rsidP="007F767A" w:rsidRDefault="007F767A">
      <w:pPr>
        <w:pStyle w:val="ECHRPara"/>
      </w:pPr>
      <w:fldSimple w:instr=" SEQ level0 \*arabic ">
        <w:r w:rsidRPr="007F767A">
          <w:rPr>
            <w:noProof/>
          </w:rPr>
          <w:t>129</w:t>
        </w:r>
      </w:fldSimple>
      <w:r w:rsidRPr="007F767A" w:rsidR="00C752B5">
        <w:t>.  The Court considers that b</w:t>
      </w:r>
      <w:r w:rsidRPr="007F767A" w:rsidR="001A5BCE">
        <w:t xml:space="preserve">y failing to question those soldiers the prosecutor forfeited the opportunity to </w:t>
      </w:r>
      <w:r w:rsidRPr="007F767A" w:rsidR="001B7D37">
        <w:t>eliminate the contradictory evidence contained in the Ovacık and Kemah military reports concerning the issuing or otherwise of surrender warnings</w:t>
      </w:r>
      <w:r w:rsidRPr="007F767A" w:rsidR="00C752B5">
        <w:t xml:space="preserve">. </w:t>
      </w:r>
      <w:r w:rsidRPr="007F767A" w:rsidR="005441AE">
        <w:t>It notes that the only mention of a surrender warning is made in the Ovacık</w:t>
      </w:r>
      <w:r w:rsidRPr="007F767A" w:rsidR="008D5FDC">
        <w:t xml:space="preserve"> military report (see paragraph </w:t>
      </w:r>
      <w:r w:rsidRPr="007F767A" w:rsidR="00743F3F">
        <w:t>22</w:t>
      </w:r>
      <w:r w:rsidRPr="007F767A" w:rsidR="005441AE">
        <w:t xml:space="preserve"> above). It considers however that the accuracy of that information is seriously undermined by the Kemah military report</w:t>
      </w:r>
      <w:r w:rsidRPr="007F767A" w:rsidR="00C271B9">
        <w:t>,</w:t>
      </w:r>
      <w:r w:rsidRPr="007F767A" w:rsidR="005441AE">
        <w:t xml:space="preserve"> which makes no mention of any </w:t>
      </w:r>
      <w:r w:rsidRPr="007F767A" w:rsidR="00C271B9">
        <w:t xml:space="preserve">surrender </w:t>
      </w:r>
      <w:r w:rsidRPr="007F767A" w:rsidR="005441AE">
        <w:t>warnings and according to which</w:t>
      </w:r>
      <w:r w:rsidRPr="007F767A" w:rsidR="006B644D">
        <w:t xml:space="preserve"> </w:t>
      </w:r>
      <w:r w:rsidRPr="007F767A" w:rsidR="005441AE">
        <w:t xml:space="preserve">it </w:t>
      </w:r>
      <w:r w:rsidRPr="007F767A" w:rsidR="00C271B9">
        <w:t>was</w:t>
      </w:r>
      <w:r w:rsidRPr="007F767A" w:rsidR="005441AE">
        <w:t xml:space="preserve"> </w:t>
      </w:r>
      <w:r w:rsidRPr="007F767A" w:rsidR="006B644D">
        <w:t xml:space="preserve">the </w:t>
      </w:r>
      <w:r w:rsidRPr="007F767A" w:rsidR="005441AE">
        <w:t>armed Cobra-type helicopters which had the first contact with the applicants</w:t>
      </w:r>
      <w:r w:rsidRPr="007F767A">
        <w:t>’</w:t>
      </w:r>
      <w:r w:rsidRPr="007F767A" w:rsidR="005441AE">
        <w:t xml:space="preserve"> relatives (see paragraph </w:t>
      </w:r>
      <w:r w:rsidRPr="007F767A" w:rsidR="00743F3F">
        <w:t>26</w:t>
      </w:r>
      <w:r w:rsidRPr="007F767A" w:rsidR="005441AE">
        <w:t xml:space="preserve"> above)</w:t>
      </w:r>
      <w:r w:rsidRPr="007F767A" w:rsidR="006B644D">
        <w:t xml:space="preserve"> and from which no surrender warnings could </w:t>
      </w:r>
      <w:r w:rsidRPr="007F767A" w:rsidR="00C271B9">
        <w:t>con</w:t>
      </w:r>
      <w:r w:rsidRPr="007F767A" w:rsidR="006B644D">
        <w:t>ceivably be issued</w:t>
      </w:r>
      <w:r w:rsidRPr="007F767A" w:rsidR="005441AE">
        <w:t>. As noted above, the prosecutor not only fail</w:t>
      </w:r>
      <w:r w:rsidRPr="007F767A" w:rsidR="00E82D90">
        <w:t>ed</w:t>
      </w:r>
      <w:r w:rsidRPr="007F767A" w:rsidR="005441AE">
        <w:t xml:space="preserve"> </w:t>
      </w:r>
      <w:r w:rsidRPr="007F767A" w:rsidR="006B644D">
        <w:t xml:space="preserve">to </w:t>
      </w:r>
      <w:r w:rsidRPr="007F767A" w:rsidR="005441AE">
        <w:t>question the soldiers about this contradictory evidence</w:t>
      </w:r>
      <w:r w:rsidRPr="007F767A" w:rsidR="00A2279D">
        <w:t>,</w:t>
      </w:r>
      <w:r w:rsidRPr="007F767A" w:rsidR="005441AE">
        <w:t xml:space="preserve"> but </w:t>
      </w:r>
      <w:r w:rsidRPr="007F767A" w:rsidR="006B644D">
        <w:t xml:space="preserve">also </w:t>
      </w:r>
      <w:r w:rsidRPr="007F767A" w:rsidR="005441AE">
        <w:t>failed to make a</w:t>
      </w:r>
      <w:r w:rsidRPr="007F767A" w:rsidR="006B644D">
        <w:t xml:space="preserve">ny reference to </w:t>
      </w:r>
      <w:r w:rsidRPr="007F767A" w:rsidR="005441AE">
        <w:t>the Kemah military report in his decision to close the investigation.</w:t>
      </w:r>
      <w:r w:rsidRPr="007F767A" w:rsidR="00A2279D">
        <w:t xml:space="preserve"> Indeed, no mention was made of the Kemah report in the Government</w:t>
      </w:r>
      <w:r w:rsidRPr="007F767A">
        <w:t>’</w:t>
      </w:r>
      <w:r w:rsidRPr="007F767A" w:rsidR="00A2279D">
        <w:t>s observations either.</w:t>
      </w:r>
    </w:p>
    <w:p w:rsidRPr="007F767A" w:rsidR="00C752B5" w:rsidP="007F767A" w:rsidRDefault="007F767A">
      <w:pPr>
        <w:pStyle w:val="ECHRPara"/>
      </w:pPr>
      <w:fldSimple w:instr=" SEQ level0 \*arabic ">
        <w:r w:rsidRPr="007F767A">
          <w:rPr>
            <w:noProof/>
          </w:rPr>
          <w:t>130</w:t>
        </w:r>
      </w:fldSimple>
      <w:r w:rsidRPr="007F767A" w:rsidR="00A2279D">
        <w:t>.  </w:t>
      </w:r>
      <w:r w:rsidRPr="007F767A" w:rsidR="00C752B5">
        <w:t>The prosecutor</w:t>
      </w:r>
      <w:r w:rsidRPr="007F767A">
        <w:t>’</w:t>
      </w:r>
      <w:r w:rsidRPr="007F767A" w:rsidR="00A2279D">
        <w:t xml:space="preserve">s failure to question the soldiers </w:t>
      </w:r>
      <w:r w:rsidRPr="007F767A" w:rsidR="00C752B5">
        <w:t>also deprived him</w:t>
      </w:r>
      <w:r w:rsidRPr="007F767A" w:rsidR="00A2279D">
        <w:t xml:space="preserve"> </w:t>
      </w:r>
      <w:r w:rsidRPr="007F767A" w:rsidR="00C752B5">
        <w:t xml:space="preserve">of the opportunity to ask the soldiers </w:t>
      </w:r>
      <w:r w:rsidRPr="007F767A" w:rsidR="00A2279D">
        <w:t xml:space="preserve">other </w:t>
      </w:r>
      <w:r w:rsidRPr="007F767A" w:rsidR="007F2DBB">
        <w:t>pertinent questions</w:t>
      </w:r>
      <w:r w:rsidRPr="007F767A" w:rsidR="0045488F">
        <w:t>,</w:t>
      </w:r>
      <w:r w:rsidRPr="007F767A" w:rsidR="007F2DBB">
        <w:t xml:space="preserve"> such as </w:t>
      </w:r>
      <w:r w:rsidRPr="007F767A" w:rsidR="00272F17">
        <w:t>what actual weapons had been used by the</w:t>
      </w:r>
      <w:r w:rsidRPr="007F767A" w:rsidR="00C752B5">
        <w:t>m</w:t>
      </w:r>
      <w:r w:rsidRPr="007F767A" w:rsidR="00272F17">
        <w:t xml:space="preserve"> in the killing of the applicants</w:t>
      </w:r>
      <w:r w:rsidRPr="007F767A">
        <w:t>’</w:t>
      </w:r>
      <w:r w:rsidRPr="007F767A" w:rsidR="00272F17">
        <w:t xml:space="preserve"> relatives</w:t>
      </w:r>
      <w:r w:rsidRPr="007F767A" w:rsidR="00C752B5">
        <w:t>, what role had been played by the “armed Cobra-type helicopters”, where the</w:t>
      </w:r>
      <w:r w:rsidRPr="007F767A" w:rsidR="004913AA">
        <w:t>y</w:t>
      </w:r>
      <w:r w:rsidRPr="007F767A" w:rsidR="007F2DBB">
        <w:t xml:space="preserve"> </w:t>
      </w:r>
      <w:r w:rsidRPr="007F767A" w:rsidR="00C752B5">
        <w:t>had been positioned</w:t>
      </w:r>
      <w:r w:rsidRPr="007F767A" w:rsidR="007F2DBB">
        <w:t xml:space="preserve"> during the operations</w:t>
      </w:r>
      <w:r w:rsidRPr="007F767A" w:rsidR="0045488F">
        <w:t>,</w:t>
      </w:r>
      <w:r w:rsidRPr="007F767A" w:rsidR="007F2DBB">
        <w:t xml:space="preserve"> and</w:t>
      </w:r>
      <w:r w:rsidRPr="007F767A" w:rsidR="00C752B5">
        <w:t xml:space="preserve"> how </w:t>
      </w:r>
      <w:r w:rsidRPr="007F767A" w:rsidR="00C902FB">
        <w:t xml:space="preserve">far </w:t>
      </w:r>
      <w:r w:rsidRPr="007F767A" w:rsidR="0045488F">
        <w:t xml:space="preserve">away they were from </w:t>
      </w:r>
      <w:r w:rsidRPr="007F767A" w:rsidR="00C752B5">
        <w:t>their victims.</w:t>
      </w:r>
    </w:p>
    <w:p w:rsidRPr="007F767A" w:rsidR="004D1A92" w:rsidP="007F767A" w:rsidRDefault="007F767A">
      <w:pPr>
        <w:pStyle w:val="ECHRPara"/>
      </w:pPr>
      <w:fldSimple w:instr=" SEQ level0 \*arabic ">
        <w:r w:rsidRPr="007F767A">
          <w:rPr>
            <w:noProof/>
          </w:rPr>
          <w:t>131</w:t>
        </w:r>
      </w:fldSimple>
      <w:r w:rsidRPr="007F767A" w:rsidR="00252E6A">
        <w:t>.  </w:t>
      </w:r>
      <w:r w:rsidRPr="007F767A" w:rsidR="00362006">
        <w:t xml:space="preserve">It appears, however, that the failure to question the soldiers </w:t>
      </w:r>
      <w:r w:rsidRPr="007F767A" w:rsidR="00207C58">
        <w:t xml:space="preserve">and the </w:t>
      </w:r>
      <w:r w:rsidRPr="007F767A" w:rsidR="008A6524">
        <w:t>resulting</w:t>
      </w:r>
      <w:r w:rsidRPr="007F767A" w:rsidR="00207C58">
        <w:t xml:space="preserve"> absence of information in his file </w:t>
      </w:r>
      <w:r w:rsidRPr="007F767A" w:rsidR="00362006">
        <w:t xml:space="preserve">did not prevent the prosecutor from </w:t>
      </w:r>
      <w:r w:rsidRPr="007F767A" w:rsidR="004D1A92">
        <w:t xml:space="preserve">speculating </w:t>
      </w:r>
      <w:r w:rsidRPr="007F767A" w:rsidR="006E648A">
        <w:t xml:space="preserve">that </w:t>
      </w:r>
      <w:r w:rsidRPr="007F767A" w:rsidR="004913AA">
        <w:t xml:space="preserve">the </w:t>
      </w:r>
      <w:r w:rsidRPr="007F767A" w:rsidR="006E648A">
        <w:t xml:space="preserve">severe injuries </w:t>
      </w:r>
      <w:r w:rsidRPr="007F767A" w:rsidR="004913AA">
        <w:t xml:space="preserve">inflicted </w:t>
      </w:r>
      <w:r w:rsidRPr="007F767A" w:rsidR="006E648A">
        <w:t xml:space="preserve">on </w:t>
      </w:r>
      <w:r w:rsidRPr="007F767A" w:rsidR="004D1A92">
        <w:t>t</w:t>
      </w:r>
      <w:r w:rsidRPr="007F767A" w:rsidR="006E648A">
        <w:t xml:space="preserve">he </w:t>
      </w:r>
      <w:r w:rsidRPr="007F767A" w:rsidR="0045488F">
        <w:t>seventeen</w:t>
      </w:r>
      <w:r w:rsidRPr="007F767A" w:rsidR="006E648A">
        <w:t xml:space="preserve"> had been caused by the soldiers in order to eliminate </w:t>
      </w:r>
      <w:r w:rsidRPr="007F767A" w:rsidR="00222DD1">
        <w:t>“</w:t>
      </w:r>
      <w:r w:rsidRPr="007F767A" w:rsidR="006E648A">
        <w:t>any booby traps</w:t>
      </w:r>
      <w:r w:rsidRPr="007F767A" w:rsidR="00222DD1">
        <w:t>”</w:t>
      </w:r>
      <w:r w:rsidRPr="007F767A" w:rsidR="006E648A">
        <w:t xml:space="preserve"> </w:t>
      </w:r>
      <w:r w:rsidRPr="007F767A" w:rsidR="00A234B7">
        <w:t xml:space="preserve">and </w:t>
      </w:r>
      <w:r w:rsidRPr="007F767A" w:rsidR="00F41747">
        <w:t xml:space="preserve">that </w:t>
      </w:r>
      <w:r w:rsidRPr="007F767A" w:rsidR="00A234B7">
        <w:t xml:space="preserve">the security forces had “persistently” warned the deceased and asked them to stop and surrender (see paragraph </w:t>
      </w:r>
      <w:r w:rsidRPr="007F767A" w:rsidR="00743F3F">
        <w:t>61</w:t>
      </w:r>
      <w:r w:rsidRPr="007F767A" w:rsidR="00A234B7">
        <w:t xml:space="preserve"> above).</w:t>
      </w:r>
      <w:r w:rsidRPr="007F767A" w:rsidR="00635153">
        <w:t xml:space="preserve"> The Court notes that there is </w:t>
      </w:r>
      <w:r w:rsidRPr="007F767A" w:rsidR="004913AA">
        <w:t xml:space="preserve">no </w:t>
      </w:r>
      <w:r w:rsidRPr="007F767A" w:rsidR="00635153">
        <w:t xml:space="preserve">information in the file to lend support to these </w:t>
      </w:r>
      <w:r w:rsidRPr="007F767A" w:rsidR="003569A2">
        <w:t>as</w:t>
      </w:r>
      <w:r w:rsidRPr="007F767A" w:rsidR="00635153">
        <w:t>sumptions.</w:t>
      </w:r>
    </w:p>
    <w:p w:rsidRPr="007F767A" w:rsidR="00561626" w:rsidP="007F767A" w:rsidRDefault="007F767A">
      <w:pPr>
        <w:pStyle w:val="ECHRPara"/>
      </w:pPr>
      <w:fldSimple w:instr=" SEQ level0 \*arabic ">
        <w:r w:rsidRPr="007F767A">
          <w:rPr>
            <w:noProof/>
          </w:rPr>
          <w:t>132</w:t>
        </w:r>
      </w:fldSimple>
      <w:r w:rsidRPr="007F767A" w:rsidR="001A5BCE">
        <w:t>.  </w:t>
      </w:r>
      <w:r w:rsidRPr="007F767A" w:rsidR="00B810F4">
        <w:t xml:space="preserve">Moreover, </w:t>
      </w:r>
      <w:r w:rsidRPr="007F767A" w:rsidR="00E91F66">
        <w:t xml:space="preserve">it cannot be excluded that </w:t>
      </w:r>
      <w:r w:rsidRPr="007F767A" w:rsidR="001263E0">
        <w:t xml:space="preserve">the failure to question the soldiers </w:t>
      </w:r>
      <w:r w:rsidRPr="007F767A" w:rsidR="003048CF">
        <w:t>creat</w:t>
      </w:r>
      <w:r w:rsidRPr="007F767A" w:rsidR="001263E0">
        <w:t>e</w:t>
      </w:r>
      <w:r w:rsidRPr="007F767A" w:rsidR="00A2279D">
        <w:t>d</w:t>
      </w:r>
      <w:r w:rsidRPr="007F767A" w:rsidR="003048CF">
        <w:t xml:space="preserve"> an appearance of collusion between the judicial authorities and the military</w:t>
      </w:r>
      <w:r w:rsidRPr="007F767A" w:rsidR="0045488F">
        <w:t>,</w:t>
      </w:r>
      <w:r w:rsidRPr="007F767A" w:rsidR="00A2279D">
        <w:t xml:space="preserve"> and was</w:t>
      </w:r>
      <w:r w:rsidRPr="007F767A" w:rsidR="001263E0">
        <w:t xml:space="preserve"> also</w:t>
      </w:r>
      <w:r w:rsidRPr="007F767A" w:rsidR="003048CF">
        <w:t xml:space="preserve"> conducive to leading the relatives of the deceased – as well as the public in general – to form the opinion that members of the security forces operate in a vacuum in which they are not accountable to the judicial authorities for their actions (</w:t>
      </w:r>
      <w:r w:rsidRPr="007F767A" w:rsidR="0045488F">
        <w:t xml:space="preserve">see </w:t>
      </w:r>
      <w:r w:rsidRPr="007F767A" w:rsidR="003048CF">
        <w:rPr>
          <w:i/>
        </w:rPr>
        <w:t>Bektaş and Özalp v. Turkey</w:t>
      </w:r>
      <w:r w:rsidRPr="007F767A" w:rsidR="003048CF">
        <w:t>, no.</w:t>
      </w:r>
      <w:r w:rsidRPr="007F767A" w:rsidR="00CD3D52">
        <w:t xml:space="preserve"> 10036/03</w:t>
      </w:r>
      <w:r w:rsidRPr="007F767A" w:rsidR="003048CF">
        <w:t>, § 65, 20 April 2010</w:t>
      </w:r>
      <w:r w:rsidRPr="007F767A" w:rsidR="00A96AA9">
        <w:t>;</w:t>
      </w:r>
      <w:r w:rsidRPr="007F767A" w:rsidR="0045488F">
        <w:t xml:space="preserve"> and</w:t>
      </w:r>
      <w:r w:rsidRPr="007F767A" w:rsidR="00CD3D52">
        <w:t xml:space="preserve"> </w:t>
      </w:r>
      <w:r w:rsidRPr="007F767A" w:rsidR="00CD3D52">
        <w:rPr>
          <w:i/>
        </w:rPr>
        <w:t>Ramsahai and Others</w:t>
      </w:r>
      <w:r w:rsidRPr="007F767A" w:rsidR="00CD3D52">
        <w:t>,</w:t>
      </w:r>
      <w:r w:rsidRPr="007F767A" w:rsidR="006B644D">
        <w:t xml:space="preserve"> cited above,</w:t>
      </w:r>
      <w:r w:rsidRPr="007F767A" w:rsidR="00CD3D52">
        <w:t xml:space="preserve"> § 330</w:t>
      </w:r>
      <w:r w:rsidRPr="007F767A" w:rsidR="003048CF">
        <w:t>).</w:t>
      </w:r>
    </w:p>
    <w:p w:rsidRPr="007F767A" w:rsidR="00DE389E" w:rsidP="007F767A" w:rsidRDefault="007F767A">
      <w:pPr>
        <w:pStyle w:val="ECHRPara"/>
      </w:pPr>
      <w:fldSimple w:instr=" SEQ level0 \*arabic ">
        <w:r w:rsidRPr="007F767A">
          <w:rPr>
            <w:noProof/>
          </w:rPr>
          <w:t>133</w:t>
        </w:r>
      </w:fldSimple>
      <w:r w:rsidRPr="007F767A" w:rsidR="00561626">
        <w:t xml:space="preserve">.  The Court notes that </w:t>
      </w:r>
      <w:r w:rsidRPr="007F767A" w:rsidR="00F56577">
        <w:t xml:space="preserve">when brought to the Ovacık Gendarmerie District Command Headquarters </w:t>
      </w:r>
      <w:r w:rsidRPr="007F767A" w:rsidR="00561626">
        <w:t xml:space="preserve">the </w:t>
      </w:r>
      <w:r w:rsidRPr="007F767A" w:rsidR="008D763B">
        <w:t>applicants</w:t>
      </w:r>
      <w:r w:rsidRPr="007F767A">
        <w:t>’</w:t>
      </w:r>
      <w:r w:rsidRPr="007F767A" w:rsidR="008D763B">
        <w:t xml:space="preserve"> </w:t>
      </w:r>
      <w:r w:rsidRPr="007F767A" w:rsidR="0045488F">
        <w:t>seventeen</w:t>
      </w:r>
      <w:r w:rsidRPr="007F767A" w:rsidR="008D763B">
        <w:t xml:space="preserve"> relatives had their clothes on</w:t>
      </w:r>
      <w:r w:rsidRPr="007F767A" w:rsidR="0045488F">
        <w:t xml:space="preserve">; </w:t>
      </w:r>
      <w:r w:rsidRPr="007F767A" w:rsidR="008D763B">
        <w:t>th</w:t>
      </w:r>
      <w:r w:rsidRPr="007F767A" w:rsidR="000F29D8">
        <w:t>ose clothes</w:t>
      </w:r>
      <w:r w:rsidRPr="007F767A" w:rsidR="008D763B">
        <w:t xml:space="preserve"> were removed during the examination of their bodies by the prosecutor and doctors</w:t>
      </w:r>
      <w:r w:rsidRPr="007F767A" w:rsidR="00561626">
        <w:t xml:space="preserve"> (see paragraph </w:t>
      </w:r>
      <w:r w:rsidRPr="007F767A" w:rsidR="00743F3F">
        <w:t>30</w:t>
      </w:r>
      <w:r w:rsidRPr="007F767A" w:rsidR="00561626">
        <w:t xml:space="preserve"> above)</w:t>
      </w:r>
      <w:r w:rsidRPr="007F767A" w:rsidR="008D763B">
        <w:t xml:space="preserve">. </w:t>
      </w:r>
      <w:r w:rsidRPr="007F767A" w:rsidR="00440EF1">
        <w:t>After</w:t>
      </w:r>
      <w:r w:rsidRPr="007F767A" w:rsidR="001263E0">
        <w:t xml:space="preserve"> </w:t>
      </w:r>
      <w:r w:rsidRPr="007F767A" w:rsidR="008D763B">
        <w:t xml:space="preserve">the bodies were </w:t>
      </w:r>
      <w:r w:rsidRPr="007F767A" w:rsidR="00440EF1">
        <w:t xml:space="preserve">taken </w:t>
      </w:r>
      <w:r w:rsidRPr="007F767A" w:rsidR="008D763B">
        <w:t xml:space="preserve">to Malatya </w:t>
      </w:r>
      <w:r w:rsidRPr="007F767A" w:rsidR="001263E0">
        <w:t>the same evening</w:t>
      </w:r>
      <w:r w:rsidRPr="007F767A" w:rsidR="008D763B">
        <w:t xml:space="preserve">, however, the forensic experts </w:t>
      </w:r>
      <w:r w:rsidRPr="007F767A" w:rsidR="000F29D8">
        <w:t>in Malatya</w:t>
      </w:r>
      <w:r w:rsidRPr="007F767A" w:rsidR="008D763B">
        <w:t xml:space="preserve"> noted </w:t>
      </w:r>
      <w:r w:rsidRPr="007F767A" w:rsidR="0097255D">
        <w:t xml:space="preserve">during the autopsies </w:t>
      </w:r>
      <w:r w:rsidRPr="007F767A" w:rsidR="008D763B">
        <w:t xml:space="preserve">that </w:t>
      </w:r>
      <w:r w:rsidRPr="007F767A" w:rsidR="000F29D8">
        <w:t xml:space="preserve">the </w:t>
      </w:r>
      <w:r w:rsidRPr="007F767A" w:rsidR="008D763B">
        <w:t xml:space="preserve">clothes removed from the bodies of </w:t>
      </w:r>
      <w:r w:rsidRPr="007F767A" w:rsidR="0045488F">
        <w:t>thirteen</w:t>
      </w:r>
      <w:r w:rsidRPr="007F767A" w:rsidR="008D763B">
        <w:t xml:space="preserve"> of the </w:t>
      </w:r>
      <w:r w:rsidRPr="007F767A" w:rsidR="0045488F">
        <w:t>seventeen</w:t>
      </w:r>
      <w:r w:rsidRPr="007F767A" w:rsidR="008D763B">
        <w:t xml:space="preserve"> deceased persons </w:t>
      </w:r>
      <w:r w:rsidRPr="007F767A" w:rsidR="004913AA">
        <w:t>were missing</w:t>
      </w:r>
      <w:r w:rsidRPr="007F767A" w:rsidR="00561626">
        <w:t xml:space="preserve"> (see paragraph</w:t>
      </w:r>
      <w:r w:rsidRPr="007F767A" w:rsidR="008D5FDC">
        <w:t> </w:t>
      </w:r>
      <w:r w:rsidRPr="007F767A" w:rsidR="00743F3F">
        <w:t>34</w:t>
      </w:r>
      <w:r w:rsidRPr="007F767A" w:rsidR="00561626">
        <w:t xml:space="preserve"> above). </w:t>
      </w:r>
      <w:r w:rsidRPr="007F767A" w:rsidR="004913AA">
        <w:t xml:space="preserve">The </w:t>
      </w:r>
      <w:r w:rsidRPr="007F767A" w:rsidR="00561626">
        <w:t>applicants</w:t>
      </w:r>
      <w:r w:rsidRPr="007F767A" w:rsidR="004913AA">
        <w:t xml:space="preserve"> informed the national authorities that</w:t>
      </w:r>
      <w:r w:rsidRPr="007F767A" w:rsidR="008D763B">
        <w:t xml:space="preserve"> </w:t>
      </w:r>
      <w:r w:rsidRPr="007F767A" w:rsidR="00561626">
        <w:t xml:space="preserve">the prosecutor </w:t>
      </w:r>
      <w:r w:rsidRPr="007F767A" w:rsidR="008D763B">
        <w:t xml:space="preserve">had </w:t>
      </w:r>
      <w:r w:rsidRPr="007F767A" w:rsidR="00561626">
        <w:t>told them that the</w:t>
      </w:r>
      <w:r w:rsidRPr="007F767A" w:rsidR="008D763B">
        <w:t xml:space="preserve"> clothes</w:t>
      </w:r>
      <w:r w:rsidRPr="007F767A" w:rsidR="00561626">
        <w:t xml:space="preserve"> had been destroyed because “the authorities had deemed it necessary to do so” (see paragraph </w:t>
      </w:r>
      <w:r w:rsidRPr="007F767A" w:rsidR="00743F3F">
        <w:t>47</w:t>
      </w:r>
      <w:r w:rsidRPr="007F767A" w:rsidR="00561626">
        <w:t xml:space="preserve"> above).</w:t>
      </w:r>
      <w:r w:rsidRPr="007F767A" w:rsidR="000F29D8">
        <w:t xml:space="preserve"> No reply was given to the applicants</w:t>
      </w:r>
      <w:r w:rsidRPr="007F767A">
        <w:t>’</w:t>
      </w:r>
      <w:r w:rsidRPr="007F767A" w:rsidR="000F29D8">
        <w:t xml:space="preserve"> complaint by the national authorities. The Government</w:t>
      </w:r>
      <w:r w:rsidRPr="007F767A" w:rsidR="003C4B6E">
        <w:t xml:space="preserve">, for their part, did not deal with the issue of </w:t>
      </w:r>
      <w:r w:rsidRPr="007F767A" w:rsidR="001263E0">
        <w:t xml:space="preserve">the </w:t>
      </w:r>
      <w:r w:rsidRPr="007F767A" w:rsidR="0097255D">
        <w:t>missing</w:t>
      </w:r>
      <w:r w:rsidRPr="007F767A" w:rsidR="003C4B6E">
        <w:t xml:space="preserve"> clothes</w:t>
      </w:r>
      <w:r w:rsidRPr="007F767A" w:rsidR="000F29D8">
        <w:t xml:space="preserve"> </w:t>
      </w:r>
      <w:r w:rsidRPr="007F767A" w:rsidR="003C4B6E">
        <w:t>in the</w:t>
      </w:r>
      <w:r w:rsidRPr="007F767A" w:rsidR="00E91F66">
        <w:t>ir</w:t>
      </w:r>
      <w:r w:rsidRPr="007F767A" w:rsidR="003C4B6E">
        <w:t xml:space="preserve"> observations</w:t>
      </w:r>
      <w:r w:rsidRPr="007F767A" w:rsidR="002A462D">
        <w:t xml:space="preserve"> other than stating that “the prosecutor asked the Forensic Medicine Institute to examine </w:t>
      </w:r>
      <w:r w:rsidRPr="007F767A" w:rsidR="002A462D">
        <w:rPr>
          <w:i/>
        </w:rPr>
        <w:t>the clothes</w:t>
      </w:r>
      <w:r w:rsidRPr="007F767A" w:rsidR="002A462D">
        <w:t>”</w:t>
      </w:r>
      <w:r w:rsidRPr="007F767A" w:rsidR="003C4B6E">
        <w:t xml:space="preserve"> </w:t>
      </w:r>
      <w:r w:rsidRPr="007F767A" w:rsidR="002A462D">
        <w:t>(</w:t>
      </w:r>
      <w:r w:rsidRPr="007F767A" w:rsidR="006B644D">
        <w:t xml:space="preserve">emphasis added; </w:t>
      </w:r>
      <w:r w:rsidRPr="007F767A" w:rsidR="002A462D">
        <w:t>see paragraph</w:t>
      </w:r>
      <w:r w:rsidRPr="007F767A" w:rsidR="008D5FDC">
        <w:t> </w:t>
      </w:r>
      <w:r w:rsidRPr="007F767A" w:rsidR="00743F3F">
        <w:t>19</w:t>
      </w:r>
      <w:r w:rsidRPr="007F767A" w:rsidR="002A462D">
        <w:t xml:space="preserve"> above).</w:t>
      </w:r>
      <w:r w:rsidRPr="007F767A" w:rsidR="001263E0">
        <w:t xml:space="preserve"> </w:t>
      </w:r>
      <w:r w:rsidRPr="007F767A" w:rsidR="0097255D">
        <w:t>The Court notes that w</w:t>
      </w:r>
      <w:r w:rsidRPr="007F767A" w:rsidR="001263E0">
        <w:t>hat the prosecutor did in fact ask the Forensic Medicine Institute was to examine the clothes removed from four of the deceased</w:t>
      </w:r>
      <w:r w:rsidRPr="007F767A" w:rsidR="00DE389E">
        <w:t xml:space="preserve"> </w:t>
      </w:r>
      <w:r w:rsidRPr="007F767A" w:rsidR="001263E0">
        <w:t xml:space="preserve">(see paragraph </w:t>
      </w:r>
      <w:r w:rsidRPr="007F767A" w:rsidR="00743F3F">
        <w:t>46</w:t>
      </w:r>
      <w:r w:rsidRPr="007F767A" w:rsidR="001263E0">
        <w:t xml:space="preserve"> above)</w:t>
      </w:r>
      <w:r w:rsidRPr="007F767A" w:rsidR="00E91F66">
        <w:t xml:space="preserve"> because only t</w:t>
      </w:r>
      <w:r w:rsidRPr="007F767A" w:rsidR="006B644D">
        <w:t>hose</w:t>
      </w:r>
      <w:r w:rsidRPr="007F767A" w:rsidR="00E91F66">
        <w:t xml:space="preserve"> clothes had not been destroyed</w:t>
      </w:r>
      <w:r w:rsidRPr="007F767A" w:rsidR="001263E0">
        <w:t>.</w:t>
      </w:r>
      <w:r w:rsidRPr="007F767A" w:rsidR="00DE389E">
        <w:t xml:space="preserve"> The Court notes, in any event, that the accuracy of the information the applicants</w:t>
      </w:r>
      <w:r w:rsidRPr="007F767A" w:rsidR="001263E0">
        <w:t xml:space="preserve"> </w:t>
      </w:r>
      <w:r w:rsidRPr="007F767A" w:rsidR="00DE389E">
        <w:t xml:space="preserve">had </w:t>
      </w:r>
      <w:r w:rsidRPr="007F767A" w:rsidR="004913AA">
        <w:t xml:space="preserve">apparently </w:t>
      </w:r>
      <w:r w:rsidRPr="007F767A" w:rsidR="00DE389E">
        <w:t xml:space="preserve">been given </w:t>
      </w:r>
      <w:r w:rsidRPr="007F767A" w:rsidR="004913AA">
        <w:t xml:space="preserve">by a prosecutor </w:t>
      </w:r>
      <w:r w:rsidRPr="007F767A" w:rsidR="00DE389E">
        <w:t>about the destruction of the clothes</w:t>
      </w:r>
      <w:r w:rsidRPr="007F767A" w:rsidR="00743F3F">
        <w:t xml:space="preserve"> </w:t>
      </w:r>
      <w:r w:rsidRPr="007F767A" w:rsidR="00DE389E">
        <w:t>is confirmed in the letter prepared by the Ministry of Justice and addressed to the Ministry of Foreign Affairs</w:t>
      </w:r>
      <w:r w:rsidRPr="007F767A" w:rsidR="0045488F">
        <w:t>,</w:t>
      </w:r>
      <w:r w:rsidRPr="007F767A" w:rsidR="00A8663F">
        <w:t xml:space="preserve"> </w:t>
      </w:r>
      <w:r w:rsidRPr="007F767A" w:rsidR="0045488F">
        <w:t xml:space="preserve">which stated </w:t>
      </w:r>
      <w:r w:rsidRPr="007F767A" w:rsidR="00DE389E">
        <w:t>“the applicants</w:t>
      </w:r>
      <w:r w:rsidRPr="007F767A">
        <w:t>’</w:t>
      </w:r>
      <w:r w:rsidRPr="007F767A" w:rsidR="00DE389E">
        <w:t xml:space="preserve"> relatives</w:t>
      </w:r>
      <w:r w:rsidRPr="007F767A">
        <w:t>’</w:t>
      </w:r>
      <w:r w:rsidRPr="007F767A" w:rsidR="00DE389E">
        <w:t xml:space="preserve"> clothes and a number of other items found on their persons were destroyed on the orders of the Ovacık prosecutor because they had no evidential value” (see paragraph</w:t>
      </w:r>
      <w:r w:rsidRPr="007F767A" w:rsidR="00E47F52">
        <w:t> </w:t>
      </w:r>
      <w:r w:rsidRPr="007F767A" w:rsidR="00743F3F">
        <w:t>76</w:t>
      </w:r>
      <w:r w:rsidRPr="007F767A" w:rsidR="00DE389E">
        <w:t xml:space="preserve"> above).</w:t>
      </w:r>
    </w:p>
    <w:p w:rsidRPr="007F767A" w:rsidR="00561626" w:rsidP="007F767A" w:rsidRDefault="007F767A">
      <w:pPr>
        <w:pStyle w:val="ECHRPara"/>
        <w:rPr>
          <w:i/>
        </w:rPr>
      </w:pPr>
      <w:fldSimple w:instr=" SEQ level0 \*arabic ">
        <w:r w:rsidRPr="007F767A">
          <w:rPr>
            <w:noProof/>
          </w:rPr>
          <w:t>134</w:t>
        </w:r>
      </w:fldSimple>
      <w:r w:rsidRPr="007F767A" w:rsidR="00DE389E">
        <w:t xml:space="preserve">.  The Court </w:t>
      </w:r>
      <w:r w:rsidRPr="007F767A" w:rsidR="00F37685">
        <w:t xml:space="preserve">has already noted the </w:t>
      </w:r>
      <w:r w:rsidRPr="007F767A" w:rsidR="008A234A">
        <w:t>practice of destroying</w:t>
      </w:r>
      <w:r w:rsidRPr="007F767A" w:rsidR="001A2A5C">
        <w:t xml:space="preserve"> or failing to secure in evidence </w:t>
      </w:r>
      <w:r w:rsidRPr="007F767A" w:rsidR="008A234A">
        <w:t xml:space="preserve">the clothes of </w:t>
      </w:r>
      <w:r w:rsidRPr="007F767A" w:rsidR="0045488F">
        <w:t xml:space="preserve">individuals </w:t>
      </w:r>
      <w:r w:rsidRPr="007F767A" w:rsidR="008A234A">
        <w:t>killed by law</w:t>
      </w:r>
      <w:r w:rsidRPr="007F767A" w:rsidR="0045488F">
        <w:t>-</w:t>
      </w:r>
      <w:r w:rsidRPr="007F767A" w:rsidR="008A234A">
        <w:t xml:space="preserve">enforcement officials in Turkey (see, </w:t>
      </w:r>
      <w:r w:rsidRPr="007F767A" w:rsidR="008A234A">
        <w:rPr>
          <w:i/>
        </w:rPr>
        <w:t>inter alia</w:t>
      </w:r>
      <w:r w:rsidRPr="007F767A" w:rsidR="008A234A">
        <w:t xml:space="preserve">, </w:t>
      </w:r>
      <w:r w:rsidRPr="007F767A" w:rsidR="00FD77A6">
        <w:rPr>
          <w:i/>
        </w:rPr>
        <w:t>Erdoğan and Others</w:t>
      </w:r>
      <w:r w:rsidRPr="007F767A" w:rsidR="00A96AA9">
        <w:t>, cited above, §§ </w:t>
      </w:r>
      <w:r w:rsidRPr="007F767A" w:rsidR="00FD77A6">
        <w:t xml:space="preserve">61, 80 and 93; </w:t>
      </w:r>
      <w:r w:rsidRPr="007F767A" w:rsidR="00FD77A6">
        <w:rPr>
          <w:i/>
          <w:snapToGrid w:val="0"/>
        </w:rPr>
        <w:t>Gülbahar Özer</w:t>
      </w:r>
      <w:r w:rsidRPr="007F767A" w:rsidR="00FD77A6">
        <w:rPr>
          <w:snapToGrid w:val="0"/>
        </w:rPr>
        <w:t xml:space="preserve"> </w:t>
      </w:r>
      <w:r w:rsidRPr="007F767A" w:rsidR="00FD77A6">
        <w:rPr>
          <w:i/>
          <w:snapToGrid w:val="0"/>
        </w:rPr>
        <w:t>and Others</w:t>
      </w:r>
      <w:r w:rsidRPr="007F767A" w:rsidR="00FD77A6">
        <w:rPr>
          <w:snapToGrid w:val="0"/>
        </w:rPr>
        <w:t xml:space="preserve">, cited above, §§ 19 and 67; and </w:t>
      </w:r>
      <w:r w:rsidRPr="007F767A" w:rsidR="001A2A5C">
        <w:rPr>
          <w:i/>
        </w:rPr>
        <w:t>Kavaklıoğlu and Others v. Turkey</w:t>
      </w:r>
      <w:r w:rsidRPr="007F767A" w:rsidR="001A2A5C">
        <w:t>, no.</w:t>
      </w:r>
      <w:r w:rsidRPr="007F767A" w:rsidR="00A96AA9">
        <w:t xml:space="preserve"> </w:t>
      </w:r>
      <w:r w:rsidRPr="007F767A" w:rsidR="001A2A5C">
        <w:t>15397/02</w:t>
      </w:r>
      <w:r w:rsidRPr="007F767A" w:rsidR="001A2A5C">
        <w:rPr>
          <w:snapToGrid w:val="0"/>
        </w:rPr>
        <w:t xml:space="preserve">, § 86, </w:t>
      </w:r>
      <w:r w:rsidRPr="007F767A" w:rsidR="001A2A5C">
        <w:t>6</w:t>
      </w:r>
      <w:r w:rsidRPr="007F767A" w:rsidR="001A2A5C">
        <w:rPr>
          <w:snapToGrid w:val="0"/>
        </w:rPr>
        <w:t xml:space="preserve"> </w:t>
      </w:r>
      <w:r w:rsidRPr="007F767A" w:rsidR="001A2A5C">
        <w:t>October</w:t>
      </w:r>
      <w:r w:rsidRPr="007F767A" w:rsidR="00FD77A6">
        <w:rPr>
          <w:snapToGrid w:val="0"/>
        </w:rPr>
        <w:t xml:space="preserve"> 2015</w:t>
      </w:r>
      <w:r w:rsidRPr="007F767A" w:rsidR="008A7A3D">
        <w:t>).</w:t>
      </w:r>
      <w:r w:rsidRPr="007F767A" w:rsidR="00BE5477">
        <w:t xml:space="preserve"> </w:t>
      </w:r>
      <w:r w:rsidRPr="007F767A" w:rsidR="008B69B3">
        <w:t xml:space="preserve">It </w:t>
      </w:r>
      <w:r w:rsidRPr="007F767A" w:rsidR="004840A9">
        <w:t xml:space="preserve">disagrees with the national authorities that the clothes had </w:t>
      </w:r>
      <w:r w:rsidRPr="007F767A" w:rsidR="0097255D">
        <w:t>“no evidential value”</w:t>
      </w:r>
      <w:r w:rsidRPr="007F767A" w:rsidR="004840A9">
        <w:t>, and considers that</w:t>
      </w:r>
      <w:r w:rsidRPr="007F767A" w:rsidR="008B69B3">
        <w:t xml:space="preserve"> </w:t>
      </w:r>
      <w:r w:rsidRPr="007F767A" w:rsidR="004840A9">
        <w:t xml:space="preserve">they would </w:t>
      </w:r>
      <w:r w:rsidRPr="007F767A" w:rsidR="008B69B3">
        <w:t xml:space="preserve">have </w:t>
      </w:r>
      <w:r w:rsidRPr="007F767A" w:rsidR="0097255D">
        <w:t>been instrumental in establishing the distance from which the deceased had been shot</w:t>
      </w:r>
      <w:r w:rsidRPr="007F767A" w:rsidR="002910E7">
        <w:t>, thereby allowing for an examination to be made of the accuracy of the allegations raised by the applicants that their relatives had been killed unlawfully.</w:t>
      </w:r>
    </w:p>
    <w:p w:rsidRPr="007F767A" w:rsidR="00FD38F4" w:rsidP="007F767A" w:rsidRDefault="007F767A">
      <w:pPr>
        <w:pStyle w:val="ECHRPara"/>
      </w:pPr>
      <w:fldSimple w:instr=" SEQ level0 \*arabic ">
        <w:r w:rsidRPr="007F767A">
          <w:rPr>
            <w:noProof/>
          </w:rPr>
          <w:t>135</w:t>
        </w:r>
      </w:fldSimple>
      <w:r w:rsidRPr="007F767A" w:rsidR="00E91F66">
        <w:t xml:space="preserve">.  Another serious </w:t>
      </w:r>
      <w:r w:rsidRPr="007F767A" w:rsidR="009C17C9">
        <w:t xml:space="preserve">failure </w:t>
      </w:r>
      <w:r w:rsidRPr="007F767A" w:rsidR="00E91F66">
        <w:t xml:space="preserve">in the investigation was </w:t>
      </w:r>
      <w:r w:rsidRPr="007F767A" w:rsidR="004913AA">
        <w:t>the omission to</w:t>
      </w:r>
      <w:r w:rsidRPr="007F767A" w:rsidR="009C17C9">
        <w:t xml:space="preserve"> look for fingerprints</w:t>
      </w:r>
      <w:r w:rsidRPr="007F767A" w:rsidR="00E91F66">
        <w:t xml:space="preserve"> on the rifles allegedly found next to the bodies of the applicants</w:t>
      </w:r>
      <w:r w:rsidRPr="007F767A">
        <w:t>’</w:t>
      </w:r>
      <w:r w:rsidRPr="007F767A" w:rsidR="00E91F66">
        <w:t xml:space="preserve"> relatives.</w:t>
      </w:r>
      <w:r w:rsidRPr="007F767A" w:rsidR="00EF7DE3">
        <w:t xml:space="preserve"> Although this particular failure was </w:t>
      </w:r>
      <w:r w:rsidRPr="007F767A" w:rsidR="006B644D">
        <w:t>also voiced</w:t>
      </w:r>
      <w:r w:rsidRPr="007F767A" w:rsidR="00EF7DE3">
        <w:t xml:space="preserve"> by the applicants during the course of the investigation at the national level, no response was given to them. Similarly, the Government did not deal with that </w:t>
      </w:r>
      <w:r w:rsidRPr="007F767A" w:rsidR="004A02B4">
        <w:t>failure</w:t>
      </w:r>
      <w:r w:rsidRPr="007F767A" w:rsidR="0045488F">
        <w:t>,</w:t>
      </w:r>
      <w:r w:rsidRPr="007F767A" w:rsidR="004A02B4">
        <w:t xml:space="preserve"> and </w:t>
      </w:r>
      <w:r w:rsidRPr="007F767A" w:rsidR="004913AA">
        <w:t xml:space="preserve">did not </w:t>
      </w:r>
      <w:r w:rsidRPr="007F767A" w:rsidR="004A02B4">
        <w:t>seek to provide an explanation for it.</w:t>
      </w:r>
      <w:r w:rsidRPr="007F767A" w:rsidR="001B562C">
        <w:t xml:space="preserve"> The Court considers that a search for fingerprints should have been the logical starting point for the prosecutor in the investigation</w:t>
      </w:r>
      <w:r w:rsidRPr="007F767A" w:rsidR="003E2676">
        <w:t>, especially given that</w:t>
      </w:r>
      <w:r w:rsidRPr="007F767A" w:rsidR="00363B89">
        <w:t>, as examined above,</w:t>
      </w:r>
      <w:r w:rsidRPr="007F767A" w:rsidR="003E2676">
        <w:t xml:space="preserve"> the bodies of the applicants</w:t>
      </w:r>
      <w:r w:rsidRPr="007F767A">
        <w:t>’</w:t>
      </w:r>
      <w:r w:rsidRPr="007F767A" w:rsidR="003E2676">
        <w:t xml:space="preserve"> relatives had been carried by the soldiers who killed them</w:t>
      </w:r>
      <w:r w:rsidRPr="007F767A" w:rsidR="0045488F">
        <w:t>,</w:t>
      </w:r>
      <w:r w:rsidRPr="007F767A" w:rsidR="003E2676">
        <w:t xml:space="preserve"> and the risk of transfer of gunpowder residue from the </w:t>
      </w:r>
      <w:r w:rsidRPr="007F767A" w:rsidR="00D570EA">
        <w:t>soldiers</w:t>
      </w:r>
      <w:r w:rsidRPr="007F767A">
        <w:t>’</w:t>
      </w:r>
      <w:r w:rsidRPr="007F767A" w:rsidR="00D570EA">
        <w:t xml:space="preserve"> </w:t>
      </w:r>
      <w:r w:rsidRPr="007F767A" w:rsidR="003E2676">
        <w:t>hands was a real possibility</w:t>
      </w:r>
      <w:r w:rsidRPr="007F767A" w:rsidR="001B562C">
        <w:t xml:space="preserve">. In </w:t>
      </w:r>
      <w:r w:rsidRPr="007F767A" w:rsidR="00D570EA">
        <w:t>view</w:t>
      </w:r>
      <w:r w:rsidRPr="007F767A" w:rsidR="001B562C">
        <w:t xml:space="preserve"> of that failure, the Court </w:t>
      </w:r>
      <w:r w:rsidRPr="007F767A" w:rsidR="002E7B1C">
        <w:t>harbours doubts about whether</w:t>
      </w:r>
      <w:r w:rsidRPr="007F767A" w:rsidR="001B562C">
        <w:t xml:space="preserve"> the applicants</w:t>
      </w:r>
      <w:r w:rsidRPr="007F767A">
        <w:t>’</w:t>
      </w:r>
      <w:r w:rsidRPr="007F767A" w:rsidR="001B562C">
        <w:t xml:space="preserve"> deceased relatives</w:t>
      </w:r>
      <w:r w:rsidRPr="007F767A" w:rsidR="002E7B1C">
        <w:t xml:space="preserve"> had</w:t>
      </w:r>
      <w:r w:rsidRPr="007F767A" w:rsidR="001B562C">
        <w:t xml:space="preserve"> handled those weapons and fired at the soldiers</w:t>
      </w:r>
      <w:r w:rsidRPr="007F767A" w:rsidR="004913AA">
        <w:t xml:space="preserve"> (see </w:t>
      </w:r>
      <w:r w:rsidRPr="007F767A" w:rsidR="004913AA">
        <w:rPr>
          <w:i/>
          <w:snapToGrid w:val="0"/>
        </w:rPr>
        <w:t>Gülbahar Özer</w:t>
      </w:r>
      <w:r w:rsidRPr="007F767A" w:rsidR="004913AA">
        <w:rPr>
          <w:snapToGrid w:val="0"/>
        </w:rPr>
        <w:t xml:space="preserve"> </w:t>
      </w:r>
      <w:r w:rsidRPr="007F767A" w:rsidR="004913AA">
        <w:rPr>
          <w:i/>
          <w:snapToGrid w:val="0"/>
        </w:rPr>
        <w:t>and Others</w:t>
      </w:r>
      <w:r w:rsidRPr="007F767A" w:rsidR="004913AA">
        <w:rPr>
          <w:snapToGrid w:val="0"/>
        </w:rPr>
        <w:t>, cited above, § 68)</w:t>
      </w:r>
      <w:r w:rsidRPr="007F767A" w:rsidR="001B562C">
        <w:t>.</w:t>
      </w:r>
    </w:p>
    <w:p w:rsidRPr="007F767A" w:rsidR="005B28EB" w:rsidP="007F767A" w:rsidRDefault="007F767A">
      <w:pPr>
        <w:pStyle w:val="ECHRPara"/>
      </w:pPr>
      <w:fldSimple w:instr=" SEQ level0 \*arabic ">
        <w:r w:rsidRPr="007F767A">
          <w:rPr>
            <w:noProof/>
          </w:rPr>
          <w:t>136</w:t>
        </w:r>
      </w:fldSimple>
      <w:r w:rsidRPr="007F767A" w:rsidR="005B28EB">
        <w:t>.  </w:t>
      </w:r>
      <w:r w:rsidRPr="007F767A" w:rsidR="0023684C">
        <w:t>The Court notes that the soldier who had been injured during the operation and who spent twelve days in hospital for an “injury to the skin of, and a foreign object on the left femur</w:t>
      </w:r>
      <w:r w:rsidRPr="007F767A" w:rsidR="00D570EA">
        <w:t>,</w:t>
      </w:r>
      <w:r w:rsidRPr="007F767A" w:rsidR="0023684C">
        <w:t xml:space="preserve"> which is not life-threatening and which can be treated with a simple medical intervention”</w:t>
      </w:r>
      <w:r w:rsidRPr="007F767A" w:rsidR="00363B89">
        <w:t>,</w:t>
      </w:r>
      <w:r w:rsidRPr="007F767A" w:rsidR="0023684C">
        <w:t xml:space="preserve"> was never questioned by the prosecutor.</w:t>
      </w:r>
      <w:r w:rsidRPr="007F767A" w:rsidR="00E02FA1">
        <w:t xml:space="preserve"> The Court considers that </w:t>
      </w:r>
      <w:r w:rsidRPr="007F767A" w:rsidR="00592AE1">
        <w:t xml:space="preserve">questioning that soldier and establishing the nature of the “foreign object” would have played an important role in assessing whether it </w:t>
      </w:r>
      <w:r w:rsidRPr="007F767A" w:rsidR="00D570EA">
        <w:t>was</w:t>
      </w:r>
      <w:r w:rsidRPr="007F767A" w:rsidR="00592AE1">
        <w:t xml:space="preserve"> the applicants</w:t>
      </w:r>
      <w:r w:rsidRPr="007F767A">
        <w:t>’</w:t>
      </w:r>
      <w:r w:rsidRPr="007F767A" w:rsidR="00592AE1">
        <w:t xml:space="preserve"> relatives who had opened fire </w:t>
      </w:r>
      <w:r w:rsidRPr="007F767A" w:rsidR="00D570EA">
        <w:t xml:space="preserve">first, </w:t>
      </w:r>
      <w:r w:rsidRPr="007F767A" w:rsidR="00592AE1">
        <w:t>as alleged</w:t>
      </w:r>
      <w:r w:rsidRPr="007F767A" w:rsidR="004471B6">
        <w:t xml:space="preserve"> (see paragraph </w:t>
      </w:r>
      <w:r w:rsidRPr="007F767A" w:rsidR="00743F3F">
        <w:t>41</w:t>
      </w:r>
      <w:r w:rsidRPr="007F767A" w:rsidR="004471B6">
        <w:t xml:space="preserve"> above)</w:t>
      </w:r>
      <w:r w:rsidRPr="007F767A" w:rsidR="003569A2">
        <w:t>,</w:t>
      </w:r>
      <w:r w:rsidRPr="007F767A" w:rsidR="004471B6">
        <w:t xml:space="preserve"> and would have presented the prosecutor with an opportunity to examine the accuracy of the applicants</w:t>
      </w:r>
      <w:r w:rsidRPr="007F767A">
        <w:t>’</w:t>
      </w:r>
      <w:r w:rsidRPr="007F767A" w:rsidR="004471B6">
        <w:t xml:space="preserve"> allegation that </w:t>
      </w:r>
      <w:r w:rsidRPr="007F767A" w:rsidR="00C902FB">
        <w:t>the</w:t>
      </w:r>
      <w:r w:rsidRPr="007F767A" w:rsidR="004471B6">
        <w:t xml:space="preserve"> “foreign object” was likely to </w:t>
      </w:r>
      <w:r w:rsidRPr="007F767A" w:rsidR="00C902FB">
        <w:t xml:space="preserve">have </w:t>
      </w:r>
      <w:r w:rsidRPr="007F767A" w:rsidR="004471B6">
        <w:t>be</w:t>
      </w:r>
      <w:r w:rsidRPr="007F767A" w:rsidR="00C902FB">
        <w:t>en</w:t>
      </w:r>
      <w:r w:rsidRPr="007F767A" w:rsidR="004471B6">
        <w:t xml:space="preserve"> shrapnel from the heavy weaponry used by the soldiers (see paragraph</w:t>
      </w:r>
      <w:r w:rsidRPr="007F767A" w:rsidR="00E47F52">
        <w:t> </w:t>
      </w:r>
      <w:r w:rsidRPr="007F767A" w:rsidR="00743F3F">
        <w:t>87</w:t>
      </w:r>
      <w:r w:rsidRPr="007F767A" w:rsidR="004471B6">
        <w:t xml:space="preserve"> above).</w:t>
      </w:r>
    </w:p>
    <w:p w:rsidRPr="007F767A" w:rsidR="00A51BDE" w:rsidP="007F767A" w:rsidRDefault="007F767A">
      <w:pPr>
        <w:pStyle w:val="ECHRPara"/>
      </w:pPr>
      <w:fldSimple w:instr=" SEQ level0 \*arabic ">
        <w:r w:rsidRPr="007F767A">
          <w:rPr>
            <w:noProof/>
          </w:rPr>
          <w:t>137</w:t>
        </w:r>
      </w:fldSimple>
      <w:r w:rsidRPr="007F767A" w:rsidR="00A45396">
        <w:t>.  </w:t>
      </w:r>
      <w:r w:rsidRPr="007F767A" w:rsidR="007262B6">
        <w:t xml:space="preserve">The Court has already expressed above </w:t>
      </w:r>
      <w:r w:rsidRPr="007F767A" w:rsidR="004E730A">
        <w:t>the</w:t>
      </w:r>
      <w:r w:rsidRPr="007F767A" w:rsidR="007262B6">
        <w:t xml:space="preserve"> doubts </w:t>
      </w:r>
      <w:r w:rsidRPr="007F767A" w:rsidR="004E730A">
        <w:t xml:space="preserve">it harbours </w:t>
      </w:r>
      <w:r w:rsidRPr="007F767A" w:rsidR="007262B6">
        <w:t>a</w:t>
      </w:r>
      <w:r w:rsidRPr="007F767A" w:rsidR="004E730A">
        <w:t xml:space="preserve">bout whether it </w:t>
      </w:r>
      <w:r w:rsidRPr="007F767A" w:rsidR="00E6059A">
        <w:t>had been</w:t>
      </w:r>
      <w:r w:rsidRPr="007F767A" w:rsidR="004E730A">
        <w:t xml:space="preserve"> </w:t>
      </w:r>
      <w:r w:rsidRPr="007F767A" w:rsidR="00EE5B88">
        <w:t>absolute</w:t>
      </w:r>
      <w:r w:rsidRPr="007F767A" w:rsidR="004E730A">
        <w:t>ly</w:t>
      </w:r>
      <w:r w:rsidRPr="007F767A" w:rsidR="00EE5B88">
        <w:t xml:space="preserve"> necess</w:t>
      </w:r>
      <w:r w:rsidRPr="007F767A" w:rsidR="004E730A">
        <w:t>ary to resort to the use of fatal force against the applicants</w:t>
      </w:r>
      <w:r w:rsidRPr="007F767A">
        <w:t>’</w:t>
      </w:r>
      <w:r w:rsidRPr="007F767A" w:rsidR="004E730A">
        <w:t xml:space="preserve"> relatives, instead of trying to apprehend them by using non-lethal means (see paragraph </w:t>
      </w:r>
      <w:r w:rsidRPr="007F767A" w:rsidR="00E6059A">
        <w:t>113</w:t>
      </w:r>
      <w:r w:rsidRPr="007F767A" w:rsidR="004E730A">
        <w:t xml:space="preserve"> above). It</w:t>
      </w:r>
      <w:r w:rsidRPr="007F767A" w:rsidR="00A45396">
        <w:t xml:space="preserve"> has </w:t>
      </w:r>
      <w:r w:rsidRPr="007F767A" w:rsidR="004E730A">
        <w:t xml:space="preserve">also </w:t>
      </w:r>
      <w:r w:rsidRPr="007F767A" w:rsidR="00A45396">
        <w:t>identified and examined above the prosecutor</w:t>
      </w:r>
      <w:r w:rsidRPr="007F767A">
        <w:t>’</w:t>
      </w:r>
      <w:r w:rsidRPr="007F767A" w:rsidR="00A45396">
        <w:t xml:space="preserve">s </w:t>
      </w:r>
      <w:r w:rsidRPr="007F767A" w:rsidR="004E730A">
        <w:t>readiness to allow the soldiers who killed the applicants</w:t>
      </w:r>
      <w:r w:rsidRPr="007F767A">
        <w:t>’</w:t>
      </w:r>
      <w:r w:rsidRPr="007F767A" w:rsidR="004E730A">
        <w:t xml:space="preserve"> relatives to secure and collect the evidence and his </w:t>
      </w:r>
      <w:r w:rsidRPr="007F767A" w:rsidR="00363B89">
        <w:t xml:space="preserve">decision to destroy the </w:t>
      </w:r>
      <w:r w:rsidRPr="007F767A" w:rsidR="00C65D39">
        <w:t>applicants</w:t>
      </w:r>
      <w:r w:rsidRPr="007F767A">
        <w:t>’</w:t>
      </w:r>
      <w:r w:rsidRPr="007F767A" w:rsidR="00C65D39">
        <w:t xml:space="preserve"> relatives</w:t>
      </w:r>
      <w:r w:rsidRPr="007F767A">
        <w:t>’</w:t>
      </w:r>
      <w:r w:rsidRPr="007F767A" w:rsidR="00C65D39">
        <w:t xml:space="preserve"> </w:t>
      </w:r>
      <w:r w:rsidRPr="007F767A" w:rsidR="00A45396">
        <w:t>clothes</w:t>
      </w:r>
      <w:r w:rsidRPr="007F767A" w:rsidR="004E730A">
        <w:t>, as well as the</w:t>
      </w:r>
      <w:r w:rsidRPr="007F767A" w:rsidR="00363B89">
        <w:t xml:space="preserve"> </w:t>
      </w:r>
      <w:r w:rsidRPr="007F767A" w:rsidR="00C65D39">
        <w:t xml:space="preserve">same </w:t>
      </w:r>
      <w:r w:rsidRPr="007F767A" w:rsidR="00A45396">
        <w:t>prosecutor</w:t>
      </w:r>
      <w:r w:rsidRPr="007F767A">
        <w:t>’</w:t>
      </w:r>
      <w:r w:rsidRPr="007F767A" w:rsidR="00A45396">
        <w:t>s failure to go to the scene of the incident</w:t>
      </w:r>
      <w:r w:rsidRPr="007F767A" w:rsidR="004E730A">
        <w:t>,</w:t>
      </w:r>
      <w:r w:rsidRPr="007F767A" w:rsidR="00363B89">
        <w:t xml:space="preserve"> </w:t>
      </w:r>
      <w:r w:rsidRPr="007F767A" w:rsidR="00A45396">
        <w:t xml:space="preserve">to question the soldiers </w:t>
      </w:r>
      <w:r w:rsidRPr="007F767A" w:rsidR="00363B89">
        <w:t>or</w:t>
      </w:r>
      <w:r w:rsidRPr="007F767A" w:rsidR="00A45396">
        <w:t xml:space="preserve"> the soldier who </w:t>
      </w:r>
      <w:r w:rsidRPr="007F767A" w:rsidR="00AD2C65">
        <w:t>had been</w:t>
      </w:r>
      <w:r w:rsidRPr="007F767A" w:rsidR="00A45396">
        <w:t xml:space="preserve"> injured during the operation</w:t>
      </w:r>
      <w:r w:rsidRPr="007F767A" w:rsidR="00D570EA">
        <w:t>,</w:t>
      </w:r>
      <w:r w:rsidRPr="007F767A" w:rsidR="00A45396">
        <w:t xml:space="preserve"> and to look for fingerprints on the weapons allegedly found next to the bodies of the applicants</w:t>
      </w:r>
      <w:r w:rsidRPr="007F767A">
        <w:t>’</w:t>
      </w:r>
      <w:r w:rsidRPr="007F767A" w:rsidR="00A45396">
        <w:t xml:space="preserve"> relatives. </w:t>
      </w:r>
      <w:r w:rsidRPr="007F767A" w:rsidR="006A44C6">
        <w:t xml:space="preserve">The Court is thus faced with both a number of submissions </w:t>
      </w:r>
      <w:r w:rsidRPr="007F767A" w:rsidR="00512C9A">
        <w:t xml:space="preserve">made </w:t>
      </w:r>
      <w:r w:rsidRPr="007F767A" w:rsidR="006A44C6">
        <w:t xml:space="preserve">by the Government which are contradicted by the </w:t>
      </w:r>
      <w:r w:rsidRPr="007F767A" w:rsidR="0033147B">
        <w:t xml:space="preserve">documents in the </w:t>
      </w:r>
      <w:r w:rsidRPr="007F767A" w:rsidR="006A44C6">
        <w:t>investigation</w:t>
      </w:r>
      <w:r w:rsidRPr="007F767A" w:rsidR="0033147B">
        <w:t xml:space="preserve"> file</w:t>
      </w:r>
      <w:r w:rsidRPr="007F767A" w:rsidR="006A44C6">
        <w:t xml:space="preserve"> and which </w:t>
      </w:r>
      <w:r w:rsidRPr="007F767A" w:rsidR="00A554E4">
        <w:t xml:space="preserve">can </w:t>
      </w:r>
      <w:r w:rsidRPr="007F767A" w:rsidR="006A44C6">
        <w:t xml:space="preserve">therefore </w:t>
      </w:r>
      <w:r w:rsidRPr="007F767A" w:rsidR="00A554E4">
        <w:t>not be relied upon</w:t>
      </w:r>
      <w:r w:rsidRPr="007F767A" w:rsidR="00512C9A">
        <w:t xml:space="preserve"> (see paragraphs </w:t>
      </w:r>
      <w:r w:rsidRPr="007F767A" w:rsidR="00E6059A">
        <w:t>118</w:t>
      </w:r>
      <w:r w:rsidRPr="007F767A" w:rsidR="00512C9A">
        <w:t>-</w:t>
      </w:r>
      <w:r w:rsidRPr="007F767A" w:rsidR="0036141E">
        <w:t>1</w:t>
      </w:r>
      <w:r w:rsidRPr="007F767A" w:rsidR="00E6059A">
        <w:t>2</w:t>
      </w:r>
      <w:r w:rsidRPr="007F767A" w:rsidR="0036141E">
        <w:t>4</w:t>
      </w:r>
      <w:r w:rsidRPr="007F767A" w:rsidR="00E6059A">
        <w:t xml:space="preserve"> </w:t>
      </w:r>
      <w:r w:rsidRPr="007F767A" w:rsidR="00512C9A">
        <w:t>above)</w:t>
      </w:r>
      <w:r w:rsidRPr="007F767A" w:rsidR="0033147B">
        <w:t>,</w:t>
      </w:r>
      <w:r w:rsidRPr="007F767A" w:rsidR="006A44C6">
        <w:t xml:space="preserve"> and with an investigation</w:t>
      </w:r>
      <w:r w:rsidRPr="007F767A" w:rsidR="00946E9F">
        <w:t xml:space="preserve"> which was </w:t>
      </w:r>
      <w:r w:rsidRPr="007F767A" w:rsidR="0033147B">
        <w:t>not only constructed almost entirely on the basis of documents prepared by the military and the evidence collected by the soldiers who killed the applicants</w:t>
      </w:r>
      <w:r w:rsidRPr="007F767A">
        <w:t>’</w:t>
      </w:r>
      <w:r w:rsidRPr="007F767A" w:rsidR="0033147B">
        <w:t xml:space="preserve"> relatives, but </w:t>
      </w:r>
      <w:r w:rsidRPr="007F767A" w:rsidR="00946E9F">
        <w:t xml:space="preserve">which was </w:t>
      </w:r>
      <w:r w:rsidRPr="007F767A" w:rsidR="0033147B">
        <w:t xml:space="preserve">also </w:t>
      </w:r>
      <w:r w:rsidRPr="007F767A" w:rsidR="006A44C6">
        <w:t xml:space="preserve">filled with serious failures </w:t>
      </w:r>
      <w:r w:rsidRPr="007F767A" w:rsidR="00512C9A">
        <w:t>highlighted in the preceding paragraph</w:t>
      </w:r>
      <w:r w:rsidRPr="007F767A" w:rsidR="00261FF2">
        <w:t>s</w:t>
      </w:r>
      <w:r w:rsidRPr="007F767A" w:rsidR="00512C9A">
        <w:t xml:space="preserve"> </w:t>
      </w:r>
      <w:r w:rsidRPr="007F767A" w:rsidR="00946E9F">
        <w:t>for which no explanations have been proffered by the Government.</w:t>
      </w:r>
    </w:p>
    <w:p w:rsidRPr="007F767A" w:rsidR="006A44C6" w:rsidP="007F767A" w:rsidRDefault="007F767A">
      <w:pPr>
        <w:pStyle w:val="ECHRPara"/>
      </w:pPr>
      <w:fldSimple w:instr=" SEQ level0 \*arabic ">
        <w:r w:rsidRPr="007F767A">
          <w:rPr>
            <w:noProof/>
          </w:rPr>
          <w:t>138</w:t>
        </w:r>
      </w:fldSimple>
      <w:r w:rsidRPr="007F767A" w:rsidR="004E730A">
        <w:t xml:space="preserve">.  The Court finds that the </w:t>
      </w:r>
      <w:r w:rsidRPr="007F767A" w:rsidR="00A45396">
        <w:t xml:space="preserve">foregoing is sufficient to conclude </w:t>
      </w:r>
      <w:r w:rsidRPr="007F767A" w:rsidR="00946E9F">
        <w:t xml:space="preserve">that the investigation conducted at the national level </w:t>
      </w:r>
      <w:r w:rsidRPr="007F767A" w:rsidR="002035BF">
        <w:t>was so manifestly inadequate and left so many obvious questions unanswered that it is</w:t>
      </w:r>
      <w:r w:rsidRPr="007F767A" w:rsidR="00946E9F">
        <w:t xml:space="preserve"> </w:t>
      </w:r>
      <w:r w:rsidRPr="007F767A" w:rsidR="00A554E4">
        <w:t xml:space="preserve">not capable of establishing the true facts surrounding the killings and the Court is </w:t>
      </w:r>
      <w:r w:rsidRPr="007F767A" w:rsidR="002035BF">
        <w:t xml:space="preserve">unable to rely on the conclusion reached at the end of that investigation </w:t>
      </w:r>
      <w:r w:rsidRPr="007F767A" w:rsidR="00235EE2">
        <w:t>(</w:t>
      </w:r>
      <w:r w:rsidRPr="007F767A" w:rsidR="0042331A">
        <w:t xml:space="preserve">see </w:t>
      </w:r>
      <w:r w:rsidRPr="007F767A" w:rsidR="002035BF">
        <w:rPr>
          <w:i/>
        </w:rPr>
        <w:t>Özcan and Others</w:t>
      </w:r>
      <w:r w:rsidRPr="007F767A" w:rsidR="002035BF">
        <w:t xml:space="preserve">, cited above, § 73; </w:t>
      </w:r>
      <w:r w:rsidRPr="007F767A" w:rsidR="0042331A">
        <w:rPr>
          <w:i/>
          <w:snapToGrid w:val="0"/>
        </w:rPr>
        <w:t>Gülbahar Özer</w:t>
      </w:r>
      <w:r w:rsidRPr="007F767A" w:rsidR="0042331A">
        <w:rPr>
          <w:snapToGrid w:val="0"/>
        </w:rPr>
        <w:t xml:space="preserve"> </w:t>
      </w:r>
      <w:r w:rsidRPr="007F767A" w:rsidR="0042331A">
        <w:rPr>
          <w:i/>
          <w:snapToGrid w:val="0"/>
        </w:rPr>
        <w:t>and Others</w:t>
      </w:r>
      <w:r w:rsidRPr="007F767A" w:rsidR="0042331A">
        <w:t>, cited above, §</w:t>
      </w:r>
      <w:r w:rsidRPr="007F767A" w:rsidR="00A96AA9">
        <w:t> </w:t>
      </w:r>
      <w:r w:rsidRPr="007F767A" w:rsidR="0042331A">
        <w:t>74</w:t>
      </w:r>
      <w:r w:rsidRPr="007F767A" w:rsidR="00E47F52">
        <w:noBreakHyphen/>
      </w:r>
      <w:r w:rsidRPr="007F767A" w:rsidR="0042331A">
        <w:t xml:space="preserve">75; </w:t>
      </w:r>
      <w:r w:rsidRPr="007F767A" w:rsidR="00865205">
        <w:t xml:space="preserve">and </w:t>
      </w:r>
      <w:r w:rsidRPr="007F767A" w:rsidR="00235EE2">
        <w:rPr>
          <w:i/>
        </w:rPr>
        <w:t>Beker</w:t>
      </w:r>
      <w:r w:rsidRPr="007F767A" w:rsidR="00235EE2">
        <w:t>, cited above, § 53)</w:t>
      </w:r>
      <w:r w:rsidRPr="007F767A" w:rsidR="0033147B">
        <w:t>.</w:t>
      </w:r>
      <w:r w:rsidRPr="007F767A" w:rsidR="00512C9A">
        <w:t xml:space="preserve"> </w:t>
      </w:r>
      <w:r w:rsidRPr="007F767A" w:rsidR="00783DBD">
        <w:t xml:space="preserve">In the light of the foregoing the Court </w:t>
      </w:r>
      <w:r w:rsidRPr="007F767A" w:rsidR="003E5659">
        <w:t xml:space="preserve">finds that the Government have failed to discharge </w:t>
      </w:r>
      <w:r w:rsidRPr="007F767A" w:rsidR="00865205">
        <w:t xml:space="preserve">their </w:t>
      </w:r>
      <w:r w:rsidRPr="007F767A" w:rsidR="00732ACF">
        <w:t>burden of</w:t>
      </w:r>
      <w:r w:rsidRPr="007F767A" w:rsidR="00865205">
        <w:t xml:space="preserve"> </w:t>
      </w:r>
      <w:r w:rsidRPr="007F767A" w:rsidR="00732ACF">
        <w:t>proving</w:t>
      </w:r>
      <w:r w:rsidRPr="007F767A" w:rsidR="00865205">
        <w:t xml:space="preserve"> </w:t>
      </w:r>
      <w:r w:rsidRPr="007F767A" w:rsidR="00783DBD">
        <w:t>that the killing of the applicants</w:t>
      </w:r>
      <w:r w:rsidRPr="007F767A">
        <w:t>’</w:t>
      </w:r>
      <w:r w:rsidRPr="007F767A" w:rsidR="00783DBD">
        <w:t xml:space="preserve"> seventeen relatives constituted a use of force which was no more than absolutely necessary or that it was </w:t>
      </w:r>
      <w:r w:rsidRPr="007F767A" w:rsidR="00865205">
        <w:t xml:space="preserve">a </w:t>
      </w:r>
      <w:r w:rsidRPr="007F767A" w:rsidR="00783DBD">
        <w:t xml:space="preserve">proportionate </w:t>
      </w:r>
      <w:r w:rsidRPr="007F767A" w:rsidR="00865205">
        <w:t xml:space="preserve">means of </w:t>
      </w:r>
      <w:r w:rsidRPr="007F767A" w:rsidR="00783DBD">
        <w:t>achiev</w:t>
      </w:r>
      <w:r w:rsidRPr="007F767A" w:rsidR="00865205">
        <w:t>ing</w:t>
      </w:r>
      <w:r w:rsidRPr="007F767A" w:rsidR="00783DBD">
        <w:t xml:space="preserve"> the purposes advanced by the</w:t>
      </w:r>
      <w:r w:rsidRPr="007F767A" w:rsidR="003E5659">
        <w:t>m</w:t>
      </w:r>
      <w:r w:rsidRPr="007F767A" w:rsidR="00783DBD">
        <w:t>.</w:t>
      </w:r>
    </w:p>
    <w:p w:rsidRPr="007F767A" w:rsidR="003E5659" w:rsidP="007F767A" w:rsidRDefault="007F767A">
      <w:pPr>
        <w:pStyle w:val="ECHRPara"/>
      </w:pPr>
      <w:fldSimple w:instr=" SEQ level0 \*arabic ">
        <w:r w:rsidRPr="007F767A">
          <w:rPr>
            <w:noProof/>
          </w:rPr>
          <w:t>139</w:t>
        </w:r>
      </w:fldSimple>
      <w:r w:rsidRPr="007F767A" w:rsidR="003E5659">
        <w:t>.  </w:t>
      </w:r>
      <w:r w:rsidRPr="007F767A" w:rsidR="00A554E4">
        <w:t>It follows that there has been a violation of Article 2 of the Convention in its substantive aspect in respect of the killing of the applicants</w:t>
      </w:r>
      <w:r w:rsidRPr="007F767A">
        <w:t>’</w:t>
      </w:r>
      <w:r w:rsidRPr="007F767A" w:rsidR="00A554E4">
        <w:t xml:space="preserve"> </w:t>
      </w:r>
      <w:r w:rsidRPr="007F767A" w:rsidR="00865205">
        <w:t>seventeen</w:t>
      </w:r>
      <w:r w:rsidRPr="007F767A" w:rsidR="00A554E4">
        <w:t xml:space="preserve"> relatives.</w:t>
      </w:r>
    </w:p>
    <w:p w:rsidRPr="007F767A" w:rsidR="0008026A" w:rsidP="007F767A" w:rsidRDefault="00880D7D">
      <w:pPr>
        <w:pStyle w:val="ECHRHeading4"/>
      </w:pPr>
      <w:r w:rsidRPr="007F767A">
        <w:t>b.  </w:t>
      </w:r>
      <w:r w:rsidRPr="007F767A" w:rsidR="0008026A">
        <w:t>Effectiveness of the investigation into the killing</w:t>
      </w:r>
    </w:p>
    <w:p w:rsidRPr="007F767A" w:rsidR="00F01DCE" w:rsidP="007F767A" w:rsidRDefault="007F767A">
      <w:pPr>
        <w:pStyle w:val="ECHRPara"/>
      </w:pPr>
      <w:fldSimple w:instr=" SEQ level0 \*arabic ">
        <w:r w:rsidRPr="007F767A">
          <w:rPr>
            <w:noProof/>
          </w:rPr>
          <w:t>140</w:t>
        </w:r>
      </w:fldSimple>
      <w:r w:rsidRPr="007F767A" w:rsidR="00783DBD">
        <w:t>.  </w:t>
      </w:r>
      <w:r w:rsidRPr="007F767A" w:rsidR="003331CF">
        <w:t>The Court has re</w:t>
      </w:r>
      <w:r w:rsidRPr="007F767A" w:rsidR="00AE24B0">
        <w:t xml:space="preserve">ferred </w:t>
      </w:r>
      <w:r w:rsidRPr="007F767A" w:rsidR="003331CF">
        <w:t xml:space="preserve">above (see paragraph </w:t>
      </w:r>
      <w:r w:rsidRPr="007F767A" w:rsidR="00E6059A">
        <w:t>114</w:t>
      </w:r>
      <w:r w:rsidRPr="007F767A" w:rsidR="003331CF">
        <w:t xml:space="preserve">) </w:t>
      </w:r>
      <w:r w:rsidRPr="007F767A" w:rsidR="00AE24B0">
        <w:t xml:space="preserve">to </w:t>
      </w:r>
      <w:r w:rsidRPr="007F767A" w:rsidR="003331CF">
        <w:t>the procedural obligation under Article 2 of the Convention to carry out effective investigations when individuals have been killed as a result of the use of force (</w:t>
      </w:r>
      <w:r w:rsidRPr="007F767A" w:rsidR="003331CF">
        <w:rPr>
          <w:i/>
        </w:rPr>
        <w:t>McCann and Others</w:t>
      </w:r>
      <w:r w:rsidRPr="007F767A" w:rsidR="003331CF">
        <w:t xml:space="preserve">, cited above, § 161-63). It has also examined </w:t>
      </w:r>
      <w:r w:rsidRPr="007F767A" w:rsidR="009C6260">
        <w:t>the serious shortcomings in the investigat</w:t>
      </w:r>
      <w:r w:rsidRPr="007F767A" w:rsidR="00C41F76">
        <w:t>ion</w:t>
      </w:r>
      <w:r w:rsidRPr="007F767A" w:rsidR="00865205">
        <w:t>,</w:t>
      </w:r>
      <w:r w:rsidRPr="007F767A" w:rsidR="00C41F76">
        <w:t xml:space="preserve"> which had a negative bearing on the establishment of the facts and which, as a result, </w:t>
      </w:r>
      <w:r w:rsidRPr="007F767A" w:rsidR="009C6260">
        <w:t xml:space="preserve">entailed the result that the Government were unable to discharge their </w:t>
      </w:r>
      <w:r w:rsidRPr="007F767A" w:rsidR="00732ACF">
        <w:t>burden</w:t>
      </w:r>
      <w:r w:rsidRPr="007F767A" w:rsidR="009C6260">
        <w:t xml:space="preserve"> to justify the killings.</w:t>
      </w:r>
    </w:p>
    <w:p w:rsidRPr="007F767A" w:rsidR="00695C6A" w:rsidP="007F767A" w:rsidRDefault="007F767A">
      <w:pPr>
        <w:pStyle w:val="ECHRPara"/>
      </w:pPr>
      <w:fldSimple w:instr=" SEQ level0 \*arabic ">
        <w:r w:rsidRPr="007F767A">
          <w:rPr>
            <w:noProof/>
          </w:rPr>
          <w:t>141</w:t>
        </w:r>
      </w:fldSimple>
      <w:r w:rsidRPr="007F767A" w:rsidR="00F01DCE">
        <w:t xml:space="preserve">.  Although those serious shortcomings are sufficient to conclude that the Government have </w:t>
      </w:r>
      <w:r w:rsidRPr="007F767A" w:rsidR="002D3113">
        <w:t xml:space="preserve">also </w:t>
      </w:r>
      <w:r w:rsidRPr="007F767A" w:rsidR="00F01DCE">
        <w:t>failed to comply with their procedural obligation to carry out an effective investigation, t</w:t>
      </w:r>
      <w:r w:rsidRPr="007F767A" w:rsidR="00695C6A">
        <w:t xml:space="preserve">he Court </w:t>
      </w:r>
      <w:r w:rsidRPr="007F767A" w:rsidR="00D24854">
        <w:t>deems it appropriate</w:t>
      </w:r>
      <w:r w:rsidRPr="007F767A" w:rsidR="00315341">
        <w:t xml:space="preserve"> </w:t>
      </w:r>
      <w:r w:rsidRPr="007F767A" w:rsidR="00D24854">
        <w:t xml:space="preserve">to examine </w:t>
      </w:r>
      <w:r w:rsidRPr="007F767A" w:rsidR="004E730A">
        <w:t xml:space="preserve">separately </w:t>
      </w:r>
      <w:r w:rsidRPr="007F767A" w:rsidR="00D24854">
        <w:t xml:space="preserve">the </w:t>
      </w:r>
      <w:r w:rsidRPr="007F767A" w:rsidR="00315341">
        <w:t>applicants</w:t>
      </w:r>
      <w:r w:rsidRPr="007F767A">
        <w:t>’</w:t>
      </w:r>
      <w:r w:rsidRPr="007F767A" w:rsidR="00315341">
        <w:t xml:space="preserve"> remaining complaint concerning the effectiveness of the </w:t>
      </w:r>
      <w:r w:rsidRPr="007F767A" w:rsidR="00D24854">
        <w:t>investigation from the standpoint of the above-mentioned procedural obligation.</w:t>
      </w:r>
    </w:p>
    <w:p w:rsidRPr="007F767A" w:rsidR="00162C30" w:rsidP="007F767A" w:rsidRDefault="007F767A">
      <w:pPr>
        <w:pStyle w:val="ECHRPara"/>
      </w:pPr>
      <w:fldSimple w:instr=" SEQ level0 \*arabic ">
        <w:r w:rsidRPr="007F767A">
          <w:rPr>
            <w:noProof/>
          </w:rPr>
          <w:t>142</w:t>
        </w:r>
      </w:fldSimple>
      <w:r w:rsidRPr="007F767A" w:rsidR="00162C30">
        <w:t>. </w:t>
      </w:r>
      <w:r w:rsidRPr="007F767A" w:rsidR="00FD77A6">
        <w:t> </w:t>
      </w:r>
      <w:r w:rsidRPr="007F767A" w:rsidR="00162C30">
        <w:t>The</w:t>
      </w:r>
      <w:r w:rsidRPr="007F767A" w:rsidR="00F6581D">
        <w:t xml:space="preserve"> applicants</w:t>
      </w:r>
      <w:r w:rsidRPr="007F767A" w:rsidR="00162C30">
        <w:t xml:space="preserve"> complained that they had been “ousted” from the investigation at the outset</w:t>
      </w:r>
      <w:r w:rsidRPr="007F767A" w:rsidR="00865205">
        <w:t>,</w:t>
      </w:r>
      <w:r w:rsidRPr="007F767A" w:rsidR="00162C30">
        <w:t xml:space="preserve"> because the investigation file </w:t>
      </w:r>
      <w:r w:rsidRPr="007F767A" w:rsidR="00F6581D">
        <w:t>had been</w:t>
      </w:r>
      <w:r w:rsidRPr="007F767A" w:rsidR="00162C30">
        <w:t xml:space="preserve"> categorised as “confidential” by a judge at the request of the prosecutor and they had therefore been unable to take any part in </w:t>
      </w:r>
      <w:r w:rsidRPr="007F767A" w:rsidR="00865205">
        <w:t>the investigation</w:t>
      </w:r>
      <w:r w:rsidRPr="007F767A" w:rsidR="00702635">
        <w:t xml:space="preserve">. </w:t>
      </w:r>
      <w:r w:rsidRPr="007F767A" w:rsidR="00162C30">
        <w:t xml:space="preserve">The </w:t>
      </w:r>
      <w:r w:rsidRPr="007F767A" w:rsidR="00865205">
        <w:t>judge</w:t>
      </w:r>
      <w:r w:rsidRPr="007F767A">
        <w:t>’</w:t>
      </w:r>
      <w:r w:rsidRPr="007F767A" w:rsidR="00865205">
        <w:t xml:space="preserve">s </w:t>
      </w:r>
      <w:r w:rsidRPr="007F767A" w:rsidR="00162C30">
        <w:t xml:space="preserve">decision </w:t>
      </w:r>
      <w:r w:rsidRPr="007F767A" w:rsidR="00414E66">
        <w:t xml:space="preserve">had </w:t>
      </w:r>
      <w:r w:rsidRPr="007F767A" w:rsidR="00162C30">
        <w:t xml:space="preserve">also </w:t>
      </w:r>
      <w:r w:rsidRPr="007F767A" w:rsidR="00F6581D">
        <w:t xml:space="preserve">prevented them from seeing </w:t>
      </w:r>
      <w:r w:rsidRPr="007F767A" w:rsidR="00162C30">
        <w:t xml:space="preserve">the investigation file until </w:t>
      </w:r>
      <w:r w:rsidRPr="007F767A" w:rsidR="00F6581D">
        <w:t>i</w:t>
      </w:r>
      <w:r w:rsidRPr="007F767A" w:rsidR="00162C30">
        <w:t>t</w:t>
      </w:r>
      <w:r w:rsidRPr="007F767A" w:rsidR="00F6581D">
        <w:t xml:space="preserve"> was</w:t>
      </w:r>
      <w:r w:rsidRPr="007F767A" w:rsidR="00162C30">
        <w:t xml:space="preserve"> submitted to the Court by the Government</w:t>
      </w:r>
      <w:r w:rsidRPr="007F767A" w:rsidR="00F6581D">
        <w:t xml:space="preserve"> and then</w:t>
      </w:r>
      <w:r w:rsidRPr="007F767A" w:rsidR="00162C30">
        <w:t xml:space="preserve"> forwarded to them</w:t>
      </w:r>
      <w:r w:rsidRPr="007F767A" w:rsidR="00F6581D">
        <w:t xml:space="preserve"> by the Court</w:t>
      </w:r>
      <w:r w:rsidRPr="007F767A" w:rsidR="00162C30">
        <w:t xml:space="preserve"> in September 2009</w:t>
      </w:r>
      <w:r w:rsidRPr="007F767A" w:rsidR="00F6581D">
        <w:t xml:space="preserve"> (see paragraph </w:t>
      </w:r>
      <w:r w:rsidRPr="007F767A" w:rsidR="00743F3F">
        <w:t>89</w:t>
      </w:r>
      <w:r w:rsidRPr="007F767A" w:rsidR="00F6581D">
        <w:t xml:space="preserve"> above)</w:t>
      </w:r>
      <w:r w:rsidRPr="007F767A" w:rsidR="00162C30">
        <w:t>.</w:t>
      </w:r>
    </w:p>
    <w:p w:rsidRPr="007F767A" w:rsidR="00B76957" w:rsidP="007F767A" w:rsidRDefault="007F767A">
      <w:pPr>
        <w:pStyle w:val="ECHRPara"/>
      </w:pPr>
      <w:fldSimple w:instr=" SEQ level0 \*arabic ">
        <w:r w:rsidRPr="007F767A">
          <w:rPr>
            <w:noProof/>
          </w:rPr>
          <w:t>143</w:t>
        </w:r>
      </w:fldSimple>
      <w:r w:rsidRPr="007F767A" w:rsidR="00D24854">
        <w:t>.  </w:t>
      </w:r>
      <w:r w:rsidRPr="007F767A" w:rsidR="00DF72B4">
        <w:t xml:space="preserve">The </w:t>
      </w:r>
      <w:r w:rsidRPr="007F767A" w:rsidR="00B76957">
        <w:t xml:space="preserve">Government maintained that the prosecutor had conducted an investigation which was in compliance with the requirements of Article 2 of the Convention and that in doing so he had not ignored any small detail or evidence and </w:t>
      </w:r>
      <w:r w:rsidRPr="007F767A" w:rsidR="001E7827">
        <w:t xml:space="preserve">had </w:t>
      </w:r>
      <w:r w:rsidRPr="007F767A" w:rsidR="00B76957">
        <w:t>conducted the entire investigation swiftly</w:t>
      </w:r>
      <w:r w:rsidRPr="007F767A" w:rsidR="00865205">
        <w:t>, completing it</w:t>
      </w:r>
      <w:r w:rsidRPr="007F767A" w:rsidR="00B76957">
        <w:t xml:space="preserve"> within one year</w:t>
      </w:r>
      <w:r w:rsidRPr="007F767A" w:rsidR="001E7827">
        <w:t>.</w:t>
      </w:r>
      <w:r w:rsidRPr="007F767A" w:rsidR="00B76957">
        <w:t xml:space="preserve"> </w:t>
      </w:r>
      <w:r w:rsidRPr="007F767A" w:rsidR="001E7827">
        <w:t>In doing so, t</w:t>
      </w:r>
      <w:r w:rsidRPr="007F767A" w:rsidR="00B76957">
        <w:t xml:space="preserve">he prosecutor had taken into consideration all </w:t>
      </w:r>
      <w:r w:rsidRPr="007F767A" w:rsidR="00865205">
        <w:t xml:space="preserve">the </w:t>
      </w:r>
      <w:r w:rsidRPr="007F767A" w:rsidR="00B76957">
        <w:t xml:space="preserve">allegations made by the relatives of the deceased and </w:t>
      </w:r>
      <w:r w:rsidRPr="007F767A" w:rsidR="00865205">
        <w:t xml:space="preserve">had met </w:t>
      </w:r>
      <w:r w:rsidRPr="007F767A" w:rsidR="00B76957">
        <w:t>all their demands</w:t>
      </w:r>
      <w:r w:rsidRPr="007F767A" w:rsidR="001E7827">
        <w:t>.</w:t>
      </w:r>
    </w:p>
    <w:p w:rsidRPr="007F767A" w:rsidR="003F27B0" w:rsidP="007F767A" w:rsidRDefault="007F767A">
      <w:pPr>
        <w:pStyle w:val="ECHRPara"/>
        <w:rPr>
          <w:i/>
        </w:rPr>
      </w:pPr>
      <w:fldSimple w:instr=" SEQ level0 \*arabic ">
        <w:r w:rsidRPr="007F767A">
          <w:rPr>
            <w:noProof/>
          </w:rPr>
          <w:t>144</w:t>
        </w:r>
      </w:fldSimple>
      <w:r w:rsidRPr="007F767A" w:rsidR="003F27B0">
        <w:t>.  The Court reiterates that there must be a sufficient element of public scrutiny of the investigation or its results to secure accountability in practice as well as in theory. The degree of public scrutiny required may well vary from case to case. In all instances, however, the next</w:t>
      </w:r>
      <w:r w:rsidRPr="007F767A" w:rsidR="00865205">
        <w:t xml:space="preserve"> </w:t>
      </w:r>
      <w:r w:rsidRPr="007F767A" w:rsidR="003F27B0">
        <w:t>of</w:t>
      </w:r>
      <w:r w:rsidRPr="007F767A" w:rsidR="00865205">
        <w:t xml:space="preserve"> </w:t>
      </w:r>
      <w:r w:rsidRPr="007F767A" w:rsidR="003F27B0">
        <w:t xml:space="preserve">kin of the victim must be involved in the procedure to the extent necessary to safeguard </w:t>
      </w:r>
      <w:r w:rsidRPr="007F767A" w:rsidR="00E82D90">
        <w:t>t</w:t>
      </w:r>
      <w:r w:rsidRPr="007F767A" w:rsidR="003F27B0">
        <w:t>he</w:t>
      </w:r>
      <w:r w:rsidRPr="007F767A" w:rsidR="00E82D90">
        <w:t>i</w:t>
      </w:r>
      <w:r w:rsidRPr="007F767A" w:rsidR="003F27B0">
        <w:t xml:space="preserve">r legitimate interests (see </w:t>
      </w:r>
      <w:r w:rsidRPr="007F767A" w:rsidR="003F27B0">
        <w:rPr>
          <w:i/>
        </w:rPr>
        <w:t>Güleç v. Turkey</w:t>
      </w:r>
      <w:r w:rsidRPr="007F767A" w:rsidR="00E47F52">
        <w:t>, 27 July 1998, § </w:t>
      </w:r>
      <w:r w:rsidRPr="007F767A" w:rsidR="003F27B0">
        <w:t xml:space="preserve">82, </w:t>
      </w:r>
      <w:r w:rsidRPr="007F767A" w:rsidR="003F27B0">
        <w:rPr>
          <w:i/>
        </w:rPr>
        <w:t>Reports of Judgments and Decisions</w:t>
      </w:r>
      <w:r w:rsidRPr="007F767A" w:rsidR="003F27B0">
        <w:t xml:space="preserve"> 1998</w:t>
      </w:r>
      <w:r w:rsidRPr="007F767A" w:rsidR="003F27B0">
        <w:noBreakHyphen/>
        <w:t>IV</w:t>
      </w:r>
      <w:r w:rsidRPr="007F767A" w:rsidR="00D070FA">
        <w:t xml:space="preserve">; see also </w:t>
      </w:r>
      <w:r w:rsidRPr="007F767A" w:rsidR="00865205">
        <w:rPr>
          <w:i/>
        </w:rPr>
        <w:t xml:space="preserve">Dink </w:t>
      </w:r>
      <w:r w:rsidRPr="007F767A" w:rsidR="00D070FA">
        <w:rPr>
          <w:i/>
        </w:rPr>
        <w:t>v.</w:t>
      </w:r>
      <w:r w:rsidRPr="007F767A" w:rsidR="003A4706">
        <w:rPr>
          <w:i/>
        </w:rPr>
        <w:t> </w:t>
      </w:r>
      <w:r w:rsidRPr="007F767A" w:rsidR="00D070FA">
        <w:rPr>
          <w:i/>
        </w:rPr>
        <w:t>Turkey</w:t>
      </w:r>
      <w:r w:rsidRPr="007F767A" w:rsidR="00D070FA">
        <w:t>, nos.</w:t>
      </w:r>
      <w:r w:rsidRPr="007F767A" w:rsidR="00E47F52">
        <w:t> </w:t>
      </w:r>
      <w:r w:rsidRPr="007F767A" w:rsidR="00D070FA">
        <w:t>2668/07, 6102/08, 30079/08</w:t>
      </w:r>
      <w:r w:rsidRPr="007F767A" w:rsidR="00A96AA9">
        <w:t>, 7072/09 and 7124/09, § 89, 14 </w:t>
      </w:r>
      <w:r w:rsidRPr="007F767A" w:rsidR="00D070FA">
        <w:t>September 2010</w:t>
      </w:r>
      <w:r w:rsidRPr="007F767A" w:rsidR="003F27B0">
        <w:t>).</w:t>
      </w:r>
    </w:p>
    <w:p w:rsidRPr="007F767A" w:rsidR="00F75D35" w:rsidP="007F767A" w:rsidRDefault="007F767A">
      <w:pPr>
        <w:pStyle w:val="ECHRPara"/>
      </w:pPr>
      <w:fldSimple w:instr=" SEQ level0 \*arabic ">
        <w:r w:rsidRPr="007F767A">
          <w:rPr>
            <w:noProof/>
          </w:rPr>
          <w:t>145</w:t>
        </w:r>
      </w:fldSimple>
      <w:r w:rsidRPr="007F767A" w:rsidR="001A611A">
        <w:t xml:space="preserve">.  The Court observes that the </w:t>
      </w:r>
      <w:r w:rsidRPr="007F767A" w:rsidR="00AD541D">
        <w:t xml:space="preserve">very </w:t>
      </w:r>
      <w:r w:rsidRPr="007F767A" w:rsidR="001A611A">
        <w:t xml:space="preserve">first step taken by the prosecutor </w:t>
      </w:r>
      <w:r w:rsidRPr="007F767A" w:rsidR="00AD541D">
        <w:t xml:space="preserve">immediately </w:t>
      </w:r>
      <w:r w:rsidRPr="007F767A" w:rsidR="001A611A">
        <w:t xml:space="preserve">after the </w:t>
      </w:r>
      <w:r w:rsidRPr="007F767A" w:rsidR="00AD541D">
        <w:t xml:space="preserve">first official complaint was made to him about the killings </w:t>
      </w:r>
      <w:r w:rsidRPr="007F767A" w:rsidR="001A611A">
        <w:t>was to ask the Magistrates</w:t>
      </w:r>
      <w:r w:rsidRPr="007F767A">
        <w:t>’</w:t>
      </w:r>
      <w:r w:rsidRPr="007F767A" w:rsidR="001A611A">
        <w:t xml:space="preserve"> Court to restrict the</w:t>
      </w:r>
      <w:r w:rsidRPr="007F767A" w:rsidR="00AD541D">
        <w:t xml:space="preserve"> applicants</w:t>
      </w:r>
      <w:r w:rsidRPr="007F767A">
        <w:t>’</w:t>
      </w:r>
      <w:r w:rsidRPr="007F767A" w:rsidR="001A611A">
        <w:t xml:space="preserve"> access to the file </w:t>
      </w:r>
      <w:r w:rsidRPr="007F767A" w:rsidR="00B76957">
        <w:t xml:space="preserve">because they were related to “the deceased members of the terrorist organisation” (see paragraph </w:t>
      </w:r>
      <w:r w:rsidRPr="007F767A" w:rsidR="00E6059A">
        <w:t>44</w:t>
      </w:r>
      <w:r w:rsidRPr="007F767A" w:rsidR="00B76957">
        <w:t xml:space="preserve"> above)</w:t>
      </w:r>
      <w:r w:rsidRPr="007F767A" w:rsidR="001A611A">
        <w:t>.</w:t>
      </w:r>
      <w:r w:rsidRPr="007F767A" w:rsidR="00F63521">
        <w:t xml:space="preserve"> The Court is not convinced by that reasoning and finds that </w:t>
      </w:r>
      <w:r w:rsidRPr="007F767A" w:rsidR="007B032F">
        <w:t>i</w:t>
      </w:r>
      <w:r w:rsidRPr="007F767A" w:rsidR="00F63521">
        <w:t>t</w:t>
      </w:r>
      <w:r w:rsidRPr="007F767A" w:rsidR="00972E78">
        <w:t xml:space="preserve"> effectively prevented the applicants from taking any meaningful part in the investigation.</w:t>
      </w:r>
      <w:r w:rsidRPr="007F767A" w:rsidR="007D400C">
        <w:t xml:space="preserve"> The obstacles p</w:t>
      </w:r>
      <w:r w:rsidRPr="007F767A" w:rsidR="00865205">
        <w:t xml:space="preserve">laced in the way of </w:t>
      </w:r>
      <w:r w:rsidRPr="007F767A" w:rsidR="007D400C">
        <w:t>the applicants</w:t>
      </w:r>
      <w:r w:rsidRPr="007F767A">
        <w:t>’</w:t>
      </w:r>
      <w:r w:rsidRPr="007F767A" w:rsidR="007D400C">
        <w:t xml:space="preserve"> efforts to safeguard their legitimate interests by the Magistrates</w:t>
      </w:r>
      <w:r w:rsidRPr="007F767A">
        <w:t>’</w:t>
      </w:r>
      <w:r w:rsidRPr="007F767A" w:rsidR="007D400C">
        <w:t xml:space="preserve"> Court</w:t>
      </w:r>
      <w:r w:rsidRPr="007F767A">
        <w:t>’</w:t>
      </w:r>
      <w:r w:rsidRPr="007F767A" w:rsidR="007D400C">
        <w:t>s decision were well illustrated in the complaint they submitted to the Ovacık prosecutor</w:t>
      </w:r>
      <w:r w:rsidRPr="007F767A" w:rsidR="00D070FA">
        <w:t xml:space="preserve">. At the </w:t>
      </w:r>
      <w:r w:rsidRPr="007F767A" w:rsidR="00F75D35">
        <w:t xml:space="preserve">beginning of </w:t>
      </w:r>
      <w:r w:rsidRPr="007F767A" w:rsidR="00D070FA">
        <w:t xml:space="preserve">that </w:t>
      </w:r>
      <w:r w:rsidRPr="007F767A" w:rsidR="00715E2D">
        <w:t>complaint</w:t>
      </w:r>
      <w:r w:rsidRPr="007F767A" w:rsidR="007D400C">
        <w:t xml:space="preserve"> the applicants stated that “</w:t>
      </w:r>
      <w:r w:rsidRPr="007F767A" w:rsidR="00F75D35">
        <w:t xml:space="preserve">the arguments </w:t>
      </w:r>
      <w:r w:rsidRPr="007F767A" w:rsidR="007D400C">
        <w:t>they were making were inevitably based only on the autopsy reports and the things they had heard or witnessed personally; as their access to the investigation had been prevented, they had not had the opportunity to have access to any of the evidence or the information in the prosecutor</w:t>
      </w:r>
      <w:r w:rsidRPr="007F767A">
        <w:t>’</w:t>
      </w:r>
      <w:r w:rsidRPr="007F767A" w:rsidR="007D400C">
        <w:t>s file</w:t>
      </w:r>
      <w:r w:rsidRPr="007F767A" w:rsidR="00F75D35">
        <w:t>” (see paragraph</w:t>
      </w:r>
      <w:r w:rsidRPr="007F767A" w:rsidR="00FD77A6">
        <w:t> </w:t>
      </w:r>
      <w:r w:rsidRPr="007F767A" w:rsidR="00E6059A">
        <w:t>52</w:t>
      </w:r>
      <w:r w:rsidRPr="007F767A" w:rsidR="00F75D35">
        <w:t xml:space="preserve"> above). Nevertheless, that complaint did not spur the prosecutor to give thought to his obligation to ensure the applicants</w:t>
      </w:r>
      <w:r w:rsidRPr="007F767A">
        <w:t>’</w:t>
      </w:r>
      <w:r w:rsidRPr="007F767A" w:rsidR="00F75D35">
        <w:t xml:space="preserve"> participation in the investigation.</w:t>
      </w:r>
    </w:p>
    <w:p w:rsidRPr="007F767A" w:rsidR="00DE086E" w:rsidP="007F767A" w:rsidRDefault="007F767A">
      <w:pPr>
        <w:pStyle w:val="ECHRPara"/>
      </w:pPr>
      <w:fldSimple w:instr=" SEQ level0 \*arabic ">
        <w:r w:rsidRPr="007F767A">
          <w:rPr>
            <w:noProof/>
          </w:rPr>
          <w:t>146</w:t>
        </w:r>
      </w:fldSimple>
      <w:r w:rsidRPr="007F767A" w:rsidR="001A611A">
        <w:t>.  </w:t>
      </w:r>
      <w:r w:rsidRPr="007F767A" w:rsidR="00B76957">
        <w:t>The Court is also unable to accept the Government</w:t>
      </w:r>
      <w:r w:rsidRPr="007F767A">
        <w:t>’</w:t>
      </w:r>
      <w:r w:rsidRPr="007F767A" w:rsidR="00B76957">
        <w:t xml:space="preserve">s submissions that the decision to classify the investigation as confidential </w:t>
      </w:r>
      <w:r w:rsidRPr="007F767A" w:rsidR="00E82D90">
        <w:t>di</w:t>
      </w:r>
      <w:r w:rsidRPr="007F767A" w:rsidR="00B76957">
        <w:t>d not prevent the relatives from accessing the file because in the Government</w:t>
      </w:r>
      <w:r w:rsidRPr="007F767A">
        <w:t>’</w:t>
      </w:r>
      <w:r w:rsidRPr="007F767A" w:rsidR="00B76957">
        <w:t xml:space="preserve">s opinion that decision had only restricted taking </w:t>
      </w:r>
      <w:r w:rsidRPr="007F767A" w:rsidR="001A611A">
        <w:t>“</w:t>
      </w:r>
      <w:r w:rsidRPr="007F767A" w:rsidR="00B76957">
        <w:t>some documents</w:t>
      </w:r>
      <w:r w:rsidRPr="007F767A" w:rsidR="001A611A">
        <w:t>”</w:t>
      </w:r>
      <w:r w:rsidRPr="007F767A" w:rsidR="00B76957">
        <w:t xml:space="preserve"> from the file and that the file had always been accessible to the relatives. Unlike the Government, the Court notes that that decision effectively prevented the applicants from seeing any documents in the file</w:t>
      </w:r>
      <w:r w:rsidRPr="007F767A" w:rsidR="00715E2D">
        <w:t>,</w:t>
      </w:r>
      <w:r w:rsidRPr="007F767A" w:rsidR="00B76957">
        <w:t xml:space="preserve"> with the exception of the autopsy reports</w:t>
      </w:r>
      <w:r w:rsidRPr="007F767A" w:rsidR="001A611A">
        <w:t xml:space="preserve"> (see paragraph </w:t>
      </w:r>
      <w:r w:rsidRPr="007F767A" w:rsidR="00E6059A">
        <w:t>45</w:t>
      </w:r>
      <w:r w:rsidRPr="007F767A" w:rsidR="001A611A">
        <w:t xml:space="preserve"> above) and subsequently the documents concerning the forensic examination of the clothes of four of their deceased relatives (see paragraph </w:t>
      </w:r>
      <w:r w:rsidRPr="007F767A" w:rsidR="00E6059A">
        <w:t>59</w:t>
      </w:r>
      <w:r w:rsidRPr="007F767A" w:rsidR="001A611A">
        <w:t xml:space="preserve"> above)</w:t>
      </w:r>
      <w:r w:rsidRPr="007F767A" w:rsidR="00B76957">
        <w:t>. In fact the applicants</w:t>
      </w:r>
      <w:r w:rsidRPr="007F767A">
        <w:t>’</w:t>
      </w:r>
      <w:r w:rsidRPr="007F767A" w:rsidR="00D070FA">
        <w:t xml:space="preserve"> inability to examine the investigation file continued</w:t>
      </w:r>
      <w:r w:rsidRPr="007F767A" w:rsidR="00B76957">
        <w:t xml:space="preserve"> until some three years after the investigation was closed</w:t>
      </w:r>
      <w:r w:rsidRPr="007F767A" w:rsidR="00715E2D">
        <w:t>,</w:t>
      </w:r>
      <w:r w:rsidRPr="007F767A" w:rsidR="00B76957">
        <w:t xml:space="preserve"> </w:t>
      </w:r>
      <w:r w:rsidRPr="007F767A" w:rsidR="00D070FA">
        <w:t xml:space="preserve">when </w:t>
      </w:r>
      <w:r w:rsidRPr="007F767A" w:rsidR="00B76957">
        <w:t>those documents were made available to the Court and the Court forwarded them to the applicants (see paragraph</w:t>
      </w:r>
      <w:r w:rsidRPr="007F767A" w:rsidR="00FD77A6">
        <w:t> </w:t>
      </w:r>
      <w:r w:rsidRPr="007F767A" w:rsidR="00E6059A">
        <w:t>89</w:t>
      </w:r>
      <w:r w:rsidRPr="007F767A" w:rsidR="00B76957">
        <w:t xml:space="preserve"> above).</w:t>
      </w:r>
    </w:p>
    <w:p w:rsidRPr="007F767A" w:rsidR="00F253D5" w:rsidP="007F767A" w:rsidRDefault="007F767A">
      <w:pPr>
        <w:pStyle w:val="ECHRPara"/>
      </w:pPr>
      <w:fldSimple w:instr=" SEQ level0 \*arabic ">
        <w:r w:rsidRPr="007F767A">
          <w:rPr>
            <w:noProof/>
          </w:rPr>
          <w:t>147</w:t>
        </w:r>
      </w:fldSimple>
      <w:r w:rsidRPr="007F767A" w:rsidR="00A24272">
        <w:t>.  In the light of the serious failures noted above, t</w:t>
      </w:r>
      <w:r w:rsidRPr="007F767A" w:rsidR="000E4394">
        <w:t xml:space="preserve">he Court </w:t>
      </w:r>
      <w:r w:rsidRPr="007F767A" w:rsidR="00A24272">
        <w:t xml:space="preserve">cannot </w:t>
      </w:r>
      <w:r w:rsidRPr="007F767A" w:rsidR="000E4394">
        <w:t xml:space="preserve">accept </w:t>
      </w:r>
      <w:r w:rsidRPr="007F767A" w:rsidR="00A24272">
        <w:t xml:space="preserve">the submissions made by the Government </w:t>
      </w:r>
      <w:r w:rsidRPr="007F767A" w:rsidR="000E4394">
        <w:t>th</w:t>
      </w:r>
      <w:r w:rsidRPr="007F767A" w:rsidR="00A24272">
        <w:t>at</w:t>
      </w:r>
      <w:r w:rsidRPr="007F767A" w:rsidR="000E4394">
        <w:t xml:space="preserve"> “the prosecutor had taken into consideration all </w:t>
      </w:r>
      <w:r w:rsidRPr="007F767A" w:rsidR="00715E2D">
        <w:t xml:space="preserve">the </w:t>
      </w:r>
      <w:r w:rsidRPr="007F767A" w:rsidR="000E4394">
        <w:t xml:space="preserve">allegations made by the relatives of the deceased and </w:t>
      </w:r>
      <w:r w:rsidRPr="007F767A" w:rsidR="00715E2D">
        <w:t xml:space="preserve">had met </w:t>
      </w:r>
      <w:r w:rsidRPr="007F767A" w:rsidR="000E4394">
        <w:t>all their demands”. It notes that a very large number of pertinent requests made by the applicants, such as asking the prosecutor to visit the area, to question the soldiers</w:t>
      </w:r>
      <w:r w:rsidRPr="007F767A" w:rsidR="00A24272">
        <w:t>, to establish what weapons had been used by those soldiers, to look for fingerprints on the rifles</w:t>
      </w:r>
      <w:r w:rsidRPr="007F767A" w:rsidR="00715E2D">
        <w:t>,</w:t>
      </w:r>
      <w:r w:rsidRPr="007F767A" w:rsidR="00A24272">
        <w:t xml:space="preserve"> and to try and eliminate the inconsistencies between the Kemah and Ovacık military reports</w:t>
      </w:r>
      <w:r w:rsidRPr="007F767A" w:rsidR="00D070FA">
        <w:t xml:space="preserve">, were not taken on board by the prosecutor. </w:t>
      </w:r>
      <w:r w:rsidRPr="007F767A" w:rsidR="00A24272">
        <w:t xml:space="preserve">In fact, </w:t>
      </w:r>
      <w:r w:rsidRPr="007F767A" w:rsidR="00D070FA">
        <w:t xml:space="preserve">it seems that </w:t>
      </w:r>
      <w:r w:rsidRPr="007F767A" w:rsidR="0037371F">
        <w:t xml:space="preserve">only </w:t>
      </w:r>
      <w:r w:rsidRPr="007F767A" w:rsidR="00F253D5">
        <w:t xml:space="preserve">one </w:t>
      </w:r>
      <w:r w:rsidRPr="007F767A" w:rsidR="00715E2D">
        <w:t xml:space="preserve">of the </w:t>
      </w:r>
      <w:r w:rsidRPr="007F767A" w:rsidR="00A24272">
        <w:t>request</w:t>
      </w:r>
      <w:r w:rsidRPr="007F767A" w:rsidR="00715E2D">
        <w:t>s</w:t>
      </w:r>
      <w:r w:rsidRPr="007F767A" w:rsidR="00A24272">
        <w:t xml:space="preserve"> made by the applicants w</w:t>
      </w:r>
      <w:r w:rsidRPr="007F767A" w:rsidR="00F253D5">
        <w:t>as</w:t>
      </w:r>
      <w:r w:rsidRPr="007F767A" w:rsidR="00A24272">
        <w:t xml:space="preserve"> </w:t>
      </w:r>
      <w:r w:rsidRPr="007F767A" w:rsidR="00715E2D">
        <w:t>granted</w:t>
      </w:r>
      <w:r w:rsidRPr="007F767A" w:rsidR="00A24272">
        <w:t xml:space="preserve"> by the investigating authorities</w:t>
      </w:r>
      <w:r w:rsidRPr="007F767A" w:rsidR="00E82D90">
        <w:t>,</w:t>
      </w:r>
      <w:r w:rsidRPr="007F767A" w:rsidR="00A24272">
        <w:t xml:space="preserve"> namely</w:t>
      </w:r>
      <w:r w:rsidRPr="007F767A" w:rsidR="0037371F">
        <w:t xml:space="preserve"> to send the undestroyed clothes </w:t>
      </w:r>
      <w:r w:rsidRPr="007F767A" w:rsidR="00A24272">
        <w:t>f</w:t>
      </w:r>
      <w:r w:rsidRPr="007F767A" w:rsidR="0037371F">
        <w:t>o</w:t>
      </w:r>
      <w:r w:rsidRPr="007F767A" w:rsidR="00A24272">
        <w:t>r</w:t>
      </w:r>
      <w:r w:rsidRPr="007F767A" w:rsidR="0037371F">
        <w:t xml:space="preserve"> forensic </w:t>
      </w:r>
      <w:r w:rsidRPr="007F767A" w:rsidR="00A24272">
        <w:t>examination</w:t>
      </w:r>
      <w:r w:rsidRPr="007F767A" w:rsidR="00D070FA">
        <w:t xml:space="preserve"> (see paragraph </w:t>
      </w:r>
      <w:r w:rsidRPr="007F767A" w:rsidR="00E6059A">
        <w:t>46</w:t>
      </w:r>
      <w:r w:rsidRPr="007F767A" w:rsidR="00D070FA">
        <w:t xml:space="preserve"> above)</w:t>
      </w:r>
      <w:r w:rsidRPr="007F767A" w:rsidR="00D9333C">
        <w:t>.</w:t>
      </w:r>
    </w:p>
    <w:p w:rsidRPr="007F767A" w:rsidR="00014566" w:rsidP="007F767A" w:rsidRDefault="007F767A">
      <w:pPr>
        <w:pStyle w:val="ECHRPara"/>
      </w:pPr>
      <w:fldSimple w:instr=" SEQ level0 \*arabic ">
        <w:r w:rsidRPr="007F767A">
          <w:rPr>
            <w:noProof/>
          </w:rPr>
          <w:t>148</w:t>
        </w:r>
      </w:fldSimple>
      <w:r w:rsidRPr="007F767A" w:rsidR="00D71ED6">
        <w:t>.  </w:t>
      </w:r>
      <w:r w:rsidRPr="007F767A" w:rsidR="00014566">
        <w:t xml:space="preserve">The foregoing considerations are sufficient to enable the Court to conclude that </w:t>
      </w:r>
      <w:r w:rsidRPr="007F767A" w:rsidR="00B57F58">
        <w:t>the national authorities failed to carry out an effective investigation into the killing of the applicants</w:t>
      </w:r>
      <w:r w:rsidRPr="007F767A">
        <w:t>’</w:t>
      </w:r>
      <w:r w:rsidRPr="007F767A" w:rsidR="00B57F58">
        <w:t xml:space="preserve"> relatives.</w:t>
      </w:r>
    </w:p>
    <w:p w:rsidRPr="007F767A" w:rsidR="00014566" w:rsidP="007F767A" w:rsidRDefault="007F767A">
      <w:pPr>
        <w:pStyle w:val="ECHRPara"/>
      </w:pPr>
      <w:fldSimple w:instr=" SEQ level0 \*arabic ">
        <w:r w:rsidRPr="007F767A">
          <w:rPr>
            <w:noProof/>
          </w:rPr>
          <w:t>149</w:t>
        </w:r>
      </w:fldSimple>
      <w:r w:rsidRPr="007F767A" w:rsidR="00B57F58">
        <w:t>.  </w:t>
      </w:r>
      <w:r w:rsidRPr="007F767A" w:rsidR="00014566">
        <w:t xml:space="preserve">There has accordingly been a violation of Article </w:t>
      </w:r>
      <w:r w:rsidRPr="007F767A" w:rsidR="006A44C6">
        <w:t>2</w:t>
      </w:r>
      <w:r w:rsidRPr="007F767A" w:rsidR="00014566">
        <w:t xml:space="preserve"> of the Convention</w:t>
      </w:r>
      <w:r w:rsidRPr="007F767A" w:rsidR="006A44C6">
        <w:t xml:space="preserve"> in its procedural aspect.</w:t>
      </w:r>
    </w:p>
    <w:p w:rsidRPr="007F767A" w:rsidR="005A1D24" w:rsidP="007F767A" w:rsidRDefault="00B11C23">
      <w:pPr>
        <w:pStyle w:val="ECHRHeading1"/>
      </w:pPr>
      <w:r w:rsidRPr="007F767A">
        <w:t>II</w:t>
      </w:r>
      <w:r w:rsidRPr="007F767A" w:rsidR="00014566">
        <w:t xml:space="preserve">.  ALLEGED VIOLATION OF ARTICLE </w:t>
      </w:r>
      <w:r w:rsidRPr="007F767A">
        <w:t>3</w:t>
      </w:r>
      <w:r w:rsidRPr="007F767A" w:rsidR="005A1D24">
        <w:t xml:space="preserve"> </w:t>
      </w:r>
      <w:r w:rsidRPr="007F767A" w:rsidR="00014566">
        <w:t>OF THE CONVENTION</w:t>
      </w:r>
    </w:p>
    <w:p w:rsidRPr="007F767A" w:rsidR="005A1D24" w:rsidP="007F767A" w:rsidRDefault="007F767A">
      <w:pPr>
        <w:pStyle w:val="ECHRPara"/>
      </w:pPr>
      <w:fldSimple w:instr=" SEQ level0 \*arabic ">
        <w:r w:rsidRPr="007F767A">
          <w:rPr>
            <w:noProof/>
          </w:rPr>
          <w:t>150</w:t>
        </w:r>
      </w:fldSimple>
      <w:r w:rsidRPr="007F767A" w:rsidR="00A460CA">
        <w:t>.  </w:t>
      </w:r>
      <w:r w:rsidRPr="007F767A" w:rsidR="005A1D24">
        <w:t xml:space="preserve">The applicants </w:t>
      </w:r>
      <w:r w:rsidRPr="007F767A" w:rsidR="00CE3431">
        <w:t xml:space="preserve">complained </w:t>
      </w:r>
      <w:r w:rsidRPr="007F767A" w:rsidR="005A1D24">
        <w:t xml:space="preserve">under Article 3 of the Convention that the manner in which the </w:t>
      </w:r>
      <w:r w:rsidRPr="007F767A" w:rsidR="00CE3431">
        <w:t xml:space="preserve">bodies of their relatives </w:t>
      </w:r>
      <w:r w:rsidRPr="007F767A" w:rsidR="008E240B">
        <w:t>had been</w:t>
      </w:r>
      <w:r w:rsidRPr="007F767A" w:rsidR="00CE3431">
        <w:t xml:space="preserve"> exhibited </w:t>
      </w:r>
      <w:r w:rsidRPr="007F767A" w:rsidR="00E82D90">
        <w:t>at</w:t>
      </w:r>
      <w:r w:rsidRPr="007F767A" w:rsidR="00C367F3">
        <w:t xml:space="preserve"> the military base </w:t>
      </w:r>
      <w:r w:rsidRPr="007F767A" w:rsidR="005A1D24">
        <w:t>constituted inhuman and degrading treatment</w:t>
      </w:r>
      <w:r w:rsidRPr="007F767A" w:rsidR="00CE3431">
        <w:t xml:space="preserve">. They also complained that the </w:t>
      </w:r>
      <w:r w:rsidRPr="007F767A" w:rsidR="005A1D24">
        <w:t xml:space="preserve">prosecutor </w:t>
      </w:r>
      <w:r w:rsidRPr="007F767A" w:rsidR="00CE3431">
        <w:t xml:space="preserve">had not investigated this particular complaint and </w:t>
      </w:r>
      <w:r w:rsidRPr="007F767A" w:rsidR="00350309">
        <w:t xml:space="preserve">that </w:t>
      </w:r>
      <w:r w:rsidRPr="007F767A" w:rsidR="00CE3431">
        <w:t xml:space="preserve">they therefore </w:t>
      </w:r>
      <w:r w:rsidRPr="007F767A" w:rsidR="00E82D90">
        <w:t>ha</w:t>
      </w:r>
      <w:r w:rsidRPr="007F767A" w:rsidR="00CE3431">
        <w:t xml:space="preserve">d </w:t>
      </w:r>
      <w:r w:rsidRPr="007F767A" w:rsidR="005A1D24">
        <w:t>not ha</w:t>
      </w:r>
      <w:r w:rsidRPr="007F767A" w:rsidR="00E82D90">
        <w:t>d</w:t>
      </w:r>
      <w:r w:rsidRPr="007F767A" w:rsidR="005A1D24">
        <w:t xml:space="preserve"> an effective remedy </w:t>
      </w:r>
      <w:r w:rsidRPr="007F767A" w:rsidR="00CE3431">
        <w:t xml:space="preserve">within the meaning of </w:t>
      </w:r>
      <w:r w:rsidRPr="007F767A" w:rsidR="005A1D24">
        <w:t>Article</w:t>
      </w:r>
      <w:r w:rsidRPr="007F767A" w:rsidR="00FD77A6">
        <w:t xml:space="preserve"> </w:t>
      </w:r>
      <w:r w:rsidRPr="007F767A" w:rsidR="005A1D24">
        <w:t>13 of the Convention in respect of their complaint under Article</w:t>
      </w:r>
      <w:r w:rsidRPr="007F767A" w:rsidR="00A96AA9">
        <w:t> </w:t>
      </w:r>
      <w:r w:rsidRPr="007F767A" w:rsidR="005A1D24">
        <w:t>3 of the Convention.</w:t>
      </w:r>
    </w:p>
    <w:p w:rsidRPr="007F767A" w:rsidR="00014566" w:rsidP="007F767A" w:rsidRDefault="007F767A">
      <w:pPr>
        <w:pStyle w:val="ECHRPara"/>
      </w:pPr>
      <w:fldSimple w:instr=" SEQ level0 \*arabic ">
        <w:r w:rsidRPr="007F767A">
          <w:rPr>
            <w:noProof/>
          </w:rPr>
          <w:t>151</w:t>
        </w:r>
      </w:fldSimple>
      <w:r w:rsidRPr="007F767A" w:rsidR="00014566">
        <w:t>.  The Government contested that argument.</w:t>
      </w:r>
    </w:p>
    <w:p w:rsidRPr="007F767A" w:rsidR="00F977A2" w:rsidP="007F767A" w:rsidRDefault="007F767A">
      <w:pPr>
        <w:pStyle w:val="ECHRPara"/>
      </w:pPr>
      <w:fldSimple w:instr=" SEQ level0 \*arabic ">
        <w:r w:rsidRPr="007F767A">
          <w:rPr>
            <w:noProof/>
          </w:rPr>
          <w:t>152</w:t>
        </w:r>
      </w:fldSimple>
      <w:r w:rsidRPr="007F767A" w:rsidR="00014566">
        <w:t xml:space="preserve">.  The Court </w:t>
      </w:r>
      <w:r w:rsidRPr="007F767A" w:rsidR="00F977A2">
        <w:t>considers that this complaint should be examined solely from the standpoint of Article 3 of the Convention</w:t>
      </w:r>
      <w:r w:rsidRPr="007F767A" w:rsidR="00350309">
        <w:t>,</w:t>
      </w:r>
      <w:r w:rsidRPr="007F767A" w:rsidR="00F977A2">
        <w:t xml:space="preserve"> which reads as follows:</w:t>
      </w:r>
    </w:p>
    <w:p w:rsidRPr="007F767A" w:rsidR="00F977A2" w:rsidP="007F767A" w:rsidRDefault="00F977A2">
      <w:pPr>
        <w:pStyle w:val="ECHRParaQuote"/>
      </w:pPr>
      <w:r w:rsidRPr="007F767A">
        <w:t>“No one shall be subjected to torture or to inhuman or degrading treatment or punishment.”</w:t>
      </w:r>
    </w:p>
    <w:p w:rsidRPr="007F767A" w:rsidR="00E37BE9" w:rsidP="007F767A" w:rsidRDefault="00E37BE9">
      <w:pPr>
        <w:pStyle w:val="ECHRHeading2"/>
      </w:pPr>
      <w:r w:rsidRPr="007F767A">
        <w:t>A.  Admissibility</w:t>
      </w:r>
    </w:p>
    <w:p w:rsidRPr="007F767A" w:rsidR="00A51BDE" w:rsidP="007F767A" w:rsidRDefault="007F767A">
      <w:pPr>
        <w:pStyle w:val="ECHRPara"/>
      </w:pPr>
      <w:fldSimple w:instr=" SEQ level0 \*arabic ">
        <w:r w:rsidRPr="007F767A">
          <w:rPr>
            <w:noProof/>
          </w:rPr>
          <w:t>153</w:t>
        </w:r>
      </w:fldSimple>
      <w:r w:rsidRPr="007F767A" w:rsidR="00F977A2">
        <w:t>.  The Government argued that the applicants had not brought before the national authorities the allegation that their rights under Article 3 of the Convention had been breached and they had therefore failed to comply with the obligation to exhaust domestic remedies.</w:t>
      </w:r>
    </w:p>
    <w:p w:rsidRPr="007F767A" w:rsidR="00F977A2" w:rsidP="007F767A" w:rsidRDefault="007F767A">
      <w:pPr>
        <w:pStyle w:val="ECHRPara"/>
      </w:pPr>
      <w:fldSimple w:instr=" SEQ level0 \*arabic ">
        <w:r w:rsidRPr="007F767A">
          <w:rPr>
            <w:noProof/>
          </w:rPr>
          <w:t>154</w:t>
        </w:r>
      </w:fldSimple>
      <w:r w:rsidRPr="007F767A" w:rsidR="00865FC3">
        <w:t>.  </w:t>
      </w:r>
      <w:r w:rsidRPr="007F767A" w:rsidR="00E37BE9">
        <w:t xml:space="preserve">The applicants </w:t>
      </w:r>
      <w:r w:rsidRPr="007F767A" w:rsidR="00C367F3">
        <w:t>disagreed with the Government</w:t>
      </w:r>
      <w:r w:rsidRPr="007F767A">
        <w:t>’</w:t>
      </w:r>
      <w:r w:rsidRPr="007F767A" w:rsidR="00C367F3">
        <w:t xml:space="preserve">s submissions and maintained that on a number of occasions they had raised their complaints concerning the exhibition of the bodies of their relatives and had continued to maintain those complaints despite having been </w:t>
      </w:r>
      <w:r w:rsidRPr="007F767A" w:rsidR="00E82D90">
        <w:t>exclud</w:t>
      </w:r>
      <w:r w:rsidRPr="007F767A" w:rsidR="00C367F3">
        <w:t>ed from the investigation procedure.</w:t>
      </w:r>
    </w:p>
    <w:p w:rsidRPr="007F767A" w:rsidR="001431BE" w:rsidP="007F767A" w:rsidRDefault="007F767A">
      <w:pPr>
        <w:pStyle w:val="ECHRPara"/>
      </w:pPr>
      <w:fldSimple w:instr=" SEQ level0 \*arabic ">
        <w:r w:rsidRPr="007F767A">
          <w:rPr>
            <w:noProof/>
          </w:rPr>
          <w:t>155</w:t>
        </w:r>
      </w:fldSimple>
      <w:r w:rsidRPr="007F767A" w:rsidR="001431BE">
        <w:t xml:space="preserve">.  The Court </w:t>
      </w:r>
      <w:r w:rsidRPr="007F767A" w:rsidR="008B3420">
        <w:t xml:space="preserve">observes that </w:t>
      </w:r>
      <w:r w:rsidRPr="007F767A" w:rsidR="001431BE">
        <w:t>the applicants complained to the national authorities on a number of occasions about the displaying of the bodies of their relatives</w:t>
      </w:r>
      <w:r w:rsidRPr="007F767A" w:rsidR="00D54923">
        <w:t xml:space="preserve"> (see paragraphs </w:t>
      </w:r>
      <w:r w:rsidRPr="007F767A" w:rsidR="00E6059A">
        <w:t xml:space="preserve">42-43, 52, 55-56 </w:t>
      </w:r>
      <w:r w:rsidRPr="007F767A" w:rsidR="00D54923">
        <w:t>above)</w:t>
      </w:r>
      <w:r w:rsidRPr="007F767A" w:rsidR="008B3420">
        <w:t xml:space="preserve">. </w:t>
      </w:r>
      <w:r w:rsidRPr="007F767A" w:rsidR="008E240B">
        <w:t xml:space="preserve">Having regard to the nature of their complaint, the Court does not consider that their failure to </w:t>
      </w:r>
      <w:r w:rsidRPr="007F767A" w:rsidR="00606EF3">
        <w:t xml:space="preserve">refer expressly </w:t>
      </w:r>
      <w:r w:rsidRPr="007F767A" w:rsidR="00C902FB">
        <w:t xml:space="preserve">to </w:t>
      </w:r>
      <w:r w:rsidRPr="007F767A" w:rsidR="008E240B">
        <w:t>Article 3 of the Convention mean</w:t>
      </w:r>
      <w:r w:rsidRPr="007F767A" w:rsidR="00606EF3">
        <w:t>s</w:t>
      </w:r>
      <w:r w:rsidRPr="007F767A" w:rsidR="008E240B">
        <w:t xml:space="preserve"> that </w:t>
      </w:r>
      <w:r w:rsidRPr="007F767A" w:rsidR="00606EF3">
        <w:t xml:space="preserve">they failed to </w:t>
      </w:r>
      <w:r w:rsidRPr="007F767A" w:rsidR="001431BE">
        <w:t>comply with the requirement to exhaust domestic remedies</w:t>
      </w:r>
      <w:r w:rsidRPr="007F767A" w:rsidR="00606EF3">
        <w:t>. It therefore rejects the Government</w:t>
      </w:r>
      <w:r w:rsidRPr="007F767A">
        <w:t>’</w:t>
      </w:r>
      <w:r w:rsidRPr="007F767A" w:rsidR="00606EF3">
        <w:t xml:space="preserve">s </w:t>
      </w:r>
      <w:r w:rsidRPr="007F767A" w:rsidR="0000218C">
        <w:t>objection to the admissibility of this complaint.</w:t>
      </w:r>
    </w:p>
    <w:p w:rsidRPr="007F767A" w:rsidR="0000218C" w:rsidP="007F767A" w:rsidRDefault="007F767A">
      <w:pPr>
        <w:pStyle w:val="ECHRPara"/>
      </w:pPr>
      <w:fldSimple w:instr=" SEQ level0 \*arabic ">
        <w:r w:rsidRPr="007F767A">
          <w:rPr>
            <w:noProof/>
          </w:rPr>
          <w:t>156</w:t>
        </w:r>
      </w:fldSimple>
      <w:r w:rsidRPr="007F767A" w:rsidR="0000218C">
        <w:t>.  The Court notes that this complaint is not manifestly ill-founded within the meaning of Article 35 § 3 (a) of the Convention. It further notes that it is not inadmissible on any other grounds. It must therefore be declared admissible.</w:t>
      </w:r>
    </w:p>
    <w:p w:rsidRPr="007F767A" w:rsidR="00865FC3" w:rsidP="007F767A" w:rsidRDefault="00880D7D">
      <w:pPr>
        <w:pStyle w:val="ECHRHeading2"/>
      </w:pPr>
      <w:r w:rsidRPr="007F767A">
        <w:t>B.  </w:t>
      </w:r>
      <w:r w:rsidRPr="007F767A" w:rsidR="00865FC3">
        <w:t>Merits</w:t>
      </w:r>
    </w:p>
    <w:p w:rsidRPr="007F767A" w:rsidR="00865FC3" w:rsidP="007F767A" w:rsidRDefault="007F767A">
      <w:pPr>
        <w:pStyle w:val="ECHRPara"/>
      </w:pPr>
      <w:fldSimple w:instr=" SEQ level0 \*arabic ">
        <w:r w:rsidRPr="007F767A">
          <w:rPr>
            <w:noProof/>
          </w:rPr>
          <w:t>157</w:t>
        </w:r>
      </w:fldSimple>
      <w:r w:rsidRPr="007F767A" w:rsidR="0000218C">
        <w:t>.  </w:t>
      </w:r>
      <w:r w:rsidRPr="007F767A" w:rsidR="00865FC3">
        <w:t>The applicants argued that their relatives</w:t>
      </w:r>
      <w:r w:rsidRPr="007F767A">
        <w:t>’</w:t>
      </w:r>
      <w:r w:rsidRPr="007F767A" w:rsidR="00865FC3">
        <w:t xml:space="preserve"> naked bodies had been displayed </w:t>
      </w:r>
      <w:r w:rsidRPr="007F767A" w:rsidR="00E82D90">
        <w:t>at</w:t>
      </w:r>
      <w:r w:rsidRPr="007F767A" w:rsidR="00865FC3">
        <w:t xml:space="preserve"> the military base without showing any respect </w:t>
      </w:r>
      <w:r w:rsidRPr="007F767A" w:rsidR="00350309">
        <w:t>for</w:t>
      </w:r>
      <w:r w:rsidRPr="007F767A" w:rsidR="00865FC3">
        <w:t xml:space="preserve"> their privacy or memory and in front of a large number of military personnel who had nothing to do with the investigation. As a result of the bodies of their relatives </w:t>
      </w:r>
      <w:r w:rsidRPr="007F767A" w:rsidR="004072C1">
        <w:t xml:space="preserve">being displayed </w:t>
      </w:r>
      <w:r w:rsidRPr="007F767A" w:rsidR="00865FC3">
        <w:t>in such an undignified fashion the</w:t>
      </w:r>
      <w:r w:rsidRPr="007F767A" w:rsidR="0000218C">
        <w:t xml:space="preserve"> applicants argued that they</w:t>
      </w:r>
      <w:r w:rsidRPr="007F767A" w:rsidR="00865FC3">
        <w:t xml:space="preserve"> had felt degraded. The</w:t>
      </w:r>
      <w:r w:rsidRPr="007F767A" w:rsidR="00081F7D">
        <w:t xml:space="preserve">y </w:t>
      </w:r>
      <w:r w:rsidRPr="007F767A" w:rsidR="0000218C">
        <w:t xml:space="preserve">submitted </w:t>
      </w:r>
      <w:r w:rsidRPr="007F767A" w:rsidR="00081F7D">
        <w:t>that the</w:t>
      </w:r>
      <w:r w:rsidRPr="007F767A" w:rsidR="00865FC3">
        <w:t xml:space="preserve"> authorities could have behaved more sensitively and could at least </w:t>
      </w:r>
      <w:r w:rsidRPr="007F767A" w:rsidR="00C902FB">
        <w:t xml:space="preserve">have </w:t>
      </w:r>
      <w:r w:rsidRPr="007F767A" w:rsidR="00865FC3">
        <w:t xml:space="preserve">blocked the bodies </w:t>
      </w:r>
      <w:r w:rsidRPr="007F767A" w:rsidR="00350309">
        <w:t>from</w:t>
      </w:r>
      <w:r w:rsidRPr="007F767A" w:rsidR="00865FC3">
        <w:t xml:space="preserve"> view with a screen; it was the failure to give thought to taking such </w:t>
      </w:r>
      <w:r w:rsidRPr="007F767A" w:rsidR="0000218C">
        <w:t xml:space="preserve">simple </w:t>
      </w:r>
      <w:r w:rsidRPr="007F767A" w:rsidR="00865FC3">
        <w:t>measures that had been in breach of Article 3 of the Convention.</w:t>
      </w:r>
    </w:p>
    <w:p w:rsidRPr="007F767A" w:rsidR="00865FC3" w:rsidP="007F767A" w:rsidRDefault="007F767A">
      <w:pPr>
        <w:pStyle w:val="ECHRPara"/>
      </w:pPr>
      <w:fldSimple w:instr=" SEQ level0 \*arabic ">
        <w:r w:rsidRPr="007F767A">
          <w:rPr>
            <w:noProof/>
          </w:rPr>
          <w:t>158</w:t>
        </w:r>
      </w:fldSimple>
      <w:r w:rsidRPr="007F767A" w:rsidR="00865FC3">
        <w:t xml:space="preserve">.  The Government submitted that the bodies had been displayed </w:t>
      </w:r>
      <w:r w:rsidRPr="007F767A" w:rsidR="00E82D90">
        <w:t>at</w:t>
      </w:r>
      <w:r w:rsidRPr="007F767A" w:rsidR="00865FC3">
        <w:t xml:space="preserve"> the military base for the purpose of </w:t>
      </w:r>
      <w:r w:rsidRPr="007F767A" w:rsidR="00350309">
        <w:t>identification</w:t>
      </w:r>
      <w:r w:rsidRPr="007F767A" w:rsidR="00865FC3">
        <w:t xml:space="preserve">. After the necessary examinations had been carried out on the bodies, the prosecutor had ordered </w:t>
      </w:r>
      <w:r w:rsidRPr="007F767A" w:rsidR="00E82D90">
        <w:t xml:space="preserve">that </w:t>
      </w:r>
      <w:r w:rsidRPr="007F767A" w:rsidR="00865FC3">
        <w:t>the bodies be returned to the</w:t>
      </w:r>
      <w:r w:rsidRPr="007F767A" w:rsidR="00350309">
        <w:t>ir</w:t>
      </w:r>
      <w:r w:rsidRPr="007F767A" w:rsidR="00865FC3">
        <w:t xml:space="preserve"> relatives. The security forces</w:t>
      </w:r>
      <w:r w:rsidRPr="007F767A" w:rsidR="0000218C">
        <w:t xml:space="preserve"> had </w:t>
      </w:r>
      <w:r w:rsidRPr="007F767A" w:rsidR="00865FC3">
        <w:t>called the relatives, showed them the bodies</w:t>
      </w:r>
      <w:r w:rsidRPr="007F767A" w:rsidR="00350309">
        <w:t>,</w:t>
      </w:r>
      <w:r w:rsidRPr="007F767A" w:rsidR="00865FC3">
        <w:t xml:space="preserve"> and handed </w:t>
      </w:r>
      <w:r w:rsidRPr="007F767A" w:rsidR="007C6759">
        <w:t xml:space="preserve">to </w:t>
      </w:r>
      <w:r w:rsidRPr="007F767A" w:rsidR="00865FC3">
        <w:t>each their deceased relative. Doing so had been the most effective way to identify the relatives. The authorities had not acted with the intention to degrade the bodies or the relatives.</w:t>
      </w:r>
    </w:p>
    <w:p w:rsidRPr="007F767A" w:rsidR="00A51BDE" w:rsidP="007F767A" w:rsidRDefault="007F767A">
      <w:pPr>
        <w:pStyle w:val="ECHRPara"/>
      </w:pPr>
      <w:fldSimple w:instr=" SEQ level0 \*arabic ">
        <w:r w:rsidRPr="007F767A">
          <w:rPr>
            <w:noProof/>
          </w:rPr>
          <w:t>159</w:t>
        </w:r>
      </w:fldSimple>
      <w:r w:rsidRPr="007F767A" w:rsidR="0000218C">
        <w:t>.  </w:t>
      </w:r>
      <w:r w:rsidRPr="007F767A" w:rsidR="001431BE">
        <w:t xml:space="preserve">The Court </w:t>
      </w:r>
      <w:r w:rsidRPr="007F767A" w:rsidR="00D54923">
        <w:t>reiterates that</w:t>
      </w:r>
      <w:r w:rsidRPr="007F767A" w:rsidR="001431BE">
        <w:t xml:space="preserve"> Article 3 of the Convention enshrines one of the fundamental values of </w:t>
      </w:r>
      <w:r w:rsidRPr="007F767A" w:rsidR="00350309">
        <w:t xml:space="preserve">a </w:t>
      </w:r>
      <w:r w:rsidRPr="007F767A" w:rsidR="001431BE">
        <w:t>democratic society. Even in the most difficult of circumstances, such as the fight against terrorism or organised crime, the Convention prohibits in absolute terms torture or inhuman or degrading treatment or punishment. Unlike most of the substantive clauses of the Convention and of its Protocols, Article 3 of the Convention</w:t>
      </w:r>
      <w:r w:rsidRPr="007F767A" w:rsidR="00D54923">
        <w:t xml:space="preserve"> </w:t>
      </w:r>
      <w:r w:rsidRPr="007F767A" w:rsidR="001431BE">
        <w:t>makes no provision for exceptions</w:t>
      </w:r>
      <w:r w:rsidRPr="007F767A" w:rsidR="00350309">
        <w:t>,</w:t>
      </w:r>
      <w:r w:rsidRPr="007F767A" w:rsidR="001431BE">
        <w:t xml:space="preserve"> and no derogation from </w:t>
      </w:r>
      <w:r w:rsidRPr="007F767A" w:rsidR="00FD77A6">
        <w:t>it is permissible under Article </w:t>
      </w:r>
      <w:r w:rsidRPr="007F767A" w:rsidR="001431BE">
        <w:t xml:space="preserve">15 even in the event of a public emergency threatening the life of the nation (see, among other authorities, </w:t>
      </w:r>
      <w:r w:rsidRPr="007F767A" w:rsidR="00D54923">
        <w:rPr>
          <w:i/>
        </w:rPr>
        <w:t>Aksoy v. Turkey</w:t>
      </w:r>
      <w:r w:rsidRPr="007F767A" w:rsidR="00D54923">
        <w:t>, 18 December 1996, §</w:t>
      </w:r>
      <w:r w:rsidRPr="007F767A" w:rsidR="00880D7D">
        <w:t> </w:t>
      </w:r>
      <w:r w:rsidRPr="007F767A" w:rsidR="00D54923">
        <w:t xml:space="preserve">62, </w:t>
      </w:r>
      <w:r w:rsidRPr="007F767A" w:rsidR="00D54923">
        <w:rPr>
          <w:i/>
        </w:rPr>
        <w:t>Reports</w:t>
      </w:r>
      <w:r w:rsidRPr="007F767A" w:rsidR="00D54923">
        <w:t xml:space="preserve"> 1996-VI)</w:t>
      </w:r>
      <w:r w:rsidRPr="007F767A" w:rsidR="001431BE">
        <w:t>.</w:t>
      </w:r>
    </w:p>
    <w:p w:rsidRPr="007F767A" w:rsidR="008440F3" w:rsidP="007F767A" w:rsidRDefault="007F767A">
      <w:pPr>
        <w:pStyle w:val="ECHRPara"/>
      </w:pPr>
      <w:fldSimple w:instr=" SEQ level0 \*arabic ">
        <w:r w:rsidRPr="007F767A">
          <w:rPr>
            <w:noProof/>
          </w:rPr>
          <w:t>160</w:t>
        </w:r>
      </w:fldSimple>
      <w:r w:rsidRPr="007F767A" w:rsidR="00791725">
        <w:t>.  </w:t>
      </w:r>
      <w:r w:rsidRPr="007F767A" w:rsidR="007C6759">
        <w:t>The Court</w:t>
      </w:r>
      <w:r w:rsidRPr="007F767A" w:rsidR="00791725">
        <w:t xml:space="preserve"> also reiterates that i</w:t>
      </w:r>
      <w:r w:rsidRPr="007F767A" w:rsidR="001431BE">
        <w:t>ll-treatment must attain a minimum level of severity if it is to fall within the scope of Article 3</w:t>
      </w:r>
      <w:r w:rsidRPr="007F767A" w:rsidR="00D54923">
        <w:t xml:space="preserve"> of the Convention</w:t>
      </w:r>
      <w:r w:rsidRPr="007F767A" w:rsidR="001431BE">
        <w:t>. The assessment of this minimum is relative: it depends on all the circumstances of the case, such as the duration of the treatment, its physical and/or mental effects</w:t>
      </w:r>
      <w:r w:rsidRPr="007F767A" w:rsidR="00350309">
        <w:t>,</w:t>
      </w:r>
      <w:r w:rsidRPr="007F767A" w:rsidR="001431BE">
        <w:t xml:space="preserve"> and in some cases the sex, age and state of health of the victim (see, among other authorities, </w:t>
      </w:r>
      <w:r w:rsidRPr="007F767A" w:rsidR="00791725">
        <w:rPr>
          <w:i/>
        </w:rPr>
        <w:t>Ireland v. the United Kingdom</w:t>
      </w:r>
      <w:r w:rsidRPr="007F767A" w:rsidR="00E47F52">
        <w:t>, 18 January 1978, §</w:t>
      </w:r>
      <w:r w:rsidRPr="007F767A" w:rsidR="00A96AA9">
        <w:t xml:space="preserve"> </w:t>
      </w:r>
      <w:r w:rsidRPr="007F767A" w:rsidR="00791725">
        <w:t>162, Series A no. 25</w:t>
      </w:r>
      <w:r w:rsidRPr="007F767A" w:rsidR="001431BE">
        <w:t>).</w:t>
      </w:r>
    </w:p>
    <w:p w:rsidRPr="007F767A" w:rsidR="001162C6" w:rsidP="007F767A" w:rsidRDefault="007F767A">
      <w:pPr>
        <w:pStyle w:val="ECHRPara"/>
        <w:rPr>
          <w:i/>
        </w:rPr>
      </w:pPr>
      <w:fldSimple w:instr=" SEQ level0 \*arabic ">
        <w:r w:rsidRPr="007F767A">
          <w:rPr>
            <w:noProof/>
          </w:rPr>
          <w:t>161</w:t>
        </w:r>
      </w:fldSimple>
      <w:r w:rsidRPr="007F767A" w:rsidR="000E45CB">
        <w:t xml:space="preserve">.  In a number of cases the Court has been called </w:t>
      </w:r>
      <w:r w:rsidRPr="007F767A" w:rsidR="007C6759">
        <w:t xml:space="preserve">on </w:t>
      </w:r>
      <w:r w:rsidRPr="007F767A" w:rsidR="000E45CB">
        <w:t xml:space="preserve">to examine whether the </w:t>
      </w:r>
      <w:r w:rsidRPr="007F767A" w:rsidR="00350309">
        <w:t xml:space="preserve">distress caused to </w:t>
      </w:r>
      <w:r w:rsidRPr="007F767A" w:rsidR="000E45CB">
        <w:t xml:space="preserve">relatives </w:t>
      </w:r>
      <w:r w:rsidRPr="007F767A" w:rsidR="00901E10">
        <w:t xml:space="preserve">by </w:t>
      </w:r>
      <w:r w:rsidRPr="007F767A" w:rsidR="001162C6">
        <w:t xml:space="preserve">certain actions </w:t>
      </w:r>
      <w:r w:rsidRPr="007F767A" w:rsidR="00350309">
        <w:t>by</w:t>
      </w:r>
      <w:r w:rsidRPr="007F767A" w:rsidR="001162C6">
        <w:t xml:space="preserve"> </w:t>
      </w:r>
      <w:r w:rsidRPr="007F767A" w:rsidR="00901E10">
        <w:t xml:space="preserve">members of the Turkish security forces </w:t>
      </w:r>
      <w:r w:rsidRPr="007F767A" w:rsidR="00350309">
        <w:t>during</w:t>
      </w:r>
      <w:r w:rsidRPr="007F767A" w:rsidR="00901E10">
        <w:t xml:space="preserve"> or after their military operations in the south-east of Turkey amounted to ill-treatment contrary to Article 3 of the Convention. For example, </w:t>
      </w:r>
      <w:r w:rsidRPr="007F767A" w:rsidR="000E45CB">
        <w:t xml:space="preserve">in its judgment in the case of </w:t>
      </w:r>
      <w:r w:rsidRPr="007F767A" w:rsidR="001162C6">
        <w:rPr>
          <w:i/>
        </w:rPr>
        <w:t xml:space="preserve">Benzer and Others </w:t>
      </w:r>
      <w:r w:rsidRPr="007F767A" w:rsidR="001162C6">
        <w:t>(</w:t>
      </w:r>
      <w:r w:rsidRPr="007F767A" w:rsidR="0000218C">
        <w:t>cited above</w:t>
      </w:r>
      <w:r w:rsidRPr="007F767A" w:rsidR="001162C6">
        <w:rPr>
          <w:snapToGrid w:val="0"/>
        </w:rPr>
        <w:t>, §§</w:t>
      </w:r>
      <w:r w:rsidRPr="007F767A" w:rsidR="00A96AA9">
        <w:rPr>
          <w:snapToGrid w:val="0"/>
        </w:rPr>
        <w:t xml:space="preserve"> </w:t>
      </w:r>
      <w:r w:rsidRPr="007F767A" w:rsidR="001162C6">
        <w:rPr>
          <w:snapToGrid w:val="0"/>
        </w:rPr>
        <w:t>209-</w:t>
      </w:r>
      <w:r w:rsidRPr="007F767A" w:rsidR="00105DDA">
        <w:rPr>
          <w:snapToGrid w:val="0"/>
        </w:rPr>
        <w:t>2</w:t>
      </w:r>
      <w:r w:rsidRPr="007F767A" w:rsidR="001162C6">
        <w:rPr>
          <w:snapToGrid w:val="0"/>
        </w:rPr>
        <w:t>13)</w:t>
      </w:r>
      <w:r w:rsidRPr="007F767A" w:rsidR="00350309">
        <w:rPr>
          <w:snapToGrid w:val="0"/>
        </w:rPr>
        <w:t>,</w:t>
      </w:r>
      <w:r w:rsidRPr="007F767A" w:rsidR="001162C6">
        <w:rPr>
          <w:snapToGrid w:val="0"/>
        </w:rPr>
        <w:t xml:space="preserve"> the Court found that </w:t>
      </w:r>
      <w:r w:rsidRPr="007F767A" w:rsidR="00D72A79">
        <w:rPr>
          <w:snapToGrid w:val="0"/>
        </w:rPr>
        <w:t>seeing</w:t>
      </w:r>
      <w:r w:rsidRPr="007F767A" w:rsidR="001162C6">
        <w:rPr>
          <w:snapToGrid w:val="0"/>
        </w:rPr>
        <w:t xml:space="preserve"> the </w:t>
      </w:r>
      <w:r w:rsidRPr="007F767A" w:rsidR="00D72A79">
        <w:rPr>
          <w:snapToGrid w:val="0"/>
        </w:rPr>
        <w:t xml:space="preserve">bodies </w:t>
      </w:r>
      <w:r w:rsidRPr="007F767A" w:rsidR="001162C6">
        <w:rPr>
          <w:snapToGrid w:val="0"/>
        </w:rPr>
        <w:t xml:space="preserve">of their close relatives </w:t>
      </w:r>
      <w:r w:rsidRPr="007F767A" w:rsidR="00D72A79">
        <w:rPr>
          <w:snapToGrid w:val="0"/>
        </w:rPr>
        <w:t>who had been</w:t>
      </w:r>
      <w:r w:rsidRPr="007F767A" w:rsidR="001162C6">
        <w:rPr>
          <w:snapToGrid w:val="0"/>
        </w:rPr>
        <w:t xml:space="preserve"> bombed by military aircraft</w:t>
      </w:r>
      <w:r w:rsidRPr="007F767A" w:rsidR="00EC4695">
        <w:rPr>
          <w:snapToGrid w:val="0"/>
        </w:rPr>
        <w:t xml:space="preserve"> and</w:t>
      </w:r>
      <w:r w:rsidRPr="007F767A" w:rsidR="001162C6">
        <w:rPr>
          <w:snapToGrid w:val="0"/>
        </w:rPr>
        <w:t xml:space="preserve"> having to collect what was left of their bodies and burying them in mass graves, coupled with the </w:t>
      </w:r>
      <w:r w:rsidRPr="007F767A" w:rsidR="001162C6">
        <w:t>lack of the slightest concern for human life on the part of the pilots who bombed the villages and their superiors who ordered the bombings</w:t>
      </w:r>
      <w:r w:rsidRPr="007F767A" w:rsidR="00EC4695">
        <w:t xml:space="preserve"> and</w:t>
      </w:r>
      <w:r w:rsidRPr="007F767A" w:rsidR="001162C6">
        <w:t xml:space="preserve"> the national authorities</w:t>
      </w:r>
      <w:r w:rsidRPr="007F767A">
        <w:t>’</w:t>
      </w:r>
      <w:r w:rsidRPr="007F767A" w:rsidR="001162C6">
        <w:t xml:space="preserve"> failure to offer even the minimum humanitarian assistance to the applicants in the aftermath of the bombing</w:t>
      </w:r>
      <w:r w:rsidRPr="007F767A" w:rsidR="0000218C">
        <w:t>,</w:t>
      </w:r>
      <w:r w:rsidRPr="007F767A" w:rsidR="001162C6">
        <w:t xml:space="preserve"> amounted to inhuman treatment.</w:t>
      </w:r>
    </w:p>
    <w:p w:rsidRPr="007F767A" w:rsidR="000E45CB" w:rsidP="007F767A" w:rsidRDefault="007F767A">
      <w:pPr>
        <w:pStyle w:val="ECHRPara"/>
      </w:pPr>
      <w:fldSimple w:instr=" SEQ level0 \*arabic ">
        <w:r w:rsidRPr="007F767A">
          <w:rPr>
            <w:noProof/>
          </w:rPr>
          <w:t>162</w:t>
        </w:r>
      </w:fldSimple>
      <w:r w:rsidRPr="007F767A" w:rsidR="001162C6">
        <w:t xml:space="preserve">.  In </w:t>
      </w:r>
      <w:r w:rsidRPr="007F767A" w:rsidR="00901E10">
        <w:rPr>
          <w:i/>
          <w:szCs w:val="24"/>
        </w:rPr>
        <w:t>Akkum and Others v. Turkey</w:t>
      </w:r>
      <w:r w:rsidRPr="007F767A" w:rsidR="00901E10">
        <w:rPr>
          <w:szCs w:val="24"/>
        </w:rPr>
        <w:t xml:space="preserve"> </w:t>
      </w:r>
      <w:r w:rsidRPr="007F767A" w:rsidR="00EC4695">
        <w:rPr>
          <w:szCs w:val="24"/>
        </w:rPr>
        <w:t>(</w:t>
      </w:r>
      <w:r w:rsidRPr="007F767A" w:rsidR="00901E10">
        <w:rPr>
          <w:szCs w:val="24"/>
        </w:rPr>
        <w:t xml:space="preserve">no. 21894/93, § 259, </w:t>
      </w:r>
      <w:r w:rsidRPr="007F767A" w:rsidR="00901E10">
        <w:t>ECHR 2005</w:t>
      </w:r>
      <w:r w:rsidRPr="007F767A" w:rsidR="00901E10">
        <w:noBreakHyphen/>
        <w:t>II (extracts)</w:t>
      </w:r>
      <w:r w:rsidRPr="007F767A" w:rsidR="00EC4695">
        <w:t>)</w:t>
      </w:r>
      <w:r w:rsidRPr="007F767A" w:rsidR="000E45CB">
        <w:t xml:space="preserve"> the Court examined the mutilation of the body of a person after his death in an area where a military operation had been conducted</w:t>
      </w:r>
      <w:r w:rsidRPr="007F767A" w:rsidR="00350309">
        <w:t>,</w:t>
      </w:r>
      <w:r w:rsidRPr="007F767A" w:rsidR="00901E10">
        <w:t xml:space="preserve"> and</w:t>
      </w:r>
      <w:r w:rsidRPr="007F767A" w:rsidR="000E45CB">
        <w:t xml:space="preserve"> concluded that the anguish caused to the father of the deceased whose body had been mutilated amounted to degrading treatment (see also </w:t>
      </w:r>
      <w:r w:rsidRPr="007F767A" w:rsidR="000E45CB">
        <w:rPr>
          <w:i/>
        </w:rPr>
        <w:t>Akpınar and Altun v. Turkey</w:t>
      </w:r>
      <w:r w:rsidRPr="007F767A" w:rsidR="000E45CB">
        <w:t>, no.</w:t>
      </w:r>
      <w:r w:rsidRPr="007F767A" w:rsidR="00901E10">
        <w:t xml:space="preserve"> 56760/00</w:t>
      </w:r>
      <w:r w:rsidRPr="007F767A" w:rsidR="000E45CB">
        <w:t>, §§ 86-87, 27</w:t>
      </w:r>
      <w:r w:rsidRPr="007F767A" w:rsidR="00E47F52">
        <w:t> </w:t>
      </w:r>
      <w:r w:rsidRPr="007F767A" w:rsidR="000E45CB">
        <w:t>February 2007).</w:t>
      </w:r>
    </w:p>
    <w:p w:rsidRPr="007F767A" w:rsidR="00077D6F" w:rsidP="007F767A" w:rsidRDefault="007F767A">
      <w:pPr>
        <w:pStyle w:val="ECHRPara"/>
      </w:pPr>
      <w:fldSimple w:instr=" SEQ level0 \*arabic ">
        <w:r w:rsidRPr="007F767A">
          <w:rPr>
            <w:noProof/>
          </w:rPr>
          <w:t>163</w:t>
        </w:r>
      </w:fldSimple>
      <w:r w:rsidRPr="007F767A" w:rsidR="008E71FA">
        <w:t>.  </w:t>
      </w:r>
      <w:r w:rsidRPr="007F767A" w:rsidR="002E6898">
        <w:t>Turning to the circumstances of the present application, it is n</w:t>
      </w:r>
      <w:r w:rsidRPr="007F767A" w:rsidR="00077D6F">
        <w:t>o</w:t>
      </w:r>
      <w:r w:rsidRPr="007F767A" w:rsidR="002E6898">
        <w:t xml:space="preserve">t disputed between the parties that </w:t>
      </w:r>
      <w:r w:rsidRPr="007F767A" w:rsidR="00077D6F">
        <w:t xml:space="preserve">after the operation </w:t>
      </w:r>
      <w:r w:rsidRPr="007F767A" w:rsidR="00D20B09">
        <w:t xml:space="preserve">had </w:t>
      </w:r>
      <w:r w:rsidRPr="007F767A" w:rsidR="006C140E">
        <w:t xml:space="preserve">ended </w:t>
      </w:r>
      <w:r w:rsidRPr="007F767A" w:rsidR="00077D6F">
        <w:t xml:space="preserve">the bodies of </w:t>
      </w:r>
      <w:r w:rsidRPr="007F767A" w:rsidR="00D20B09">
        <w:t>the applicants</w:t>
      </w:r>
      <w:r w:rsidRPr="007F767A">
        <w:t>’</w:t>
      </w:r>
      <w:r w:rsidRPr="007F767A" w:rsidR="00D20B09">
        <w:t xml:space="preserve"> </w:t>
      </w:r>
      <w:r w:rsidRPr="007F767A" w:rsidR="00077D6F">
        <w:t xml:space="preserve">relatives </w:t>
      </w:r>
      <w:r w:rsidRPr="007F767A" w:rsidR="006C140E">
        <w:t>were</w:t>
      </w:r>
      <w:r w:rsidRPr="007F767A" w:rsidR="00077D6F">
        <w:t xml:space="preserve"> brought to the Ovacık District Gendarmerie Command</w:t>
      </w:r>
      <w:r w:rsidRPr="007F767A" w:rsidR="00350309">
        <w:t>,</w:t>
      </w:r>
      <w:r w:rsidRPr="007F767A" w:rsidR="00077D6F">
        <w:t xml:space="preserve"> where they were placed outdoors, stripped of their clothes and examined by the prosecutor and two doctors (see paragraph </w:t>
      </w:r>
      <w:r w:rsidRPr="007F767A" w:rsidR="00F44AF0">
        <w:t>30</w:t>
      </w:r>
      <w:r w:rsidRPr="007F767A" w:rsidR="00077D6F">
        <w:t xml:space="preserve"> above).</w:t>
      </w:r>
      <w:r w:rsidRPr="007F767A" w:rsidR="006C140E">
        <w:t xml:space="preserve"> The Court also notes that the applicants</w:t>
      </w:r>
      <w:r w:rsidRPr="007F767A">
        <w:t>’</w:t>
      </w:r>
      <w:r w:rsidRPr="007F767A" w:rsidR="006C140E">
        <w:t xml:space="preserve"> allegation that the bodies of their relatives could be seen by a number of soldiers in </w:t>
      </w:r>
      <w:r w:rsidRPr="007F767A" w:rsidR="00D20B09">
        <w:t>the military base wa</w:t>
      </w:r>
      <w:r w:rsidRPr="007F767A" w:rsidR="006C140E">
        <w:t>s not disputed by the respondent Government.</w:t>
      </w:r>
    </w:p>
    <w:p w:rsidRPr="007F767A" w:rsidR="00081F7D" w:rsidP="007F767A" w:rsidRDefault="007F767A">
      <w:pPr>
        <w:pStyle w:val="ECHRPara"/>
      </w:pPr>
      <w:fldSimple w:instr=" SEQ level0 \*arabic ">
        <w:r w:rsidRPr="007F767A">
          <w:rPr>
            <w:noProof/>
          </w:rPr>
          <w:t>164</w:t>
        </w:r>
      </w:fldSimple>
      <w:r w:rsidRPr="007F767A" w:rsidR="00081F7D">
        <w:t>.  In this connection the Court notes that the Government</w:t>
      </w:r>
      <w:r w:rsidRPr="007F767A">
        <w:t>’</w:t>
      </w:r>
      <w:r w:rsidRPr="007F767A" w:rsidR="00081F7D">
        <w:t>s version of events, namely that after the necessary examinations had been carried out on the bodies the prosecutor had ordered the bodies to be returned to the relatives and that the security forces had called the relatives, show</w:t>
      </w:r>
      <w:r w:rsidRPr="007F767A" w:rsidR="007C6759">
        <w:t>n</w:t>
      </w:r>
      <w:r w:rsidRPr="007F767A" w:rsidR="00081F7D">
        <w:t xml:space="preserve"> them the bodies and handed </w:t>
      </w:r>
      <w:r w:rsidRPr="007F767A" w:rsidR="00D72A79">
        <w:t xml:space="preserve">over to </w:t>
      </w:r>
      <w:r w:rsidRPr="007F767A" w:rsidR="00081F7D">
        <w:t xml:space="preserve">each </w:t>
      </w:r>
      <w:r w:rsidRPr="007F767A" w:rsidR="00D72A79">
        <w:t xml:space="preserve">the body of </w:t>
      </w:r>
      <w:r w:rsidRPr="007F767A" w:rsidR="00081F7D">
        <w:t xml:space="preserve">their deceased relative (see paragraph </w:t>
      </w:r>
      <w:r w:rsidRPr="007F767A" w:rsidR="0036141E">
        <w:t>158</w:t>
      </w:r>
      <w:r w:rsidRPr="007F767A" w:rsidR="00081F7D">
        <w:t xml:space="preserve"> above)</w:t>
      </w:r>
      <w:r w:rsidRPr="007F767A" w:rsidR="00A50180">
        <w:t>,</w:t>
      </w:r>
      <w:r w:rsidRPr="007F767A" w:rsidR="00081F7D">
        <w:t xml:space="preserve"> is </w:t>
      </w:r>
      <w:r w:rsidRPr="007F767A" w:rsidR="00A50180">
        <w:t xml:space="preserve">contradicted by the documents in the investigation file. Contrary to what was suggested by the Government, after the prosecutor concluded his examination the bodies were </w:t>
      </w:r>
      <w:r w:rsidRPr="007F767A" w:rsidR="001F0802">
        <w:t xml:space="preserve">not given to the relatives but </w:t>
      </w:r>
      <w:r w:rsidRPr="007F767A" w:rsidR="00A50180">
        <w:t xml:space="preserve">taken to the Malatya Branch of the Forensic Medicine Institute for autopsies to be carried out (see paragraph </w:t>
      </w:r>
      <w:r w:rsidRPr="007F767A" w:rsidR="00F44AF0">
        <w:t>31</w:t>
      </w:r>
      <w:r w:rsidRPr="007F767A" w:rsidR="00A50180">
        <w:t xml:space="preserve"> above).</w:t>
      </w:r>
    </w:p>
    <w:p w:rsidRPr="007F767A" w:rsidR="00A91C8B" w:rsidP="007F767A" w:rsidRDefault="007F767A">
      <w:pPr>
        <w:pStyle w:val="ECHRPara"/>
      </w:pPr>
      <w:fldSimple w:instr=" SEQ level0 \*arabic ">
        <w:r w:rsidRPr="007F767A">
          <w:rPr>
            <w:noProof/>
          </w:rPr>
          <w:t>165</w:t>
        </w:r>
      </w:fldSimple>
      <w:r w:rsidRPr="007F767A" w:rsidR="00EF60BA">
        <w:t xml:space="preserve">.  Having regard to the statements taken from some of the applicants by various prosecutors subsequently, it is not clear how many of the applicants personally </w:t>
      </w:r>
      <w:r w:rsidRPr="007F767A" w:rsidR="00CD342B">
        <w:t>saw</w:t>
      </w:r>
      <w:r w:rsidRPr="007F767A" w:rsidR="00EF60BA">
        <w:t xml:space="preserve"> the body of their relative in t</w:t>
      </w:r>
      <w:r w:rsidRPr="007F767A" w:rsidR="00FD77A6">
        <w:t>he military base (see paragraph </w:t>
      </w:r>
      <w:r w:rsidRPr="007F767A" w:rsidR="00F44AF0">
        <w:t>56</w:t>
      </w:r>
      <w:r w:rsidRPr="007F767A" w:rsidR="00EF60BA">
        <w:t xml:space="preserve"> above). Nevertheless, </w:t>
      </w:r>
      <w:r w:rsidRPr="007F767A" w:rsidR="00275F37">
        <w:t xml:space="preserve">regardless of whether or not the applicants </w:t>
      </w:r>
      <w:r w:rsidRPr="007F767A" w:rsidR="00103A9A">
        <w:t>did so</w:t>
      </w:r>
      <w:r w:rsidRPr="007F767A" w:rsidR="00275F37">
        <w:t xml:space="preserve"> in person,</w:t>
      </w:r>
      <w:r w:rsidRPr="007F767A" w:rsidR="008E71FA">
        <w:t xml:space="preserve"> </w:t>
      </w:r>
      <w:r w:rsidRPr="007F767A" w:rsidR="00275F37">
        <w:t>in view of the</w:t>
      </w:r>
      <w:r w:rsidRPr="007F767A" w:rsidR="00103A9A">
        <w:t>ir knowledge of the</w:t>
      </w:r>
      <w:r w:rsidRPr="007F767A" w:rsidR="00275F37">
        <w:t xml:space="preserve"> conditions </w:t>
      </w:r>
      <w:r w:rsidRPr="007F767A" w:rsidR="00ED1437">
        <w:t xml:space="preserve">in which </w:t>
      </w:r>
      <w:r w:rsidRPr="007F767A" w:rsidR="00275F37">
        <w:t xml:space="preserve">the bodies of their relatives </w:t>
      </w:r>
      <w:r w:rsidRPr="007F767A" w:rsidR="00ED1437">
        <w:t xml:space="preserve">were </w:t>
      </w:r>
      <w:r w:rsidRPr="007F767A" w:rsidR="00D20B09">
        <w:t xml:space="preserve">examined </w:t>
      </w:r>
      <w:r w:rsidRPr="007F767A" w:rsidR="00ED1437">
        <w:t>in the military base</w:t>
      </w:r>
      <w:r w:rsidRPr="007F767A" w:rsidR="00D20B09">
        <w:t>,</w:t>
      </w:r>
      <w:r w:rsidRPr="007F767A" w:rsidR="00ED1437">
        <w:t xml:space="preserve"> the Court has little doubt that </w:t>
      </w:r>
      <w:r w:rsidRPr="007F767A" w:rsidR="00275F37">
        <w:t>the applicants</w:t>
      </w:r>
      <w:r w:rsidRPr="007F767A" w:rsidR="00103A9A">
        <w:t xml:space="preserve"> </w:t>
      </w:r>
      <w:r w:rsidRPr="007F767A" w:rsidR="00275F37">
        <w:t>must have endured mental suffering (see</w:t>
      </w:r>
      <w:r w:rsidRPr="007F767A" w:rsidR="00103A9A">
        <w:t xml:space="preserve">, </w:t>
      </w:r>
      <w:r w:rsidRPr="007F767A" w:rsidR="00103A9A">
        <w:rPr>
          <w:i/>
        </w:rPr>
        <w:t>mutatis mutandis</w:t>
      </w:r>
      <w:r w:rsidRPr="007F767A" w:rsidR="00103A9A">
        <w:t>,</w:t>
      </w:r>
      <w:r w:rsidRPr="007F767A" w:rsidR="00275F37">
        <w:t xml:space="preserve"> </w:t>
      </w:r>
      <w:r w:rsidRPr="007F767A" w:rsidR="00275F37">
        <w:rPr>
          <w:i/>
        </w:rPr>
        <w:t>Sabanchiyeva and Others v. Russia</w:t>
      </w:r>
      <w:r w:rsidRPr="007F767A" w:rsidR="00275F37">
        <w:t>, no. 38450/05</w:t>
      </w:r>
      <w:r w:rsidRPr="007F767A" w:rsidR="00275F37">
        <w:rPr>
          <w:snapToGrid w:val="0"/>
        </w:rPr>
        <w:t>, §</w:t>
      </w:r>
      <w:r w:rsidRPr="007F767A" w:rsidR="00E47F52">
        <w:rPr>
          <w:snapToGrid w:val="0"/>
        </w:rPr>
        <w:t> </w:t>
      </w:r>
      <w:r w:rsidRPr="007F767A" w:rsidR="00275F37">
        <w:rPr>
          <w:snapToGrid w:val="0"/>
        </w:rPr>
        <w:t xml:space="preserve">108, </w:t>
      </w:r>
      <w:r w:rsidRPr="007F767A" w:rsidR="00275F37">
        <w:t>ECHR 2013 (extracts)).</w:t>
      </w:r>
      <w:r w:rsidRPr="007F767A" w:rsidR="00865FC3">
        <w:t xml:space="preserve"> </w:t>
      </w:r>
      <w:r w:rsidRPr="007F767A" w:rsidR="00A43528">
        <w:t>The Court</w:t>
      </w:r>
      <w:r w:rsidRPr="007F767A">
        <w:t>’</w:t>
      </w:r>
      <w:r w:rsidRPr="007F767A" w:rsidR="00A43528">
        <w:t>s task is</w:t>
      </w:r>
      <w:r w:rsidRPr="007F767A" w:rsidR="00D20B09">
        <w:t xml:space="preserve"> therefore</w:t>
      </w:r>
      <w:r w:rsidRPr="007F767A" w:rsidR="00A43528">
        <w:t xml:space="preserve"> to ascertain whether</w:t>
      </w:r>
      <w:r w:rsidRPr="007F767A" w:rsidR="00865FC3">
        <w:t>,</w:t>
      </w:r>
      <w:r w:rsidRPr="007F767A" w:rsidR="00A43528">
        <w:t xml:space="preserve"> in view of the specific circumstances of the case</w:t>
      </w:r>
      <w:r w:rsidRPr="007F767A" w:rsidR="00865FC3">
        <w:t>,</w:t>
      </w:r>
      <w:r w:rsidRPr="007F767A" w:rsidR="00A43528">
        <w:t xml:space="preserve"> the applicants</w:t>
      </w:r>
      <w:r w:rsidRPr="007F767A">
        <w:t>’</w:t>
      </w:r>
      <w:r w:rsidRPr="007F767A" w:rsidR="00A43528">
        <w:t xml:space="preserve"> suffering had a dimension capable of bringing</w:t>
      </w:r>
      <w:r w:rsidRPr="007F767A" w:rsidR="00FD77A6">
        <w:t xml:space="preserve"> it within the scope of Article </w:t>
      </w:r>
      <w:r w:rsidRPr="007F767A" w:rsidR="00A43528">
        <w:t>3 of the Convention (ibid.</w:t>
      </w:r>
      <w:r w:rsidRPr="007F767A" w:rsidR="00CD342B">
        <w:t>,</w:t>
      </w:r>
      <w:r w:rsidRPr="007F767A" w:rsidR="00A43528">
        <w:t xml:space="preserve"> § 109).</w:t>
      </w:r>
    </w:p>
    <w:p w:rsidRPr="007F767A" w:rsidR="006C140E" w:rsidP="007F767A" w:rsidRDefault="007F767A">
      <w:pPr>
        <w:pStyle w:val="ECHRPara"/>
      </w:pPr>
      <w:fldSimple w:instr=" SEQ level0 \*arabic ">
        <w:r w:rsidRPr="007F767A">
          <w:rPr>
            <w:noProof/>
          </w:rPr>
          <w:t>166</w:t>
        </w:r>
      </w:fldSimple>
      <w:r w:rsidRPr="007F767A" w:rsidR="00865FC3">
        <w:t>.  </w:t>
      </w:r>
      <w:r w:rsidRPr="007F767A" w:rsidR="006C140E">
        <w:t xml:space="preserve">The Court </w:t>
      </w:r>
      <w:r w:rsidRPr="007F767A" w:rsidR="00976A11">
        <w:t xml:space="preserve">observes that the Government have not sought to argue that </w:t>
      </w:r>
      <w:r w:rsidRPr="007F767A" w:rsidR="006C140E">
        <w:t>lack of space in the building necessitated the carrying out of the prosecutor</w:t>
      </w:r>
      <w:r w:rsidRPr="007F767A">
        <w:t>’</w:t>
      </w:r>
      <w:r w:rsidRPr="007F767A" w:rsidR="006C140E">
        <w:t>s examination and the identification procedure outdoors</w:t>
      </w:r>
      <w:r w:rsidRPr="007F767A" w:rsidR="00CD342B">
        <w:t>,</w:t>
      </w:r>
      <w:r w:rsidRPr="007F767A" w:rsidR="00D163C9">
        <w:t xml:space="preserve"> and the Court cannot speculate as to whether that </w:t>
      </w:r>
      <w:r w:rsidRPr="007F767A" w:rsidR="00CD342B">
        <w:t>was</w:t>
      </w:r>
      <w:r w:rsidRPr="007F767A" w:rsidR="00D163C9">
        <w:t xml:space="preserve"> the reason</w:t>
      </w:r>
      <w:r w:rsidRPr="007F767A" w:rsidR="00976A11">
        <w:t>.</w:t>
      </w:r>
      <w:r w:rsidRPr="007F767A" w:rsidR="006C140E">
        <w:t xml:space="preserve"> </w:t>
      </w:r>
      <w:r w:rsidRPr="007F767A" w:rsidR="009F019D">
        <w:t xml:space="preserve">Nevertheless, the Court considers that </w:t>
      </w:r>
      <w:r w:rsidRPr="007F767A" w:rsidR="006C140E">
        <w:t xml:space="preserve">thought could have been given </w:t>
      </w:r>
      <w:r w:rsidRPr="007F767A" w:rsidR="00D20B09">
        <w:t xml:space="preserve">by the authorities </w:t>
      </w:r>
      <w:r w:rsidRPr="007F767A" w:rsidR="006C140E">
        <w:t>to the dignity of the deceased and their relatives</w:t>
      </w:r>
      <w:r w:rsidRPr="007F767A">
        <w:t>’</w:t>
      </w:r>
      <w:r w:rsidRPr="007F767A" w:rsidR="00CD342B">
        <w:t xml:space="preserve"> feelings,</w:t>
      </w:r>
      <w:r w:rsidRPr="007F767A" w:rsidR="006C140E">
        <w:t xml:space="preserve"> by taking the simple step of using a screen to block the bodies </w:t>
      </w:r>
      <w:r w:rsidRPr="007F767A" w:rsidR="00CD342B">
        <w:t>from</w:t>
      </w:r>
      <w:r w:rsidRPr="007F767A" w:rsidR="006C140E">
        <w:t xml:space="preserve"> view and thus carrying out the necessary procedure in a </w:t>
      </w:r>
      <w:r w:rsidRPr="007F767A" w:rsidR="0095606D">
        <w:t>more appropriate</w:t>
      </w:r>
      <w:r w:rsidRPr="007F767A" w:rsidR="006C140E">
        <w:t xml:space="preserve"> manner.</w:t>
      </w:r>
    </w:p>
    <w:p w:rsidRPr="007F767A" w:rsidR="004F77FA" w:rsidP="007F767A" w:rsidRDefault="007F767A">
      <w:pPr>
        <w:pStyle w:val="ECHRPara"/>
      </w:pPr>
      <w:fldSimple w:instr=" SEQ level0 \*arabic ">
        <w:r w:rsidRPr="007F767A">
          <w:rPr>
            <w:noProof/>
          </w:rPr>
          <w:t>167</w:t>
        </w:r>
      </w:fldSimple>
      <w:r w:rsidRPr="007F767A" w:rsidR="007D36D9">
        <w:t>.  </w:t>
      </w:r>
      <w:r w:rsidRPr="007F767A" w:rsidR="00343C04">
        <w:t xml:space="preserve">The Court considers that the </w:t>
      </w:r>
      <w:r w:rsidRPr="007F767A" w:rsidR="0040090E">
        <w:t>circumstances of the present application distinguish it from the cases referred to above in which the Court found violations of Article 3 of the Convention.</w:t>
      </w:r>
      <w:r w:rsidRPr="007F767A" w:rsidR="00910FA3">
        <w:t xml:space="preserve"> It notes that the acts in question in those cases</w:t>
      </w:r>
      <w:r w:rsidRPr="007F767A" w:rsidR="00FC309C">
        <w:t xml:space="preserve">, such as the mutilation of the bodies, burning </w:t>
      </w:r>
      <w:r w:rsidRPr="007F767A" w:rsidR="002B75B4">
        <w:t xml:space="preserve">the </w:t>
      </w:r>
      <w:r w:rsidRPr="007F767A" w:rsidR="00FC309C">
        <w:t xml:space="preserve">houses, </w:t>
      </w:r>
      <w:r w:rsidRPr="007F767A" w:rsidR="00CD342B">
        <w:t xml:space="preserve">and </w:t>
      </w:r>
      <w:r w:rsidRPr="007F767A" w:rsidR="00FC309C">
        <w:t xml:space="preserve">bombing </w:t>
      </w:r>
      <w:r w:rsidRPr="007F767A" w:rsidR="002B75B4">
        <w:t>civilian</w:t>
      </w:r>
      <w:r w:rsidRPr="007F767A" w:rsidR="003A7BF7">
        <w:t>s</w:t>
      </w:r>
      <w:r w:rsidRPr="007F767A" w:rsidR="00FC309C">
        <w:t xml:space="preserve"> with fighter jets</w:t>
      </w:r>
      <w:r w:rsidRPr="007F767A" w:rsidR="00910FA3">
        <w:t xml:space="preserve"> </w:t>
      </w:r>
      <w:r w:rsidRPr="007F767A" w:rsidR="00B47F7D">
        <w:t>had been carried out deliberately and without a</w:t>
      </w:r>
      <w:r w:rsidRPr="007F767A" w:rsidR="00720FCA">
        <w:t>ny</w:t>
      </w:r>
      <w:r w:rsidRPr="007F767A" w:rsidR="00B47F7D">
        <w:t xml:space="preserve"> lawful excuse</w:t>
      </w:r>
      <w:r w:rsidRPr="007F767A" w:rsidR="00FC309C">
        <w:t>.</w:t>
      </w:r>
      <w:r w:rsidRPr="007F767A" w:rsidR="002B75B4">
        <w:t xml:space="preserve"> </w:t>
      </w:r>
      <w:r w:rsidRPr="007F767A" w:rsidR="003A7BF7">
        <w:t xml:space="preserve">In the present case, </w:t>
      </w:r>
      <w:r w:rsidRPr="007F767A" w:rsidR="00B47F7D">
        <w:t xml:space="preserve">however, </w:t>
      </w:r>
      <w:r w:rsidRPr="007F767A" w:rsidR="003A7BF7">
        <w:t xml:space="preserve">the </w:t>
      </w:r>
      <w:r w:rsidRPr="007F767A" w:rsidR="00720FCA">
        <w:t>applicants</w:t>
      </w:r>
      <w:r w:rsidRPr="007F767A">
        <w:t>’</w:t>
      </w:r>
      <w:r w:rsidRPr="007F767A" w:rsidR="00720FCA">
        <w:t xml:space="preserve"> suffering stemmed from a lawful action carried out by the </w:t>
      </w:r>
      <w:r w:rsidRPr="007F767A" w:rsidR="003A7BF7">
        <w:t>prosecutor</w:t>
      </w:r>
      <w:r w:rsidRPr="007F767A" w:rsidR="00720FCA">
        <w:t xml:space="preserve"> who was </w:t>
      </w:r>
      <w:r w:rsidRPr="007F767A" w:rsidR="00C0579F">
        <w:t>performing</w:t>
      </w:r>
      <w:r w:rsidRPr="007F767A" w:rsidR="00720FCA">
        <w:t xml:space="preserve"> his duties to investigate</w:t>
      </w:r>
      <w:r w:rsidRPr="007F767A" w:rsidR="00FD0C0B">
        <w:t xml:space="preserve"> but who failed to appreciate the consequences of his actions</w:t>
      </w:r>
      <w:r w:rsidRPr="007F767A" w:rsidR="002B75B4">
        <w:rPr>
          <w:rFonts w:ascii="Times New Roman" w:hAnsi="Times New Roman" w:eastAsia="MS Mincho" w:cs="Times New Roman"/>
          <w:szCs w:val="24"/>
        </w:rPr>
        <w:t>.</w:t>
      </w:r>
    </w:p>
    <w:p w:rsidRPr="007F767A" w:rsidR="00865FC3" w:rsidP="007F767A" w:rsidRDefault="007F767A">
      <w:pPr>
        <w:pStyle w:val="ECHRPara"/>
        <w:rPr>
          <w:i/>
        </w:rPr>
      </w:pPr>
      <w:fldSimple w:instr=" SEQ level0 \*arabic ">
        <w:r w:rsidRPr="007F767A">
          <w:rPr>
            <w:noProof/>
          </w:rPr>
          <w:t>168</w:t>
        </w:r>
      </w:fldSimple>
      <w:r w:rsidRPr="007F767A" w:rsidR="00865FC3">
        <w:t>.  </w:t>
      </w:r>
      <w:r w:rsidRPr="007F767A" w:rsidR="003A7BF7">
        <w:t>In the light of the foregoing</w:t>
      </w:r>
      <w:r w:rsidRPr="007F767A" w:rsidR="00CD342B">
        <w:t>,</w:t>
      </w:r>
      <w:r w:rsidRPr="007F767A" w:rsidR="003A7BF7">
        <w:t xml:space="preserve"> and </w:t>
      </w:r>
      <w:r w:rsidRPr="007F767A" w:rsidR="00AA680A">
        <w:t xml:space="preserve">having particular regard to the </w:t>
      </w:r>
      <w:r w:rsidRPr="007F767A" w:rsidR="002B75B4">
        <w:t xml:space="preserve">purpose of </w:t>
      </w:r>
      <w:r w:rsidRPr="007F767A" w:rsidR="00D20B09">
        <w:t>the treatment</w:t>
      </w:r>
      <w:r w:rsidRPr="007F767A" w:rsidR="00CD342B">
        <w:t>,</w:t>
      </w:r>
      <w:r w:rsidRPr="007F767A" w:rsidR="00D20B09">
        <w:t xml:space="preserve"> which was to carry out examinations on the bodies </w:t>
      </w:r>
      <w:r w:rsidRPr="007F767A" w:rsidR="00AA680A">
        <w:t xml:space="preserve">by a prosecutor and doctors, </w:t>
      </w:r>
      <w:r w:rsidRPr="007F767A" w:rsidR="00865FC3">
        <w:t xml:space="preserve">the Court </w:t>
      </w:r>
      <w:r w:rsidRPr="007F767A" w:rsidR="00AA680A">
        <w:t>cannot</w:t>
      </w:r>
      <w:r w:rsidRPr="007F767A" w:rsidR="00865FC3">
        <w:t xml:space="preserve"> find that the circumstances give the </w:t>
      </w:r>
      <w:r w:rsidRPr="007F767A" w:rsidR="00AA680A">
        <w:t>applicants</w:t>
      </w:r>
      <w:r w:rsidRPr="007F767A">
        <w:t>’</w:t>
      </w:r>
      <w:r w:rsidRPr="007F767A" w:rsidR="00AA680A">
        <w:t xml:space="preserve"> </w:t>
      </w:r>
      <w:r w:rsidRPr="007F767A" w:rsidR="00865FC3">
        <w:t>suffering a dimension and character distinct from the emotional distress which may be regarded as inevitably caused to any family member of a deceased person in a comparable situation. The Court is therefore unable to find a violation of Article 3 of the Convention</w:t>
      </w:r>
      <w:r w:rsidRPr="007F767A" w:rsidR="004965CD">
        <w:t xml:space="preserve"> (ibid. </w:t>
      </w:r>
      <w:r w:rsidRPr="007F767A" w:rsidR="00E47F52">
        <w:t>§ </w:t>
      </w:r>
      <w:r w:rsidRPr="007F767A" w:rsidR="006E3738">
        <w:t>113)</w:t>
      </w:r>
      <w:r w:rsidRPr="007F767A" w:rsidR="00865FC3">
        <w:t>.</w:t>
      </w:r>
    </w:p>
    <w:p w:rsidRPr="007F767A" w:rsidR="00014566" w:rsidP="007F767A" w:rsidRDefault="00B11C23">
      <w:pPr>
        <w:pStyle w:val="ECHRHeading1"/>
      </w:pPr>
      <w:r w:rsidRPr="007F767A">
        <w:t>III</w:t>
      </w:r>
      <w:r w:rsidRPr="007F767A" w:rsidR="00014566">
        <w:t>.  APPLICATION OF ARTICLE 41 OF THE CONVENTION</w:t>
      </w:r>
    </w:p>
    <w:p w:rsidRPr="007F767A" w:rsidR="00014566" w:rsidP="007F767A" w:rsidRDefault="007F767A">
      <w:pPr>
        <w:pStyle w:val="ECHRPara"/>
      </w:pPr>
      <w:fldSimple w:instr=" SEQ level0 \*arabic ">
        <w:r w:rsidRPr="007F767A">
          <w:rPr>
            <w:noProof/>
          </w:rPr>
          <w:t>169</w:t>
        </w:r>
      </w:fldSimple>
      <w:r w:rsidRPr="007F767A" w:rsidR="00D20B09">
        <w:t>.  </w:t>
      </w:r>
      <w:r w:rsidRPr="007F767A" w:rsidR="00014566">
        <w:t>Article 41 of the Convention provides:</w:t>
      </w:r>
    </w:p>
    <w:p w:rsidRPr="007F767A" w:rsidR="00014566" w:rsidP="007F767A" w:rsidRDefault="00014566">
      <w:pPr>
        <w:pStyle w:val="ECHRParaQuote"/>
        <w:keepNext/>
        <w:keepLines/>
      </w:pPr>
      <w:r w:rsidRPr="007F767A">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7F767A" w:rsidR="00014566" w:rsidP="007F767A" w:rsidRDefault="00014566">
      <w:pPr>
        <w:pStyle w:val="ECHRHeading2"/>
      </w:pPr>
      <w:r w:rsidRPr="007F767A">
        <w:t>A.  Damage</w:t>
      </w:r>
    </w:p>
    <w:p w:rsidRPr="007F767A" w:rsidR="00A51BDE" w:rsidP="007F767A" w:rsidRDefault="007F767A">
      <w:pPr>
        <w:pStyle w:val="ECHRPara"/>
      </w:pPr>
      <w:fldSimple w:instr=" SEQ level0 \*arabic ">
        <w:r w:rsidRPr="007F767A">
          <w:rPr>
            <w:noProof/>
          </w:rPr>
          <w:t>170</w:t>
        </w:r>
      </w:fldSimple>
      <w:r w:rsidRPr="007F767A" w:rsidR="001957A7">
        <w:t>.  </w:t>
      </w:r>
      <w:r w:rsidRPr="007F767A" w:rsidR="00014566">
        <w:t>The applicant</w:t>
      </w:r>
      <w:r w:rsidRPr="007F767A" w:rsidR="00C83662">
        <w:t>s</w:t>
      </w:r>
      <w:r w:rsidRPr="007F767A" w:rsidR="00014566">
        <w:t xml:space="preserve"> </w:t>
      </w:r>
      <w:r w:rsidRPr="007F767A" w:rsidR="003A7BF7">
        <w:t>submitted that, owing to difficulties in documenting the pecuniary damage</w:t>
      </w:r>
      <w:r w:rsidRPr="007F767A" w:rsidR="00CD342B">
        <w:t xml:space="preserve"> they </w:t>
      </w:r>
      <w:r w:rsidRPr="007F767A" w:rsidR="00D72A79">
        <w:t>had</w:t>
      </w:r>
      <w:r w:rsidRPr="007F767A" w:rsidR="00CD342B">
        <w:t xml:space="preserve"> suffered</w:t>
      </w:r>
      <w:r w:rsidRPr="007F767A" w:rsidR="003A7BF7">
        <w:t xml:space="preserve"> they were unable to make a claim under that heading.</w:t>
      </w:r>
    </w:p>
    <w:p w:rsidRPr="007F767A" w:rsidR="009C701A" w:rsidP="007F767A" w:rsidRDefault="007F767A">
      <w:pPr>
        <w:pStyle w:val="ECHRPara"/>
      </w:pPr>
      <w:fldSimple w:instr=" SEQ level0 \*arabic ">
        <w:r w:rsidRPr="007F767A">
          <w:rPr>
            <w:noProof/>
          </w:rPr>
          <w:t>171</w:t>
        </w:r>
      </w:fldSimple>
      <w:r w:rsidRPr="007F767A" w:rsidR="003A7BF7">
        <w:t xml:space="preserve">.  They claimed that they had suffered </w:t>
      </w:r>
      <w:r w:rsidRPr="007F767A" w:rsidR="007C1BF3">
        <w:t xml:space="preserve">shock and indescribable </w:t>
      </w:r>
      <w:r w:rsidRPr="007F767A" w:rsidR="003A7BF7">
        <w:t xml:space="preserve">pain on account of the </w:t>
      </w:r>
      <w:r w:rsidRPr="007F767A" w:rsidR="007C1BF3">
        <w:t>disproportiona</w:t>
      </w:r>
      <w:r w:rsidRPr="007F767A" w:rsidR="00CD342B">
        <w:t>te</w:t>
      </w:r>
      <w:r w:rsidRPr="007F767A" w:rsidR="007C1BF3">
        <w:t xml:space="preserve"> use of force against their relatives and the hateful and </w:t>
      </w:r>
      <w:r w:rsidRPr="007F767A" w:rsidR="00D20B09">
        <w:t>barbaric</w:t>
      </w:r>
      <w:r w:rsidRPr="007F767A" w:rsidR="007C1BF3">
        <w:t xml:space="preserve"> nature of their killings, coupled with the failure to carry out an investigation into the killings and to bring those responsible to justice. </w:t>
      </w:r>
      <w:r w:rsidRPr="007F767A" w:rsidR="009C701A">
        <w:t xml:space="preserve">In order to alleviate </w:t>
      </w:r>
      <w:r w:rsidRPr="007F767A" w:rsidR="00D20B09">
        <w:t xml:space="preserve">some of </w:t>
      </w:r>
      <w:r w:rsidRPr="007F767A" w:rsidR="009C701A">
        <w:t xml:space="preserve">their pain and suffering, each of the </w:t>
      </w:r>
      <w:r w:rsidRPr="007F767A" w:rsidR="00CD342B">
        <w:t>seventeen</w:t>
      </w:r>
      <w:r w:rsidRPr="007F767A" w:rsidR="009C701A">
        <w:t xml:space="preserve"> applicants claimed 75,000 euros (EUR) in respect of non-pecuniary damage.</w:t>
      </w:r>
    </w:p>
    <w:p w:rsidRPr="007F767A" w:rsidR="00014566" w:rsidP="007F767A" w:rsidRDefault="007F767A">
      <w:pPr>
        <w:pStyle w:val="ECHRPara"/>
      </w:pPr>
      <w:fldSimple w:instr=" SEQ level0 \*arabic ">
        <w:r w:rsidRPr="007F767A">
          <w:rPr>
            <w:noProof/>
          </w:rPr>
          <w:t>172</w:t>
        </w:r>
      </w:fldSimple>
      <w:r w:rsidRPr="007F767A" w:rsidR="009C701A">
        <w:t>.  </w:t>
      </w:r>
      <w:r w:rsidRPr="007F767A" w:rsidR="00014566">
        <w:t xml:space="preserve">The Government </w:t>
      </w:r>
      <w:r w:rsidRPr="007F767A" w:rsidR="00263252">
        <w:t>considered the sums to be excessive and unacceptable</w:t>
      </w:r>
      <w:r w:rsidRPr="007F767A" w:rsidR="00CD342B">
        <w:t>,</w:t>
      </w:r>
      <w:r w:rsidRPr="007F767A" w:rsidR="00263252">
        <w:t xml:space="preserve"> and argued that awarding them would lead to unjust enrichment. They asked the Court not to make any awards</w:t>
      </w:r>
      <w:r w:rsidRPr="007F767A" w:rsidR="00CD342B">
        <w:t>,</w:t>
      </w:r>
      <w:r w:rsidRPr="007F767A" w:rsidR="00263252">
        <w:t xml:space="preserve"> because in their opinion the applicants had failed to produce any concrete evidence to prove their alleged losses, or to make an award for an equitable sum without allowing the compensation procedure to be exploited by way of introducing exaggerated claims lacking evidence.</w:t>
      </w:r>
    </w:p>
    <w:p w:rsidRPr="007F767A" w:rsidR="00014566" w:rsidP="007F767A" w:rsidRDefault="007F767A">
      <w:pPr>
        <w:pStyle w:val="ECHRPara"/>
      </w:pPr>
      <w:fldSimple w:instr=" SEQ level0 \*arabic ">
        <w:r w:rsidRPr="007F767A">
          <w:rPr>
            <w:noProof/>
          </w:rPr>
          <w:t>173</w:t>
        </w:r>
      </w:fldSimple>
      <w:r w:rsidRPr="007F767A" w:rsidR="00014566">
        <w:t>.  </w:t>
      </w:r>
      <w:r w:rsidRPr="007F767A" w:rsidR="00263252">
        <w:t>Having regard to the applicants</w:t>
      </w:r>
      <w:r w:rsidRPr="007F767A">
        <w:t>’</w:t>
      </w:r>
      <w:r w:rsidRPr="007F767A" w:rsidR="00263252">
        <w:t xml:space="preserve"> suffering on account of the killing of their close relatives by the soldiers which, contrary to the Government</w:t>
      </w:r>
      <w:r w:rsidRPr="007F767A">
        <w:t>’</w:t>
      </w:r>
      <w:r w:rsidRPr="007F767A" w:rsidR="00263252">
        <w:t xml:space="preserve">s submissions, does not require substantiation, the Court awards each of the </w:t>
      </w:r>
      <w:r w:rsidRPr="007F767A" w:rsidR="006512A7">
        <w:t>seventeen</w:t>
      </w:r>
      <w:r w:rsidRPr="007F767A" w:rsidR="00263252">
        <w:t xml:space="preserve"> applicants EUR 65,000 in respect of non-pecuniary damage</w:t>
      </w:r>
      <w:r w:rsidRPr="007F767A" w:rsidR="00E903C7">
        <w:t xml:space="preserve"> (see </w:t>
      </w:r>
      <w:r w:rsidRPr="007F767A" w:rsidR="00E903C7">
        <w:rPr>
          <w:i/>
          <w:snapToGrid w:val="0"/>
        </w:rPr>
        <w:t>Gülbahar Özer</w:t>
      </w:r>
      <w:r w:rsidRPr="007F767A" w:rsidR="00E903C7">
        <w:rPr>
          <w:snapToGrid w:val="0"/>
        </w:rPr>
        <w:t xml:space="preserve"> </w:t>
      </w:r>
      <w:r w:rsidRPr="007F767A" w:rsidR="00E903C7">
        <w:rPr>
          <w:i/>
          <w:snapToGrid w:val="0"/>
        </w:rPr>
        <w:t>and Others</w:t>
      </w:r>
      <w:r w:rsidRPr="007F767A" w:rsidR="00E903C7">
        <w:rPr>
          <w:snapToGrid w:val="0"/>
        </w:rPr>
        <w:t>, cited above, § 85)</w:t>
      </w:r>
      <w:r w:rsidRPr="007F767A" w:rsidR="00263252">
        <w:t>.</w:t>
      </w:r>
    </w:p>
    <w:p w:rsidRPr="007F767A" w:rsidR="00014566" w:rsidP="007F767A" w:rsidRDefault="00014566">
      <w:pPr>
        <w:pStyle w:val="ECHRHeading2"/>
      </w:pPr>
      <w:r w:rsidRPr="007F767A">
        <w:t>B.  Costs and expenses</w:t>
      </w:r>
    </w:p>
    <w:p w:rsidRPr="007F767A" w:rsidR="00014566" w:rsidP="007F767A" w:rsidRDefault="007F767A">
      <w:pPr>
        <w:pStyle w:val="ECHRPara"/>
      </w:pPr>
      <w:fldSimple w:instr=" SEQ level0 \*arabic ">
        <w:r w:rsidRPr="007F767A">
          <w:rPr>
            <w:noProof/>
          </w:rPr>
          <w:t>174</w:t>
        </w:r>
      </w:fldSimple>
      <w:r w:rsidRPr="007F767A" w:rsidR="00014566">
        <w:t>.  The applicant</w:t>
      </w:r>
      <w:r w:rsidRPr="007F767A" w:rsidR="00C83662">
        <w:t>s</w:t>
      </w:r>
      <w:r w:rsidRPr="007F767A" w:rsidR="00014566">
        <w:t xml:space="preserve"> also claimed </w:t>
      </w:r>
      <w:r w:rsidRPr="007F767A" w:rsidR="009C701A">
        <w:t>30,090 Turkish liras (</w:t>
      </w:r>
      <w:r w:rsidRPr="007F767A" w:rsidR="00963F54">
        <w:t xml:space="preserve">TRY, </w:t>
      </w:r>
      <w:r w:rsidRPr="007F767A" w:rsidR="009C701A">
        <w:t xml:space="preserve">approximately </w:t>
      </w:r>
      <w:r w:rsidRPr="007F767A" w:rsidR="00A96AA9">
        <w:t>EUR </w:t>
      </w:r>
      <w:r w:rsidRPr="007F767A" w:rsidR="00D72EFF">
        <w:t>13,677)</w:t>
      </w:r>
      <w:r w:rsidRPr="007F767A" w:rsidR="00014566">
        <w:t xml:space="preserve"> for costs and expenses incurred </w:t>
      </w:r>
      <w:r w:rsidRPr="007F767A" w:rsidR="009C701A">
        <w:t xml:space="preserve">both </w:t>
      </w:r>
      <w:r w:rsidRPr="007F767A" w:rsidR="00014566">
        <w:t xml:space="preserve">before the domestic </w:t>
      </w:r>
      <w:r w:rsidRPr="007F767A" w:rsidR="009C701A">
        <w:t xml:space="preserve">authorities </w:t>
      </w:r>
      <w:r w:rsidRPr="007F767A" w:rsidR="00014566">
        <w:t>and before the Court.</w:t>
      </w:r>
      <w:r w:rsidRPr="007F767A" w:rsidR="00D72EFF">
        <w:t xml:space="preserve"> In support of this claim the applicants</w:t>
      </w:r>
      <w:r w:rsidRPr="007F767A" w:rsidR="00263252">
        <w:t xml:space="preserve"> </w:t>
      </w:r>
      <w:r w:rsidRPr="007F767A" w:rsidR="00D72EFF">
        <w:t xml:space="preserve">submitted to the Court </w:t>
      </w:r>
      <w:r w:rsidRPr="007F767A" w:rsidR="00263252">
        <w:t xml:space="preserve">two </w:t>
      </w:r>
      <w:r w:rsidRPr="007F767A" w:rsidR="00D20B09">
        <w:t>officia</w:t>
      </w:r>
      <w:r w:rsidRPr="007F767A" w:rsidR="00263252">
        <w:t>l tax receipts, showing that they had paid their lawyers the total sum of TRY 30,090 on 21</w:t>
      </w:r>
      <w:r w:rsidRPr="007F767A" w:rsidR="00A96AA9">
        <w:t xml:space="preserve"> </w:t>
      </w:r>
      <w:r w:rsidRPr="007F767A" w:rsidR="00263252">
        <w:t>October 2009.</w:t>
      </w:r>
    </w:p>
    <w:p w:rsidRPr="007F767A" w:rsidR="00FA2698" w:rsidP="007F767A" w:rsidRDefault="007F767A">
      <w:pPr>
        <w:pStyle w:val="ECHRPara"/>
      </w:pPr>
      <w:fldSimple w:instr=" SEQ level0 \*arabic ">
        <w:r w:rsidRPr="007F767A">
          <w:rPr>
            <w:noProof/>
          </w:rPr>
          <w:t>175</w:t>
        </w:r>
      </w:fldSimple>
      <w:r w:rsidRPr="007F767A" w:rsidR="00014566">
        <w:t xml:space="preserve">.  The Government </w:t>
      </w:r>
      <w:r w:rsidRPr="007F767A" w:rsidR="00FA2698">
        <w:t>asked the Court not to make any award to the applicants for their claim for costs and expenses</w:t>
      </w:r>
      <w:r w:rsidRPr="007F767A" w:rsidR="00963F54">
        <w:t>,</w:t>
      </w:r>
      <w:r w:rsidRPr="007F767A" w:rsidR="00FA2698">
        <w:t xml:space="preserve"> because they </w:t>
      </w:r>
      <w:r w:rsidRPr="007F767A" w:rsidR="00CC3337">
        <w:t xml:space="preserve">were of the opinion that </w:t>
      </w:r>
      <w:r w:rsidRPr="007F767A" w:rsidR="00FA2698">
        <w:t xml:space="preserve">the applicants had not submitted any documentary evidence. They argued that all expenses </w:t>
      </w:r>
      <w:r w:rsidRPr="007F767A" w:rsidR="00D72A79">
        <w:t xml:space="preserve">claims </w:t>
      </w:r>
      <w:r w:rsidRPr="007F767A" w:rsidR="00FA2698">
        <w:t xml:space="preserve">must be based on invoices. Moreover, </w:t>
      </w:r>
      <w:r w:rsidRPr="007F767A" w:rsidR="00CC3337">
        <w:t xml:space="preserve">the expenses relating to the procedure before the domestic authorities could not be added to the expenses incurred before the Court. Furthermore, only </w:t>
      </w:r>
      <w:r w:rsidRPr="007F767A" w:rsidR="00963F54">
        <w:t xml:space="preserve">expenses </w:t>
      </w:r>
      <w:r w:rsidRPr="007F767A" w:rsidR="00CC3337">
        <w:t xml:space="preserve">actually incurred could be reimbursed. In the present case, “such a great amount for costs and expenses could not </w:t>
      </w:r>
      <w:r w:rsidRPr="007F767A" w:rsidR="00D20B09">
        <w:t>[have been]</w:t>
      </w:r>
      <w:r w:rsidRPr="007F767A" w:rsidR="00CC3337">
        <w:t xml:space="preserve"> spent by the applicants”.</w:t>
      </w:r>
    </w:p>
    <w:p w:rsidRPr="007F767A" w:rsidR="00FA2698" w:rsidP="007F767A" w:rsidRDefault="007F767A">
      <w:pPr>
        <w:pStyle w:val="ECHRPara"/>
      </w:pPr>
      <w:fldSimple w:instr=" SEQ level0 \*arabic ">
        <w:r w:rsidRPr="007F767A">
          <w:rPr>
            <w:noProof/>
          </w:rPr>
          <w:t>176</w:t>
        </w:r>
      </w:fldSimple>
      <w:r w:rsidRPr="007F767A" w:rsidR="00014566">
        <w:t>.  </w:t>
      </w:r>
      <w:r w:rsidRPr="007F767A" w:rsidR="00C83662">
        <w:t>According to the Court</w:t>
      </w:r>
      <w:r w:rsidRPr="007F767A">
        <w:t>’</w:t>
      </w:r>
      <w:r w:rsidRPr="007F767A" w:rsidR="00C83662">
        <w:t xml:space="preserve">s case-law, an applicant is entitled to the reimbursement of costs and expenses only in so far as it has been shown that these have been actually and necessarily incurred and are reasonable as to quantum. </w:t>
      </w:r>
      <w:r w:rsidRPr="007F767A" w:rsidR="00FA2698">
        <w:t>In response to the Government</w:t>
      </w:r>
      <w:r w:rsidRPr="007F767A">
        <w:t>’</w:t>
      </w:r>
      <w:r w:rsidRPr="007F767A" w:rsidR="00FA2698">
        <w:t xml:space="preserve">s argument concerning the costs and expenses relating to the proceedings at the national level, the Court reiterates that, if it finds that there has been a violation of the Convention, it may award the applicant the costs and expenses incurred before the domestic courts for the prevention or redress of the violation (see </w:t>
      </w:r>
      <w:r w:rsidRPr="007F767A" w:rsidR="00FA2698">
        <w:rPr>
          <w:i/>
        </w:rPr>
        <w:t xml:space="preserve">Société </w:t>
      </w:r>
      <w:bookmarkStart w:name="_100000B" w:id="2"/>
      <w:bookmarkEnd w:id="2"/>
      <w:r w:rsidRPr="007F767A" w:rsidR="00FA2698">
        <w:rPr>
          <w:i/>
        </w:rPr>
        <w:t>Colas Est and Others v. France</w:t>
      </w:r>
      <w:r w:rsidRPr="007F767A" w:rsidR="00FA2698">
        <w:t>, no. 37971/97, § 56, ECHR 2002-III, and the cases cited therein). In the present case the applicants brought the substance of their Convention rights, that is, their relatives</w:t>
      </w:r>
      <w:r w:rsidRPr="007F767A">
        <w:t>’</w:t>
      </w:r>
      <w:r w:rsidRPr="007F767A" w:rsidR="00FA2698">
        <w:t xml:space="preserve"> right to life, to the attention of the national authorities and were represented by their lawyer</w:t>
      </w:r>
      <w:r w:rsidRPr="007F767A" w:rsidR="00971CCE">
        <w:t>s</w:t>
      </w:r>
      <w:r w:rsidRPr="007F767A" w:rsidR="00FA2698">
        <w:t xml:space="preserve"> throughout the proceedings. The Court thus considers that the applicants have a valid claim in respect of the costs and expenses </w:t>
      </w:r>
      <w:bookmarkStart w:name="HIT5" w:id="3"/>
      <w:bookmarkEnd w:id="3"/>
      <w:r w:rsidRPr="007F767A" w:rsidR="00FA2698">
        <w:t xml:space="preserve">incurred at the </w:t>
      </w:r>
      <w:bookmarkStart w:name="HIT6" w:id="4"/>
      <w:bookmarkEnd w:id="4"/>
      <w:r w:rsidRPr="007F767A" w:rsidR="00FA2698">
        <w:t xml:space="preserve">national </w:t>
      </w:r>
      <w:bookmarkStart w:name="HIT7" w:id="5"/>
      <w:bookmarkEnd w:id="5"/>
      <w:r w:rsidRPr="007F767A" w:rsidR="00FA2698">
        <w:t>level.</w:t>
      </w:r>
    </w:p>
    <w:p w:rsidRPr="007F767A" w:rsidR="00350C64" w:rsidP="007F767A" w:rsidRDefault="007F767A">
      <w:pPr>
        <w:pStyle w:val="ECHRPara"/>
      </w:pPr>
      <w:fldSimple w:instr=" SEQ level0 \*arabic ">
        <w:r w:rsidRPr="007F767A">
          <w:rPr>
            <w:noProof/>
          </w:rPr>
          <w:t>177</w:t>
        </w:r>
      </w:fldSimple>
      <w:r w:rsidRPr="007F767A" w:rsidR="00FA2698">
        <w:t>.  As for the Government</w:t>
      </w:r>
      <w:r w:rsidRPr="007F767A">
        <w:t>’</w:t>
      </w:r>
      <w:r w:rsidRPr="007F767A" w:rsidR="00FA2698">
        <w:t xml:space="preserve">s allegation that the applicants </w:t>
      </w:r>
      <w:r w:rsidRPr="007F767A" w:rsidR="007C6759">
        <w:t>did</w:t>
      </w:r>
      <w:r w:rsidRPr="007F767A" w:rsidR="00FA2698">
        <w:t xml:space="preserve"> not submit any documentary evidence such as invoices, the Court observes that the applicants did in fact send </w:t>
      </w:r>
      <w:r w:rsidRPr="007F767A" w:rsidR="0009693F">
        <w:t xml:space="preserve">two </w:t>
      </w:r>
      <w:r w:rsidRPr="007F767A" w:rsidR="00FA2698">
        <w:t>official tax receipts showing that the</w:t>
      </w:r>
      <w:r w:rsidRPr="007F767A" w:rsidR="00350C64">
        <w:t>y had already paid their lawyers the</w:t>
      </w:r>
      <w:r w:rsidRPr="007F767A" w:rsidR="00FA2698">
        <w:t xml:space="preserve"> sum claimed </w:t>
      </w:r>
      <w:r w:rsidRPr="007F767A" w:rsidR="00350C64">
        <w:t>by them.</w:t>
      </w:r>
    </w:p>
    <w:p w:rsidRPr="007F767A" w:rsidR="00014566" w:rsidP="007F767A" w:rsidRDefault="007F767A">
      <w:pPr>
        <w:pStyle w:val="ECHRPara"/>
      </w:pPr>
      <w:fldSimple w:instr=" SEQ level0 \*arabic ">
        <w:r w:rsidRPr="007F767A">
          <w:rPr>
            <w:noProof/>
          </w:rPr>
          <w:t>178</w:t>
        </w:r>
      </w:fldSimple>
      <w:r w:rsidRPr="007F767A" w:rsidR="00350C64">
        <w:t>.  </w:t>
      </w:r>
      <w:r w:rsidRPr="007F767A" w:rsidR="00080F0C">
        <w:t xml:space="preserve">Regard </w:t>
      </w:r>
      <w:r w:rsidRPr="007F767A" w:rsidR="00014566">
        <w:t xml:space="preserve">being had to the documents in its possession and </w:t>
      </w:r>
      <w:r w:rsidRPr="007F767A" w:rsidR="00C83662">
        <w:t>the above criteria</w:t>
      </w:r>
      <w:r w:rsidRPr="007F767A" w:rsidR="00014566">
        <w:t xml:space="preserve">, </w:t>
      </w:r>
      <w:r w:rsidRPr="007F767A" w:rsidR="00350C64">
        <w:t xml:space="preserve">and taking into account the steps taken by the lawyers </w:t>
      </w:r>
      <w:r w:rsidRPr="007F767A" w:rsidR="00080F0C">
        <w:t xml:space="preserve">when representing the </w:t>
      </w:r>
      <w:r w:rsidRPr="007F767A" w:rsidR="00963F54">
        <w:t>seventeen</w:t>
      </w:r>
      <w:r w:rsidRPr="007F767A" w:rsidR="00080F0C">
        <w:t xml:space="preserve"> applicants </w:t>
      </w:r>
      <w:r w:rsidRPr="007F767A" w:rsidR="00350C64">
        <w:t xml:space="preserve">both before the national authorities and before the Court, the Court </w:t>
      </w:r>
      <w:r w:rsidRPr="007F767A" w:rsidR="00014566">
        <w:t xml:space="preserve">considers it reasonable to award the </w:t>
      </w:r>
      <w:r w:rsidRPr="007F767A" w:rsidR="00350C64">
        <w:t>applicants the sum claimed by them</w:t>
      </w:r>
      <w:r w:rsidRPr="007F767A" w:rsidR="00963F54">
        <w:t xml:space="preserve"> in full</w:t>
      </w:r>
      <w:r w:rsidRPr="007F767A" w:rsidR="00350C64">
        <w:t xml:space="preserve">, that is </w:t>
      </w:r>
      <w:r w:rsidRPr="007F767A" w:rsidR="00014566">
        <w:t xml:space="preserve">EUR </w:t>
      </w:r>
      <w:r w:rsidRPr="007F767A" w:rsidR="00350C64">
        <w:t>13,677</w:t>
      </w:r>
      <w:r w:rsidRPr="007F767A" w:rsidR="0009693F">
        <w:t>,</w:t>
      </w:r>
      <w:r w:rsidRPr="007F767A" w:rsidR="00014566">
        <w:t xml:space="preserve"> for </w:t>
      </w:r>
      <w:r w:rsidRPr="007F767A" w:rsidR="0009693F">
        <w:t xml:space="preserve">the </w:t>
      </w:r>
      <w:r w:rsidRPr="007F767A" w:rsidR="00014566">
        <w:t xml:space="preserve">costs and expenses in the domestic proceedings </w:t>
      </w:r>
      <w:r w:rsidRPr="007F767A" w:rsidR="00350C64">
        <w:t xml:space="preserve">and in </w:t>
      </w:r>
      <w:r w:rsidRPr="007F767A" w:rsidR="00014566">
        <w:t>the proceedings before the Court.</w:t>
      </w:r>
    </w:p>
    <w:p w:rsidRPr="007F767A" w:rsidR="00014566" w:rsidP="007F767A" w:rsidRDefault="00014566">
      <w:pPr>
        <w:pStyle w:val="ECHRHeading2"/>
      </w:pPr>
      <w:r w:rsidRPr="007F767A">
        <w:t>C.  Default interest</w:t>
      </w:r>
    </w:p>
    <w:p w:rsidRPr="007F767A" w:rsidR="00014566" w:rsidP="007F767A" w:rsidRDefault="007F767A">
      <w:pPr>
        <w:pStyle w:val="ECHRPara"/>
      </w:pPr>
      <w:fldSimple w:instr=" SEQ level0 \*arabic ">
        <w:r w:rsidRPr="007F767A">
          <w:rPr>
            <w:noProof/>
          </w:rPr>
          <w:t>179</w:t>
        </w:r>
      </w:fldSimple>
      <w:r w:rsidRPr="007F767A" w:rsidR="00D169E0">
        <w:t>.  </w:t>
      </w:r>
      <w:r w:rsidRPr="007F767A" w:rsidR="00014566">
        <w:t>The Court considers it appropriate that the default interest rate should be based on the marginal lending rate of the European Central Bank, to which should be added three percentage points.</w:t>
      </w:r>
    </w:p>
    <w:p w:rsidRPr="007F767A" w:rsidR="00014566" w:rsidP="007F767A" w:rsidRDefault="00BB5883">
      <w:pPr>
        <w:pStyle w:val="ECHRTitle1"/>
      </w:pPr>
      <w:r w:rsidRPr="007F767A">
        <w:t>FOR THESE REASONS, THE COURT</w:t>
      </w:r>
      <w:r w:rsidRPr="007F767A" w:rsidR="00C83662">
        <w:t>, UNANIMOUSLY,</w:t>
      </w:r>
    </w:p>
    <w:p w:rsidRPr="007F767A" w:rsidR="00014566" w:rsidP="007F767A" w:rsidRDefault="00C83662">
      <w:pPr>
        <w:pStyle w:val="JuList"/>
      </w:pPr>
      <w:r w:rsidRPr="007F767A">
        <w:t>1.  </w:t>
      </w:r>
      <w:r w:rsidRPr="007F767A">
        <w:rPr>
          <w:i/>
        </w:rPr>
        <w:t>Declares</w:t>
      </w:r>
      <w:r w:rsidRPr="007F767A">
        <w:t xml:space="preserve"> the application admissible;</w:t>
      </w:r>
    </w:p>
    <w:p w:rsidRPr="007F767A" w:rsidR="00014566" w:rsidP="007F767A" w:rsidRDefault="00014566">
      <w:pPr>
        <w:pStyle w:val="JuList"/>
        <w:ind w:left="0" w:firstLine="0"/>
      </w:pPr>
    </w:p>
    <w:p w:rsidRPr="007F767A" w:rsidR="00014566" w:rsidP="007F767A" w:rsidRDefault="00080F0C">
      <w:pPr>
        <w:pStyle w:val="JuList"/>
      </w:pPr>
      <w:r w:rsidRPr="007F767A">
        <w:t>2</w:t>
      </w:r>
      <w:r w:rsidRPr="007F767A" w:rsidR="00014566">
        <w:t>.  </w:t>
      </w:r>
      <w:r w:rsidRPr="007F767A" w:rsidR="00014566">
        <w:rPr>
          <w:i/>
        </w:rPr>
        <w:t>Holds</w:t>
      </w:r>
      <w:r w:rsidRPr="007F767A" w:rsidR="00C83662">
        <w:t xml:space="preserve"> </w:t>
      </w:r>
      <w:r w:rsidRPr="007F767A" w:rsidR="00014566">
        <w:t xml:space="preserve">that there has been a violation of Article </w:t>
      </w:r>
      <w:r w:rsidRPr="007F767A">
        <w:t>2</w:t>
      </w:r>
      <w:r w:rsidRPr="007F767A" w:rsidR="00014566">
        <w:t xml:space="preserve"> of the Convention</w:t>
      </w:r>
      <w:r w:rsidRPr="007F767A">
        <w:t xml:space="preserve"> in its substantive aspect on account of the killing of the applicants</w:t>
      </w:r>
      <w:r w:rsidRPr="007F767A" w:rsidR="007F767A">
        <w:t>’</w:t>
      </w:r>
      <w:r w:rsidRPr="007F767A">
        <w:t xml:space="preserve"> </w:t>
      </w:r>
      <w:r w:rsidRPr="007F767A" w:rsidR="00963F54">
        <w:t>seventeen</w:t>
      </w:r>
      <w:r w:rsidRPr="007F767A">
        <w:t xml:space="preserve"> relatives</w:t>
      </w:r>
      <w:r w:rsidRPr="007F767A" w:rsidR="00014566">
        <w:t>;</w:t>
      </w:r>
    </w:p>
    <w:p w:rsidRPr="007F767A" w:rsidR="00014566" w:rsidP="007F767A" w:rsidRDefault="00014566">
      <w:pPr>
        <w:pStyle w:val="JuList"/>
      </w:pPr>
    </w:p>
    <w:p w:rsidRPr="007F767A" w:rsidR="00014566" w:rsidP="007F767A" w:rsidRDefault="00080F0C">
      <w:pPr>
        <w:pStyle w:val="JuList"/>
      </w:pPr>
      <w:r w:rsidRPr="007F767A">
        <w:t>3</w:t>
      </w:r>
      <w:r w:rsidRPr="007F767A" w:rsidR="00014566">
        <w:t>.  </w:t>
      </w:r>
      <w:r w:rsidRPr="007F767A" w:rsidR="00014566">
        <w:rPr>
          <w:i/>
        </w:rPr>
        <w:t>Holds</w:t>
      </w:r>
      <w:r w:rsidRPr="007F767A" w:rsidR="00C83662">
        <w:t xml:space="preserve"> </w:t>
      </w:r>
      <w:r w:rsidRPr="007F767A" w:rsidR="00014566">
        <w:t xml:space="preserve">that there has been a violation of Article </w:t>
      </w:r>
      <w:r w:rsidRPr="007F767A">
        <w:t>2</w:t>
      </w:r>
      <w:r w:rsidRPr="007F767A" w:rsidR="00014566">
        <w:t xml:space="preserve"> of the Convention</w:t>
      </w:r>
      <w:r w:rsidRPr="007F767A">
        <w:t xml:space="preserve"> in its procedural aspect on account of the failure to carry out an effective investigation</w:t>
      </w:r>
      <w:r w:rsidRPr="007F767A" w:rsidR="00014566">
        <w:t>;</w:t>
      </w:r>
    </w:p>
    <w:p w:rsidRPr="007F767A" w:rsidR="00F56FE7" w:rsidP="007F767A" w:rsidRDefault="00F56FE7">
      <w:pPr>
        <w:pStyle w:val="JuList"/>
      </w:pPr>
    </w:p>
    <w:p w:rsidRPr="007F767A" w:rsidR="00F56FE7" w:rsidP="007F767A" w:rsidRDefault="004E3CC2">
      <w:pPr>
        <w:pStyle w:val="JuList"/>
      </w:pPr>
      <w:r w:rsidRPr="007F767A">
        <w:t>4.  </w:t>
      </w:r>
      <w:r w:rsidRPr="007F767A" w:rsidR="00F56FE7">
        <w:rPr>
          <w:i/>
        </w:rPr>
        <w:t>Holds</w:t>
      </w:r>
      <w:r w:rsidRPr="007F767A" w:rsidR="00F56FE7">
        <w:t xml:space="preserve"> that there has been no violation of Article 3 of the Convention;</w:t>
      </w:r>
    </w:p>
    <w:p w:rsidRPr="007F767A" w:rsidR="00080F0C" w:rsidP="007F767A" w:rsidRDefault="00080F0C">
      <w:pPr>
        <w:pStyle w:val="JuList"/>
      </w:pPr>
    </w:p>
    <w:p w:rsidRPr="007F767A" w:rsidR="00014566" w:rsidP="007F767A" w:rsidRDefault="00F56FE7">
      <w:pPr>
        <w:pStyle w:val="JuList"/>
      </w:pPr>
      <w:r w:rsidRPr="007F767A">
        <w:t>5</w:t>
      </w:r>
      <w:r w:rsidRPr="007F767A" w:rsidR="00014566">
        <w:t>.  </w:t>
      </w:r>
      <w:r w:rsidRPr="007F767A" w:rsidR="00014566">
        <w:rPr>
          <w:i/>
        </w:rPr>
        <w:t>Holds</w:t>
      </w:r>
    </w:p>
    <w:p w:rsidRPr="007F767A" w:rsidR="00014566" w:rsidP="007F767A" w:rsidRDefault="00014566">
      <w:pPr>
        <w:pStyle w:val="JuLista"/>
      </w:pPr>
      <w:r w:rsidRPr="007F767A">
        <w:t>(a)  that the respondent State is to pay the applicant</w:t>
      </w:r>
      <w:r w:rsidRPr="007F767A" w:rsidR="00C83662">
        <w:t>s</w:t>
      </w:r>
      <w:r w:rsidRPr="007F767A">
        <w:t>, within three months</w:t>
      </w:r>
      <w:r w:rsidRPr="007F767A" w:rsidR="00A51BDE">
        <w:t xml:space="preserve"> </w:t>
      </w:r>
      <w:r w:rsidRPr="007F767A" w:rsidR="00C83662">
        <w:t>from the date on which the judgment becomes final in accordance with Article 44 § 2 of the Convention,</w:t>
      </w:r>
      <w:r w:rsidRPr="007F767A">
        <w:t xml:space="preserve"> the following amounts, to be converted into </w:t>
      </w:r>
      <w:r w:rsidRPr="007F767A">
        <w:rPr>
          <w:color w:val="000000"/>
        </w:rPr>
        <w:t>the currency of the respondent State</w:t>
      </w:r>
      <w:r w:rsidRPr="007F767A" w:rsidR="00080F0C">
        <w:rPr>
          <w:color w:val="000000"/>
        </w:rPr>
        <w:t xml:space="preserve"> </w:t>
      </w:r>
      <w:r w:rsidRPr="007F767A">
        <w:t>at the rate applicable at the date of settlement:</w:t>
      </w:r>
    </w:p>
    <w:p w:rsidRPr="007F767A" w:rsidR="00014566" w:rsidP="007F767A" w:rsidRDefault="00014566">
      <w:pPr>
        <w:pStyle w:val="JuListi"/>
      </w:pPr>
      <w:r w:rsidRPr="007F767A">
        <w:t xml:space="preserve">(i)  EUR </w:t>
      </w:r>
      <w:r w:rsidRPr="007F767A" w:rsidR="00080F0C">
        <w:t>65,000</w:t>
      </w:r>
      <w:r w:rsidRPr="007F767A">
        <w:t xml:space="preserve"> (</w:t>
      </w:r>
      <w:r w:rsidRPr="007F767A" w:rsidR="00080F0C">
        <w:t>sixty-five thousand euros</w:t>
      </w:r>
      <w:r w:rsidRPr="007F767A">
        <w:t xml:space="preserve">), plus any tax that may be chargeable, </w:t>
      </w:r>
      <w:r w:rsidRPr="007F767A" w:rsidR="00080F0C">
        <w:t xml:space="preserve">to each of the </w:t>
      </w:r>
      <w:r w:rsidRPr="007F767A" w:rsidR="00963F54">
        <w:t>seventeen</w:t>
      </w:r>
      <w:r w:rsidRPr="007F767A" w:rsidR="00080F0C">
        <w:t xml:space="preserve"> applicants </w:t>
      </w:r>
      <w:r w:rsidRPr="007F767A">
        <w:t xml:space="preserve">in </w:t>
      </w:r>
      <w:r w:rsidRPr="007F767A" w:rsidR="00080F0C">
        <w:t>respect of non-pecuniary damage;</w:t>
      </w:r>
    </w:p>
    <w:p w:rsidRPr="007F767A" w:rsidR="00014566" w:rsidP="007F767A" w:rsidRDefault="00014566">
      <w:pPr>
        <w:pStyle w:val="JuListi"/>
      </w:pPr>
      <w:r w:rsidRPr="007F767A">
        <w:t xml:space="preserve">(ii)  EUR </w:t>
      </w:r>
      <w:r w:rsidRPr="007F767A" w:rsidR="00080F0C">
        <w:t>13,677</w:t>
      </w:r>
      <w:r w:rsidRPr="007F767A">
        <w:t xml:space="preserve"> (</w:t>
      </w:r>
      <w:r w:rsidRPr="007F767A" w:rsidR="00080F0C">
        <w:t>thirteen thousand six hundred and seventy</w:t>
      </w:r>
      <w:r w:rsidRPr="007F767A" w:rsidR="00963F54">
        <w:t>-</w:t>
      </w:r>
      <w:r w:rsidRPr="007F767A" w:rsidR="00080F0C">
        <w:t>seven</w:t>
      </w:r>
      <w:r w:rsidRPr="007F767A">
        <w:t xml:space="preserve"> euros), </w:t>
      </w:r>
      <w:r w:rsidRPr="007F767A" w:rsidR="00080F0C">
        <w:t xml:space="preserve">to the applicants jointly, </w:t>
      </w:r>
      <w:r w:rsidRPr="007F767A">
        <w:t>plus any tax that may be chargeable to the</w:t>
      </w:r>
      <w:r w:rsidRPr="007F767A" w:rsidR="00080F0C">
        <w:t>m</w:t>
      </w:r>
      <w:r w:rsidRPr="007F767A">
        <w:t>, in respect of costs and expenses;</w:t>
      </w:r>
    </w:p>
    <w:p w:rsidRPr="007F767A" w:rsidR="00014566" w:rsidP="007F767A" w:rsidRDefault="00014566">
      <w:pPr>
        <w:pStyle w:val="JuLista"/>
      </w:pPr>
      <w:r w:rsidRPr="007F767A">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7F767A" w:rsidR="00014566" w:rsidP="007F767A" w:rsidRDefault="00014566">
      <w:pPr>
        <w:pStyle w:val="JuList"/>
      </w:pPr>
    </w:p>
    <w:p w:rsidRPr="007F767A" w:rsidR="00014566" w:rsidP="007F767A" w:rsidRDefault="00F56FE7">
      <w:pPr>
        <w:pStyle w:val="JuList"/>
      </w:pPr>
      <w:r w:rsidRPr="007F767A">
        <w:t>6</w:t>
      </w:r>
      <w:r w:rsidRPr="007F767A" w:rsidR="00014566">
        <w:t>.  </w:t>
      </w:r>
      <w:r w:rsidRPr="007F767A" w:rsidR="00014566">
        <w:rPr>
          <w:i/>
        </w:rPr>
        <w:t>Dismisses</w:t>
      </w:r>
      <w:r w:rsidRPr="007F767A" w:rsidR="00C83662">
        <w:t xml:space="preserve"> </w:t>
      </w:r>
      <w:r w:rsidRPr="007F767A" w:rsidR="00014566">
        <w:t>the remainder of the applicant</w:t>
      </w:r>
      <w:r w:rsidRPr="007F767A" w:rsidR="00C83662">
        <w:t>s</w:t>
      </w:r>
      <w:r w:rsidRPr="007F767A" w:rsidR="007F767A">
        <w:t>’</w:t>
      </w:r>
      <w:r w:rsidRPr="007F767A" w:rsidR="00014566">
        <w:t xml:space="preserve"> claim for just satisfaction.</w:t>
      </w:r>
    </w:p>
    <w:p w:rsidRPr="007F767A" w:rsidR="00014566" w:rsidP="007F767A" w:rsidRDefault="00014566">
      <w:pPr>
        <w:pStyle w:val="JuParaLast"/>
      </w:pPr>
      <w:r w:rsidRPr="007F767A">
        <w:t xml:space="preserve">Done in English, and notified in writing on </w:t>
      </w:r>
      <w:r w:rsidRPr="007F767A" w:rsidR="00E71AE5">
        <w:t xml:space="preserve">26 </w:t>
      </w:r>
      <w:r w:rsidRPr="007F767A" w:rsidR="00E71AE5">
        <w:rPr>
          <w:lang w:val="tr-TR"/>
        </w:rPr>
        <w:t>April 2016</w:t>
      </w:r>
      <w:r w:rsidRPr="007F767A">
        <w:t>, pursuant to Rule 77 §§ 2 and 3 of the Rules of Court.</w:t>
      </w:r>
    </w:p>
    <w:p w:rsidRPr="007F767A" w:rsidR="00014566" w:rsidP="007F767A" w:rsidRDefault="00014566">
      <w:pPr>
        <w:pStyle w:val="JuSigned"/>
      </w:pPr>
      <w:r w:rsidRPr="007F767A">
        <w:tab/>
      </w:r>
      <w:r w:rsidRPr="007F767A" w:rsidR="00E71AE5">
        <w:t>Abel Campos</w:t>
      </w:r>
      <w:r w:rsidRPr="007F767A">
        <w:tab/>
      </w:r>
      <w:r w:rsidRPr="007F767A" w:rsidR="00FD77A6">
        <w:t xml:space="preserve">Julia </w:t>
      </w:r>
      <w:r w:rsidRPr="007F767A" w:rsidR="00261FF2">
        <w:t>L</w:t>
      </w:r>
      <w:r w:rsidRPr="007F767A" w:rsidR="00FD77A6">
        <w:t>affranque</w:t>
      </w:r>
      <w:r w:rsidRPr="007F767A" w:rsidR="00E1557C">
        <w:rPr>
          <w:szCs w:val="24"/>
        </w:rPr>
        <w:br/>
      </w:r>
      <w:r w:rsidRPr="007F767A">
        <w:tab/>
      </w:r>
      <w:r w:rsidRPr="007F767A" w:rsidR="00C83662">
        <w:rPr>
          <w:iCs/>
        </w:rPr>
        <w:t>Registrar</w:t>
      </w:r>
      <w:r w:rsidRPr="007F767A">
        <w:tab/>
        <w:t>President</w:t>
      </w:r>
    </w:p>
    <w:p w:rsidRPr="007F767A" w:rsidR="00A51BDE" w:rsidP="007F767A" w:rsidRDefault="005C518E">
      <w:pPr>
        <w:pStyle w:val="ECHRPara"/>
        <w:keepNext/>
        <w:keepLines/>
        <w:jc w:val="center"/>
        <w:rPr>
          <w:b/>
        </w:rPr>
      </w:pPr>
      <w:r w:rsidRPr="007F767A">
        <w:rPr>
          <w:b/>
        </w:rPr>
        <w:t>Appendix</w:t>
      </w:r>
    </w:p>
    <w:p w:rsidRPr="007F767A" w:rsidR="005C518E" w:rsidP="007F767A" w:rsidRDefault="005C518E">
      <w:pPr>
        <w:pStyle w:val="ECHRPara"/>
        <w:keepNext/>
        <w:keepLines/>
        <w:jc w:val="center"/>
        <w:rPr>
          <w:b/>
        </w:rPr>
      </w:pPr>
    </w:p>
    <w:p w:rsidRPr="007F767A" w:rsidR="00A51BDE" w:rsidP="007F767A" w:rsidRDefault="005C518E">
      <w:pPr>
        <w:pStyle w:val="ECHRPara"/>
        <w:keepNext/>
        <w:keepLines/>
        <w:jc w:val="center"/>
        <w:rPr>
          <w:b/>
        </w:rPr>
      </w:pPr>
      <w:r w:rsidRPr="007F767A">
        <w:rPr>
          <w:b/>
        </w:rPr>
        <w:t>List of applicants</w:t>
      </w:r>
    </w:p>
    <w:p w:rsidRPr="007F767A" w:rsidR="005C518E" w:rsidP="007F767A" w:rsidRDefault="005C518E">
      <w:pPr>
        <w:pStyle w:val="ECHRPara"/>
        <w:keepNext/>
        <w:keepLines/>
      </w:pPr>
    </w:p>
    <w:p w:rsidRPr="007F767A" w:rsidR="005C518E" w:rsidP="007F767A" w:rsidRDefault="005C518E">
      <w:pPr>
        <w:pStyle w:val="ECHRPara"/>
        <w:keepNext/>
        <w:keepLines/>
      </w:pPr>
      <w:r w:rsidRPr="007F767A">
        <w:t>1.</w:t>
      </w:r>
      <w:r w:rsidRPr="007F767A" w:rsidR="00880D7D">
        <w:t>  </w:t>
      </w:r>
      <w:r w:rsidRPr="007F767A">
        <w:t>Mustafa Cangöz, born in 1924, liv</w:t>
      </w:r>
      <w:r w:rsidRPr="007F767A" w:rsidR="00097787">
        <w:t>es</w:t>
      </w:r>
      <w:r w:rsidRPr="007F767A">
        <w:t xml:space="preserve"> in Tunceli.</w:t>
      </w:r>
    </w:p>
    <w:p w:rsidRPr="007F767A" w:rsidR="005C518E" w:rsidP="007F767A" w:rsidRDefault="00880D7D">
      <w:pPr>
        <w:pStyle w:val="ECHRPara"/>
      </w:pPr>
      <w:r w:rsidRPr="007F767A">
        <w:t>2.  </w:t>
      </w:r>
      <w:r w:rsidRPr="007F767A" w:rsidR="005C518E">
        <w:t>Fatma Hanbayat, born in 1931, liv</w:t>
      </w:r>
      <w:r w:rsidRPr="007F767A" w:rsidR="00097787">
        <w:t>es</w:t>
      </w:r>
      <w:r w:rsidRPr="007F767A" w:rsidR="005C518E">
        <w:t xml:space="preserve"> in Bursa.</w:t>
      </w:r>
    </w:p>
    <w:p w:rsidRPr="007F767A" w:rsidR="005C518E" w:rsidP="007F767A" w:rsidRDefault="00880D7D">
      <w:pPr>
        <w:pStyle w:val="ECHRPara"/>
      </w:pPr>
      <w:r w:rsidRPr="007F767A">
        <w:t>3.  </w:t>
      </w:r>
      <w:r w:rsidRPr="007F767A" w:rsidR="005C518E">
        <w:t>Bahriye Ünsal, born in 1947, liv</w:t>
      </w:r>
      <w:r w:rsidRPr="007F767A" w:rsidR="00097787">
        <w:t>es</w:t>
      </w:r>
      <w:r w:rsidRPr="007F767A" w:rsidR="005C518E">
        <w:t xml:space="preserve"> in Ankara.</w:t>
      </w:r>
    </w:p>
    <w:p w:rsidRPr="007F767A" w:rsidR="005C518E" w:rsidP="007F767A" w:rsidRDefault="00880D7D">
      <w:pPr>
        <w:pStyle w:val="ECHRPara"/>
      </w:pPr>
      <w:r w:rsidRPr="007F767A">
        <w:t>4.  </w:t>
      </w:r>
      <w:r w:rsidRPr="007F767A" w:rsidR="005C518E">
        <w:t>Tevfik Fikret Saygılı, born in 1934, liv</w:t>
      </w:r>
      <w:r w:rsidRPr="007F767A" w:rsidR="00097787">
        <w:t>es</w:t>
      </w:r>
      <w:r w:rsidRPr="007F767A" w:rsidR="005C518E">
        <w:t xml:space="preserve"> in Ankara.</w:t>
      </w:r>
    </w:p>
    <w:p w:rsidRPr="007F767A" w:rsidR="005C518E" w:rsidP="007F767A" w:rsidRDefault="00880D7D">
      <w:pPr>
        <w:pStyle w:val="ECHRPara"/>
      </w:pPr>
      <w:r w:rsidRPr="007F767A">
        <w:t>5.  </w:t>
      </w:r>
      <w:r w:rsidRPr="007F767A" w:rsidR="005C518E">
        <w:t>Hıdır Sabur, born in 1957, liv</w:t>
      </w:r>
      <w:r w:rsidRPr="007F767A" w:rsidR="00097787">
        <w:t>es</w:t>
      </w:r>
      <w:r w:rsidRPr="007F767A" w:rsidR="005C518E">
        <w:t xml:space="preserve"> in Istanbul.</w:t>
      </w:r>
    </w:p>
    <w:p w:rsidRPr="007F767A" w:rsidR="005C518E" w:rsidP="007F767A" w:rsidRDefault="00880D7D">
      <w:pPr>
        <w:pStyle w:val="ECHRPara"/>
      </w:pPr>
      <w:r w:rsidRPr="007F767A">
        <w:t>6.  </w:t>
      </w:r>
      <w:r w:rsidRPr="007F767A" w:rsidR="005C518E">
        <w:t>Nari Ataş, born in 1928, liv</w:t>
      </w:r>
      <w:r w:rsidRPr="007F767A" w:rsidR="00097787">
        <w:t>es</w:t>
      </w:r>
      <w:r w:rsidRPr="007F767A" w:rsidR="005C518E">
        <w:t xml:space="preserve"> in Tunceli.</w:t>
      </w:r>
    </w:p>
    <w:p w:rsidRPr="007F767A" w:rsidR="005C518E" w:rsidP="007F767A" w:rsidRDefault="00880D7D">
      <w:pPr>
        <w:pStyle w:val="ECHRPara"/>
      </w:pPr>
      <w:r w:rsidRPr="007F767A">
        <w:t>7.  </w:t>
      </w:r>
      <w:r w:rsidRPr="007F767A" w:rsidR="005C518E">
        <w:t>Zekiye Çakmak, born in 1939, liv</w:t>
      </w:r>
      <w:r w:rsidRPr="007F767A" w:rsidR="00097787">
        <w:t>es</w:t>
      </w:r>
      <w:r w:rsidRPr="007F767A" w:rsidR="005C518E">
        <w:t xml:space="preserve"> in Istanbul.</w:t>
      </w:r>
    </w:p>
    <w:p w:rsidRPr="007F767A" w:rsidR="005C518E" w:rsidP="007F767A" w:rsidRDefault="00880D7D">
      <w:pPr>
        <w:pStyle w:val="ECHRPara"/>
      </w:pPr>
      <w:r w:rsidRPr="007F767A">
        <w:t>8.  </w:t>
      </w:r>
      <w:r w:rsidRPr="007F767A" w:rsidR="005C518E">
        <w:t>Hatice Karaoğlu, born in 1937, liv</w:t>
      </w:r>
      <w:r w:rsidRPr="007F767A" w:rsidR="00097787">
        <w:t>es</w:t>
      </w:r>
      <w:r w:rsidRPr="007F767A" w:rsidR="005C518E">
        <w:t xml:space="preserve"> in Gaziantep.</w:t>
      </w:r>
    </w:p>
    <w:p w:rsidRPr="007F767A" w:rsidR="005C518E" w:rsidP="007F767A" w:rsidRDefault="00880D7D">
      <w:pPr>
        <w:pStyle w:val="ECHRPara"/>
      </w:pPr>
      <w:r w:rsidRPr="007F767A">
        <w:t>9.  </w:t>
      </w:r>
      <w:r w:rsidRPr="007F767A" w:rsidR="005C518E">
        <w:rPr>
          <w:rFonts w:cstheme="minorHAnsi"/>
        </w:rPr>
        <w:t>İ</w:t>
      </w:r>
      <w:r w:rsidRPr="007F767A" w:rsidR="005C518E">
        <w:t>miş Yıldız, born in 1950, liv</w:t>
      </w:r>
      <w:r w:rsidRPr="007F767A" w:rsidR="00097787">
        <w:t>es</w:t>
      </w:r>
      <w:r w:rsidRPr="007F767A" w:rsidR="005C518E">
        <w:t xml:space="preserve"> in Tunceli.</w:t>
      </w:r>
    </w:p>
    <w:p w:rsidRPr="007F767A" w:rsidR="005C518E" w:rsidP="007F767A" w:rsidRDefault="005C518E">
      <w:pPr>
        <w:pStyle w:val="ECHRPara"/>
      </w:pPr>
      <w:r w:rsidRPr="007F767A">
        <w:t>10.</w:t>
      </w:r>
      <w:r w:rsidRPr="007F767A" w:rsidR="00880D7D">
        <w:t>  </w:t>
      </w:r>
      <w:r w:rsidRPr="007F767A">
        <w:rPr>
          <w:rFonts w:cstheme="minorHAnsi"/>
        </w:rPr>
        <w:t>İ</w:t>
      </w:r>
      <w:r w:rsidRPr="007F767A">
        <w:t>brahim Turgut, born in 1953, liv</w:t>
      </w:r>
      <w:r w:rsidRPr="007F767A" w:rsidR="00097787">
        <w:t>es</w:t>
      </w:r>
      <w:r w:rsidRPr="007F767A">
        <w:t xml:space="preserve"> in Istanbul.</w:t>
      </w:r>
    </w:p>
    <w:p w:rsidRPr="007F767A" w:rsidR="005C518E" w:rsidP="007F767A" w:rsidRDefault="00880D7D">
      <w:pPr>
        <w:pStyle w:val="ECHRPara"/>
      </w:pPr>
      <w:r w:rsidRPr="007F767A">
        <w:t>11.  </w:t>
      </w:r>
      <w:r w:rsidRPr="007F767A" w:rsidR="005C518E">
        <w:t>Elif Güler, born in 1974, liv</w:t>
      </w:r>
      <w:r w:rsidRPr="007F767A" w:rsidR="00097787">
        <w:t>es</w:t>
      </w:r>
      <w:r w:rsidRPr="007F767A" w:rsidR="005C518E">
        <w:t xml:space="preserve"> in </w:t>
      </w:r>
      <w:r w:rsidRPr="007F767A" w:rsidR="005C518E">
        <w:rPr>
          <w:rFonts w:cstheme="minorHAnsi"/>
        </w:rPr>
        <w:t>İ</w:t>
      </w:r>
      <w:r w:rsidRPr="007F767A" w:rsidR="005C518E">
        <w:t>zmir.</w:t>
      </w:r>
    </w:p>
    <w:p w:rsidRPr="007F767A" w:rsidR="005C518E" w:rsidP="007F767A" w:rsidRDefault="00880D7D">
      <w:pPr>
        <w:pStyle w:val="ECHRPara"/>
      </w:pPr>
      <w:r w:rsidRPr="007F767A">
        <w:t>12.  </w:t>
      </w:r>
      <w:r w:rsidRPr="007F767A" w:rsidR="005C518E">
        <w:t>Mehmet Akdeniz, born in 1944, liv</w:t>
      </w:r>
      <w:r w:rsidRPr="007F767A" w:rsidR="00097787">
        <w:t>es</w:t>
      </w:r>
      <w:r w:rsidRPr="007F767A" w:rsidR="005C518E">
        <w:t xml:space="preserve"> in Muş.</w:t>
      </w:r>
    </w:p>
    <w:p w:rsidRPr="007F767A" w:rsidR="005C518E" w:rsidP="007F767A" w:rsidRDefault="00880D7D">
      <w:pPr>
        <w:pStyle w:val="ECHRPara"/>
      </w:pPr>
      <w:r w:rsidRPr="007F767A">
        <w:t>13.  </w:t>
      </w:r>
      <w:r w:rsidRPr="007F767A" w:rsidR="005C518E">
        <w:t>Gülsüm Perktaş, born in 1950, liv</w:t>
      </w:r>
      <w:r w:rsidRPr="007F767A" w:rsidR="00097787">
        <w:t>es</w:t>
      </w:r>
      <w:r w:rsidRPr="007F767A" w:rsidR="005C518E">
        <w:t xml:space="preserve"> in Istanbul.</w:t>
      </w:r>
    </w:p>
    <w:p w:rsidRPr="007F767A" w:rsidR="005C518E" w:rsidP="007F767A" w:rsidRDefault="00880D7D">
      <w:pPr>
        <w:pStyle w:val="ECHRPara"/>
      </w:pPr>
      <w:r w:rsidRPr="007F767A">
        <w:t>14.  </w:t>
      </w:r>
      <w:r w:rsidRPr="007F767A" w:rsidR="005C518E">
        <w:t>Şükran Can, born in 1964, liv</w:t>
      </w:r>
      <w:r w:rsidRPr="007F767A" w:rsidR="00097787">
        <w:t>es</w:t>
      </w:r>
      <w:r w:rsidRPr="007F767A" w:rsidR="005C518E">
        <w:t xml:space="preserve"> in Istanbul.</w:t>
      </w:r>
    </w:p>
    <w:p w:rsidRPr="007F767A" w:rsidR="005C518E" w:rsidP="007F767A" w:rsidRDefault="00880D7D">
      <w:pPr>
        <w:pStyle w:val="ECHRPara"/>
      </w:pPr>
      <w:r w:rsidRPr="007F767A">
        <w:t>15.  </w:t>
      </w:r>
      <w:r w:rsidRPr="007F767A" w:rsidR="005C518E">
        <w:t>Teslim Yıldız, born in 1957, liv</w:t>
      </w:r>
      <w:r w:rsidRPr="007F767A" w:rsidR="00097787">
        <w:t>es</w:t>
      </w:r>
      <w:r w:rsidRPr="007F767A" w:rsidR="005C518E">
        <w:t xml:space="preserve"> in Manisa.</w:t>
      </w:r>
    </w:p>
    <w:p w:rsidRPr="007F767A" w:rsidR="005C518E" w:rsidP="007F767A" w:rsidRDefault="00880D7D">
      <w:pPr>
        <w:pStyle w:val="ECHRPara"/>
      </w:pPr>
      <w:r w:rsidRPr="007F767A">
        <w:t>16.  </w:t>
      </w:r>
      <w:r w:rsidRPr="007F767A" w:rsidR="005C518E">
        <w:t>Erdal Kantar, born in 1963, liv</w:t>
      </w:r>
      <w:r w:rsidRPr="007F767A" w:rsidR="00097787">
        <w:t xml:space="preserve">es </w:t>
      </w:r>
      <w:r w:rsidRPr="007F767A" w:rsidR="005C518E">
        <w:t>in Istanbul.</w:t>
      </w:r>
    </w:p>
    <w:p w:rsidRPr="007F767A" w:rsidR="005C518E" w:rsidP="007F767A" w:rsidRDefault="00880D7D">
      <w:pPr>
        <w:pStyle w:val="ECHRPara"/>
      </w:pPr>
      <w:r w:rsidRPr="007F767A">
        <w:t>17.  </w:t>
      </w:r>
      <w:r w:rsidRPr="007F767A" w:rsidR="005C518E">
        <w:t>Dilek Çakıcı, born in 1964, liv</w:t>
      </w:r>
      <w:r w:rsidRPr="007F767A" w:rsidR="00097787">
        <w:t>es</w:t>
      </w:r>
      <w:r w:rsidRPr="007F767A" w:rsidR="005C518E">
        <w:t xml:space="preserve"> in the Netherlands.</w:t>
      </w:r>
    </w:p>
    <w:p w:rsidRPr="007F767A" w:rsidR="004D15F3" w:rsidP="007F767A" w:rsidRDefault="004D15F3"/>
    <w:sectPr w:rsidRPr="007F767A" w:rsidR="004D15F3" w:rsidSect="003B25A2">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FF6" w:rsidRDefault="00517FF6" w:rsidP="00014566">
      <w:r>
        <w:separator/>
      </w:r>
    </w:p>
  </w:endnote>
  <w:endnote w:type="continuationSeparator" w:id="0">
    <w:p w:rsidR="00517FF6" w:rsidRDefault="00517FF6"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F6" w:rsidRPr="00150BFA" w:rsidRDefault="00517FF6" w:rsidP="003B25A2">
    <w:pPr>
      <w:jc w:val="center"/>
    </w:pPr>
    <w:r>
      <w:rPr>
        <w:noProof/>
        <w:lang w:eastAsia="ja-JP"/>
      </w:rPr>
      <w:drawing>
        <wp:inline distT="0" distB="0" distL="0" distR="0" wp14:anchorId="0670F78D" wp14:editId="36D58BF4">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517FF6" w:rsidRDefault="00517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FF6" w:rsidRDefault="00517FF6" w:rsidP="00014566">
      <w:r>
        <w:separator/>
      </w:r>
    </w:p>
  </w:footnote>
  <w:footnote w:type="continuationSeparator" w:id="0">
    <w:p w:rsidR="00517FF6" w:rsidRDefault="00517FF6"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F6" w:rsidRPr="003B25A2" w:rsidRDefault="00517FF6" w:rsidP="003B25A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F6" w:rsidRPr="00A45145" w:rsidRDefault="00517FF6" w:rsidP="003B25A2">
    <w:pPr>
      <w:jc w:val="center"/>
    </w:pPr>
    <w:r>
      <w:rPr>
        <w:noProof/>
        <w:lang w:eastAsia="ja-JP"/>
      </w:rPr>
      <w:drawing>
        <wp:inline distT="0" distB="0" distL="0" distR="0" wp14:anchorId="7B048265" wp14:editId="770B455D">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17FF6" w:rsidRDefault="00517F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F6" w:rsidRPr="00FF2306" w:rsidRDefault="00517FF6" w:rsidP="00EE1DA9">
    <w:pPr>
      <w:pStyle w:val="ECHRHeader"/>
    </w:pPr>
    <w:r>
      <w:rPr>
        <w:rStyle w:val="PageNumber"/>
        <w:szCs w:val="18"/>
      </w:rPr>
      <w:fldChar w:fldCharType="begin"/>
    </w:r>
    <w:r>
      <w:rPr>
        <w:rStyle w:val="PageNumber"/>
        <w:szCs w:val="18"/>
      </w:rPr>
      <w:instrText xml:space="preserve"> PAGE </w:instrText>
    </w:r>
    <w:r>
      <w:rPr>
        <w:rStyle w:val="PageNumber"/>
        <w:szCs w:val="18"/>
      </w:rPr>
      <w:fldChar w:fldCharType="separate"/>
    </w:r>
    <w:r w:rsidR="007F767A">
      <w:rPr>
        <w:rStyle w:val="PageNumber"/>
        <w:noProof/>
        <w:szCs w:val="18"/>
      </w:rPr>
      <w:t>40</w:t>
    </w:r>
    <w:r>
      <w:rPr>
        <w:rStyle w:val="PageNumber"/>
        <w:szCs w:val="18"/>
      </w:rPr>
      <w:fldChar w:fldCharType="end"/>
    </w:r>
    <w:r w:rsidRPr="00FF2306">
      <w:tab/>
    </w:r>
    <w:r>
      <w:t>CANGÖZ AND OTHERS v. TURKEY</w:t>
    </w:r>
    <w:r w:rsidRPr="00FF2306">
      <w:t xml:space="preserve"> </w:t>
    </w:r>
    <w: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F6" w:rsidRPr="00D60D87" w:rsidRDefault="00517FF6" w:rsidP="00D60D87">
    <w:pPr>
      <w:pStyle w:val="ECHRHeader"/>
    </w:pPr>
    <w:r w:rsidRPr="00D60D87">
      <w:tab/>
    </w:r>
    <w:r>
      <w:t>CANGÖZ AND OTHERS v. TURKEY</w:t>
    </w:r>
    <w:r w:rsidRPr="00D60D87">
      <w:t xml:space="preserve"> </w:t>
    </w:r>
    <w:r>
      <w:t>JUDGMENT</w:t>
    </w:r>
    <w:r w:rsidRPr="00D60D87">
      <w:tab/>
    </w:r>
    <w:r>
      <w:rPr>
        <w:rStyle w:val="PageNumber"/>
        <w:szCs w:val="18"/>
      </w:rPr>
      <w:fldChar w:fldCharType="begin"/>
    </w:r>
    <w:r>
      <w:rPr>
        <w:rStyle w:val="PageNumber"/>
        <w:szCs w:val="18"/>
      </w:rPr>
      <w:instrText xml:space="preserve"> PAGE </w:instrText>
    </w:r>
    <w:r>
      <w:rPr>
        <w:rStyle w:val="PageNumber"/>
        <w:szCs w:val="18"/>
      </w:rPr>
      <w:fldChar w:fldCharType="separate"/>
    </w:r>
    <w:r w:rsidR="007F767A">
      <w:rPr>
        <w:rStyle w:val="PageNumber"/>
        <w:noProof/>
        <w:szCs w:val="18"/>
      </w:rPr>
      <w:t>41</w:t>
    </w:r>
    <w:r>
      <w:rPr>
        <w:rStyle w:val="PageNumber"/>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C83662"/>
    <w:rsid w:val="0000095C"/>
    <w:rsid w:val="000017CD"/>
    <w:rsid w:val="0000218C"/>
    <w:rsid w:val="000041F8"/>
    <w:rsid w:val="000042A8"/>
    <w:rsid w:val="00004308"/>
    <w:rsid w:val="00004C3E"/>
    <w:rsid w:val="00005A76"/>
    <w:rsid w:val="00005BF0"/>
    <w:rsid w:val="00006AE2"/>
    <w:rsid w:val="00007154"/>
    <w:rsid w:val="000103AE"/>
    <w:rsid w:val="000117A4"/>
    <w:rsid w:val="00011D69"/>
    <w:rsid w:val="00012AD3"/>
    <w:rsid w:val="00014566"/>
    <w:rsid w:val="00015C2D"/>
    <w:rsid w:val="00015F00"/>
    <w:rsid w:val="00017ADA"/>
    <w:rsid w:val="00022C1D"/>
    <w:rsid w:val="00022F81"/>
    <w:rsid w:val="00023874"/>
    <w:rsid w:val="000254DB"/>
    <w:rsid w:val="000316DC"/>
    <w:rsid w:val="00031EFC"/>
    <w:rsid w:val="00031FB6"/>
    <w:rsid w:val="00034987"/>
    <w:rsid w:val="00042829"/>
    <w:rsid w:val="00045252"/>
    <w:rsid w:val="00045E72"/>
    <w:rsid w:val="000460A2"/>
    <w:rsid w:val="00046BEA"/>
    <w:rsid w:val="0005208D"/>
    <w:rsid w:val="00052A8A"/>
    <w:rsid w:val="000530C7"/>
    <w:rsid w:val="00056BC8"/>
    <w:rsid w:val="00057B20"/>
    <w:rsid w:val="000602DF"/>
    <w:rsid w:val="000615B8"/>
    <w:rsid w:val="000619B7"/>
    <w:rsid w:val="00061B05"/>
    <w:rsid w:val="00062362"/>
    <w:rsid w:val="000626A5"/>
    <w:rsid w:val="00062973"/>
    <w:rsid w:val="00062AC9"/>
    <w:rsid w:val="00062D5D"/>
    <w:rsid w:val="000632D5"/>
    <w:rsid w:val="000644EE"/>
    <w:rsid w:val="00074DB5"/>
    <w:rsid w:val="0007526A"/>
    <w:rsid w:val="00076506"/>
    <w:rsid w:val="00077D6F"/>
    <w:rsid w:val="0008026A"/>
    <w:rsid w:val="000808C5"/>
    <w:rsid w:val="00080F0C"/>
    <w:rsid w:val="00081F7D"/>
    <w:rsid w:val="000868F9"/>
    <w:rsid w:val="000925AD"/>
    <w:rsid w:val="0009693F"/>
    <w:rsid w:val="00096C99"/>
    <w:rsid w:val="00097787"/>
    <w:rsid w:val="000A24EB"/>
    <w:rsid w:val="000A413F"/>
    <w:rsid w:val="000A5300"/>
    <w:rsid w:val="000A581B"/>
    <w:rsid w:val="000B3D6B"/>
    <w:rsid w:val="000B530B"/>
    <w:rsid w:val="000B6923"/>
    <w:rsid w:val="000B73A4"/>
    <w:rsid w:val="000C033C"/>
    <w:rsid w:val="000C1ABB"/>
    <w:rsid w:val="000C5F3C"/>
    <w:rsid w:val="000C6DCC"/>
    <w:rsid w:val="000C788C"/>
    <w:rsid w:val="000D08FB"/>
    <w:rsid w:val="000D0C90"/>
    <w:rsid w:val="000D2CF7"/>
    <w:rsid w:val="000D31D2"/>
    <w:rsid w:val="000D47AA"/>
    <w:rsid w:val="000D4E18"/>
    <w:rsid w:val="000D721F"/>
    <w:rsid w:val="000D79AE"/>
    <w:rsid w:val="000E069B"/>
    <w:rsid w:val="000E0E82"/>
    <w:rsid w:val="000E1AEA"/>
    <w:rsid w:val="000E1DC5"/>
    <w:rsid w:val="000E223F"/>
    <w:rsid w:val="000E3390"/>
    <w:rsid w:val="000E4394"/>
    <w:rsid w:val="000E45CB"/>
    <w:rsid w:val="000E4E3C"/>
    <w:rsid w:val="000E68E5"/>
    <w:rsid w:val="000E7C27"/>
    <w:rsid w:val="000E7D45"/>
    <w:rsid w:val="000F079C"/>
    <w:rsid w:val="000F183E"/>
    <w:rsid w:val="000F29D8"/>
    <w:rsid w:val="000F38F2"/>
    <w:rsid w:val="000F6D51"/>
    <w:rsid w:val="000F7851"/>
    <w:rsid w:val="00103A9A"/>
    <w:rsid w:val="00104E23"/>
    <w:rsid w:val="00105DDA"/>
    <w:rsid w:val="00106BA3"/>
    <w:rsid w:val="00107C29"/>
    <w:rsid w:val="001119B1"/>
    <w:rsid w:val="00111B0C"/>
    <w:rsid w:val="00113FDA"/>
    <w:rsid w:val="001142A1"/>
    <w:rsid w:val="0011489C"/>
    <w:rsid w:val="00114988"/>
    <w:rsid w:val="0011560C"/>
    <w:rsid w:val="001162C6"/>
    <w:rsid w:val="00120D6C"/>
    <w:rsid w:val="00121327"/>
    <w:rsid w:val="00121597"/>
    <w:rsid w:val="00121F99"/>
    <w:rsid w:val="001228B9"/>
    <w:rsid w:val="00123F17"/>
    <w:rsid w:val="0012415F"/>
    <w:rsid w:val="001257EC"/>
    <w:rsid w:val="001263E0"/>
    <w:rsid w:val="00127866"/>
    <w:rsid w:val="00130CD4"/>
    <w:rsid w:val="001310FE"/>
    <w:rsid w:val="00132C6A"/>
    <w:rsid w:val="00133D33"/>
    <w:rsid w:val="00134D64"/>
    <w:rsid w:val="00134F84"/>
    <w:rsid w:val="00135A30"/>
    <w:rsid w:val="0013612C"/>
    <w:rsid w:val="00137FF6"/>
    <w:rsid w:val="00141650"/>
    <w:rsid w:val="001431BE"/>
    <w:rsid w:val="00143A55"/>
    <w:rsid w:val="00147F34"/>
    <w:rsid w:val="001561A1"/>
    <w:rsid w:val="00162A12"/>
    <w:rsid w:val="00162C30"/>
    <w:rsid w:val="00164CAC"/>
    <w:rsid w:val="00166530"/>
    <w:rsid w:val="00171022"/>
    <w:rsid w:val="001724E8"/>
    <w:rsid w:val="00175164"/>
    <w:rsid w:val="0017755D"/>
    <w:rsid w:val="001832BD"/>
    <w:rsid w:val="00187052"/>
    <w:rsid w:val="00193E47"/>
    <w:rsid w:val="001943B5"/>
    <w:rsid w:val="00195134"/>
    <w:rsid w:val="001957A7"/>
    <w:rsid w:val="0019679F"/>
    <w:rsid w:val="00196A30"/>
    <w:rsid w:val="001A145B"/>
    <w:rsid w:val="001A2A5C"/>
    <w:rsid w:val="001A4347"/>
    <w:rsid w:val="001A4F49"/>
    <w:rsid w:val="001A5982"/>
    <w:rsid w:val="001A5BCE"/>
    <w:rsid w:val="001A611A"/>
    <w:rsid w:val="001A674C"/>
    <w:rsid w:val="001A72B0"/>
    <w:rsid w:val="001B0842"/>
    <w:rsid w:val="001B0B71"/>
    <w:rsid w:val="001B0C4A"/>
    <w:rsid w:val="001B2E36"/>
    <w:rsid w:val="001B3B24"/>
    <w:rsid w:val="001B48D1"/>
    <w:rsid w:val="001B562C"/>
    <w:rsid w:val="001B7D37"/>
    <w:rsid w:val="001C0F98"/>
    <w:rsid w:val="001C23AC"/>
    <w:rsid w:val="001C29A2"/>
    <w:rsid w:val="001C2A42"/>
    <w:rsid w:val="001C5314"/>
    <w:rsid w:val="001C61D9"/>
    <w:rsid w:val="001D0E10"/>
    <w:rsid w:val="001D49B6"/>
    <w:rsid w:val="001D63ED"/>
    <w:rsid w:val="001D7348"/>
    <w:rsid w:val="001E035B"/>
    <w:rsid w:val="001E0804"/>
    <w:rsid w:val="001E0961"/>
    <w:rsid w:val="001E1579"/>
    <w:rsid w:val="001E214F"/>
    <w:rsid w:val="001E2516"/>
    <w:rsid w:val="001E2D1E"/>
    <w:rsid w:val="001E3EAE"/>
    <w:rsid w:val="001E652F"/>
    <w:rsid w:val="001E6F32"/>
    <w:rsid w:val="001E7827"/>
    <w:rsid w:val="001F0802"/>
    <w:rsid w:val="001F0A80"/>
    <w:rsid w:val="001F14F6"/>
    <w:rsid w:val="001F2145"/>
    <w:rsid w:val="001F565C"/>
    <w:rsid w:val="001F6262"/>
    <w:rsid w:val="001F67B0"/>
    <w:rsid w:val="001F6FFA"/>
    <w:rsid w:val="001F776B"/>
    <w:rsid w:val="001F7A61"/>
    <w:rsid w:val="001F7B3D"/>
    <w:rsid w:val="002035BF"/>
    <w:rsid w:val="00205F95"/>
    <w:rsid w:val="00205F9F"/>
    <w:rsid w:val="00207C58"/>
    <w:rsid w:val="00210338"/>
    <w:rsid w:val="002115FC"/>
    <w:rsid w:val="0021202A"/>
    <w:rsid w:val="002133F8"/>
    <w:rsid w:val="0021423C"/>
    <w:rsid w:val="002143C8"/>
    <w:rsid w:val="0021525B"/>
    <w:rsid w:val="00215A0B"/>
    <w:rsid w:val="0021618D"/>
    <w:rsid w:val="00222DD1"/>
    <w:rsid w:val="002247D9"/>
    <w:rsid w:val="00230D00"/>
    <w:rsid w:val="00231DF7"/>
    <w:rsid w:val="00231FD1"/>
    <w:rsid w:val="002339E0"/>
    <w:rsid w:val="00233CF8"/>
    <w:rsid w:val="0023575D"/>
    <w:rsid w:val="00235EE2"/>
    <w:rsid w:val="002364B5"/>
    <w:rsid w:val="0023684C"/>
    <w:rsid w:val="00237148"/>
    <w:rsid w:val="00237DA5"/>
    <w:rsid w:val="0024222D"/>
    <w:rsid w:val="00243858"/>
    <w:rsid w:val="00244B0E"/>
    <w:rsid w:val="00244F6C"/>
    <w:rsid w:val="00245208"/>
    <w:rsid w:val="0024618A"/>
    <w:rsid w:val="002479FE"/>
    <w:rsid w:val="00251AD2"/>
    <w:rsid w:val="00252E6A"/>
    <w:rsid w:val="002532C5"/>
    <w:rsid w:val="0025474D"/>
    <w:rsid w:val="0026023D"/>
    <w:rsid w:val="00260C03"/>
    <w:rsid w:val="00261FF2"/>
    <w:rsid w:val="00263252"/>
    <w:rsid w:val="0026540E"/>
    <w:rsid w:val="002654B7"/>
    <w:rsid w:val="002670FC"/>
    <w:rsid w:val="00270100"/>
    <w:rsid w:val="00272F17"/>
    <w:rsid w:val="00275123"/>
    <w:rsid w:val="002753CD"/>
    <w:rsid w:val="00275EB3"/>
    <w:rsid w:val="00275F37"/>
    <w:rsid w:val="00277CCE"/>
    <w:rsid w:val="00282240"/>
    <w:rsid w:val="0028522F"/>
    <w:rsid w:val="0028572A"/>
    <w:rsid w:val="00287E80"/>
    <w:rsid w:val="002910E7"/>
    <w:rsid w:val="00291816"/>
    <w:rsid w:val="00292A79"/>
    <w:rsid w:val="00293F91"/>
    <w:rsid w:val="002948AD"/>
    <w:rsid w:val="00294C92"/>
    <w:rsid w:val="002A01CC"/>
    <w:rsid w:val="002A2A9F"/>
    <w:rsid w:val="002A36D0"/>
    <w:rsid w:val="002A4427"/>
    <w:rsid w:val="002A462D"/>
    <w:rsid w:val="002A61B1"/>
    <w:rsid w:val="002A663C"/>
    <w:rsid w:val="002A7504"/>
    <w:rsid w:val="002A7966"/>
    <w:rsid w:val="002B0664"/>
    <w:rsid w:val="002B130E"/>
    <w:rsid w:val="002B444B"/>
    <w:rsid w:val="002B5887"/>
    <w:rsid w:val="002B75B4"/>
    <w:rsid w:val="002B7DEB"/>
    <w:rsid w:val="002C0692"/>
    <w:rsid w:val="002C0E27"/>
    <w:rsid w:val="002C3040"/>
    <w:rsid w:val="002C77AB"/>
    <w:rsid w:val="002C7EC9"/>
    <w:rsid w:val="002D022D"/>
    <w:rsid w:val="002D1395"/>
    <w:rsid w:val="002D21C5"/>
    <w:rsid w:val="002D24BB"/>
    <w:rsid w:val="002D3113"/>
    <w:rsid w:val="002D390C"/>
    <w:rsid w:val="002D3B47"/>
    <w:rsid w:val="002D4131"/>
    <w:rsid w:val="002E081F"/>
    <w:rsid w:val="002E0842"/>
    <w:rsid w:val="002E2128"/>
    <w:rsid w:val="002E6898"/>
    <w:rsid w:val="002E758B"/>
    <w:rsid w:val="002E7B1C"/>
    <w:rsid w:val="002F0511"/>
    <w:rsid w:val="002F22D5"/>
    <w:rsid w:val="002F2AF7"/>
    <w:rsid w:val="002F4A92"/>
    <w:rsid w:val="002F7E1C"/>
    <w:rsid w:val="00300651"/>
    <w:rsid w:val="00301A75"/>
    <w:rsid w:val="00302F70"/>
    <w:rsid w:val="0030336F"/>
    <w:rsid w:val="0030375E"/>
    <w:rsid w:val="00303B63"/>
    <w:rsid w:val="003041D1"/>
    <w:rsid w:val="003048CF"/>
    <w:rsid w:val="00305D8F"/>
    <w:rsid w:val="00312A30"/>
    <w:rsid w:val="00315341"/>
    <w:rsid w:val="0031600F"/>
    <w:rsid w:val="003179AF"/>
    <w:rsid w:val="00320F72"/>
    <w:rsid w:val="003223A6"/>
    <w:rsid w:val="0032463E"/>
    <w:rsid w:val="00324998"/>
    <w:rsid w:val="00325423"/>
    <w:rsid w:val="00326224"/>
    <w:rsid w:val="003262CF"/>
    <w:rsid w:val="0033147B"/>
    <w:rsid w:val="003331CF"/>
    <w:rsid w:val="0033745B"/>
    <w:rsid w:val="00337EE4"/>
    <w:rsid w:val="00340059"/>
    <w:rsid w:val="00340FFD"/>
    <w:rsid w:val="003419D0"/>
    <w:rsid w:val="00343C04"/>
    <w:rsid w:val="00345A2D"/>
    <w:rsid w:val="003461F9"/>
    <w:rsid w:val="00350309"/>
    <w:rsid w:val="003506B1"/>
    <w:rsid w:val="00350C64"/>
    <w:rsid w:val="003522C3"/>
    <w:rsid w:val="003529EB"/>
    <w:rsid w:val="00356381"/>
    <w:rsid w:val="003569A2"/>
    <w:rsid w:val="00356AC7"/>
    <w:rsid w:val="003609FA"/>
    <w:rsid w:val="0036141E"/>
    <w:rsid w:val="00362006"/>
    <w:rsid w:val="00363B89"/>
    <w:rsid w:val="00365F34"/>
    <w:rsid w:val="00367F7B"/>
    <w:rsid w:val="003710C8"/>
    <w:rsid w:val="003723D1"/>
    <w:rsid w:val="0037371F"/>
    <w:rsid w:val="003750BE"/>
    <w:rsid w:val="00377D02"/>
    <w:rsid w:val="00385D4C"/>
    <w:rsid w:val="0038783E"/>
    <w:rsid w:val="00387B9D"/>
    <w:rsid w:val="0039364F"/>
    <w:rsid w:val="00395493"/>
    <w:rsid w:val="003964A2"/>
    <w:rsid w:val="00396686"/>
    <w:rsid w:val="00396A43"/>
    <w:rsid w:val="0039778E"/>
    <w:rsid w:val="003A176D"/>
    <w:rsid w:val="003A4706"/>
    <w:rsid w:val="003A5DEF"/>
    <w:rsid w:val="003A6C55"/>
    <w:rsid w:val="003A7BF7"/>
    <w:rsid w:val="003B11D5"/>
    <w:rsid w:val="003B1E4E"/>
    <w:rsid w:val="003B25A2"/>
    <w:rsid w:val="003B4941"/>
    <w:rsid w:val="003C0027"/>
    <w:rsid w:val="003C1E6F"/>
    <w:rsid w:val="003C2499"/>
    <w:rsid w:val="003C4B6E"/>
    <w:rsid w:val="003C5714"/>
    <w:rsid w:val="003C6B9F"/>
    <w:rsid w:val="003C6E2A"/>
    <w:rsid w:val="003C7DC8"/>
    <w:rsid w:val="003D0299"/>
    <w:rsid w:val="003D4780"/>
    <w:rsid w:val="003D4F42"/>
    <w:rsid w:val="003D5C3E"/>
    <w:rsid w:val="003E2676"/>
    <w:rsid w:val="003E2CEF"/>
    <w:rsid w:val="003E5659"/>
    <w:rsid w:val="003E5B01"/>
    <w:rsid w:val="003E6D80"/>
    <w:rsid w:val="003F0474"/>
    <w:rsid w:val="003F05FA"/>
    <w:rsid w:val="003F244A"/>
    <w:rsid w:val="003F27B0"/>
    <w:rsid w:val="003F30B8"/>
    <w:rsid w:val="003F3F5B"/>
    <w:rsid w:val="003F4C45"/>
    <w:rsid w:val="003F5B6F"/>
    <w:rsid w:val="003F5F7B"/>
    <w:rsid w:val="003F7D64"/>
    <w:rsid w:val="0040090E"/>
    <w:rsid w:val="00401174"/>
    <w:rsid w:val="00403A44"/>
    <w:rsid w:val="00403EC9"/>
    <w:rsid w:val="004070DF"/>
    <w:rsid w:val="004072C1"/>
    <w:rsid w:val="00410211"/>
    <w:rsid w:val="00411F63"/>
    <w:rsid w:val="00414300"/>
    <w:rsid w:val="00414E66"/>
    <w:rsid w:val="00415D87"/>
    <w:rsid w:val="0042331A"/>
    <w:rsid w:val="004237E6"/>
    <w:rsid w:val="00425C67"/>
    <w:rsid w:val="00427E7A"/>
    <w:rsid w:val="004343E8"/>
    <w:rsid w:val="00434ABF"/>
    <w:rsid w:val="0043628C"/>
    <w:rsid w:val="00436307"/>
    <w:rsid w:val="00436C49"/>
    <w:rsid w:val="00436DC4"/>
    <w:rsid w:val="004371F2"/>
    <w:rsid w:val="00440EF1"/>
    <w:rsid w:val="00443894"/>
    <w:rsid w:val="00445366"/>
    <w:rsid w:val="004463D0"/>
    <w:rsid w:val="004471B6"/>
    <w:rsid w:val="00447F5B"/>
    <w:rsid w:val="0045082F"/>
    <w:rsid w:val="00454317"/>
    <w:rsid w:val="00454502"/>
    <w:rsid w:val="0045488F"/>
    <w:rsid w:val="004554F2"/>
    <w:rsid w:val="00460F8D"/>
    <w:rsid w:val="00461C3B"/>
    <w:rsid w:val="00461DB0"/>
    <w:rsid w:val="004634DB"/>
    <w:rsid w:val="00463926"/>
    <w:rsid w:val="00463A15"/>
    <w:rsid w:val="00463A3F"/>
    <w:rsid w:val="004646E0"/>
    <w:rsid w:val="00464C9A"/>
    <w:rsid w:val="00466C9C"/>
    <w:rsid w:val="004701E1"/>
    <w:rsid w:val="00471582"/>
    <w:rsid w:val="00471BC1"/>
    <w:rsid w:val="00472C3E"/>
    <w:rsid w:val="00473A7A"/>
    <w:rsid w:val="00474C1B"/>
    <w:rsid w:val="00474F3D"/>
    <w:rsid w:val="00475976"/>
    <w:rsid w:val="00477E3A"/>
    <w:rsid w:val="00483399"/>
    <w:rsid w:val="00483BFF"/>
    <w:rsid w:val="00483E5F"/>
    <w:rsid w:val="004840A9"/>
    <w:rsid w:val="004852A3"/>
    <w:rsid w:val="00485FF9"/>
    <w:rsid w:val="00490527"/>
    <w:rsid w:val="004907F0"/>
    <w:rsid w:val="004913AA"/>
    <w:rsid w:val="0049140B"/>
    <w:rsid w:val="004923A5"/>
    <w:rsid w:val="004933C9"/>
    <w:rsid w:val="00495616"/>
    <w:rsid w:val="004965CD"/>
    <w:rsid w:val="00496BFB"/>
    <w:rsid w:val="004A02B4"/>
    <w:rsid w:val="004A087D"/>
    <w:rsid w:val="004A1413"/>
    <w:rsid w:val="004A15C7"/>
    <w:rsid w:val="004A15E4"/>
    <w:rsid w:val="004A71F5"/>
    <w:rsid w:val="004A76FF"/>
    <w:rsid w:val="004B013B"/>
    <w:rsid w:val="004B0576"/>
    <w:rsid w:val="004B0FFE"/>
    <w:rsid w:val="004B112B"/>
    <w:rsid w:val="004B1E36"/>
    <w:rsid w:val="004B2CD0"/>
    <w:rsid w:val="004B4910"/>
    <w:rsid w:val="004B4CDE"/>
    <w:rsid w:val="004B68A5"/>
    <w:rsid w:val="004C01E4"/>
    <w:rsid w:val="004C086C"/>
    <w:rsid w:val="004C1F56"/>
    <w:rsid w:val="004C27BC"/>
    <w:rsid w:val="004C6E02"/>
    <w:rsid w:val="004D15F3"/>
    <w:rsid w:val="004D1A92"/>
    <w:rsid w:val="004D20BA"/>
    <w:rsid w:val="004D2E47"/>
    <w:rsid w:val="004D35D5"/>
    <w:rsid w:val="004D5130"/>
    <w:rsid w:val="004D5311"/>
    <w:rsid w:val="004D5DCC"/>
    <w:rsid w:val="004E1EE9"/>
    <w:rsid w:val="004E2AAC"/>
    <w:rsid w:val="004E35C9"/>
    <w:rsid w:val="004E3CC2"/>
    <w:rsid w:val="004E54A8"/>
    <w:rsid w:val="004E54F6"/>
    <w:rsid w:val="004E59D5"/>
    <w:rsid w:val="004E730A"/>
    <w:rsid w:val="004F10AF"/>
    <w:rsid w:val="004F11A4"/>
    <w:rsid w:val="004F2389"/>
    <w:rsid w:val="004F304D"/>
    <w:rsid w:val="004F37A1"/>
    <w:rsid w:val="004F3AE9"/>
    <w:rsid w:val="004F61BE"/>
    <w:rsid w:val="004F66B1"/>
    <w:rsid w:val="004F77FA"/>
    <w:rsid w:val="004F7E63"/>
    <w:rsid w:val="00500B8A"/>
    <w:rsid w:val="005052D3"/>
    <w:rsid w:val="005072CC"/>
    <w:rsid w:val="00511971"/>
    <w:rsid w:val="00511C07"/>
    <w:rsid w:val="0051255F"/>
    <w:rsid w:val="00512C9A"/>
    <w:rsid w:val="00515A78"/>
    <w:rsid w:val="00515FEB"/>
    <w:rsid w:val="005173A6"/>
    <w:rsid w:val="00517FF6"/>
    <w:rsid w:val="00520BAA"/>
    <w:rsid w:val="005230C5"/>
    <w:rsid w:val="00525208"/>
    <w:rsid w:val="005257A5"/>
    <w:rsid w:val="005264C0"/>
    <w:rsid w:val="00526A8A"/>
    <w:rsid w:val="00526B6D"/>
    <w:rsid w:val="00531DF2"/>
    <w:rsid w:val="00535D35"/>
    <w:rsid w:val="005421A7"/>
    <w:rsid w:val="005441AE"/>
    <w:rsid w:val="005442EE"/>
    <w:rsid w:val="00544EF7"/>
    <w:rsid w:val="005459B0"/>
    <w:rsid w:val="00547353"/>
    <w:rsid w:val="005474E7"/>
    <w:rsid w:val="00550C20"/>
    <w:rsid w:val="00551059"/>
    <w:rsid w:val="00551069"/>
    <w:rsid w:val="005512A3"/>
    <w:rsid w:val="00554C01"/>
    <w:rsid w:val="005557EA"/>
    <w:rsid w:val="00555AE4"/>
    <w:rsid w:val="005578CE"/>
    <w:rsid w:val="00557E11"/>
    <w:rsid w:val="00561626"/>
    <w:rsid w:val="00561B63"/>
    <w:rsid w:val="00562781"/>
    <w:rsid w:val="005634A2"/>
    <w:rsid w:val="00563E83"/>
    <w:rsid w:val="00564304"/>
    <w:rsid w:val="0057271C"/>
    <w:rsid w:val="00572845"/>
    <w:rsid w:val="00583B3F"/>
    <w:rsid w:val="00583DB1"/>
    <w:rsid w:val="00592772"/>
    <w:rsid w:val="00592AE1"/>
    <w:rsid w:val="00592C1E"/>
    <w:rsid w:val="0059389E"/>
    <w:rsid w:val="0059574A"/>
    <w:rsid w:val="005975D3"/>
    <w:rsid w:val="005A0C1E"/>
    <w:rsid w:val="005A1B9B"/>
    <w:rsid w:val="005A1D24"/>
    <w:rsid w:val="005A550D"/>
    <w:rsid w:val="005A6751"/>
    <w:rsid w:val="005A7022"/>
    <w:rsid w:val="005B092E"/>
    <w:rsid w:val="005B12FA"/>
    <w:rsid w:val="005B152C"/>
    <w:rsid w:val="005B1EE0"/>
    <w:rsid w:val="005B25DC"/>
    <w:rsid w:val="005B28EB"/>
    <w:rsid w:val="005B2B24"/>
    <w:rsid w:val="005B4425"/>
    <w:rsid w:val="005B4B94"/>
    <w:rsid w:val="005C2709"/>
    <w:rsid w:val="005C3EE8"/>
    <w:rsid w:val="005C4F3D"/>
    <w:rsid w:val="005C518E"/>
    <w:rsid w:val="005C7EBC"/>
    <w:rsid w:val="005D0BC3"/>
    <w:rsid w:val="005D0DFC"/>
    <w:rsid w:val="005D123B"/>
    <w:rsid w:val="005D3046"/>
    <w:rsid w:val="005D34F9"/>
    <w:rsid w:val="005D4190"/>
    <w:rsid w:val="005D4AC5"/>
    <w:rsid w:val="005D4EE8"/>
    <w:rsid w:val="005D67A3"/>
    <w:rsid w:val="005D777C"/>
    <w:rsid w:val="005D7BDA"/>
    <w:rsid w:val="005E033B"/>
    <w:rsid w:val="005E2988"/>
    <w:rsid w:val="005E2A43"/>
    <w:rsid w:val="005E3085"/>
    <w:rsid w:val="005E361E"/>
    <w:rsid w:val="005E3AEA"/>
    <w:rsid w:val="005E5192"/>
    <w:rsid w:val="005E571C"/>
    <w:rsid w:val="005E7193"/>
    <w:rsid w:val="005E71F8"/>
    <w:rsid w:val="005E76C6"/>
    <w:rsid w:val="005F0144"/>
    <w:rsid w:val="005F20E2"/>
    <w:rsid w:val="005F4D49"/>
    <w:rsid w:val="005F51E1"/>
    <w:rsid w:val="005F6E40"/>
    <w:rsid w:val="006002D9"/>
    <w:rsid w:val="0060153F"/>
    <w:rsid w:val="00602CB1"/>
    <w:rsid w:val="006038AB"/>
    <w:rsid w:val="00606EF3"/>
    <w:rsid w:val="00607289"/>
    <w:rsid w:val="00611C80"/>
    <w:rsid w:val="00614D22"/>
    <w:rsid w:val="00620692"/>
    <w:rsid w:val="006242CA"/>
    <w:rsid w:val="00625828"/>
    <w:rsid w:val="00627507"/>
    <w:rsid w:val="00630C9F"/>
    <w:rsid w:val="00633717"/>
    <w:rsid w:val="00634258"/>
    <w:rsid w:val="006344E1"/>
    <w:rsid w:val="00635153"/>
    <w:rsid w:val="006367D3"/>
    <w:rsid w:val="00636823"/>
    <w:rsid w:val="00637254"/>
    <w:rsid w:val="00637B39"/>
    <w:rsid w:val="0064121A"/>
    <w:rsid w:val="00644B35"/>
    <w:rsid w:val="006466ED"/>
    <w:rsid w:val="0064695A"/>
    <w:rsid w:val="006512A7"/>
    <w:rsid w:val="00651D24"/>
    <w:rsid w:val="00653E20"/>
    <w:rsid w:val="006545C4"/>
    <w:rsid w:val="00661971"/>
    <w:rsid w:val="00661CE8"/>
    <w:rsid w:val="006623D9"/>
    <w:rsid w:val="00662AE5"/>
    <w:rsid w:val="0066437C"/>
    <w:rsid w:val="00664421"/>
    <w:rsid w:val="0066550C"/>
    <w:rsid w:val="006716F2"/>
    <w:rsid w:val="0067422E"/>
    <w:rsid w:val="00676208"/>
    <w:rsid w:val="0068260D"/>
    <w:rsid w:val="00682995"/>
    <w:rsid w:val="00682BF2"/>
    <w:rsid w:val="006834A4"/>
    <w:rsid w:val="006859CE"/>
    <w:rsid w:val="0068647A"/>
    <w:rsid w:val="00691270"/>
    <w:rsid w:val="006938F3"/>
    <w:rsid w:val="00694BA8"/>
    <w:rsid w:val="00694DAD"/>
    <w:rsid w:val="00695C6A"/>
    <w:rsid w:val="00696DCB"/>
    <w:rsid w:val="006A037C"/>
    <w:rsid w:val="006A1239"/>
    <w:rsid w:val="006A1DCA"/>
    <w:rsid w:val="006A28BF"/>
    <w:rsid w:val="006A36F4"/>
    <w:rsid w:val="006A406F"/>
    <w:rsid w:val="006A44C6"/>
    <w:rsid w:val="006A5628"/>
    <w:rsid w:val="006A5D3A"/>
    <w:rsid w:val="006A6AA8"/>
    <w:rsid w:val="006A7BCE"/>
    <w:rsid w:val="006B1921"/>
    <w:rsid w:val="006B1B63"/>
    <w:rsid w:val="006B31B5"/>
    <w:rsid w:val="006B5D9C"/>
    <w:rsid w:val="006B644D"/>
    <w:rsid w:val="006C0930"/>
    <w:rsid w:val="006C140E"/>
    <w:rsid w:val="006C23D4"/>
    <w:rsid w:val="006C4DF3"/>
    <w:rsid w:val="006C6BA8"/>
    <w:rsid w:val="006C6CD7"/>
    <w:rsid w:val="006C7BB0"/>
    <w:rsid w:val="006D027A"/>
    <w:rsid w:val="006D0ACF"/>
    <w:rsid w:val="006D3237"/>
    <w:rsid w:val="006D45B9"/>
    <w:rsid w:val="006D4FD8"/>
    <w:rsid w:val="006E2E37"/>
    <w:rsid w:val="006E3738"/>
    <w:rsid w:val="006E3AED"/>
    <w:rsid w:val="006E3CF1"/>
    <w:rsid w:val="006E62E2"/>
    <w:rsid w:val="006E648A"/>
    <w:rsid w:val="006E7E80"/>
    <w:rsid w:val="006F0273"/>
    <w:rsid w:val="006F1DF9"/>
    <w:rsid w:val="006F24DB"/>
    <w:rsid w:val="006F410F"/>
    <w:rsid w:val="006F48CA"/>
    <w:rsid w:val="006F64DD"/>
    <w:rsid w:val="0070072F"/>
    <w:rsid w:val="007024BD"/>
    <w:rsid w:val="00702635"/>
    <w:rsid w:val="00702985"/>
    <w:rsid w:val="00703709"/>
    <w:rsid w:val="007041AA"/>
    <w:rsid w:val="00704444"/>
    <w:rsid w:val="00715127"/>
    <w:rsid w:val="00715E2D"/>
    <w:rsid w:val="00715E8E"/>
    <w:rsid w:val="007175DC"/>
    <w:rsid w:val="00720209"/>
    <w:rsid w:val="00720FCA"/>
    <w:rsid w:val="007210E1"/>
    <w:rsid w:val="00721C7E"/>
    <w:rsid w:val="0072323B"/>
    <w:rsid w:val="00723580"/>
    <w:rsid w:val="00723755"/>
    <w:rsid w:val="00726169"/>
    <w:rsid w:val="007262B6"/>
    <w:rsid w:val="00727D2C"/>
    <w:rsid w:val="0073136C"/>
    <w:rsid w:val="007315D9"/>
    <w:rsid w:val="00731F0F"/>
    <w:rsid w:val="00732ACF"/>
    <w:rsid w:val="00733250"/>
    <w:rsid w:val="007338C3"/>
    <w:rsid w:val="0073588F"/>
    <w:rsid w:val="00741404"/>
    <w:rsid w:val="00743647"/>
    <w:rsid w:val="00743E47"/>
    <w:rsid w:val="00743F3F"/>
    <w:rsid w:val="007449E5"/>
    <w:rsid w:val="00746C5A"/>
    <w:rsid w:val="00747FF0"/>
    <w:rsid w:val="007529B6"/>
    <w:rsid w:val="00752F71"/>
    <w:rsid w:val="00753677"/>
    <w:rsid w:val="007537DA"/>
    <w:rsid w:val="00753EC9"/>
    <w:rsid w:val="0075692C"/>
    <w:rsid w:val="00761891"/>
    <w:rsid w:val="00764D4E"/>
    <w:rsid w:val="00765A1F"/>
    <w:rsid w:val="0076664F"/>
    <w:rsid w:val="00775B6D"/>
    <w:rsid w:val="00776D68"/>
    <w:rsid w:val="00783DBD"/>
    <w:rsid w:val="007850EE"/>
    <w:rsid w:val="007853DA"/>
    <w:rsid w:val="00785B95"/>
    <w:rsid w:val="007869A4"/>
    <w:rsid w:val="0078748C"/>
    <w:rsid w:val="007900CC"/>
    <w:rsid w:val="00790E96"/>
    <w:rsid w:val="00791725"/>
    <w:rsid w:val="00792C67"/>
    <w:rsid w:val="00793366"/>
    <w:rsid w:val="00794C6A"/>
    <w:rsid w:val="00796502"/>
    <w:rsid w:val="00797530"/>
    <w:rsid w:val="007A0071"/>
    <w:rsid w:val="007A0CC4"/>
    <w:rsid w:val="007A1DB0"/>
    <w:rsid w:val="007A716F"/>
    <w:rsid w:val="007B032F"/>
    <w:rsid w:val="007B1F8A"/>
    <w:rsid w:val="007B270A"/>
    <w:rsid w:val="007B3703"/>
    <w:rsid w:val="007B6DF2"/>
    <w:rsid w:val="007C0695"/>
    <w:rsid w:val="007C1BF3"/>
    <w:rsid w:val="007C3422"/>
    <w:rsid w:val="007C419A"/>
    <w:rsid w:val="007C460D"/>
    <w:rsid w:val="007C4CC8"/>
    <w:rsid w:val="007C5426"/>
    <w:rsid w:val="007C5798"/>
    <w:rsid w:val="007C6759"/>
    <w:rsid w:val="007D03BD"/>
    <w:rsid w:val="007D1563"/>
    <w:rsid w:val="007D2499"/>
    <w:rsid w:val="007D36D9"/>
    <w:rsid w:val="007D400C"/>
    <w:rsid w:val="007D42E0"/>
    <w:rsid w:val="007D4692"/>
    <w:rsid w:val="007D4832"/>
    <w:rsid w:val="007D624E"/>
    <w:rsid w:val="007E21B2"/>
    <w:rsid w:val="007E2C4E"/>
    <w:rsid w:val="007E2E46"/>
    <w:rsid w:val="007E53B5"/>
    <w:rsid w:val="007F1905"/>
    <w:rsid w:val="007F2DBB"/>
    <w:rsid w:val="007F3967"/>
    <w:rsid w:val="007F63C1"/>
    <w:rsid w:val="007F6B1D"/>
    <w:rsid w:val="007F767A"/>
    <w:rsid w:val="0080056F"/>
    <w:rsid w:val="008006A3"/>
    <w:rsid w:val="00801300"/>
    <w:rsid w:val="00802C64"/>
    <w:rsid w:val="008040CD"/>
    <w:rsid w:val="00805E52"/>
    <w:rsid w:val="008061D0"/>
    <w:rsid w:val="008065FC"/>
    <w:rsid w:val="008066C6"/>
    <w:rsid w:val="008070A4"/>
    <w:rsid w:val="00810B38"/>
    <w:rsid w:val="00811A8C"/>
    <w:rsid w:val="00813EEE"/>
    <w:rsid w:val="0081707E"/>
    <w:rsid w:val="008204C7"/>
    <w:rsid w:val="00820992"/>
    <w:rsid w:val="00823602"/>
    <w:rsid w:val="008236E6"/>
    <w:rsid w:val="008255F5"/>
    <w:rsid w:val="0083014E"/>
    <w:rsid w:val="00831502"/>
    <w:rsid w:val="0083214A"/>
    <w:rsid w:val="00834220"/>
    <w:rsid w:val="00834B02"/>
    <w:rsid w:val="00835F1C"/>
    <w:rsid w:val="00836A2E"/>
    <w:rsid w:val="00840449"/>
    <w:rsid w:val="008423B3"/>
    <w:rsid w:val="00842B60"/>
    <w:rsid w:val="008440F3"/>
    <w:rsid w:val="00845583"/>
    <w:rsid w:val="00845723"/>
    <w:rsid w:val="00851EF9"/>
    <w:rsid w:val="008527CF"/>
    <w:rsid w:val="00852FBE"/>
    <w:rsid w:val="008577FD"/>
    <w:rsid w:val="00857AC0"/>
    <w:rsid w:val="00857F95"/>
    <w:rsid w:val="00860B03"/>
    <w:rsid w:val="00862FD1"/>
    <w:rsid w:val="00863D72"/>
    <w:rsid w:val="0086497A"/>
    <w:rsid w:val="00865205"/>
    <w:rsid w:val="008659CA"/>
    <w:rsid w:val="00865FC3"/>
    <w:rsid w:val="00866380"/>
    <w:rsid w:val="00866CA0"/>
    <w:rsid w:val="008713A1"/>
    <w:rsid w:val="00871A8B"/>
    <w:rsid w:val="008754AB"/>
    <w:rsid w:val="00876468"/>
    <w:rsid w:val="00877360"/>
    <w:rsid w:val="0088060C"/>
    <w:rsid w:val="00880D7D"/>
    <w:rsid w:val="00882BAC"/>
    <w:rsid w:val="0088567B"/>
    <w:rsid w:val="00885D0E"/>
    <w:rsid w:val="00885FE2"/>
    <w:rsid w:val="008864AD"/>
    <w:rsid w:val="0088651E"/>
    <w:rsid w:val="008868FC"/>
    <w:rsid w:val="00893576"/>
    <w:rsid w:val="00893E73"/>
    <w:rsid w:val="00894949"/>
    <w:rsid w:val="00897D98"/>
    <w:rsid w:val="008A0C3A"/>
    <w:rsid w:val="008A234A"/>
    <w:rsid w:val="008A2686"/>
    <w:rsid w:val="008A2F8C"/>
    <w:rsid w:val="008A3F5A"/>
    <w:rsid w:val="008A43C4"/>
    <w:rsid w:val="008A6524"/>
    <w:rsid w:val="008A6986"/>
    <w:rsid w:val="008A7A3D"/>
    <w:rsid w:val="008B02DC"/>
    <w:rsid w:val="008B0F1C"/>
    <w:rsid w:val="008B16A0"/>
    <w:rsid w:val="008B3420"/>
    <w:rsid w:val="008B35BB"/>
    <w:rsid w:val="008B3A6C"/>
    <w:rsid w:val="008B430D"/>
    <w:rsid w:val="008B4F20"/>
    <w:rsid w:val="008B57CE"/>
    <w:rsid w:val="008B659F"/>
    <w:rsid w:val="008B69B3"/>
    <w:rsid w:val="008C0025"/>
    <w:rsid w:val="008C26DE"/>
    <w:rsid w:val="008C4531"/>
    <w:rsid w:val="008D04CA"/>
    <w:rsid w:val="008D2225"/>
    <w:rsid w:val="008D4752"/>
    <w:rsid w:val="008D4C3C"/>
    <w:rsid w:val="008D5FDC"/>
    <w:rsid w:val="008D6BB5"/>
    <w:rsid w:val="008D754E"/>
    <w:rsid w:val="008D763B"/>
    <w:rsid w:val="008E20FB"/>
    <w:rsid w:val="008E240B"/>
    <w:rsid w:val="008E271C"/>
    <w:rsid w:val="008E405A"/>
    <w:rsid w:val="008E418E"/>
    <w:rsid w:val="008E47B2"/>
    <w:rsid w:val="008E5BC6"/>
    <w:rsid w:val="008E5C44"/>
    <w:rsid w:val="008E5E70"/>
    <w:rsid w:val="008E6A25"/>
    <w:rsid w:val="008E6B26"/>
    <w:rsid w:val="008E70C6"/>
    <w:rsid w:val="008E71FA"/>
    <w:rsid w:val="008F0CF3"/>
    <w:rsid w:val="008F2594"/>
    <w:rsid w:val="008F5193"/>
    <w:rsid w:val="009003AD"/>
    <w:rsid w:val="009013A7"/>
    <w:rsid w:val="009017FB"/>
    <w:rsid w:val="009017FC"/>
    <w:rsid w:val="00901E10"/>
    <w:rsid w:val="00903B43"/>
    <w:rsid w:val="0090506B"/>
    <w:rsid w:val="009050C9"/>
    <w:rsid w:val="009066FC"/>
    <w:rsid w:val="00907350"/>
    <w:rsid w:val="00910E3E"/>
    <w:rsid w:val="00910FA3"/>
    <w:rsid w:val="00913555"/>
    <w:rsid w:val="009140A3"/>
    <w:rsid w:val="009144A2"/>
    <w:rsid w:val="0091510C"/>
    <w:rsid w:val="009251B3"/>
    <w:rsid w:val="009251D0"/>
    <w:rsid w:val="009259AC"/>
    <w:rsid w:val="00926D34"/>
    <w:rsid w:val="00926F38"/>
    <w:rsid w:val="00927E8A"/>
    <w:rsid w:val="0093039E"/>
    <w:rsid w:val="00930B2F"/>
    <w:rsid w:val="00930ED7"/>
    <w:rsid w:val="00934301"/>
    <w:rsid w:val="00934EB9"/>
    <w:rsid w:val="00936CD1"/>
    <w:rsid w:val="00941747"/>
    <w:rsid w:val="00941EFB"/>
    <w:rsid w:val="00944488"/>
    <w:rsid w:val="00946E9F"/>
    <w:rsid w:val="00947AFB"/>
    <w:rsid w:val="00951D7D"/>
    <w:rsid w:val="00953EFC"/>
    <w:rsid w:val="009559C4"/>
    <w:rsid w:val="0095606D"/>
    <w:rsid w:val="00960CC6"/>
    <w:rsid w:val="00960D6E"/>
    <w:rsid w:val="009611DC"/>
    <w:rsid w:val="009630C7"/>
    <w:rsid w:val="00963F54"/>
    <w:rsid w:val="00965532"/>
    <w:rsid w:val="00967F39"/>
    <w:rsid w:val="00971CCE"/>
    <w:rsid w:val="0097255D"/>
    <w:rsid w:val="00972752"/>
    <w:rsid w:val="00972B48"/>
    <w:rsid w:val="00972B55"/>
    <w:rsid w:val="00972E78"/>
    <w:rsid w:val="009743B7"/>
    <w:rsid w:val="009761E1"/>
    <w:rsid w:val="00976A11"/>
    <w:rsid w:val="009778DE"/>
    <w:rsid w:val="0098228B"/>
    <w:rsid w:val="009828DA"/>
    <w:rsid w:val="00982D8F"/>
    <w:rsid w:val="009830C7"/>
    <w:rsid w:val="00985BAB"/>
    <w:rsid w:val="00992339"/>
    <w:rsid w:val="00993964"/>
    <w:rsid w:val="009939C5"/>
    <w:rsid w:val="00997F03"/>
    <w:rsid w:val="009A46DF"/>
    <w:rsid w:val="009A5866"/>
    <w:rsid w:val="009A6126"/>
    <w:rsid w:val="009A72F3"/>
    <w:rsid w:val="009B0D38"/>
    <w:rsid w:val="009B11A8"/>
    <w:rsid w:val="009B1B5F"/>
    <w:rsid w:val="009B2EC2"/>
    <w:rsid w:val="009B4C72"/>
    <w:rsid w:val="009B52CE"/>
    <w:rsid w:val="009B6673"/>
    <w:rsid w:val="009B71C0"/>
    <w:rsid w:val="009C1177"/>
    <w:rsid w:val="009C1510"/>
    <w:rsid w:val="009C17C9"/>
    <w:rsid w:val="009C191B"/>
    <w:rsid w:val="009C1F72"/>
    <w:rsid w:val="009C2BD6"/>
    <w:rsid w:val="009C36BA"/>
    <w:rsid w:val="009C44B2"/>
    <w:rsid w:val="009C6260"/>
    <w:rsid w:val="009C6D41"/>
    <w:rsid w:val="009C701A"/>
    <w:rsid w:val="009C7BF6"/>
    <w:rsid w:val="009D2BF5"/>
    <w:rsid w:val="009D7571"/>
    <w:rsid w:val="009E029C"/>
    <w:rsid w:val="009E04BD"/>
    <w:rsid w:val="009E1429"/>
    <w:rsid w:val="009E1F32"/>
    <w:rsid w:val="009E290D"/>
    <w:rsid w:val="009E3A81"/>
    <w:rsid w:val="009E51D9"/>
    <w:rsid w:val="009E5829"/>
    <w:rsid w:val="009E776C"/>
    <w:rsid w:val="009F019D"/>
    <w:rsid w:val="009F0F41"/>
    <w:rsid w:val="009F119D"/>
    <w:rsid w:val="009F2065"/>
    <w:rsid w:val="009F2802"/>
    <w:rsid w:val="009F7344"/>
    <w:rsid w:val="00A010E6"/>
    <w:rsid w:val="00A023FF"/>
    <w:rsid w:val="00A03863"/>
    <w:rsid w:val="00A04D69"/>
    <w:rsid w:val="00A058B1"/>
    <w:rsid w:val="00A1473D"/>
    <w:rsid w:val="00A151E9"/>
    <w:rsid w:val="00A1726E"/>
    <w:rsid w:val="00A204CF"/>
    <w:rsid w:val="00A213D9"/>
    <w:rsid w:val="00A2279D"/>
    <w:rsid w:val="00A234B7"/>
    <w:rsid w:val="00A23D49"/>
    <w:rsid w:val="00A24272"/>
    <w:rsid w:val="00A27004"/>
    <w:rsid w:val="00A30C29"/>
    <w:rsid w:val="00A3388B"/>
    <w:rsid w:val="00A34DD6"/>
    <w:rsid w:val="00A36819"/>
    <w:rsid w:val="00A36989"/>
    <w:rsid w:val="00A417C1"/>
    <w:rsid w:val="00A43528"/>
    <w:rsid w:val="00A43628"/>
    <w:rsid w:val="00A44F8C"/>
    <w:rsid w:val="00A45396"/>
    <w:rsid w:val="00A453A8"/>
    <w:rsid w:val="00A460CA"/>
    <w:rsid w:val="00A50180"/>
    <w:rsid w:val="00A513D2"/>
    <w:rsid w:val="00A51BDE"/>
    <w:rsid w:val="00A54192"/>
    <w:rsid w:val="00A554E4"/>
    <w:rsid w:val="00A6035E"/>
    <w:rsid w:val="00A6144C"/>
    <w:rsid w:val="00A62E80"/>
    <w:rsid w:val="00A64427"/>
    <w:rsid w:val="00A65816"/>
    <w:rsid w:val="00A65ADF"/>
    <w:rsid w:val="00A66221"/>
    <w:rsid w:val="00A66617"/>
    <w:rsid w:val="00A66A28"/>
    <w:rsid w:val="00A671CF"/>
    <w:rsid w:val="00A671F8"/>
    <w:rsid w:val="00A673A4"/>
    <w:rsid w:val="00A724AE"/>
    <w:rsid w:val="00A73329"/>
    <w:rsid w:val="00A82359"/>
    <w:rsid w:val="00A83B15"/>
    <w:rsid w:val="00A865D2"/>
    <w:rsid w:val="00A8663F"/>
    <w:rsid w:val="00A90706"/>
    <w:rsid w:val="00A91BD1"/>
    <w:rsid w:val="00A91C8B"/>
    <w:rsid w:val="00A94C20"/>
    <w:rsid w:val="00A958F9"/>
    <w:rsid w:val="00A96AA9"/>
    <w:rsid w:val="00A96ED6"/>
    <w:rsid w:val="00A97838"/>
    <w:rsid w:val="00AA0475"/>
    <w:rsid w:val="00AA227F"/>
    <w:rsid w:val="00AA3BC7"/>
    <w:rsid w:val="00AA40AD"/>
    <w:rsid w:val="00AA6187"/>
    <w:rsid w:val="00AA680A"/>
    <w:rsid w:val="00AA71AC"/>
    <w:rsid w:val="00AA754A"/>
    <w:rsid w:val="00AB05E5"/>
    <w:rsid w:val="00AB099E"/>
    <w:rsid w:val="00AB10FE"/>
    <w:rsid w:val="00AB1AAE"/>
    <w:rsid w:val="00AB1CD4"/>
    <w:rsid w:val="00AB29A8"/>
    <w:rsid w:val="00AB29D7"/>
    <w:rsid w:val="00AB2C99"/>
    <w:rsid w:val="00AB4328"/>
    <w:rsid w:val="00AB4AEF"/>
    <w:rsid w:val="00AB5FA0"/>
    <w:rsid w:val="00AC2ADE"/>
    <w:rsid w:val="00AC32E0"/>
    <w:rsid w:val="00AC5D8E"/>
    <w:rsid w:val="00AD1EAD"/>
    <w:rsid w:val="00AD217E"/>
    <w:rsid w:val="00AD2C65"/>
    <w:rsid w:val="00AD3004"/>
    <w:rsid w:val="00AD541D"/>
    <w:rsid w:val="00AD567E"/>
    <w:rsid w:val="00AD7A3A"/>
    <w:rsid w:val="00AE0A2E"/>
    <w:rsid w:val="00AE24B0"/>
    <w:rsid w:val="00AE354C"/>
    <w:rsid w:val="00AE70CE"/>
    <w:rsid w:val="00AF4B07"/>
    <w:rsid w:val="00AF6186"/>
    <w:rsid w:val="00AF7A3A"/>
    <w:rsid w:val="00B00318"/>
    <w:rsid w:val="00B039AE"/>
    <w:rsid w:val="00B04878"/>
    <w:rsid w:val="00B05AF5"/>
    <w:rsid w:val="00B070EB"/>
    <w:rsid w:val="00B078E9"/>
    <w:rsid w:val="00B11C23"/>
    <w:rsid w:val="00B12C36"/>
    <w:rsid w:val="00B14FC8"/>
    <w:rsid w:val="00B160DB"/>
    <w:rsid w:val="00B20836"/>
    <w:rsid w:val="00B21707"/>
    <w:rsid w:val="00B235BB"/>
    <w:rsid w:val="00B23D97"/>
    <w:rsid w:val="00B24BD5"/>
    <w:rsid w:val="00B27A44"/>
    <w:rsid w:val="00B30BBF"/>
    <w:rsid w:val="00B30EA1"/>
    <w:rsid w:val="00B33C03"/>
    <w:rsid w:val="00B33C71"/>
    <w:rsid w:val="00B36F43"/>
    <w:rsid w:val="00B37241"/>
    <w:rsid w:val="00B40411"/>
    <w:rsid w:val="00B4078D"/>
    <w:rsid w:val="00B425DC"/>
    <w:rsid w:val="00B44E56"/>
    <w:rsid w:val="00B46543"/>
    <w:rsid w:val="00B46D3E"/>
    <w:rsid w:val="00B47D33"/>
    <w:rsid w:val="00B47F7D"/>
    <w:rsid w:val="00B51E26"/>
    <w:rsid w:val="00B52BE0"/>
    <w:rsid w:val="00B54133"/>
    <w:rsid w:val="00B56612"/>
    <w:rsid w:val="00B57F58"/>
    <w:rsid w:val="00B60413"/>
    <w:rsid w:val="00B64F89"/>
    <w:rsid w:val="00B65824"/>
    <w:rsid w:val="00B701ED"/>
    <w:rsid w:val="00B704F8"/>
    <w:rsid w:val="00B742E1"/>
    <w:rsid w:val="00B75FC2"/>
    <w:rsid w:val="00B76957"/>
    <w:rsid w:val="00B8086C"/>
    <w:rsid w:val="00B80884"/>
    <w:rsid w:val="00B810F4"/>
    <w:rsid w:val="00B83EA7"/>
    <w:rsid w:val="00B84659"/>
    <w:rsid w:val="00B861B4"/>
    <w:rsid w:val="00B86DFE"/>
    <w:rsid w:val="00B90990"/>
    <w:rsid w:val="00B91BCB"/>
    <w:rsid w:val="00B922FF"/>
    <w:rsid w:val="00B9281E"/>
    <w:rsid w:val="00B93925"/>
    <w:rsid w:val="00B95187"/>
    <w:rsid w:val="00B96347"/>
    <w:rsid w:val="00B9706E"/>
    <w:rsid w:val="00BA2D55"/>
    <w:rsid w:val="00BA71B1"/>
    <w:rsid w:val="00BA73A3"/>
    <w:rsid w:val="00BB0637"/>
    <w:rsid w:val="00BB324C"/>
    <w:rsid w:val="00BB345F"/>
    <w:rsid w:val="00BB56E3"/>
    <w:rsid w:val="00BB57E8"/>
    <w:rsid w:val="00BB5883"/>
    <w:rsid w:val="00BB68EA"/>
    <w:rsid w:val="00BC1C27"/>
    <w:rsid w:val="00BC43B0"/>
    <w:rsid w:val="00BC6BBF"/>
    <w:rsid w:val="00BD10ED"/>
    <w:rsid w:val="00BD1572"/>
    <w:rsid w:val="00BD5B13"/>
    <w:rsid w:val="00BD695E"/>
    <w:rsid w:val="00BE14E3"/>
    <w:rsid w:val="00BE3774"/>
    <w:rsid w:val="00BE41E5"/>
    <w:rsid w:val="00BE5477"/>
    <w:rsid w:val="00BF07A9"/>
    <w:rsid w:val="00BF0BBB"/>
    <w:rsid w:val="00BF4109"/>
    <w:rsid w:val="00BF4CC3"/>
    <w:rsid w:val="00BF708D"/>
    <w:rsid w:val="00C00664"/>
    <w:rsid w:val="00C052FF"/>
    <w:rsid w:val="00C054C7"/>
    <w:rsid w:val="00C05770"/>
    <w:rsid w:val="00C0579F"/>
    <w:rsid w:val="00C057B5"/>
    <w:rsid w:val="00C11141"/>
    <w:rsid w:val="00C155CD"/>
    <w:rsid w:val="00C20327"/>
    <w:rsid w:val="00C20FE2"/>
    <w:rsid w:val="00C22687"/>
    <w:rsid w:val="00C22C6C"/>
    <w:rsid w:val="00C23E14"/>
    <w:rsid w:val="00C24DE9"/>
    <w:rsid w:val="00C271B9"/>
    <w:rsid w:val="00C31132"/>
    <w:rsid w:val="00C3196D"/>
    <w:rsid w:val="00C328F4"/>
    <w:rsid w:val="00C32E4D"/>
    <w:rsid w:val="00C333A0"/>
    <w:rsid w:val="00C367F3"/>
    <w:rsid w:val="00C36A81"/>
    <w:rsid w:val="00C40694"/>
    <w:rsid w:val="00C41974"/>
    <w:rsid w:val="00C41F76"/>
    <w:rsid w:val="00C447AD"/>
    <w:rsid w:val="00C51DEC"/>
    <w:rsid w:val="00C52233"/>
    <w:rsid w:val="00C535B6"/>
    <w:rsid w:val="00C53F4A"/>
    <w:rsid w:val="00C54125"/>
    <w:rsid w:val="00C55B54"/>
    <w:rsid w:val="00C567CC"/>
    <w:rsid w:val="00C6098E"/>
    <w:rsid w:val="00C6152C"/>
    <w:rsid w:val="00C621C2"/>
    <w:rsid w:val="00C64DF0"/>
    <w:rsid w:val="00C65D39"/>
    <w:rsid w:val="00C7152F"/>
    <w:rsid w:val="00C71D01"/>
    <w:rsid w:val="00C72476"/>
    <w:rsid w:val="00C74810"/>
    <w:rsid w:val="00C752B5"/>
    <w:rsid w:val="00C7727A"/>
    <w:rsid w:val="00C80C44"/>
    <w:rsid w:val="00C81470"/>
    <w:rsid w:val="00C81C66"/>
    <w:rsid w:val="00C83662"/>
    <w:rsid w:val="00C83A09"/>
    <w:rsid w:val="00C860EC"/>
    <w:rsid w:val="00C9004C"/>
    <w:rsid w:val="00C902FB"/>
    <w:rsid w:val="00C90D68"/>
    <w:rsid w:val="00C9139D"/>
    <w:rsid w:val="00C939FE"/>
    <w:rsid w:val="00C948CA"/>
    <w:rsid w:val="00C97FC2"/>
    <w:rsid w:val="00CA0108"/>
    <w:rsid w:val="00CA1515"/>
    <w:rsid w:val="00CA4BDA"/>
    <w:rsid w:val="00CA635F"/>
    <w:rsid w:val="00CA72BA"/>
    <w:rsid w:val="00CB1F66"/>
    <w:rsid w:val="00CB2951"/>
    <w:rsid w:val="00CB5619"/>
    <w:rsid w:val="00CC3337"/>
    <w:rsid w:val="00CD0114"/>
    <w:rsid w:val="00CD08D4"/>
    <w:rsid w:val="00CD282B"/>
    <w:rsid w:val="00CD342B"/>
    <w:rsid w:val="00CD3D52"/>
    <w:rsid w:val="00CD4C35"/>
    <w:rsid w:val="00CD7369"/>
    <w:rsid w:val="00CD75C5"/>
    <w:rsid w:val="00CD7932"/>
    <w:rsid w:val="00CE0B0E"/>
    <w:rsid w:val="00CE3431"/>
    <w:rsid w:val="00CE3831"/>
    <w:rsid w:val="00CF0FAB"/>
    <w:rsid w:val="00CF15F1"/>
    <w:rsid w:val="00CF3189"/>
    <w:rsid w:val="00CF5463"/>
    <w:rsid w:val="00D0014F"/>
    <w:rsid w:val="00D00ABB"/>
    <w:rsid w:val="00D02EEC"/>
    <w:rsid w:val="00D03551"/>
    <w:rsid w:val="00D03670"/>
    <w:rsid w:val="00D03ADC"/>
    <w:rsid w:val="00D06A63"/>
    <w:rsid w:val="00D070FA"/>
    <w:rsid w:val="00D07288"/>
    <w:rsid w:val="00D07E0E"/>
    <w:rsid w:val="00D11478"/>
    <w:rsid w:val="00D13CE6"/>
    <w:rsid w:val="00D15ED0"/>
    <w:rsid w:val="00D163C9"/>
    <w:rsid w:val="00D169E0"/>
    <w:rsid w:val="00D170D6"/>
    <w:rsid w:val="00D20B09"/>
    <w:rsid w:val="00D21B3E"/>
    <w:rsid w:val="00D21FED"/>
    <w:rsid w:val="00D24251"/>
    <w:rsid w:val="00D24854"/>
    <w:rsid w:val="00D30375"/>
    <w:rsid w:val="00D315B4"/>
    <w:rsid w:val="00D33A31"/>
    <w:rsid w:val="00D343E2"/>
    <w:rsid w:val="00D361A2"/>
    <w:rsid w:val="00D40A2F"/>
    <w:rsid w:val="00D417B3"/>
    <w:rsid w:val="00D41E38"/>
    <w:rsid w:val="00D4224E"/>
    <w:rsid w:val="00D44C2E"/>
    <w:rsid w:val="00D45414"/>
    <w:rsid w:val="00D4706A"/>
    <w:rsid w:val="00D506E3"/>
    <w:rsid w:val="00D507B2"/>
    <w:rsid w:val="00D53888"/>
    <w:rsid w:val="00D53C0F"/>
    <w:rsid w:val="00D54923"/>
    <w:rsid w:val="00D566BD"/>
    <w:rsid w:val="00D570EA"/>
    <w:rsid w:val="00D57A4D"/>
    <w:rsid w:val="00D60AA7"/>
    <w:rsid w:val="00D60D87"/>
    <w:rsid w:val="00D62E8F"/>
    <w:rsid w:val="00D63DDF"/>
    <w:rsid w:val="00D6435F"/>
    <w:rsid w:val="00D67732"/>
    <w:rsid w:val="00D703AF"/>
    <w:rsid w:val="00D71ED6"/>
    <w:rsid w:val="00D72324"/>
    <w:rsid w:val="00D72A79"/>
    <w:rsid w:val="00D72EFF"/>
    <w:rsid w:val="00D73464"/>
    <w:rsid w:val="00D73E16"/>
    <w:rsid w:val="00D75E28"/>
    <w:rsid w:val="00D772C2"/>
    <w:rsid w:val="00D8008E"/>
    <w:rsid w:val="00D811B7"/>
    <w:rsid w:val="00D82C45"/>
    <w:rsid w:val="00D856BC"/>
    <w:rsid w:val="00D908A8"/>
    <w:rsid w:val="00D910AC"/>
    <w:rsid w:val="00D926F0"/>
    <w:rsid w:val="00D9333C"/>
    <w:rsid w:val="00D9474D"/>
    <w:rsid w:val="00D94CD9"/>
    <w:rsid w:val="00D974E3"/>
    <w:rsid w:val="00D977B6"/>
    <w:rsid w:val="00DA4A31"/>
    <w:rsid w:val="00DA520F"/>
    <w:rsid w:val="00DA6062"/>
    <w:rsid w:val="00DA69E3"/>
    <w:rsid w:val="00DA7B04"/>
    <w:rsid w:val="00DB2AF0"/>
    <w:rsid w:val="00DB36C2"/>
    <w:rsid w:val="00DB7196"/>
    <w:rsid w:val="00DB7868"/>
    <w:rsid w:val="00DC169B"/>
    <w:rsid w:val="00DC2259"/>
    <w:rsid w:val="00DC2AB9"/>
    <w:rsid w:val="00DC469A"/>
    <w:rsid w:val="00DC5316"/>
    <w:rsid w:val="00DC5F73"/>
    <w:rsid w:val="00DC637C"/>
    <w:rsid w:val="00DC63F0"/>
    <w:rsid w:val="00DC7C6E"/>
    <w:rsid w:val="00DD20CE"/>
    <w:rsid w:val="00DD277D"/>
    <w:rsid w:val="00DD2DAB"/>
    <w:rsid w:val="00DD443F"/>
    <w:rsid w:val="00DD4D66"/>
    <w:rsid w:val="00DD52E2"/>
    <w:rsid w:val="00DD534F"/>
    <w:rsid w:val="00DD61FB"/>
    <w:rsid w:val="00DD6EE5"/>
    <w:rsid w:val="00DE086E"/>
    <w:rsid w:val="00DE21EE"/>
    <w:rsid w:val="00DE386C"/>
    <w:rsid w:val="00DE389E"/>
    <w:rsid w:val="00DE4D35"/>
    <w:rsid w:val="00DE54E0"/>
    <w:rsid w:val="00DE5FED"/>
    <w:rsid w:val="00DF0549"/>
    <w:rsid w:val="00DF098B"/>
    <w:rsid w:val="00DF107D"/>
    <w:rsid w:val="00DF11C4"/>
    <w:rsid w:val="00DF14F6"/>
    <w:rsid w:val="00DF210C"/>
    <w:rsid w:val="00DF4B6A"/>
    <w:rsid w:val="00DF52E1"/>
    <w:rsid w:val="00DF72B4"/>
    <w:rsid w:val="00DF7DD1"/>
    <w:rsid w:val="00E007F8"/>
    <w:rsid w:val="00E02C09"/>
    <w:rsid w:val="00E02FA1"/>
    <w:rsid w:val="00E04D59"/>
    <w:rsid w:val="00E07DA1"/>
    <w:rsid w:val="00E07E8E"/>
    <w:rsid w:val="00E07F1F"/>
    <w:rsid w:val="00E106A9"/>
    <w:rsid w:val="00E106CB"/>
    <w:rsid w:val="00E10746"/>
    <w:rsid w:val="00E1230E"/>
    <w:rsid w:val="00E123CB"/>
    <w:rsid w:val="00E14D19"/>
    <w:rsid w:val="00E1557C"/>
    <w:rsid w:val="00E17F3C"/>
    <w:rsid w:val="00E20E13"/>
    <w:rsid w:val="00E217B6"/>
    <w:rsid w:val="00E21DBC"/>
    <w:rsid w:val="00E221A1"/>
    <w:rsid w:val="00E24AEE"/>
    <w:rsid w:val="00E27559"/>
    <w:rsid w:val="00E275D7"/>
    <w:rsid w:val="00E27DBE"/>
    <w:rsid w:val="00E32AB1"/>
    <w:rsid w:val="00E36C71"/>
    <w:rsid w:val="00E37BE9"/>
    <w:rsid w:val="00E40404"/>
    <w:rsid w:val="00E404A4"/>
    <w:rsid w:val="00E40693"/>
    <w:rsid w:val="00E459C6"/>
    <w:rsid w:val="00E47589"/>
    <w:rsid w:val="00E47F52"/>
    <w:rsid w:val="00E51811"/>
    <w:rsid w:val="00E55520"/>
    <w:rsid w:val="00E56868"/>
    <w:rsid w:val="00E6059A"/>
    <w:rsid w:val="00E64915"/>
    <w:rsid w:val="00E64A7A"/>
    <w:rsid w:val="00E65B83"/>
    <w:rsid w:val="00E661D4"/>
    <w:rsid w:val="00E6694E"/>
    <w:rsid w:val="00E70091"/>
    <w:rsid w:val="00E712BB"/>
    <w:rsid w:val="00E717AD"/>
    <w:rsid w:val="00E71AE5"/>
    <w:rsid w:val="00E720F5"/>
    <w:rsid w:val="00E7315B"/>
    <w:rsid w:val="00E7331C"/>
    <w:rsid w:val="00E76D47"/>
    <w:rsid w:val="00E7714B"/>
    <w:rsid w:val="00E815EB"/>
    <w:rsid w:val="00E82D90"/>
    <w:rsid w:val="00E83127"/>
    <w:rsid w:val="00E841F3"/>
    <w:rsid w:val="00E849F7"/>
    <w:rsid w:val="00E8714A"/>
    <w:rsid w:val="00E878D2"/>
    <w:rsid w:val="00E90302"/>
    <w:rsid w:val="00E903C7"/>
    <w:rsid w:val="00E90CB1"/>
    <w:rsid w:val="00E91F66"/>
    <w:rsid w:val="00E932A8"/>
    <w:rsid w:val="00E9597F"/>
    <w:rsid w:val="00E97396"/>
    <w:rsid w:val="00E97519"/>
    <w:rsid w:val="00EA03F7"/>
    <w:rsid w:val="00EA185E"/>
    <w:rsid w:val="00EA3E2F"/>
    <w:rsid w:val="00EA5104"/>
    <w:rsid w:val="00EA512D"/>
    <w:rsid w:val="00EA54DD"/>
    <w:rsid w:val="00EA592A"/>
    <w:rsid w:val="00EA675C"/>
    <w:rsid w:val="00EA6A30"/>
    <w:rsid w:val="00EB03AF"/>
    <w:rsid w:val="00EB06E2"/>
    <w:rsid w:val="00EB14E4"/>
    <w:rsid w:val="00EB1524"/>
    <w:rsid w:val="00EB32A5"/>
    <w:rsid w:val="00EB34ED"/>
    <w:rsid w:val="00EB5595"/>
    <w:rsid w:val="00EB582E"/>
    <w:rsid w:val="00EB6AED"/>
    <w:rsid w:val="00EB6C3D"/>
    <w:rsid w:val="00EB7BE0"/>
    <w:rsid w:val="00EB7C36"/>
    <w:rsid w:val="00EC315E"/>
    <w:rsid w:val="00EC44B2"/>
    <w:rsid w:val="00EC4695"/>
    <w:rsid w:val="00ED011C"/>
    <w:rsid w:val="00ED077C"/>
    <w:rsid w:val="00ED1190"/>
    <w:rsid w:val="00ED1437"/>
    <w:rsid w:val="00ED1D09"/>
    <w:rsid w:val="00ED2CCE"/>
    <w:rsid w:val="00ED6544"/>
    <w:rsid w:val="00EE0277"/>
    <w:rsid w:val="00EE1DA9"/>
    <w:rsid w:val="00EE37D6"/>
    <w:rsid w:val="00EE3E00"/>
    <w:rsid w:val="00EE4A88"/>
    <w:rsid w:val="00EE5B88"/>
    <w:rsid w:val="00EE5DD2"/>
    <w:rsid w:val="00EE5EED"/>
    <w:rsid w:val="00EE729E"/>
    <w:rsid w:val="00EF0709"/>
    <w:rsid w:val="00EF2EA0"/>
    <w:rsid w:val="00EF41F1"/>
    <w:rsid w:val="00EF4640"/>
    <w:rsid w:val="00EF4F08"/>
    <w:rsid w:val="00EF60BA"/>
    <w:rsid w:val="00EF61DE"/>
    <w:rsid w:val="00EF6AA0"/>
    <w:rsid w:val="00EF7DE3"/>
    <w:rsid w:val="00F00A79"/>
    <w:rsid w:val="00F00E86"/>
    <w:rsid w:val="00F01DCE"/>
    <w:rsid w:val="00F01EEF"/>
    <w:rsid w:val="00F0204F"/>
    <w:rsid w:val="00F07C1E"/>
    <w:rsid w:val="00F105DB"/>
    <w:rsid w:val="00F132BC"/>
    <w:rsid w:val="00F13D80"/>
    <w:rsid w:val="00F143EA"/>
    <w:rsid w:val="00F16AAA"/>
    <w:rsid w:val="00F1771B"/>
    <w:rsid w:val="00F17F9B"/>
    <w:rsid w:val="00F20BB4"/>
    <w:rsid w:val="00F21161"/>
    <w:rsid w:val="00F218EF"/>
    <w:rsid w:val="00F21BC7"/>
    <w:rsid w:val="00F253D5"/>
    <w:rsid w:val="00F266A2"/>
    <w:rsid w:val="00F32269"/>
    <w:rsid w:val="00F33585"/>
    <w:rsid w:val="00F337BC"/>
    <w:rsid w:val="00F33CE5"/>
    <w:rsid w:val="00F340BB"/>
    <w:rsid w:val="00F37685"/>
    <w:rsid w:val="00F37706"/>
    <w:rsid w:val="00F41747"/>
    <w:rsid w:val="00F44AF0"/>
    <w:rsid w:val="00F53C7F"/>
    <w:rsid w:val="00F54635"/>
    <w:rsid w:val="00F56577"/>
    <w:rsid w:val="00F56A6F"/>
    <w:rsid w:val="00F56FE7"/>
    <w:rsid w:val="00F5709C"/>
    <w:rsid w:val="00F57140"/>
    <w:rsid w:val="00F57EDA"/>
    <w:rsid w:val="00F609A9"/>
    <w:rsid w:val="00F63521"/>
    <w:rsid w:val="00F640CE"/>
    <w:rsid w:val="00F64EF1"/>
    <w:rsid w:val="00F652D2"/>
    <w:rsid w:val="00F6581D"/>
    <w:rsid w:val="00F65EFD"/>
    <w:rsid w:val="00F71CFB"/>
    <w:rsid w:val="00F74622"/>
    <w:rsid w:val="00F75D35"/>
    <w:rsid w:val="00F75EEE"/>
    <w:rsid w:val="00F77421"/>
    <w:rsid w:val="00F77C4B"/>
    <w:rsid w:val="00F834C9"/>
    <w:rsid w:val="00F86CF0"/>
    <w:rsid w:val="00F8765F"/>
    <w:rsid w:val="00F87962"/>
    <w:rsid w:val="00F87AF1"/>
    <w:rsid w:val="00F90767"/>
    <w:rsid w:val="00F91857"/>
    <w:rsid w:val="00F94145"/>
    <w:rsid w:val="00F94BF5"/>
    <w:rsid w:val="00F96874"/>
    <w:rsid w:val="00F977A2"/>
    <w:rsid w:val="00FA2698"/>
    <w:rsid w:val="00FA31D1"/>
    <w:rsid w:val="00FA41AE"/>
    <w:rsid w:val="00FA511E"/>
    <w:rsid w:val="00FA685B"/>
    <w:rsid w:val="00FB0C01"/>
    <w:rsid w:val="00FC18F2"/>
    <w:rsid w:val="00FC309C"/>
    <w:rsid w:val="00FC39E5"/>
    <w:rsid w:val="00FC3A78"/>
    <w:rsid w:val="00FC5FFE"/>
    <w:rsid w:val="00FD0C0B"/>
    <w:rsid w:val="00FD1005"/>
    <w:rsid w:val="00FD3180"/>
    <w:rsid w:val="00FD38F4"/>
    <w:rsid w:val="00FD6C75"/>
    <w:rsid w:val="00FD77A6"/>
    <w:rsid w:val="00FE10A2"/>
    <w:rsid w:val="00FE3143"/>
    <w:rsid w:val="00FE71B3"/>
    <w:rsid w:val="00FF0111"/>
    <w:rsid w:val="00FF42C5"/>
    <w:rsid w:val="00FF6A1B"/>
    <w:rsid w:val="00FF6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517FF6"/>
    <w:pPr>
      <w:jc w:val="both"/>
    </w:pPr>
    <w:rPr>
      <w:rFonts w:eastAsiaTheme="minorEastAsia"/>
      <w:sz w:val="24"/>
    </w:rPr>
  </w:style>
  <w:style w:type="paragraph" w:styleId="Heading1">
    <w:name w:val="heading 1"/>
    <w:basedOn w:val="Normal"/>
    <w:next w:val="Normal"/>
    <w:link w:val="Heading1Char"/>
    <w:uiPriority w:val="99"/>
    <w:semiHidden/>
    <w:rsid w:val="00517FF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517FF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517FF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517FF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517FF6"/>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517FF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517FF6"/>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517FF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517FF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17FF6"/>
    <w:rPr>
      <w:rFonts w:ascii="Tahoma" w:hAnsi="Tahoma" w:cs="Tahoma"/>
      <w:sz w:val="16"/>
      <w:szCs w:val="16"/>
    </w:rPr>
  </w:style>
  <w:style w:type="character" w:customStyle="1" w:styleId="BalloonTextChar">
    <w:name w:val="Balloon Text Char"/>
    <w:basedOn w:val="DefaultParagraphFont"/>
    <w:link w:val="BalloonText"/>
    <w:uiPriority w:val="99"/>
    <w:semiHidden/>
    <w:rsid w:val="00517FF6"/>
    <w:rPr>
      <w:rFonts w:ascii="Tahoma" w:eastAsiaTheme="minorEastAsia" w:hAnsi="Tahoma" w:cs="Tahoma"/>
      <w:sz w:val="16"/>
      <w:szCs w:val="16"/>
    </w:rPr>
  </w:style>
  <w:style w:type="character" w:styleId="BookTitle">
    <w:name w:val="Book Title"/>
    <w:uiPriority w:val="99"/>
    <w:semiHidden/>
    <w:qFormat/>
    <w:rsid w:val="00517FF6"/>
    <w:rPr>
      <w:i/>
      <w:iCs/>
      <w:smallCaps/>
      <w:spacing w:val="5"/>
    </w:rPr>
  </w:style>
  <w:style w:type="paragraph" w:customStyle="1" w:styleId="ECHRHeader">
    <w:name w:val="ECHR_Header"/>
    <w:aliases w:val="Ju_Header"/>
    <w:basedOn w:val="Header"/>
    <w:uiPriority w:val="4"/>
    <w:qFormat/>
    <w:rsid w:val="00517FF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517FF6"/>
    <w:pPr>
      <w:jc w:val="left"/>
    </w:pPr>
    <w:rPr>
      <w:sz w:val="8"/>
    </w:rPr>
  </w:style>
  <w:style w:type="character" w:styleId="Strong">
    <w:name w:val="Strong"/>
    <w:uiPriority w:val="99"/>
    <w:semiHidden/>
    <w:qFormat/>
    <w:rsid w:val="00517FF6"/>
    <w:rPr>
      <w:b/>
      <w:bCs/>
    </w:rPr>
  </w:style>
  <w:style w:type="paragraph" w:styleId="NoSpacing">
    <w:name w:val="No Spacing"/>
    <w:basedOn w:val="Normal"/>
    <w:link w:val="NoSpacingChar"/>
    <w:semiHidden/>
    <w:qFormat/>
    <w:rsid w:val="00517FF6"/>
  </w:style>
  <w:style w:type="character" w:customStyle="1" w:styleId="NoSpacingChar">
    <w:name w:val="No Spacing Char"/>
    <w:basedOn w:val="DefaultParagraphFont"/>
    <w:link w:val="NoSpacing"/>
    <w:semiHidden/>
    <w:rsid w:val="00517FF6"/>
    <w:rPr>
      <w:rFonts w:eastAsiaTheme="minorEastAsia"/>
      <w:sz w:val="24"/>
    </w:rPr>
  </w:style>
  <w:style w:type="paragraph" w:customStyle="1" w:styleId="ECHRFooterLine">
    <w:name w:val="ECHR_Footer_Line"/>
    <w:aliases w:val="Footer_Line"/>
    <w:basedOn w:val="Normal"/>
    <w:next w:val="ECHRFooter"/>
    <w:uiPriority w:val="57"/>
    <w:semiHidden/>
    <w:rsid w:val="00517FF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517FF6"/>
    <w:pPr>
      <w:numPr>
        <w:numId w:val="14"/>
      </w:numPr>
      <w:jc w:val="left"/>
    </w:pPr>
    <w:rPr>
      <w:b/>
    </w:rPr>
  </w:style>
  <w:style w:type="paragraph" w:customStyle="1" w:styleId="OpiPara">
    <w:name w:val="Opi_Para"/>
    <w:basedOn w:val="ECHRPara"/>
    <w:uiPriority w:val="46"/>
    <w:semiHidden/>
    <w:qFormat/>
    <w:rsid w:val="00517FF6"/>
  </w:style>
  <w:style w:type="paragraph" w:customStyle="1" w:styleId="JuParaSub">
    <w:name w:val="Ju_Para_Sub"/>
    <w:basedOn w:val="ECHRPara"/>
    <w:uiPriority w:val="13"/>
    <w:qFormat/>
    <w:rsid w:val="00517FF6"/>
    <w:pPr>
      <w:ind w:left="284"/>
    </w:pPr>
  </w:style>
  <w:style w:type="paragraph" w:customStyle="1" w:styleId="ECHRTitleCentre3">
    <w:name w:val="ECHR_Title_Centre_3"/>
    <w:aliases w:val="Ju_H_Article"/>
    <w:basedOn w:val="Normal"/>
    <w:next w:val="ECHRParaQuote"/>
    <w:uiPriority w:val="27"/>
    <w:qFormat/>
    <w:rsid w:val="00517FF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517FF6"/>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semiHidden/>
    <w:qFormat/>
    <w:rsid w:val="00517FF6"/>
  </w:style>
  <w:style w:type="paragraph" w:customStyle="1" w:styleId="OpiQuot">
    <w:name w:val="Opi_Quot"/>
    <w:basedOn w:val="ECHRParaQuote"/>
    <w:uiPriority w:val="48"/>
    <w:semiHidden/>
    <w:qFormat/>
    <w:rsid w:val="00517FF6"/>
  </w:style>
  <w:style w:type="paragraph" w:customStyle="1" w:styleId="OpiQuotSub">
    <w:name w:val="Opi_Quot_Sub"/>
    <w:basedOn w:val="JuQuotSub"/>
    <w:uiPriority w:val="49"/>
    <w:semiHidden/>
    <w:qFormat/>
    <w:rsid w:val="00517FF6"/>
  </w:style>
  <w:style w:type="paragraph" w:customStyle="1" w:styleId="ECHRTitleCentre2">
    <w:name w:val="ECHR_Title_Centre_2"/>
    <w:aliases w:val="Dec_H_Case"/>
    <w:basedOn w:val="Normal"/>
    <w:next w:val="ECHRPara"/>
    <w:uiPriority w:val="8"/>
    <w:qFormat/>
    <w:rsid w:val="00517FF6"/>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517FF6"/>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517FF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517FF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517FF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517FF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517FF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517FF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517FF6"/>
    <w:pPr>
      <w:keepNext/>
      <w:keepLines/>
      <w:spacing w:before="240" w:after="120"/>
      <w:ind w:left="1236"/>
    </w:pPr>
    <w:rPr>
      <w:sz w:val="20"/>
    </w:rPr>
  </w:style>
  <w:style w:type="paragraph" w:customStyle="1" w:styleId="JuQuotSub">
    <w:name w:val="Ju_Quot_Sub"/>
    <w:basedOn w:val="ECHRParaQuote"/>
    <w:uiPriority w:val="15"/>
    <w:qFormat/>
    <w:rsid w:val="00517FF6"/>
    <w:pPr>
      <w:ind w:left="567"/>
    </w:pPr>
  </w:style>
  <w:style w:type="paragraph" w:customStyle="1" w:styleId="JuInitialled">
    <w:name w:val="Ju_Initialled"/>
    <w:basedOn w:val="Normal"/>
    <w:uiPriority w:val="31"/>
    <w:qFormat/>
    <w:rsid w:val="00517FF6"/>
    <w:pPr>
      <w:tabs>
        <w:tab w:val="center" w:pos="6407"/>
      </w:tabs>
      <w:spacing w:before="720"/>
      <w:jc w:val="right"/>
    </w:pPr>
  </w:style>
  <w:style w:type="paragraph" w:customStyle="1" w:styleId="OpiHA">
    <w:name w:val="Opi_H_A"/>
    <w:basedOn w:val="ECHRHeading1"/>
    <w:next w:val="OpiPara"/>
    <w:uiPriority w:val="41"/>
    <w:semiHidden/>
    <w:qFormat/>
    <w:rsid w:val="00517FF6"/>
    <w:pPr>
      <w:tabs>
        <w:tab w:val="clear" w:pos="357"/>
      </w:tabs>
      <w:outlineLvl w:val="1"/>
    </w:pPr>
    <w:rPr>
      <w:b/>
    </w:rPr>
  </w:style>
  <w:style w:type="paragraph" w:styleId="Header">
    <w:name w:val="header"/>
    <w:basedOn w:val="Normal"/>
    <w:link w:val="HeaderChar"/>
    <w:uiPriority w:val="57"/>
    <w:semiHidden/>
    <w:rsid w:val="00517FF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517FF6"/>
    <w:rPr>
      <w:rFonts w:eastAsiaTheme="minorHAnsi"/>
      <w:sz w:val="24"/>
    </w:rPr>
  </w:style>
  <w:style w:type="character" w:customStyle="1" w:styleId="Heading1Char">
    <w:name w:val="Heading 1 Char"/>
    <w:basedOn w:val="DefaultParagraphFont"/>
    <w:link w:val="Heading1"/>
    <w:uiPriority w:val="99"/>
    <w:semiHidden/>
    <w:rsid w:val="00517FF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517FF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517FF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517FF6"/>
    <w:rPr>
      <w:rFonts w:asciiTheme="majorHAnsi" w:eastAsiaTheme="majorEastAsia" w:hAnsiTheme="majorHAnsi" w:cstheme="majorBidi"/>
      <w:b/>
      <w:bCs/>
      <w:color w:val="4D4D4D"/>
      <w:sz w:val="26"/>
      <w:szCs w:val="26"/>
    </w:rPr>
  </w:style>
  <w:style w:type="character" w:customStyle="1" w:styleId="JUNAMES">
    <w:name w:val="JU_NAMES"/>
    <w:uiPriority w:val="17"/>
    <w:qFormat/>
    <w:rsid w:val="00517FF6"/>
    <w:rPr>
      <w:caps w:val="0"/>
      <w:smallCaps/>
    </w:rPr>
  </w:style>
  <w:style w:type="paragraph" w:customStyle="1" w:styleId="JuCase">
    <w:name w:val="Ju_Case"/>
    <w:basedOn w:val="Normal"/>
    <w:next w:val="ECHRPara"/>
    <w:uiPriority w:val="10"/>
    <w:rsid w:val="00517FF6"/>
    <w:pPr>
      <w:ind w:firstLine="284"/>
    </w:pPr>
    <w:rPr>
      <w:b/>
    </w:rPr>
  </w:style>
  <w:style w:type="character" w:customStyle="1" w:styleId="Heading3Char">
    <w:name w:val="Heading 3 Char"/>
    <w:basedOn w:val="DefaultParagraphFont"/>
    <w:link w:val="Heading3"/>
    <w:uiPriority w:val="99"/>
    <w:semiHidden/>
    <w:rsid w:val="00517FF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517FF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517FF6"/>
    <w:rPr>
      <w:rFonts w:asciiTheme="majorHAnsi" w:eastAsiaTheme="majorEastAsia" w:hAnsiTheme="majorHAnsi" w:cstheme="majorBidi"/>
      <w:b/>
      <w:bCs/>
      <w:color w:val="808080"/>
      <w:sz w:val="24"/>
    </w:rPr>
  </w:style>
  <w:style w:type="character" w:styleId="SubtleEmphasis">
    <w:name w:val="Subtle Emphasis"/>
    <w:uiPriority w:val="99"/>
    <w:semiHidden/>
    <w:qFormat/>
    <w:rsid w:val="00517FF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517FF6"/>
    <w:pPr>
      <w:keepNext/>
      <w:keepLines/>
      <w:spacing w:before="720" w:after="240"/>
      <w:outlineLvl w:val="0"/>
    </w:pPr>
    <w:rPr>
      <w:rFonts w:asciiTheme="majorHAnsi" w:hAnsiTheme="majorHAnsi"/>
      <w:sz w:val="28"/>
    </w:rPr>
  </w:style>
  <w:style w:type="character" w:styleId="Emphasis">
    <w:name w:val="Emphasis"/>
    <w:uiPriority w:val="99"/>
    <w:semiHidden/>
    <w:qFormat/>
    <w:rsid w:val="00517FF6"/>
    <w:rPr>
      <w:b/>
      <w:bCs/>
      <w:i/>
      <w:iCs/>
      <w:spacing w:val="10"/>
      <w:bdr w:val="none" w:sz="0" w:space="0" w:color="auto"/>
      <w:shd w:val="clear" w:color="auto" w:fill="auto"/>
    </w:rPr>
  </w:style>
  <w:style w:type="paragraph" w:styleId="Footer">
    <w:name w:val="footer"/>
    <w:basedOn w:val="Normal"/>
    <w:link w:val="FooterChar"/>
    <w:uiPriority w:val="57"/>
    <w:semiHidden/>
    <w:rsid w:val="00517FF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517FF6"/>
    <w:rPr>
      <w:rFonts w:eastAsiaTheme="minorHAnsi"/>
      <w:sz w:val="24"/>
    </w:rPr>
  </w:style>
  <w:style w:type="character" w:styleId="FootnoteReference">
    <w:name w:val="footnote reference"/>
    <w:basedOn w:val="DefaultParagraphFont"/>
    <w:uiPriority w:val="99"/>
    <w:semiHidden/>
    <w:rsid w:val="00517FF6"/>
    <w:rPr>
      <w:vertAlign w:val="superscript"/>
    </w:rPr>
  </w:style>
  <w:style w:type="paragraph" w:styleId="FootnoteText">
    <w:name w:val="footnote text"/>
    <w:basedOn w:val="Normal"/>
    <w:link w:val="FootnoteTextChar"/>
    <w:uiPriority w:val="99"/>
    <w:semiHidden/>
    <w:rsid w:val="00517FF6"/>
    <w:rPr>
      <w:sz w:val="20"/>
      <w:szCs w:val="20"/>
    </w:rPr>
  </w:style>
  <w:style w:type="character" w:customStyle="1" w:styleId="FootnoteTextChar">
    <w:name w:val="Footnote Text Char"/>
    <w:basedOn w:val="DefaultParagraphFont"/>
    <w:link w:val="FootnoteText"/>
    <w:uiPriority w:val="99"/>
    <w:semiHidden/>
    <w:rsid w:val="00517FF6"/>
    <w:rPr>
      <w:rFonts w:eastAsiaTheme="minorEastAsia"/>
      <w:sz w:val="20"/>
      <w:szCs w:val="20"/>
    </w:rPr>
  </w:style>
  <w:style w:type="character" w:customStyle="1" w:styleId="Heading6Char">
    <w:name w:val="Heading 6 Char"/>
    <w:basedOn w:val="DefaultParagraphFont"/>
    <w:link w:val="Heading6"/>
    <w:uiPriority w:val="99"/>
    <w:semiHidden/>
    <w:rsid w:val="00517FF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517FF6"/>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517FF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517FF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517FF6"/>
    <w:rPr>
      <w:color w:val="0072BC" w:themeColor="hyperlink"/>
      <w:u w:val="single"/>
    </w:rPr>
  </w:style>
  <w:style w:type="character" w:styleId="IntenseEmphasis">
    <w:name w:val="Intense Emphasis"/>
    <w:uiPriority w:val="99"/>
    <w:semiHidden/>
    <w:qFormat/>
    <w:rsid w:val="00517FF6"/>
    <w:rPr>
      <w:b/>
      <w:bCs/>
    </w:rPr>
  </w:style>
  <w:style w:type="paragraph" w:styleId="IntenseQuote">
    <w:name w:val="Intense Quote"/>
    <w:basedOn w:val="Normal"/>
    <w:next w:val="Normal"/>
    <w:link w:val="IntenseQuoteChar"/>
    <w:uiPriority w:val="99"/>
    <w:semiHidden/>
    <w:qFormat/>
    <w:rsid w:val="00517FF6"/>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517FF6"/>
    <w:rPr>
      <w:rFonts w:eastAsiaTheme="minorEastAsia"/>
      <w:b/>
      <w:bCs/>
      <w:i/>
      <w:iCs/>
      <w:sz w:val="24"/>
      <w:lang w:bidi="en-US"/>
    </w:rPr>
  </w:style>
  <w:style w:type="character" w:styleId="IntenseReference">
    <w:name w:val="Intense Reference"/>
    <w:uiPriority w:val="99"/>
    <w:semiHidden/>
    <w:qFormat/>
    <w:rsid w:val="00517FF6"/>
    <w:rPr>
      <w:smallCaps/>
      <w:spacing w:val="5"/>
      <w:u w:val="single"/>
    </w:rPr>
  </w:style>
  <w:style w:type="paragraph" w:styleId="ListParagraph">
    <w:name w:val="List Paragraph"/>
    <w:basedOn w:val="Normal"/>
    <w:uiPriority w:val="99"/>
    <w:semiHidden/>
    <w:qFormat/>
    <w:rsid w:val="00517FF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517FF6"/>
    <w:pPr>
      <w:spacing w:before="200"/>
      <w:ind w:left="360" w:right="360"/>
    </w:pPr>
    <w:rPr>
      <w:i/>
      <w:iCs/>
      <w:lang w:bidi="en-US"/>
    </w:rPr>
  </w:style>
  <w:style w:type="character" w:customStyle="1" w:styleId="QuoteChar">
    <w:name w:val="Quote Char"/>
    <w:basedOn w:val="DefaultParagraphFont"/>
    <w:link w:val="Quote"/>
    <w:uiPriority w:val="99"/>
    <w:semiHidden/>
    <w:rsid w:val="00517FF6"/>
    <w:rPr>
      <w:rFonts w:eastAsiaTheme="minorEastAsia"/>
      <w:i/>
      <w:iCs/>
      <w:sz w:val="24"/>
      <w:lang w:bidi="en-US"/>
    </w:rPr>
  </w:style>
  <w:style w:type="character" w:styleId="SubtleReference">
    <w:name w:val="Subtle Reference"/>
    <w:uiPriority w:val="99"/>
    <w:semiHidden/>
    <w:qFormat/>
    <w:rsid w:val="00517FF6"/>
    <w:rPr>
      <w:smallCaps/>
    </w:rPr>
  </w:style>
  <w:style w:type="table" w:styleId="TableGrid">
    <w:name w:val="Table Grid"/>
    <w:basedOn w:val="TableNormal"/>
    <w:uiPriority w:val="59"/>
    <w:rsid w:val="00517FF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517FF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517FF6"/>
    <w:pPr>
      <w:spacing w:after="60"/>
      <w:ind w:left="680" w:right="340" w:hanging="340"/>
    </w:pPr>
  </w:style>
  <w:style w:type="paragraph" w:styleId="TOC3">
    <w:name w:val="toc 3"/>
    <w:basedOn w:val="Normal"/>
    <w:next w:val="Normal"/>
    <w:autoRedefine/>
    <w:uiPriority w:val="99"/>
    <w:semiHidden/>
    <w:rsid w:val="00517FF6"/>
    <w:pPr>
      <w:spacing w:after="60"/>
      <w:ind w:left="1020" w:right="340" w:hanging="340"/>
    </w:pPr>
  </w:style>
  <w:style w:type="paragraph" w:styleId="TOC4">
    <w:name w:val="toc 4"/>
    <w:basedOn w:val="Normal"/>
    <w:next w:val="Normal"/>
    <w:autoRedefine/>
    <w:uiPriority w:val="99"/>
    <w:semiHidden/>
    <w:rsid w:val="00517FF6"/>
    <w:pPr>
      <w:tabs>
        <w:tab w:val="right" w:leader="dot" w:pos="9017"/>
      </w:tabs>
      <w:spacing w:after="60"/>
      <w:ind w:left="1361" w:right="340" w:hanging="340"/>
    </w:pPr>
  </w:style>
  <w:style w:type="paragraph" w:styleId="TOC5">
    <w:name w:val="toc 5"/>
    <w:basedOn w:val="Normal"/>
    <w:next w:val="Normal"/>
    <w:autoRedefine/>
    <w:uiPriority w:val="99"/>
    <w:semiHidden/>
    <w:rsid w:val="00517FF6"/>
    <w:pPr>
      <w:spacing w:after="60"/>
      <w:ind w:left="1701" w:right="340" w:hanging="340"/>
    </w:pPr>
  </w:style>
  <w:style w:type="paragraph" w:styleId="TOCHeading">
    <w:name w:val="TOC Heading"/>
    <w:basedOn w:val="Heading1"/>
    <w:next w:val="Normal"/>
    <w:uiPriority w:val="99"/>
    <w:semiHidden/>
    <w:qFormat/>
    <w:rsid w:val="00517FF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517FF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517FF6"/>
    <w:pPr>
      <w:spacing w:before="120" w:after="120"/>
      <w:ind w:left="425" w:firstLine="142"/>
    </w:pPr>
    <w:rPr>
      <w:sz w:val="20"/>
    </w:rPr>
  </w:style>
  <w:style w:type="paragraph" w:customStyle="1" w:styleId="ECHRPara">
    <w:name w:val="ECHR_Para"/>
    <w:aliases w:val="Ju_Para"/>
    <w:basedOn w:val="Normal"/>
    <w:link w:val="ECHRParaChar"/>
    <w:uiPriority w:val="12"/>
    <w:qFormat/>
    <w:rsid w:val="00517FF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17FF6"/>
    <w:rPr>
      <w:rFonts w:eastAsiaTheme="minorHAnsi"/>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517FF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517FF6"/>
    <w:pPr>
      <w:ind w:left="340" w:hanging="340"/>
    </w:pPr>
  </w:style>
  <w:style w:type="paragraph" w:customStyle="1" w:styleId="JuSigned">
    <w:name w:val="Ju_Signed"/>
    <w:basedOn w:val="Normal"/>
    <w:next w:val="JuParaLast"/>
    <w:uiPriority w:val="32"/>
    <w:qFormat/>
    <w:rsid w:val="00517FF6"/>
    <w:pPr>
      <w:tabs>
        <w:tab w:val="center" w:pos="851"/>
        <w:tab w:val="center" w:pos="6407"/>
      </w:tabs>
      <w:spacing w:before="720"/>
      <w:jc w:val="left"/>
    </w:pPr>
  </w:style>
  <w:style w:type="paragraph" w:customStyle="1" w:styleId="JuParaLast">
    <w:name w:val="Ju_Para_Last"/>
    <w:basedOn w:val="Normal"/>
    <w:next w:val="ECHRPara"/>
    <w:uiPriority w:val="30"/>
    <w:qFormat/>
    <w:rsid w:val="00517FF6"/>
    <w:pPr>
      <w:keepNext/>
      <w:keepLines/>
      <w:spacing w:before="240"/>
      <w:ind w:firstLine="284"/>
    </w:pPr>
  </w:style>
  <w:style w:type="character" w:customStyle="1" w:styleId="JuITMark">
    <w:name w:val="Ju_ITMark"/>
    <w:basedOn w:val="DefaultParagraphFont"/>
    <w:uiPriority w:val="38"/>
    <w:qFormat/>
    <w:rsid w:val="00517FF6"/>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517FF6"/>
    <w:pPr>
      <w:ind w:left="346" w:firstLine="0"/>
    </w:pPr>
  </w:style>
  <w:style w:type="paragraph" w:customStyle="1" w:styleId="JuListi">
    <w:name w:val="Ju_List_i"/>
    <w:basedOn w:val="Normal"/>
    <w:next w:val="JuLista"/>
    <w:uiPriority w:val="28"/>
    <w:qFormat/>
    <w:rsid w:val="00517FF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semiHidden/>
    <w:qFormat/>
    <w:rsid w:val="00517FF6"/>
    <w:pPr>
      <w:jc w:val="center"/>
      <w:outlineLvl w:val="0"/>
    </w:pPr>
    <w:rPr>
      <w:i/>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qFormat/>
    <w:rsid w:val="00517FF6"/>
  </w:style>
  <w:style w:type="paragraph" w:styleId="Subtitle">
    <w:name w:val="Subtitle"/>
    <w:basedOn w:val="Normal"/>
    <w:next w:val="Normal"/>
    <w:link w:val="SubtitleChar"/>
    <w:uiPriority w:val="99"/>
    <w:semiHidden/>
    <w:qFormat/>
    <w:rsid w:val="00517FF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517FF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517FF6"/>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qFormat/>
    <w:rsid w:val="00517FF6"/>
    <w:pPr>
      <w:spacing w:before="240"/>
      <w:ind w:left="284"/>
    </w:pPr>
  </w:style>
  <w:style w:type="paragraph" w:customStyle="1" w:styleId="OpiH1">
    <w:name w:val="Opi_H_1"/>
    <w:basedOn w:val="ECHRHeading2"/>
    <w:uiPriority w:val="42"/>
    <w:semiHidden/>
    <w:qFormat/>
    <w:rsid w:val="00517FF6"/>
    <w:pPr>
      <w:ind w:left="635" w:hanging="357"/>
      <w:outlineLvl w:val="2"/>
    </w:pPr>
  </w:style>
  <w:style w:type="paragraph" w:customStyle="1" w:styleId="OpiHa0">
    <w:name w:val="Opi_H_a"/>
    <w:basedOn w:val="ECHRHeading3"/>
    <w:uiPriority w:val="43"/>
    <w:semiHidden/>
    <w:qFormat/>
    <w:rsid w:val="00517FF6"/>
    <w:pPr>
      <w:ind w:left="833" w:hanging="357"/>
      <w:outlineLvl w:val="3"/>
    </w:pPr>
    <w:rPr>
      <w:b/>
      <w:i w:val="0"/>
      <w:sz w:val="20"/>
    </w:rPr>
  </w:style>
  <w:style w:type="paragraph" w:customStyle="1" w:styleId="OpiHi">
    <w:name w:val="Opi_H_i"/>
    <w:basedOn w:val="ECHRHeading4"/>
    <w:uiPriority w:val="44"/>
    <w:semiHidden/>
    <w:qFormat/>
    <w:rsid w:val="00517FF6"/>
    <w:pPr>
      <w:ind w:left="1037" w:hanging="357"/>
      <w:outlineLvl w:val="4"/>
    </w:pPr>
    <w:rPr>
      <w:b w:val="0"/>
      <w:i/>
    </w:rPr>
  </w:style>
  <w:style w:type="paragraph" w:customStyle="1" w:styleId="DummyStyle">
    <w:name w:val="Dummy_Style"/>
    <w:basedOn w:val="Normal"/>
    <w:semiHidden/>
    <w:qFormat/>
    <w:rsid w:val="00517FF6"/>
    <w:rPr>
      <w:color w:val="00B050"/>
      <w:lang w:bidi="en-US"/>
    </w:rPr>
  </w:style>
  <w:style w:type="character" w:customStyle="1" w:styleId="ECHRParaChar">
    <w:name w:val="ECHR_Para Char"/>
    <w:aliases w:val="Ju_Para Char"/>
    <w:basedOn w:val="DefaultParagraphFont"/>
    <w:link w:val="ECHRPara"/>
    <w:uiPriority w:val="12"/>
    <w:rsid w:val="005C518E"/>
    <w:rPr>
      <w:rFonts w:eastAsiaTheme="minorEastAsia"/>
      <w:sz w:val="24"/>
    </w:rPr>
  </w:style>
  <w:style w:type="paragraph" w:customStyle="1" w:styleId="jupara">
    <w:name w:val="jupara"/>
    <w:basedOn w:val="Normal"/>
    <w:rsid w:val="003179AF"/>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3179AF"/>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257241">
      <w:bodyDiv w:val="1"/>
      <w:marLeft w:val="0"/>
      <w:marRight w:val="0"/>
      <w:marTop w:val="0"/>
      <w:marBottom w:val="0"/>
      <w:divBdr>
        <w:top w:val="none" w:sz="0" w:space="0" w:color="auto"/>
        <w:left w:val="none" w:sz="0" w:space="0" w:color="auto"/>
        <w:bottom w:val="none" w:sz="0" w:space="0" w:color="auto"/>
        <w:right w:val="none" w:sz="0" w:space="0" w:color="auto"/>
      </w:divBdr>
      <w:divsChild>
        <w:div w:id="354431981">
          <w:marLeft w:val="0"/>
          <w:marRight w:val="0"/>
          <w:marTop w:val="0"/>
          <w:marBottom w:val="0"/>
          <w:divBdr>
            <w:top w:val="none" w:sz="0" w:space="0" w:color="auto"/>
            <w:left w:val="none" w:sz="0" w:space="0" w:color="auto"/>
            <w:bottom w:val="none" w:sz="0" w:space="0" w:color="auto"/>
            <w:right w:val="none" w:sz="0" w:space="0" w:color="auto"/>
          </w:divBdr>
          <w:divsChild>
            <w:div w:id="1256594778">
              <w:marLeft w:val="0"/>
              <w:marRight w:val="0"/>
              <w:marTop w:val="0"/>
              <w:marBottom w:val="0"/>
              <w:divBdr>
                <w:top w:val="none" w:sz="0" w:space="0" w:color="auto"/>
                <w:left w:val="none" w:sz="0" w:space="0" w:color="auto"/>
                <w:bottom w:val="none" w:sz="0" w:space="0" w:color="auto"/>
                <w:right w:val="none" w:sz="0" w:space="0" w:color="auto"/>
              </w:divBdr>
              <w:divsChild>
                <w:div w:id="1585066339">
                  <w:marLeft w:val="0"/>
                  <w:marRight w:val="0"/>
                  <w:marTop w:val="0"/>
                  <w:marBottom w:val="0"/>
                  <w:divBdr>
                    <w:top w:val="none" w:sz="0" w:space="0" w:color="auto"/>
                    <w:left w:val="none" w:sz="0" w:space="0" w:color="auto"/>
                    <w:bottom w:val="none" w:sz="0" w:space="0" w:color="auto"/>
                    <w:right w:val="none" w:sz="0" w:space="0" w:color="auto"/>
                  </w:divBdr>
                  <w:divsChild>
                    <w:div w:id="682975284">
                      <w:marLeft w:val="0"/>
                      <w:marRight w:val="0"/>
                      <w:marTop w:val="0"/>
                      <w:marBottom w:val="0"/>
                      <w:divBdr>
                        <w:top w:val="none" w:sz="0" w:space="0" w:color="auto"/>
                        <w:left w:val="none" w:sz="0" w:space="0" w:color="auto"/>
                        <w:bottom w:val="none" w:sz="0" w:space="0" w:color="auto"/>
                        <w:right w:val="none" w:sz="0" w:space="0" w:color="auto"/>
                      </w:divBdr>
                      <w:divsChild>
                        <w:div w:id="525558718">
                          <w:marLeft w:val="0"/>
                          <w:marRight w:val="0"/>
                          <w:marTop w:val="0"/>
                          <w:marBottom w:val="0"/>
                          <w:divBdr>
                            <w:top w:val="none" w:sz="0" w:space="0" w:color="auto"/>
                            <w:left w:val="none" w:sz="0" w:space="0" w:color="auto"/>
                            <w:bottom w:val="none" w:sz="0" w:space="0" w:color="auto"/>
                            <w:right w:val="none" w:sz="0" w:space="0" w:color="auto"/>
                          </w:divBdr>
                          <w:divsChild>
                            <w:div w:id="3407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04243-24F0-4C5D-991D-07A8EBF64527}"/>
</file>

<file path=customXml/itemProps2.xml><?xml version="1.0" encoding="utf-8"?>
<ds:datastoreItem xmlns:ds="http://schemas.openxmlformats.org/officeDocument/2006/customXml" ds:itemID="{32A95878-6B0C-4C94-93E5-7EFE29CE3887}"/>
</file>

<file path=customXml/itemProps3.xml><?xml version="1.0" encoding="utf-8"?>
<ds:datastoreItem xmlns:ds="http://schemas.openxmlformats.org/officeDocument/2006/customXml" ds:itemID="{BDEBFE09-E302-48DB-A593-48FBD49A039C}"/>
</file>

<file path=customXml/itemProps4.xml><?xml version="1.0" encoding="utf-8"?>
<ds:datastoreItem xmlns:ds="http://schemas.openxmlformats.org/officeDocument/2006/customXml" ds:itemID="{8818FC92-B9A2-46F1-805C-01A419462BB1}"/>
</file>

<file path=docProps/app.xml><?xml version="1.0" encoding="utf-8"?>
<Properties xmlns="http://schemas.openxmlformats.org/officeDocument/2006/extended-properties" xmlns:vt="http://schemas.openxmlformats.org/officeDocument/2006/docPropsVTypes">
  <Template>Normal.dotm</Template>
  <TotalTime>0</TotalTime>
  <Pages>1</Pages>
  <Words>18200</Words>
  <Characters>103745</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cp:lastPrinted>2015-11-23T15:09:00Z</cp:lastPrinted>
  <dcterms:created xsi:type="dcterms:W3CDTF">2017-09-19T08:33:00Z</dcterms:created>
  <dcterms:modified xsi:type="dcterms:W3CDTF">2017-09-19T08:33:00Z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