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55305" w:rsidR="00014566" w:rsidP="00F55305" w:rsidRDefault="00014566">
      <w:pPr>
        <w:pStyle w:val="ECHRDecisionBody"/>
        <w:rPr>
          <w:lang w:val="en-GB"/>
        </w:rPr>
      </w:pPr>
      <w:bookmarkStart w:name="_GoBack" w:id="0"/>
      <w:bookmarkEnd w:id="0"/>
    </w:p>
    <w:p w:rsidRPr="00F55305" w:rsidR="00CE7865" w:rsidP="00F55305" w:rsidRDefault="00CE7865">
      <w:pPr>
        <w:pStyle w:val="ECHRDecisionBody"/>
        <w:rPr>
          <w:lang w:val="en-GB"/>
        </w:rPr>
      </w:pPr>
    </w:p>
    <w:p w:rsidRPr="00F55305" w:rsidR="00CE7865" w:rsidP="00F55305" w:rsidRDefault="00CE7865">
      <w:pPr>
        <w:pStyle w:val="ECHRDecisionBody"/>
        <w:rPr>
          <w:lang w:val="en-GB"/>
        </w:rPr>
      </w:pPr>
    </w:p>
    <w:p w:rsidRPr="00F55305" w:rsidR="00014566" w:rsidP="00F55305" w:rsidRDefault="00CE7865">
      <w:pPr>
        <w:jc w:val="center"/>
        <w:rPr>
          <w:lang w:val="en-GB"/>
        </w:rPr>
      </w:pPr>
      <w:r w:rsidRPr="00F55305">
        <w:rPr>
          <w:lang w:val="en-GB"/>
        </w:rPr>
        <w:t>FIFTH SECTION</w:t>
      </w:r>
    </w:p>
    <w:p w:rsidRPr="00F55305" w:rsidR="00CE7865" w:rsidP="00F55305" w:rsidRDefault="00CE7865">
      <w:pPr>
        <w:jc w:val="center"/>
        <w:rPr>
          <w:lang w:val="en-GB"/>
        </w:rPr>
      </w:pPr>
    </w:p>
    <w:p w:rsidRPr="00F55305" w:rsidR="00DC5F3C" w:rsidP="00F55305" w:rsidRDefault="00DC5F3C">
      <w:pPr>
        <w:jc w:val="center"/>
        <w:rPr>
          <w:lang w:val="en-GB"/>
        </w:rPr>
      </w:pPr>
    </w:p>
    <w:p w:rsidRPr="00F55305" w:rsidR="00CE7865" w:rsidP="00F55305" w:rsidRDefault="00CE7865">
      <w:pPr>
        <w:jc w:val="center"/>
        <w:rPr>
          <w:lang w:val="en-GB"/>
        </w:rPr>
      </w:pPr>
    </w:p>
    <w:p w:rsidRPr="00F55305" w:rsidR="00877C51" w:rsidP="00F55305" w:rsidRDefault="00877C51">
      <w:pPr>
        <w:jc w:val="center"/>
        <w:rPr>
          <w:lang w:val="en-GB"/>
        </w:rPr>
      </w:pPr>
    </w:p>
    <w:p w:rsidRPr="00F55305" w:rsidR="00CE7865" w:rsidP="00F55305" w:rsidRDefault="00CE7865">
      <w:pPr>
        <w:jc w:val="center"/>
        <w:rPr>
          <w:lang w:val="en-GB"/>
        </w:rPr>
      </w:pPr>
    </w:p>
    <w:p w:rsidRPr="00F55305" w:rsidR="00CE7865" w:rsidP="00F55305" w:rsidRDefault="00CE7865">
      <w:pPr>
        <w:jc w:val="center"/>
        <w:rPr>
          <w:lang w:val="en-GB"/>
        </w:rPr>
      </w:pPr>
    </w:p>
    <w:p w:rsidRPr="00F55305" w:rsidR="00014566" w:rsidP="00F55305" w:rsidRDefault="00014566">
      <w:pPr>
        <w:jc w:val="center"/>
        <w:rPr>
          <w:b/>
          <w:lang w:val="en-GB"/>
        </w:rPr>
      </w:pPr>
      <w:bookmarkStart w:name="To" w:id="1"/>
      <w:r w:rsidRPr="00F55305">
        <w:rPr>
          <w:b/>
          <w:lang w:val="en-GB"/>
        </w:rPr>
        <w:t xml:space="preserve">CASE OF </w:t>
      </w:r>
      <w:bookmarkEnd w:id="1"/>
      <w:r w:rsidRPr="00F55305" w:rsidR="00CE7865">
        <w:rPr>
          <w:b/>
          <w:lang w:val="en-GB"/>
        </w:rPr>
        <w:t>D.L. v. BULGARIA</w:t>
      </w:r>
    </w:p>
    <w:p w:rsidRPr="00F55305" w:rsidR="00014566" w:rsidP="00F55305" w:rsidRDefault="00014566">
      <w:pPr>
        <w:jc w:val="center"/>
        <w:rPr>
          <w:lang w:val="en-GB"/>
        </w:rPr>
      </w:pPr>
    </w:p>
    <w:p w:rsidRPr="00F55305" w:rsidR="00014566" w:rsidP="00F55305" w:rsidRDefault="00014566">
      <w:pPr>
        <w:jc w:val="center"/>
        <w:rPr>
          <w:i/>
          <w:lang w:val="en-GB"/>
        </w:rPr>
      </w:pPr>
      <w:r w:rsidRPr="00F55305">
        <w:rPr>
          <w:i/>
          <w:lang w:val="en-GB"/>
        </w:rPr>
        <w:t>(</w:t>
      </w:r>
      <w:r w:rsidRPr="00F55305" w:rsidR="00CE7865">
        <w:rPr>
          <w:i/>
          <w:lang w:val="en-GB"/>
        </w:rPr>
        <w:t>Application no. 7472/14</w:t>
      </w:r>
      <w:r w:rsidRPr="00F55305">
        <w:rPr>
          <w:i/>
          <w:lang w:val="en-GB"/>
        </w:rPr>
        <w:t>)</w:t>
      </w:r>
    </w:p>
    <w:p w:rsidRPr="00F55305" w:rsidR="00014566" w:rsidP="00F55305" w:rsidRDefault="00014566">
      <w:pPr>
        <w:jc w:val="center"/>
        <w:rPr>
          <w:lang w:val="en-GB"/>
        </w:rPr>
      </w:pPr>
    </w:p>
    <w:p w:rsidRPr="00F55305" w:rsidR="00014566" w:rsidP="00F55305" w:rsidRDefault="00014566">
      <w:pPr>
        <w:jc w:val="center"/>
        <w:rPr>
          <w:lang w:val="en-GB"/>
        </w:rPr>
      </w:pPr>
    </w:p>
    <w:p w:rsidRPr="00F55305" w:rsidR="00014566" w:rsidP="00F55305" w:rsidRDefault="00014566">
      <w:pPr>
        <w:jc w:val="center"/>
        <w:rPr>
          <w:lang w:val="en-GB"/>
        </w:rPr>
      </w:pPr>
    </w:p>
    <w:p w:rsidRPr="00F55305" w:rsidR="00014566" w:rsidP="00F55305" w:rsidRDefault="00014566">
      <w:pPr>
        <w:jc w:val="center"/>
        <w:rPr>
          <w:lang w:val="en-GB"/>
        </w:rPr>
      </w:pPr>
    </w:p>
    <w:p w:rsidRPr="00F55305" w:rsidR="00014566" w:rsidP="00F55305" w:rsidRDefault="00014566">
      <w:pPr>
        <w:jc w:val="center"/>
        <w:rPr>
          <w:lang w:val="en-GB"/>
        </w:rPr>
      </w:pPr>
    </w:p>
    <w:p w:rsidRPr="00F55305" w:rsidR="00014566" w:rsidP="00F55305" w:rsidRDefault="00CE7865">
      <w:pPr>
        <w:jc w:val="center"/>
        <w:rPr>
          <w:szCs w:val="24"/>
          <w:lang w:val="en-GB"/>
        </w:rPr>
      </w:pPr>
      <w:r w:rsidRPr="00F55305">
        <w:rPr>
          <w:szCs w:val="24"/>
          <w:lang w:val="en-GB"/>
        </w:rPr>
        <w:t>JUDGMENT</w:t>
      </w:r>
    </w:p>
    <w:p w:rsidRPr="00F55305" w:rsidR="00014566" w:rsidP="00F55305" w:rsidRDefault="00014566">
      <w:pPr>
        <w:jc w:val="center"/>
        <w:rPr>
          <w:szCs w:val="24"/>
          <w:lang w:val="en-GB"/>
        </w:rPr>
      </w:pPr>
      <w:r w:rsidRPr="00F55305">
        <w:rPr>
          <w:szCs w:val="24"/>
          <w:lang w:val="en-GB"/>
        </w:rPr>
        <w:t>(</w:t>
      </w:r>
      <w:r w:rsidRPr="00F55305" w:rsidR="00DC5F3C">
        <w:rPr>
          <w:szCs w:val="24"/>
          <w:lang w:val="en-GB"/>
        </w:rPr>
        <w:t>Extracts</w:t>
      </w:r>
      <w:r w:rsidRPr="00F55305">
        <w:rPr>
          <w:szCs w:val="24"/>
          <w:lang w:val="en-GB"/>
        </w:rPr>
        <w:t>)</w:t>
      </w:r>
    </w:p>
    <w:p w:rsidRPr="00F55305" w:rsidR="00014566" w:rsidP="00F55305" w:rsidRDefault="00014566">
      <w:pPr>
        <w:rPr>
          <w:szCs w:val="24"/>
          <w:lang w:val="en-GB"/>
        </w:rPr>
      </w:pPr>
    </w:p>
    <w:p w:rsidRPr="00F55305" w:rsidR="00CE7865" w:rsidP="00F55305" w:rsidRDefault="00CE7865">
      <w:pPr>
        <w:pStyle w:val="JuCase"/>
        <w:ind w:firstLine="0"/>
        <w:jc w:val="center"/>
        <w:rPr>
          <w:b w:val="0"/>
          <w:lang w:val="en-GB"/>
        </w:rPr>
      </w:pPr>
    </w:p>
    <w:p w:rsidRPr="00F55305" w:rsidR="00877C51" w:rsidP="00F55305" w:rsidRDefault="00877C51">
      <w:pPr>
        <w:pStyle w:val="ECHRPara"/>
        <w:rPr>
          <w:lang w:val="en-GB"/>
        </w:rPr>
      </w:pPr>
    </w:p>
    <w:p w:rsidRPr="00F55305" w:rsidR="00CE7865" w:rsidP="00F55305" w:rsidRDefault="00CE7865">
      <w:pPr>
        <w:pStyle w:val="JuCase"/>
        <w:ind w:firstLine="0"/>
        <w:jc w:val="center"/>
        <w:rPr>
          <w:b w:val="0"/>
          <w:lang w:val="en-GB"/>
        </w:rPr>
      </w:pPr>
      <w:r w:rsidRPr="00F55305">
        <w:rPr>
          <w:b w:val="0"/>
          <w:lang w:val="en-GB"/>
        </w:rPr>
        <w:t>STRASBOURG</w:t>
      </w:r>
    </w:p>
    <w:p w:rsidRPr="00F55305" w:rsidR="00CE7865" w:rsidP="00F55305" w:rsidRDefault="00CE7865">
      <w:pPr>
        <w:pStyle w:val="JuCase"/>
        <w:ind w:firstLine="0"/>
        <w:jc w:val="center"/>
        <w:rPr>
          <w:b w:val="0"/>
          <w:lang w:val="en-GB"/>
        </w:rPr>
      </w:pPr>
    </w:p>
    <w:p w:rsidRPr="00F55305" w:rsidR="00CE7865" w:rsidP="00F55305" w:rsidRDefault="00DC5F3C">
      <w:pPr>
        <w:pStyle w:val="JuCase"/>
        <w:ind w:firstLine="0"/>
        <w:jc w:val="center"/>
        <w:rPr>
          <w:b w:val="0"/>
          <w:lang w:val="en-GB"/>
        </w:rPr>
      </w:pPr>
      <w:r w:rsidRPr="00F55305">
        <w:rPr>
          <w:b w:val="0"/>
          <w:lang w:val="en-GB"/>
        </w:rPr>
        <w:t>19 May 2016</w:t>
      </w:r>
    </w:p>
    <w:p w:rsidRPr="00F55305" w:rsidR="00CE7865" w:rsidP="00F55305" w:rsidRDefault="00CE7865">
      <w:pPr>
        <w:pStyle w:val="JuCase"/>
        <w:ind w:firstLine="0"/>
        <w:jc w:val="center"/>
        <w:rPr>
          <w:b w:val="0"/>
          <w:lang w:val="en-GB"/>
        </w:rPr>
      </w:pPr>
    </w:p>
    <w:p w:rsidRPr="00F55305" w:rsidR="00877C51" w:rsidP="00F55305" w:rsidRDefault="00877C51">
      <w:pPr>
        <w:pStyle w:val="ECHRPara"/>
        <w:rPr>
          <w:lang w:val="en-GB"/>
        </w:rPr>
      </w:pPr>
    </w:p>
    <w:p w:rsidRPr="00F55305" w:rsidR="00877C51" w:rsidP="00F55305" w:rsidRDefault="00877C51">
      <w:pPr>
        <w:jc w:val="center"/>
        <w:rPr>
          <w:color w:val="FF0000"/>
          <w:sz w:val="28"/>
          <w:szCs w:val="28"/>
          <w:u w:val="single"/>
          <w:lang w:val="en-GB"/>
        </w:rPr>
      </w:pPr>
      <w:r w:rsidRPr="00F55305">
        <w:rPr>
          <w:color w:val="FF0000"/>
          <w:sz w:val="28"/>
          <w:szCs w:val="28"/>
          <w:u w:val="single"/>
          <w:lang w:val="en-GB"/>
        </w:rPr>
        <w:t>FINAL</w:t>
      </w:r>
    </w:p>
    <w:p w:rsidRPr="00F55305" w:rsidR="00877C51" w:rsidP="00F55305" w:rsidRDefault="00877C51">
      <w:pPr>
        <w:rPr>
          <w:lang w:val="en-GB"/>
        </w:rPr>
      </w:pPr>
    </w:p>
    <w:p w:rsidRPr="00F55305" w:rsidR="00877C51" w:rsidP="00F55305" w:rsidRDefault="00877C51">
      <w:pPr>
        <w:pStyle w:val="JuCase"/>
        <w:ind w:firstLine="0"/>
        <w:jc w:val="center"/>
        <w:rPr>
          <w:b w:val="0"/>
          <w:lang w:val="en-GB"/>
        </w:rPr>
      </w:pPr>
      <w:r w:rsidRPr="00F55305">
        <w:rPr>
          <w:b w:val="0"/>
          <w:color w:val="FF0000"/>
          <w:sz w:val="28"/>
          <w:szCs w:val="28"/>
          <w:lang w:val="en-GB"/>
        </w:rPr>
        <w:t>17/10/2016</w:t>
      </w:r>
    </w:p>
    <w:p w:rsidRPr="00F55305" w:rsidR="00877C51" w:rsidP="00F55305" w:rsidRDefault="00877C51">
      <w:pPr>
        <w:pStyle w:val="JuCase"/>
        <w:ind w:firstLine="0"/>
        <w:jc w:val="center"/>
        <w:rPr>
          <w:b w:val="0"/>
          <w:lang w:val="en-GB"/>
        </w:rPr>
      </w:pPr>
    </w:p>
    <w:p w:rsidRPr="00F55305" w:rsidR="00CE7865" w:rsidP="00F55305" w:rsidRDefault="00877C51">
      <w:pPr>
        <w:pStyle w:val="JuCase"/>
        <w:ind w:firstLine="0"/>
        <w:jc w:val="center"/>
        <w:rPr>
          <w:b w:val="0"/>
          <w:lang w:val="en-GB"/>
        </w:rPr>
      </w:pPr>
      <w:r w:rsidRPr="00F55305">
        <w:rPr>
          <w:b w:val="0"/>
          <w:i/>
          <w:iCs/>
          <w:lang w:val="en-GB"/>
        </w:rPr>
        <w:t xml:space="preserve">This judgment has become final under </w:t>
      </w:r>
      <w:r w:rsidRPr="00F55305" w:rsidR="000F2B78">
        <w:rPr>
          <w:b w:val="0"/>
          <w:i/>
          <w:iCs/>
          <w:lang w:val="en-GB"/>
        </w:rPr>
        <w:t>Article 4</w:t>
      </w:r>
      <w:r w:rsidRPr="00F55305">
        <w:rPr>
          <w:b w:val="0"/>
          <w:i/>
          <w:iCs/>
          <w:lang w:val="en-GB"/>
        </w:rPr>
        <w:t>4 § 2 of the Convention.</w:t>
      </w:r>
      <w:r w:rsidRPr="00F55305">
        <w:rPr>
          <w:b w:val="0"/>
          <w:i/>
          <w:iCs/>
          <w:lang w:val="en-GB"/>
        </w:rPr>
        <w:br/>
        <w:t xml:space="preserve"> It may be subject to editorial revision.</w:t>
      </w:r>
    </w:p>
    <w:p w:rsidRPr="00F55305" w:rsidR="00CE7865" w:rsidP="00F55305" w:rsidRDefault="00CE7865">
      <w:pPr>
        <w:pStyle w:val="JuCase"/>
        <w:ind w:firstLine="0"/>
        <w:rPr>
          <w:b w:val="0"/>
          <w:lang w:val="en-GB"/>
        </w:rPr>
        <w:sectPr w:rsidRPr="00F55305" w:rsidR="00CE7865" w:rsidSect="00CE7865">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F55305" w:rsidR="00014566" w:rsidP="00F55305" w:rsidRDefault="00014566">
      <w:pPr>
        <w:pStyle w:val="JuCase"/>
        <w:rPr>
          <w:bCs/>
          <w:lang w:val="en-GB"/>
        </w:rPr>
      </w:pPr>
      <w:r w:rsidRPr="00F55305">
        <w:rPr>
          <w:lang w:val="en-GB"/>
        </w:rPr>
        <w:t xml:space="preserve">In the case of </w:t>
      </w:r>
      <w:r w:rsidRPr="00F55305" w:rsidR="00CE7865">
        <w:rPr>
          <w:lang w:val="en-GB"/>
        </w:rPr>
        <w:t>D.L. v. Bulgaria</w:t>
      </w:r>
      <w:r w:rsidRPr="00F55305">
        <w:rPr>
          <w:lang w:val="en-GB"/>
        </w:rPr>
        <w:t>,</w:t>
      </w:r>
    </w:p>
    <w:p w:rsidRPr="00F55305" w:rsidR="00014566" w:rsidP="00F55305" w:rsidRDefault="00014566">
      <w:pPr>
        <w:pStyle w:val="ECHRPara"/>
        <w:rPr>
          <w:lang w:val="en-GB"/>
        </w:rPr>
      </w:pPr>
      <w:r w:rsidRPr="00F55305">
        <w:rPr>
          <w:lang w:val="en-GB"/>
        </w:rPr>
        <w:t>The European Court of Human Rights (</w:t>
      </w:r>
      <w:r w:rsidRPr="00F55305" w:rsidR="00CE7865">
        <w:rPr>
          <w:lang w:val="en-GB"/>
        </w:rPr>
        <w:t>Fifth Section</w:t>
      </w:r>
      <w:r w:rsidRPr="00F55305">
        <w:rPr>
          <w:lang w:val="en-GB"/>
        </w:rPr>
        <w:t xml:space="preserve">), sitting as a </w:t>
      </w:r>
      <w:r w:rsidRPr="00F55305" w:rsidR="00CE7865">
        <w:rPr>
          <w:lang w:val="en-GB"/>
        </w:rPr>
        <w:t>Chamber</w:t>
      </w:r>
      <w:r w:rsidRPr="00F55305">
        <w:rPr>
          <w:lang w:val="en-GB"/>
        </w:rPr>
        <w:t xml:space="preserve"> composed of:</w:t>
      </w:r>
    </w:p>
    <w:p w:rsidRPr="00F55305" w:rsidR="00014566" w:rsidP="00F55305" w:rsidRDefault="00877C51">
      <w:pPr>
        <w:pStyle w:val="ECHRDecisionBody"/>
        <w:rPr>
          <w:lang w:val="en-GB"/>
        </w:rPr>
      </w:pPr>
      <w:r w:rsidRPr="00F55305">
        <w:rPr>
          <w:lang w:val="en-GB"/>
        </w:rPr>
        <w:tab/>
        <w:t>Angelika Nußberger,</w:t>
      </w:r>
      <w:r w:rsidRPr="00F55305">
        <w:rPr>
          <w:i/>
          <w:lang w:val="en-GB"/>
        </w:rPr>
        <w:t xml:space="preserve"> President</w:t>
      </w:r>
      <w:r w:rsidRPr="00F55305">
        <w:rPr>
          <w:lang w:val="en-GB"/>
        </w:rPr>
        <w:t>,</w:t>
      </w:r>
      <w:r w:rsidRPr="00F55305">
        <w:rPr>
          <w:i/>
          <w:lang w:val="en-GB"/>
        </w:rPr>
        <w:br/>
      </w:r>
      <w:r w:rsidRPr="00F55305">
        <w:rPr>
          <w:lang w:val="en-GB"/>
        </w:rPr>
        <w:tab/>
        <w:t>Ganna Yudkivska,</w:t>
      </w:r>
      <w:r w:rsidRPr="00F55305">
        <w:rPr>
          <w:i/>
          <w:lang w:val="en-GB"/>
        </w:rPr>
        <w:br/>
      </w:r>
      <w:r w:rsidRPr="00F55305">
        <w:rPr>
          <w:lang w:val="en-GB"/>
        </w:rPr>
        <w:tab/>
        <w:t>Khanlar Hajiyev,</w:t>
      </w:r>
      <w:r w:rsidRPr="00F55305">
        <w:rPr>
          <w:i/>
          <w:lang w:val="en-GB"/>
        </w:rPr>
        <w:br/>
      </w:r>
      <w:r w:rsidRPr="00F55305">
        <w:rPr>
          <w:lang w:val="en-GB"/>
        </w:rPr>
        <w:tab/>
        <w:t>André Potocki,</w:t>
      </w:r>
      <w:r w:rsidRPr="00F55305">
        <w:rPr>
          <w:i/>
          <w:lang w:val="en-GB"/>
        </w:rPr>
        <w:br/>
      </w:r>
      <w:r w:rsidRPr="00F55305">
        <w:rPr>
          <w:lang w:val="en-GB"/>
        </w:rPr>
        <w:tab/>
        <w:t>Yonko Grozev,</w:t>
      </w:r>
      <w:r w:rsidRPr="00F55305">
        <w:rPr>
          <w:i/>
          <w:lang w:val="en-GB"/>
        </w:rPr>
        <w:br/>
      </w:r>
      <w:r w:rsidRPr="00F55305">
        <w:rPr>
          <w:lang w:val="en-GB"/>
        </w:rPr>
        <w:tab/>
        <w:t>Síofra O</w:t>
      </w:r>
      <w:r w:rsidRPr="00F55305" w:rsidR="00F55305">
        <w:rPr>
          <w:lang w:val="en-GB"/>
        </w:rPr>
        <w:t>’</w:t>
      </w:r>
      <w:r w:rsidRPr="00F55305">
        <w:rPr>
          <w:lang w:val="en-GB"/>
        </w:rPr>
        <w:t>Leary,</w:t>
      </w:r>
      <w:r w:rsidRPr="00F55305">
        <w:rPr>
          <w:i/>
          <w:lang w:val="en-GB"/>
        </w:rPr>
        <w:br/>
      </w:r>
      <w:r w:rsidRPr="00F55305">
        <w:rPr>
          <w:lang w:val="en-GB"/>
        </w:rPr>
        <w:tab/>
        <w:t>Mārtiņš Mits,</w:t>
      </w:r>
      <w:r w:rsidRPr="00F55305">
        <w:rPr>
          <w:i/>
          <w:lang w:val="en-GB"/>
        </w:rPr>
        <w:t xml:space="preserve"> judges</w:t>
      </w:r>
      <w:r w:rsidRPr="00F55305">
        <w:rPr>
          <w:lang w:val="en-GB"/>
        </w:rPr>
        <w:t>,</w:t>
      </w:r>
      <w:r w:rsidRPr="00F55305">
        <w:rPr>
          <w:i/>
          <w:lang w:val="en-GB"/>
        </w:rPr>
        <w:br/>
      </w:r>
      <w:r w:rsidRPr="00F55305" w:rsidR="00014566">
        <w:rPr>
          <w:lang w:val="en-GB"/>
        </w:rPr>
        <w:t xml:space="preserve">and </w:t>
      </w:r>
      <w:r w:rsidRPr="00F55305" w:rsidR="00AF2FFC">
        <w:rPr>
          <w:lang w:val="en-GB"/>
        </w:rPr>
        <w:t>Milan Bla</w:t>
      </w:r>
      <w:r w:rsidRPr="00F55305" w:rsidR="00AF2FFC">
        <w:rPr>
          <w:rFonts w:cstheme="minorHAnsi"/>
          <w:lang w:val="en-GB"/>
        </w:rPr>
        <w:t>š</w:t>
      </w:r>
      <w:r w:rsidRPr="00F55305" w:rsidR="00AF2FFC">
        <w:rPr>
          <w:lang w:val="en-GB"/>
        </w:rPr>
        <w:t>ko</w:t>
      </w:r>
      <w:r w:rsidRPr="00F55305" w:rsidR="00014566">
        <w:rPr>
          <w:lang w:val="en-GB"/>
        </w:rPr>
        <w:t xml:space="preserve">, </w:t>
      </w:r>
      <w:r w:rsidRPr="00F55305" w:rsidR="00AF2FFC">
        <w:rPr>
          <w:i/>
          <w:lang w:val="en-GB"/>
        </w:rPr>
        <w:t xml:space="preserve">Deputy </w:t>
      </w:r>
      <w:r w:rsidRPr="00F55305" w:rsidR="00CE7865">
        <w:rPr>
          <w:i/>
          <w:lang w:val="en-GB"/>
        </w:rPr>
        <w:t xml:space="preserve">Section </w:t>
      </w:r>
      <w:r w:rsidRPr="00F55305" w:rsidR="00CE7865">
        <w:rPr>
          <w:i/>
          <w:iCs/>
          <w:lang w:val="en-GB"/>
        </w:rPr>
        <w:t>Registrar</w:t>
      </w:r>
      <w:r w:rsidRPr="00F55305" w:rsidR="00014566">
        <w:rPr>
          <w:lang w:val="en-GB"/>
        </w:rPr>
        <w:t>,</w:t>
      </w:r>
    </w:p>
    <w:p w:rsidRPr="00F55305" w:rsidR="00014566" w:rsidP="00F55305" w:rsidRDefault="00014566">
      <w:pPr>
        <w:pStyle w:val="ECHRPara"/>
        <w:rPr>
          <w:lang w:val="en-GB"/>
        </w:rPr>
      </w:pPr>
      <w:r w:rsidRPr="00F55305">
        <w:rPr>
          <w:lang w:val="en-GB"/>
        </w:rPr>
        <w:t xml:space="preserve">Having deliberated in private on </w:t>
      </w:r>
      <w:r w:rsidRPr="00F55305" w:rsidR="00AD34D3">
        <w:rPr>
          <w:lang w:val="en-GB"/>
        </w:rPr>
        <w:t>19 April 2016</w:t>
      </w:r>
      <w:r w:rsidRPr="00F55305">
        <w:rPr>
          <w:lang w:val="en-GB"/>
        </w:rPr>
        <w:t>,</w:t>
      </w:r>
    </w:p>
    <w:p w:rsidRPr="00F55305" w:rsidR="00014566" w:rsidP="00F55305" w:rsidRDefault="00014566">
      <w:pPr>
        <w:pStyle w:val="ECHRPara"/>
        <w:rPr>
          <w:lang w:val="en-GB"/>
        </w:rPr>
      </w:pPr>
      <w:r w:rsidRPr="00F55305">
        <w:rPr>
          <w:lang w:val="en-GB"/>
        </w:rPr>
        <w:t>Delivers the following judgment, which was adopted on that date:</w:t>
      </w:r>
    </w:p>
    <w:p w:rsidRPr="00F55305" w:rsidR="00014566" w:rsidP="00F55305" w:rsidRDefault="00014566">
      <w:pPr>
        <w:pStyle w:val="ECHRTitle1"/>
        <w:rPr>
          <w:lang w:val="en-GB"/>
        </w:rPr>
      </w:pPr>
      <w:r w:rsidRPr="00F55305">
        <w:rPr>
          <w:lang w:val="en-GB"/>
        </w:rPr>
        <w:t>PROCEDURE</w:t>
      </w:r>
    </w:p>
    <w:p w:rsidRPr="00F55305" w:rsidR="00711D81" w:rsidP="00F55305" w:rsidRDefault="00CE7865">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w:t>
      </w:r>
      <w:r w:rsidRPr="00F55305">
        <w:rPr>
          <w:lang w:val="en-GB"/>
        </w:rPr>
        <w:fldChar w:fldCharType="end"/>
      </w:r>
      <w:r w:rsidRPr="00F55305" w:rsidR="00014566">
        <w:rPr>
          <w:lang w:val="en-GB"/>
        </w:rPr>
        <w:t xml:space="preserve">.  The case originated in </w:t>
      </w:r>
      <w:r w:rsidRPr="00F55305">
        <w:rPr>
          <w:lang w:val="en-GB"/>
        </w:rPr>
        <w:t>an application (no. 7472/14)</w:t>
      </w:r>
      <w:r w:rsidRPr="00F55305" w:rsidR="00014566">
        <w:rPr>
          <w:lang w:val="en-GB"/>
        </w:rPr>
        <w:t xml:space="preserve"> against </w:t>
      </w:r>
      <w:r w:rsidRPr="00F55305">
        <w:rPr>
          <w:lang w:val="en-GB"/>
        </w:rPr>
        <w:t>the Republic of Bulgaria</w:t>
      </w:r>
      <w:r w:rsidRPr="00F55305" w:rsidR="00014566">
        <w:rPr>
          <w:lang w:val="en-GB"/>
        </w:rPr>
        <w:t xml:space="preserve"> lodged with the </w:t>
      </w:r>
      <w:r w:rsidRPr="00F55305">
        <w:rPr>
          <w:lang w:val="en-GB"/>
        </w:rPr>
        <w:t xml:space="preserve">Court under </w:t>
      </w:r>
      <w:r w:rsidRPr="00F55305" w:rsidR="000F2B78">
        <w:rPr>
          <w:lang w:val="en-GB"/>
        </w:rPr>
        <w:t>Article 3</w:t>
      </w:r>
      <w:r w:rsidRPr="00F55305">
        <w:rPr>
          <w:lang w:val="en-GB"/>
        </w:rPr>
        <w:t>4</w:t>
      </w:r>
      <w:r w:rsidRPr="00F55305" w:rsidR="00014566">
        <w:rPr>
          <w:lang w:val="en-GB"/>
        </w:rPr>
        <w:t xml:space="preserve"> of the Convention for the Protection of Human Rights and Fundamental Freedoms (</w:t>
      </w:r>
      <w:r w:rsidRPr="00F55305" w:rsidR="00142AD9">
        <w:rPr>
          <w:lang w:val="en-GB"/>
        </w:rPr>
        <w:t>“</w:t>
      </w:r>
      <w:r w:rsidRPr="00F55305" w:rsidR="00014566">
        <w:rPr>
          <w:lang w:val="en-GB"/>
        </w:rPr>
        <w:t>the Convention</w:t>
      </w:r>
      <w:r w:rsidRPr="00F55305" w:rsidR="00142AD9">
        <w:rPr>
          <w:lang w:val="en-GB"/>
        </w:rPr>
        <w:t>”</w:t>
      </w:r>
      <w:r w:rsidRPr="00F55305" w:rsidR="00014566">
        <w:rPr>
          <w:lang w:val="en-GB"/>
        </w:rPr>
        <w:t xml:space="preserve">) by </w:t>
      </w:r>
      <w:r w:rsidRPr="00F55305">
        <w:rPr>
          <w:lang w:val="en-GB"/>
        </w:rPr>
        <w:t>a Bulgarian national, D.L. (</w:t>
      </w:r>
      <w:r w:rsidRPr="00F55305" w:rsidR="00142AD9">
        <w:rPr>
          <w:lang w:val="en-GB"/>
        </w:rPr>
        <w:t>“</w:t>
      </w:r>
      <w:r w:rsidRPr="00F55305">
        <w:rPr>
          <w:lang w:val="en-GB"/>
        </w:rPr>
        <w:t>the applicant</w:t>
      </w:r>
      <w:r w:rsidRPr="00F55305" w:rsidR="00142AD9">
        <w:rPr>
          <w:lang w:val="en-GB"/>
        </w:rPr>
        <w:t>”</w:t>
      </w:r>
      <w:r w:rsidRPr="00F55305">
        <w:rPr>
          <w:lang w:val="en-GB"/>
        </w:rPr>
        <w:t xml:space="preserve">), on </w:t>
      </w:r>
      <w:r w:rsidRPr="00F55305" w:rsidR="00AD34D3">
        <w:rPr>
          <w:lang w:val="en-GB"/>
        </w:rPr>
        <w:t>16 </w:t>
      </w:r>
      <w:r w:rsidRPr="00F55305">
        <w:rPr>
          <w:lang w:val="en-GB"/>
        </w:rPr>
        <w:t>January 2014</w:t>
      </w:r>
      <w:r w:rsidRPr="00F55305" w:rsidR="00014566">
        <w:rPr>
          <w:lang w:val="en-GB"/>
        </w:rPr>
        <w:t>.</w:t>
      </w:r>
      <w:r w:rsidRPr="00F55305" w:rsidR="00E5235F">
        <w:rPr>
          <w:lang w:val="en-GB"/>
        </w:rPr>
        <w:t xml:space="preserve"> </w:t>
      </w:r>
      <w:bookmarkStart w:name="lt_pId002" w:id="2"/>
      <w:r w:rsidRPr="00F55305" w:rsidR="00711D81">
        <w:rPr>
          <w:lang w:val="en-GB"/>
        </w:rPr>
        <w:t>The application was received at the Court on 22 January 2014.</w:t>
      </w:r>
      <w:bookmarkEnd w:id="2"/>
      <w:r w:rsidRPr="00F55305" w:rsidR="00711D81">
        <w:rPr>
          <w:lang w:val="en-GB"/>
        </w:rPr>
        <w:t xml:space="preserve"> </w:t>
      </w:r>
      <w:bookmarkStart w:name="lt_pId003" w:id="3"/>
      <w:r w:rsidRPr="00F55305" w:rsidR="00711D81">
        <w:rPr>
          <w:lang w:val="en-GB"/>
        </w:rPr>
        <w:t>The Court decided of its own motion to grant the applicant anonymity (Ru</w:t>
      </w:r>
      <w:r w:rsidRPr="00F55305" w:rsidR="00FF0FEB">
        <w:rPr>
          <w:lang w:val="en-GB"/>
        </w:rPr>
        <w:t>le</w:t>
      </w:r>
      <w:r w:rsidRPr="00F55305" w:rsidR="000F2B78">
        <w:rPr>
          <w:lang w:val="en-GB"/>
        </w:rPr>
        <w:t xml:space="preserve"> 4</w:t>
      </w:r>
      <w:r w:rsidRPr="00F55305" w:rsidR="00711D81">
        <w:rPr>
          <w:lang w:val="en-GB"/>
        </w:rPr>
        <w:t>7 § 3 of the Rules of Court).</w:t>
      </w:r>
      <w:bookmarkEnd w:id="3"/>
    </w:p>
    <w:bookmarkStart w:name="lt_pId005" w:id="4"/>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w:t>
      </w:r>
      <w:r w:rsidRPr="00F55305">
        <w:rPr>
          <w:lang w:val="en-GB"/>
        </w:rPr>
        <w:fldChar w:fldCharType="end"/>
      </w:r>
      <w:r w:rsidRPr="00F55305">
        <w:rPr>
          <w:lang w:val="en-GB"/>
        </w:rPr>
        <w:t>.  The applicant was represented by Ms D.N. Fartunova, a lawyer and member of the Bulgarian Helsinki Committee (</w:t>
      </w:r>
      <w:r w:rsidRPr="00F55305" w:rsidR="00FF0FEB">
        <w:rPr>
          <w:lang w:val="en-GB"/>
        </w:rPr>
        <w:t>a</w:t>
      </w:r>
      <w:r w:rsidRPr="00F55305" w:rsidR="00911608">
        <w:rPr>
          <w:lang w:val="en-GB"/>
        </w:rPr>
        <w:t xml:space="preserve"> no</w:t>
      </w:r>
      <w:r w:rsidRPr="00F55305">
        <w:rPr>
          <w:lang w:val="en-GB"/>
        </w:rPr>
        <w:t>n-governmental organisation based in Sofia). The Bulgarian Government (</w:t>
      </w:r>
      <w:r w:rsidRPr="00F55305" w:rsidR="00142AD9">
        <w:rPr>
          <w:lang w:val="en-GB"/>
        </w:rPr>
        <w:t>“</w:t>
      </w:r>
      <w:r w:rsidRPr="00F55305">
        <w:rPr>
          <w:lang w:val="en-GB"/>
        </w:rPr>
        <w:t>the Government</w:t>
      </w:r>
      <w:r w:rsidRPr="00F55305" w:rsidR="00142AD9">
        <w:rPr>
          <w:lang w:val="en-GB"/>
        </w:rPr>
        <w:t>”</w:t>
      </w:r>
      <w:r w:rsidRPr="00F55305">
        <w:rPr>
          <w:lang w:val="en-GB"/>
        </w:rPr>
        <w:t>) were represented by their Agent, Ms R. Nikolova, of the Ministry of Justice.</w:t>
      </w:r>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w:t>
      </w:r>
      <w:r w:rsidRPr="00F55305">
        <w:rPr>
          <w:lang w:val="en-GB"/>
        </w:rPr>
        <w:fldChar w:fldCharType="end"/>
      </w:r>
      <w:r w:rsidRPr="00F55305">
        <w:rPr>
          <w:lang w:val="en-GB"/>
        </w:rPr>
        <w:t>.  </w:t>
      </w:r>
      <w:bookmarkStart w:name="lt_pId008" w:id="5"/>
      <w:r w:rsidRPr="00F55305" w:rsidR="00DA1CD2">
        <w:rPr>
          <w:lang w:val="en-GB"/>
        </w:rPr>
        <w:t xml:space="preserve">The applicant alleged that her placement in a correctional boarding school </w:t>
      </w:r>
      <w:r w:rsidRPr="00F55305">
        <w:rPr>
          <w:lang w:val="en-GB"/>
        </w:rPr>
        <w:t>(</w:t>
      </w:r>
      <w:r w:rsidRPr="00F55305">
        <w:rPr>
          <w:i/>
          <w:lang w:val="en-GB"/>
        </w:rPr>
        <w:t>възпитателно училище – интернат</w:t>
      </w:r>
      <w:r w:rsidRPr="00F55305">
        <w:rPr>
          <w:lang w:val="en-GB"/>
        </w:rPr>
        <w:t xml:space="preserve">) </w:t>
      </w:r>
      <w:r w:rsidRPr="00F55305" w:rsidR="00DA1CD2">
        <w:rPr>
          <w:lang w:val="en-GB"/>
        </w:rPr>
        <w:t>had been in breach of A</w:t>
      </w:r>
      <w:r w:rsidRPr="00F55305">
        <w:rPr>
          <w:lang w:val="en-GB"/>
        </w:rPr>
        <w:t xml:space="preserve">rticle 5 § 1 </w:t>
      </w:r>
      <w:r w:rsidRPr="00F55305" w:rsidR="00DA1CD2">
        <w:rPr>
          <w:lang w:val="en-GB"/>
        </w:rPr>
        <w:t>of the</w:t>
      </w:r>
      <w:r w:rsidRPr="00F55305">
        <w:rPr>
          <w:lang w:val="en-GB"/>
        </w:rPr>
        <w:t xml:space="preserve"> Convention </w:t>
      </w:r>
      <w:r w:rsidRPr="00F55305" w:rsidR="00DA1CD2">
        <w:rPr>
          <w:lang w:val="en-GB"/>
        </w:rPr>
        <w:t>and that</w:t>
      </w:r>
      <w:r w:rsidRPr="00F55305">
        <w:rPr>
          <w:lang w:val="en-GB"/>
        </w:rPr>
        <w:t xml:space="preserve"> </w:t>
      </w:r>
      <w:r w:rsidRPr="00F55305" w:rsidR="00505525">
        <w:rPr>
          <w:lang w:val="en-GB"/>
        </w:rPr>
        <w:t xml:space="preserve">she had been unable to have </w:t>
      </w:r>
      <w:r w:rsidRPr="00F55305" w:rsidR="0017456E">
        <w:rPr>
          <w:lang w:val="en-GB"/>
        </w:rPr>
        <w:t>it</w:t>
      </w:r>
      <w:r w:rsidRPr="00F55305" w:rsidR="00505525">
        <w:rPr>
          <w:lang w:val="en-GB"/>
        </w:rPr>
        <w:t xml:space="preserve"> reviewed by a court at regular intervals </w:t>
      </w:r>
      <w:r w:rsidRPr="00F55305" w:rsidR="0017456E">
        <w:rPr>
          <w:lang w:val="en-GB"/>
        </w:rPr>
        <w:t>in accordance with</w:t>
      </w:r>
      <w:r w:rsidRPr="00F55305" w:rsidR="00505525">
        <w:rPr>
          <w:lang w:val="en-GB"/>
        </w:rPr>
        <w:t xml:space="preserve"> A</w:t>
      </w:r>
      <w:r w:rsidRPr="00F55305">
        <w:rPr>
          <w:lang w:val="en-GB"/>
        </w:rPr>
        <w:t xml:space="preserve">rticle 5 § 4 </w:t>
      </w:r>
      <w:r w:rsidRPr="00F55305" w:rsidR="00505525">
        <w:rPr>
          <w:lang w:val="en-GB"/>
        </w:rPr>
        <w:t>of the</w:t>
      </w:r>
      <w:r w:rsidRPr="00F55305">
        <w:rPr>
          <w:lang w:val="en-GB"/>
        </w:rPr>
        <w:t xml:space="preserve"> Convention.</w:t>
      </w:r>
      <w:bookmarkEnd w:id="5"/>
      <w:r w:rsidRPr="00F55305">
        <w:rPr>
          <w:lang w:val="en-GB"/>
        </w:rPr>
        <w:t xml:space="preserve"> </w:t>
      </w:r>
      <w:bookmarkStart w:name="lt_pId009" w:id="6"/>
      <w:r w:rsidRPr="00F55305" w:rsidR="00505525">
        <w:rPr>
          <w:lang w:val="en-GB"/>
        </w:rPr>
        <w:t>She also complained</w:t>
      </w:r>
      <w:r w:rsidRPr="00F55305">
        <w:rPr>
          <w:lang w:val="en-GB"/>
        </w:rPr>
        <w:t xml:space="preserve">, </w:t>
      </w:r>
      <w:r w:rsidRPr="00F55305" w:rsidR="00505525">
        <w:rPr>
          <w:lang w:val="en-GB"/>
        </w:rPr>
        <w:t>under A</w:t>
      </w:r>
      <w:r w:rsidRPr="00F55305">
        <w:rPr>
          <w:lang w:val="en-GB"/>
        </w:rPr>
        <w:t xml:space="preserve">rticle 8, </w:t>
      </w:r>
      <w:r w:rsidRPr="00F55305" w:rsidR="00505525">
        <w:rPr>
          <w:lang w:val="en-GB"/>
        </w:rPr>
        <w:t xml:space="preserve">of the automatic monitoring of her correspondence and telephone calls at the correctional boarding school </w:t>
      </w:r>
      <w:r w:rsidRPr="00F55305" w:rsidR="00D30657">
        <w:rPr>
          <w:lang w:val="en-GB"/>
        </w:rPr>
        <w:t>in</w:t>
      </w:r>
      <w:r w:rsidRPr="00F55305" w:rsidR="00505525">
        <w:rPr>
          <w:lang w:val="en-GB"/>
        </w:rPr>
        <w:t xml:space="preserve"> which she had been </w:t>
      </w:r>
      <w:r w:rsidRPr="00F55305" w:rsidR="00D30657">
        <w:rPr>
          <w:lang w:val="en-GB"/>
        </w:rPr>
        <w:t>placed</w:t>
      </w:r>
      <w:r w:rsidRPr="00F55305" w:rsidR="00505525">
        <w:rPr>
          <w:lang w:val="en-GB"/>
        </w:rPr>
        <w:t>.</w:t>
      </w:r>
      <w:bookmarkEnd w:id="6"/>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4</w:t>
      </w:r>
      <w:r w:rsidRPr="00F55305">
        <w:rPr>
          <w:lang w:val="en-GB"/>
        </w:rPr>
        <w:fldChar w:fldCharType="end"/>
      </w:r>
      <w:r w:rsidRPr="00F55305">
        <w:rPr>
          <w:lang w:val="en-GB"/>
        </w:rPr>
        <w:t xml:space="preserve">.  On </w:t>
      </w:r>
      <w:r w:rsidRPr="00F55305">
        <w:rPr>
          <w:szCs w:val="24"/>
          <w:lang w:val="en-GB"/>
        </w:rPr>
        <w:t>17 November 2014</w:t>
      </w:r>
      <w:r w:rsidRPr="00F55305">
        <w:rPr>
          <w:lang w:val="en-GB"/>
        </w:rPr>
        <w:t xml:space="preserve"> the Government were given notice of the </w:t>
      </w:r>
      <w:r w:rsidRPr="00F55305">
        <w:rPr>
          <w:szCs w:val="24"/>
          <w:lang w:val="en-GB"/>
        </w:rPr>
        <w:t>application</w:t>
      </w:r>
      <w:r w:rsidRPr="00F55305">
        <w:rPr>
          <w:lang w:val="en-GB"/>
        </w:rPr>
        <w:t>.</w:t>
      </w:r>
    </w:p>
    <w:p w:rsidRPr="00F55305" w:rsidR="00711D81" w:rsidP="00F55305" w:rsidRDefault="00711D81">
      <w:pPr>
        <w:pStyle w:val="ECHRTitle1"/>
        <w:rPr>
          <w:lang w:val="en-GB"/>
        </w:rPr>
      </w:pPr>
      <w:r w:rsidRPr="00F55305">
        <w:rPr>
          <w:lang w:val="en-GB"/>
        </w:rPr>
        <w:t>THE FACTS</w:t>
      </w:r>
    </w:p>
    <w:p w:rsidRPr="00F55305" w:rsidR="00711D81" w:rsidP="00F55305" w:rsidRDefault="00711D81">
      <w:pPr>
        <w:pStyle w:val="ECHRHeading1"/>
        <w:rPr>
          <w:lang w:val="en-GB"/>
        </w:rPr>
      </w:pPr>
      <w:r w:rsidRPr="00F55305">
        <w:rPr>
          <w:lang w:val="en-GB"/>
        </w:rPr>
        <w:t>I.  THE CIRCUMSTANCES OF THE CASE</w:t>
      </w:r>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5</w:t>
      </w:r>
      <w:r w:rsidRPr="00F55305">
        <w:rPr>
          <w:lang w:val="en-GB"/>
        </w:rPr>
        <w:fldChar w:fldCharType="end"/>
      </w:r>
      <w:r w:rsidRPr="00F55305">
        <w:rPr>
          <w:lang w:val="en-GB"/>
        </w:rPr>
        <w:t>.  The applicant was born in 1999 and lives in Pleven.</w:t>
      </w:r>
    </w:p>
    <w:bookmarkEnd w:id="4"/>
    <w:p w:rsidRPr="00F55305" w:rsidR="00711D81" w:rsidP="00F55305" w:rsidRDefault="00711D81">
      <w:pPr>
        <w:pStyle w:val="ECHRHeading2"/>
        <w:rPr>
          <w:lang w:val="en-GB"/>
        </w:rPr>
      </w:pPr>
      <w:r w:rsidRPr="00F55305">
        <w:rPr>
          <w:lang w:val="en-GB"/>
        </w:rPr>
        <w:t>A.  </w:t>
      </w:r>
      <w:bookmarkStart w:name="lt_pId018" w:id="7"/>
      <w:r w:rsidRPr="00F55305" w:rsidR="00505525">
        <w:rPr>
          <w:lang w:val="en-GB"/>
        </w:rPr>
        <w:t>The applicant</w:t>
      </w:r>
      <w:r w:rsidRPr="00F55305" w:rsidR="00F55305">
        <w:rPr>
          <w:lang w:val="en-GB"/>
        </w:rPr>
        <w:t>’</w:t>
      </w:r>
      <w:r w:rsidRPr="00F55305" w:rsidR="00505525">
        <w:rPr>
          <w:lang w:val="en-GB"/>
        </w:rPr>
        <w:t xml:space="preserve">s </w:t>
      </w:r>
      <w:r w:rsidRPr="00F55305">
        <w:rPr>
          <w:lang w:val="en-GB"/>
        </w:rPr>
        <w:t xml:space="preserve">placement </w:t>
      </w:r>
      <w:r w:rsidRPr="00F55305" w:rsidR="00505525">
        <w:rPr>
          <w:lang w:val="en-GB"/>
        </w:rPr>
        <w:t>in a correctional boarding school</w:t>
      </w:r>
      <w:bookmarkEnd w:id="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w:t>
      </w:r>
      <w:r w:rsidRPr="00F55305">
        <w:rPr>
          <w:lang w:val="en-GB"/>
        </w:rPr>
        <w:fldChar w:fldCharType="end"/>
      </w:r>
      <w:r w:rsidRPr="00F55305">
        <w:rPr>
          <w:lang w:val="en-GB"/>
        </w:rPr>
        <w:t>.  </w:t>
      </w:r>
      <w:bookmarkStart w:name="lt_pId020" w:id="8"/>
      <w:r w:rsidRPr="00F55305" w:rsidR="000F2B78">
        <w:rPr>
          <w:lang w:val="en-GB"/>
        </w:rPr>
        <w:t>On 2</w:t>
      </w:r>
      <w:r w:rsidRPr="00F55305">
        <w:rPr>
          <w:lang w:val="en-GB"/>
        </w:rPr>
        <w:t xml:space="preserve"> </w:t>
      </w:r>
      <w:r w:rsidRPr="00F55305" w:rsidR="000F2B78">
        <w:rPr>
          <w:lang w:val="en-GB"/>
        </w:rPr>
        <w:t>August</w:t>
      </w:r>
      <w:r w:rsidRPr="00F55305">
        <w:rPr>
          <w:lang w:val="en-GB"/>
        </w:rPr>
        <w:t xml:space="preserve"> 2012 </w:t>
      </w:r>
      <w:r w:rsidRPr="00F55305" w:rsidR="000F2B78">
        <w:rPr>
          <w:lang w:val="en-GB"/>
        </w:rPr>
        <w:t>the applicant</w:t>
      </w:r>
      <w:r w:rsidRPr="00F55305">
        <w:rPr>
          <w:lang w:val="en-GB"/>
        </w:rPr>
        <w:t xml:space="preserve">, </w:t>
      </w:r>
      <w:r w:rsidRPr="00F55305" w:rsidR="000F2B78">
        <w:rPr>
          <w:lang w:val="en-GB"/>
        </w:rPr>
        <w:t>aged 13</w:t>
      </w:r>
      <w:r w:rsidRPr="00F55305">
        <w:rPr>
          <w:lang w:val="en-GB"/>
        </w:rPr>
        <w:t xml:space="preserve">, </w:t>
      </w:r>
      <w:r w:rsidRPr="00F55305" w:rsidR="00DD0B47">
        <w:rPr>
          <w:lang w:val="en-GB"/>
        </w:rPr>
        <w:t xml:space="preserve">was admitted to the </w:t>
      </w:r>
      <w:r w:rsidRPr="00F55305" w:rsidR="000F2B78">
        <w:rPr>
          <w:lang w:val="en-GB"/>
        </w:rPr>
        <w:t xml:space="preserve">Open Door </w:t>
      </w:r>
      <w:r w:rsidRPr="00F55305" w:rsidR="00DD0B47">
        <w:rPr>
          <w:lang w:val="en-GB"/>
        </w:rPr>
        <w:t>children</w:t>
      </w:r>
      <w:r w:rsidRPr="00F55305" w:rsidR="00F55305">
        <w:rPr>
          <w:lang w:val="en-GB"/>
        </w:rPr>
        <w:t>’</w:t>
      </w:r>
      <w:r w:rsidRPr="00F55305" w:rsidR="00DD0B47">
        <w:rPr>
          <w:lang w:val="en-GB"/>
        </w:rPr>
        <w:t xml:space="preserve">s crisis </w:t>
      </w:r>
      <w:r w:rsidRPr="00F55305" w:rsidR="000F2B78">
        <w:rPr>
          <w:lang w:val="en-GB"/>
        </w:rPr>
        <w:t>centre</w:t>
      </w:r>
      <w:r w:rsidRPr="00F55305" w:rsidR="00765CFF">
        <w:rPr>
          <w:lang w:val="en-GB"/>
        </w:rPr>
        <w:t xml:space="preserve"> in Pleven</w:t>
      </w:r>
      <w:r w:rsidRPr="00F55305" w:rsidR="000F2B78">
        <w:rPr>
          <w:lang w:val="en-GB"/>
        </w:rPr>
        <w:t xml:space="preserve">. Her </w:t>
      </w:r>
      <w:r w:rsidRPr="00F55305" w:rsidR="004B7C60">
        <w:rPr>
          <w:lang w:val="en-GB"/>
        </w:rPr>
        <w:t>placement</w:t>
      </w:r>
      <w:r w:rsidRPr="00F55305" w:rsidR="000F2B78">
        <w:rPr>
          <w:lang w:val="en-GB"/>
        </w:rPr>
        <w:t xml:space="preserve"> was ordered </w:t>
      </w:r>
      <w:r w:rsidRPr="00F55305" w:rsidR="00354BB6">
        <w:rPr>
          <w:lang w:val="en-GB"/>
        </w:rPr>
        <w:t xml:space="preserve">as a protective measure </w:t>
      </w:r>
      <w:r w:rsidRPr="00F55305" w:rsidR="00C37AFC">
        <w:rPr>
          <w:lang w:val="en-GB"/>
        </w:rPr>
        <w:t>under</w:t>
      </w:r>
      <w:r w:rsidRPr="00F55305" w:rsidR="00354BB6">
        <w:rPr>
          <w:lang w:val="en-GB"/>
        </w:rPr>
        <w:t xml:space="preserve"> the </w:t>
      </w:r>
      <w:bookmarkStart w:name="lt_pId021" w:id="9"/>
      <w:bookmarkEnd w:id="8"/>
      <w:r w:rsidRPr="00F55305" w:rsidR="00354BB6">
        <w:rPr>
          <w:lang w:val="en-GB"/>
        </w:rPr>
        <w:t>Child P</w:t>
      </w:r>
      <w:r w:rsidRPr="00F55305">
        <w:rPr>
          <w:lang w:val="en-GB"/>
        </w:rPr>
        <w:t xml:space="preserve">rotection </w:t>
      </w:r>
      <w:r w:rsidRPr="00F55305" w:rsidR="00354BB6">
        <w:rPr>
          <w:lang w:val="en-GB"/>
        </w:rPr>
        <w:t xml:space="preserve">Act by the </w:t>
      </w:r>
      <w:r w:rsidRPr="00F55305" w:rsidR="004E6466">
        <w:rPr>
          <w:lang w:val="en-GB"/>
        </w:rPr>
        <w:t xml:space="preserve">Pleven </w:t>
      </w:r>
      <w:r w:rsidRPr="00F55305" w:rsidR="003D5F38">
        <w:rPr>
          <w:lang w:val="en-GB"/>
        </w:rPr>
        <w:t xml:space="preserve">municipal </w:t>
      </w:r>
      <w:r w:rsidRPr="00F55305" w:rsidR="00354BB6">
        <w:rPr>
          <w:lang w:val="en-GB"/>
        </w:rPr>
        <w:t>director of social assistance</w:t>
      </w:r>
      <w:r w:rsidRPr="00F55305">
        <w:rPr>
          <w:lang w:val="en-GB"/>
        </w:rPr>
        <w:t xml:space="preserve">, </w:t>
      </w:r>
      <w:r w:rsidRPr="00F55305" w:rsidR="00354BB6">
        <w:rPr>
          <w:lang w:val="en-GB"/>
        </w:rPr>
        <w:t>at the request of the applicant</w:t>
      </w:r>
      <w:r w:rsidRPr="00F55305" w:rsidR="00F55305">
        <w:rPr>
          <w:lang w:val="en-GB"/>
        </w:rPr>
        <w:t>’</w:t>
      </w:r>
      <w:r w:rsidRPr="00F55305" w:rsidR="00354BB6">
        <w:rPr>
          <w:lang w:val="en-GB"/>
        </w:rPr>
        <w:t xml:space="preserve">s mother, who had </w:t>
      </w:r>
      <w:r w:rsidRPr="00F55305" w:rsidR="00C37AFC">
        <w:rPr>
          <w:lang w:val="en-GB"/>
        </w:rPr>
        <w:t>claimed to be</w:t>
      </w:r>
      <w:r w:rsidRPr="00F55305" w:rsidR="00354BB6">
        <w:rPr>
          <w:lang w:val="en-GB"/>
        </w:rPr>
        <w:t xml:space="preserve"> unable to look after her daughter.</w:t>
      </w:r>
      <w:bookmarkEnd w:id="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w:t>
      </w:r>
      <w:r w:rsidRPr="00F55305">
        <w:rPr>
          <w:lang w:val="en-GB"/>
        </w:rPr>
        <w:fldChar w:fldCharType="end"/>
      </w:r>
      <w:r w:rsidRPr="00F55305">
        <w:rPr>
          <w:lang w:val="en-GB"/>
        </w:rPr>
        <w:t>.  </w:t>
      </w:r>
      <w:bookmarkStart w:name="lt_pId023" w:id="10"/>
      <w:r w:rsidRPr="00F55305" w:rsidR="00354BB6">
        <w:rPr>
          <w:lang w:val="en-GB"/>
        </w:rPr>
        <w:t>In a decision of</w:t>
      </w:r>
      <w:r w:rsidRPr="00F55305">
        <w:rPr>
          <w:lang w:val="en-GB"/>
        </w:rPr>
        <w:t xml:space="preserve"> </w:t>
      </w:r>
      <w:r w:rsidRPr="00F55305" w:rsidR="000F2B78">
        <w:rPr>
          <w:lang w:val="en-GB"/>
        </w:rPr>
        <w:t>1</w:t>
      </w:r>
      <w:r w:rsidRPr="00F55305">
        <w:rPr>
          <w:lang w:val="en-GB"/>
        </w:rPr>
        <w:t xml:space="preserve"> </w:t>
      </w:r>
      <w:r w:rsidRPr="00F55305" w:rsidR="000F2B78">
        <w:rPr>
          <w:lang w:val="en-GB"/>
        </w:rPr>
        <w:t>October</w:t>
      </w:r>
      <w:r w:rsidRPr="00F55305" w:rsidR="00354BB6">
        <w:rPr>
          <w:lang w:val="en-GB"/>
        </w:rPr>
        <w:t xml:space="preserve"> 2012</w:t>
      </w:r>
      <w:r w:rsidRPr="00F55305">
        <w:rPr>
          <w:lang w:val="en-GB"/>
        </w:rPr>
        <w:t xml:space="preserve"> </w:t>
      </w:r>
      <w:r w:rsidRPr="00F55305" w:rsidR="00A85076">
        <w:rPr>
          <w:lang w:val="en-GB"/>
        </w:rPr>
        <w:t>a criminal bench of the</w:t>
      </w:r>
      <w:r w:rsidRPr="00F55305">
        <w:rPr>
          <w:lang w:val="en-GB"/>
        </w:rPr>
        <w:t xml:space="preserve"> </w:t>
      </w:r>
      <w:r w:rsidRPr="00F55305" w:rsidR="000F2B78">
        <w:rPr>
          <w:lang w:val="en-GB"/>
        </w:rPr>
        <w:t>Pleven District Court</w:t>
      </w:r>
      <w:r w:rsidRPr="00F55305">
        <w:rPr>
          <w:lang w:val="en-GB"/>
        </w:rPr>
        <w:t xml:space="preserve"> (</w:t>
      </w:r>
      <w:r w:rsidRPr="00F55305">
        <w:rPr>
          <w:i/>
          <w:lang w:val="en-GB"/>
        </w:rPr>
        <w:t>Районен съд</w:t>
      </w:r>
      <w:r w:rsidRPr="00F55305">
        <w:rPr>
          <w:lang w:val="en-GB"/>
        </w:rPr>
        <w:t>) confirm</w:t>
      </w:r>
      <w:r w:rsidRPr="00F55305" w:rsidR="00A85076">
        <w:rPr>
          <w:lang w:val="en-GB"/>
        </w:rPr>
        <w:t>ed the applicant</w:t>
      </w:r>
      <w:r w:rsidRPr="00F55305" w:rsidR="00F55305">
        <w:rPr>
          <w:lang w:val="en-GB"/>
        </w:rPr>
        <w:t>’</w:t>
      </w:r>
      <w:r w:rsidRPr="00F55305" w:rsidR="00A85076">
        <w:rPr>
          <w:lang w:val="en-GB"/>
        </w:rPr>
        <w:t>s placement and extended its validity for a further three months</w:t>
      </w:r>
      <w:r w:rsidRPr="00F55305">
        <w:rPr>
          <w:lang w:val="en-GB"/>
        </w:rPr>
        <w:t>.</w:t>
      </w:r>
      <w:bookmarkEnd w:id="10"/>
      <w:r w:rsidRPr="00F55305">
        <w:rPr>
          <w:lang w:val="en-GB"/>
        </w:rPr>
        <w:t xml:space="preserve"> </w:t>
      </w:r>
      <w:bookmarkStart w:name="lt_pId024" w:id="11"/>
      <w:r w:rsidRPr="00F55305" w:rsidR="00A85076">
        <w:rPr>
          <w:lang w:val="en-GB"/>
        </w:rPr>
        <w:t>In its reasoning the court found that the conditions for the placement of a minor in a specialist institution were satisfied, namely that the child</w:t>
      </w:r>
      <w:r w:rsidRPr="00F55305" w:rsidR="00F55305">
        <w:rPr>
          <w:lang w:val="en-GB"/>
        </w:rPr>
        <w:t>’</w:t>
      </w:r>
      <w:r w:rsidRPr="00F55305" w:rsidR="00A85076">
        <w:rPr>
          <w:lang w:val="en-GB"/>
        </w:rPr>
        <w:t xml:space="preserve">s parents were unable to provide her with adequate care and </w:t>
      </w:r>
      <w:r w:rsidRPr="00F55305" w:rsidR="004E6466">
        <w:rPr>
          <w:lang w:val="en-GB"/>
        </w:rPr>
        <w:t xml:space="preserve">that </w:t>
      </w:r>
      <w:r w:rsidRPr="00F55305" w:rsidR="00A85076">
        <w:rPr>
          <w:lang w:val="en-GB"/>
        </w:rPr>
        <w:t xml:space="preserve">she </w:t>
      </w:r>
      <w:r w:rsidRPr="00F55305" w:rsidR="004E6466">
        <w:rPr>
          <w:lang w:val="en-GB"/>
        </w:rPr>
        <w:t xml:space="preserve">was </w:t>
      </w:r>
      <w:r w:rsidRPr="00F55305" w:rsidR="00A85076">
        <w:rPr>
          <w:lang w:val="en-GB"/>
        </w:rPr>
        <w:t>liv</w:t>
      </w:r>
      <w:r w:rsidRPr="00F55305" w:rsidR="004E6466">
        <w:rPr>
          <w:lang w:val="en-GB"/>
        </w:rPr>
        <w:t>ing</w:t>
      </w:r>
      <w:r w:rsidRPr="00F55305" w:rsidR="00A85076">
        <w:rPr>
          <w:lang w:val="en-GB"/>
        </w:rPr>
        <w:t xml:space="preserve"> in a dangerous social environment</w:t>
      </w:r>
      <w:r w:rsidRPr="00F55305" w:rsidR="001D31E4">
        <w:rPr>
          <w:lang w:val="en-GB"/>
        </w:rPr>
        <w:t xml:space="preserve">, as she associated with </w:t>
      </w:r>
      <w:r w:rsidRPr="00F55305" w:rsidR="00142AD9">
        <w:rPr>
          <w:lang w:val="en-GB"/>
        </w:rPr>
        <w:t>“</w:t>
      </w:r>
      <w:r w:rsidRPr="00F55305" w:rsidR="001D31E4">
        <w:rPr>
          <w:lang w:val="en-GB"/>
        </w:rPr>
        <w:t xml:space="preserve">men identified as </w:t>
      </w:r>
      <w:r w:rsidRPr="00F55305" w:rsidR="00AC7741">
        <w:rPr>
          <w:lang w:val="en-GB"/>
        </w:rPr>
        <w:t>delinquents</w:t>
      </w:r>
      <w:r w:rsidRPr="00F55305" w:rsidR="00142AD9">
        <w:rPr>
          <w:lang w:val="en-GB"/>
        </w:rPr>
        <w:t>”</w:t>
      </w:r>
      <w:r w:rsidRPr="00F55305" w:rsidR="001D31E4">
        <w:rPr>
          <w:lang w:val="en-GB"/>
        </w:rPr>
        <w:t xml:space="preserve">. </w:t>
      </w:r>
      <w:bookmarkStart w:name="lt_pId025" w:id="12"/>
      <w:bookmarkEnd w:id="11"/>
      <w:r w:rsidRPr="00F55305" w:rsidR="001D31E4">
        <w:rPr>
          <w:lang w:val="en-GB"/>
        </w:rPr>
        <w:t>Lastly, it stated that no member of the applicant</w:t>
      </w:r>
      <w:r w:rsidRPr="00F55305" w:rsidR="00F55305">
        <w:rPr>
          <w:lang w:val="en-GB"/>
        </w:rPr>
        <w:t>’</w:t>
      </w:r>
      <w:r w:rsidRPr="00F55305" w:rsidR="001D31E4">
        <w:rPr>
          <w:lang w:val="en-GB"/>
        </w:rPr>
        <w:t>s family was able to take on responsibility for her upbringing</w:t>
      </w:r>
      <w:r w:rsidRPr="00F55305">
        <w:rPr>
          <w:lang w:val="en-GB"/>
        </w:rPr>
        <w:t>.</w:t>
      </w:r>
      <w:bookmarkEnd w:id="1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w:t>
      </w:r>
      <w:r w:rsidRPr="00F55305">
        <w:rPr>
          <w:lang w:val="en-GB"/>
        </w:rPr>
        <w:fldChar w:fldCharType="end"/>
      </w:r>
      <w:r w:rsidRPr="00F55305">
        <w:rPr>
          <w:lang w:val="en-GB"/>
        </w:rPr>
        <w:t>.  </w:t>
      </w:r>
      <w:bookmarkStart w:name="lt_pId027" w:id="13"/>
      <w:r w:rsidRPr="00F55305" w:rsidR="000F2B78">
        <w:rPr>
          <w:lang w:val="en-GB"/>
        </w:rPr>
        <w:t>On 1</w:t>
      </w:r>
      <w:r w:rsidRPr="00F55305">
        <w:rPr>
          <w:lang w:val="en-GB"/>
        </w:rPr>
        <w:t xml:space="preserve">6 </w:t>
      </w:r>
      <w:r w:rsidRPr="00F55305" w:rsidR="002A199C">
        <w:rPr>
          <w:lang w:val="en-GB"/>
        </w:rPr>
        <w:t>January</w:t>
      </w:r>
      <w:r w:rsidRPr="00F55305">
        <w:rPr>
          <w:lang w:val="en-GB"/>
        </w:rPr>
        <w:t xml:space="preserve"> 2013, </w:t>
      </w:r>
      <w:r w:rsidRPr="00F55305" w:rsidR="002A199C">
        <w:rPr>
          <w:lang w:val="en-GB"/>
        </w:rPr>
        <w:t>finding that the</w:t>
      </w:r>
      <w:r w:rsidRPr="00F55305">
        <w:rPr>
          <w:lang w:val="en-GB"/>
        </w:rPr>
        <w:t xml:space="preserve"> conditions </w:t>
      </w:r>
      <w:r w:rsidRPr="00F55305" w:rsidR="002A199C">
        <w:rPr>
          <w:lang w:val="en-GB"/>
        </w:rPr>
        <w:t>for the applicant</w:t>
      </w:r>
      <w:r w:rsidRPr="00F55305" w:rsidR="00F55305">
        <w:rPr>
          <w:lang w:val="en-GB"/>
        </w:rPr>
        <w:t>’</w:t>
      </w:r>
      <w:r w:rsidRPr="00F55305" w:rsidR="002A199C">
        <w:rPr>
          <w:lang w:val="en-GB"/>
        </w:rPr>
        <w:t>s return to her family environment were not satisfied, the municipal director of social assistance</w:t>
      </w:r>
      <w:r w:rsidRPr="00F55305">
        <w:rPr>
          <w:lang w:val="en-GB"/>
        </w:rPr>
        <w:t xml:space="preserve"> </w:t>
      </w:r>
      <w:r w:rsidRPr="00F55305" w:rsidR="002A199C">
        <w:rPr>
          <w:lang w:val="en-GB"/>
        </w:rPr>
        <w:t xml:space="preserve">ordered the extension of her placement in the centre. </w:t>
      </w:r>
      <w:bookmarkStart w:name="lt_pId028" w:id="14"/>
      <w:bookmarkEnd w:id="13"/>
      <w:r w:rsidRPr="00F55305" w:rsidR="002A199C">
        <w:rPr>
          <w:lang w:val="en-GB"/>
        </w:rPr>
        <w:t>O</w:t>
      </w:r>
      <w:r w:rsidRPr="00F55305" w:rsidR="000F2B78">
        <w:rPr>
          <w:lang w:val="en-GB"/>
        </w:rPr>
        <w:t>n 1</w:t>
      </w:r>
      <w:r w:rsidRPr="00F55305">
        <w:rPr>
          <w:lang w:val="en-GB"/>
        </w:rPr>
        <w:t xml:space="preserve"> </w:t>
      </w:r>
      <w:r w:rsidRPr="00F55305" w:rsidR="000F2B78">
        <w:rPr>
          <w:lang w:val="en-GB"/>
        </w:rPr>
        <w:t>April</w:t>
      </w:r>
      <w:r w:rsidRPr="00F55305">
        <w:rPr>
          <w:lang w:val="en-GB"/>
        </w:rPr>
        <w:t xml:space="preserve"> 2013 </w:t>
      </w:r>
      <w:r w:rsidRPr="00F55305" w:rsidR="002A199C">
        <w:rPr>
          <w:lang w:val="en-GB"/>
        </w:rPr>
        <w:t>a</w:t>
      </w:r>
      <w:r w:rsidRPr="00F55305">
        <w:rPr>
          <w:lang w:val="en-GB"/>
        </w:rPr>
        <w:t xml:space="preserve"> </w:t>
      </w:r>
      <w:r w:rsidRPr="00F55305" w:rsidR="002A199C">
        <w:rPr>
          <w:lang w:val="en-GB"/>
        </w:rPr>
        <w:t>civil bench of the</w:t>
      </w:r>
      <w:r w:rsidRPr="00F55305">
        <w:rPr>
          <w:lang w:val="en-GB"/>
        </w:rPr>
        <w:t xml:space="preserve"> </w:t>
      </w:r>
      <w:r w:rsidRPr="00F55305" w:rsidR="000F2B78">
        <w:rPr>
          <w:lang w:val="en-GB"/>
        </w:rPr>
        <w:t>District Court</w:t>
      </w:r>
      <w:r w:rsidRPr="00F55305">
        <w:rPr>
          <w:lang w:val="en-GB"/>
        </w:rPr>
        <w:t xml:space="preserve"> </w:t>
      </w:r>
      <w:r w:rsidRPr="00F55305" w:rsidR="002A199C">
        <w:rPr>
          <w:lang w:val="en-GB"/>
        </w:rPr>
        <w:t>in turn confirmed the measure and extended it for a further six months</w:t>
      </w:r>
      <w:r w:rsidRPr="00F55305">
        <w:rPr>
          <w:lang w:val="en-GB"/>
        </w:rPr>
        <w:t>.</w:t>
      </w:r>
      <w:bookmarkEnd w:id="1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w:t>
      </w:r>
      <w:r w:rsidRPr="00F55305">
        <w:rPr>
          <w:lang w:val="en-GB"/>
        </w:rPr>
        <w:fldChar w:fldCharType="end"/>
      </w:r>
      <w:r w:rsidRPr="00F55305">
        <w:rPr>
          <w:lang w:val="en-GB"/>
        </w:rPr>
        <w:t>.  </w:t>
      </w:r>
      <w:bookmarkStart w:name="lt_pId030" w:id="15"/>
      <w:r w:rsidRPr="00F55305" w:rsidR="000F2B78">
        <w:rPr>
          <w:lang w:val="en-GB"/>
        </w:rPr>
        <w:t>On 3</w:t>
      </w:r>
      <w:r w:rsidRPr="00F55305">
        <w:rPr>
          <w:lang w:val="en-GB"/>
        </w:rPr>
        <w:t xml:space="preserve"> </w:t>
      </w:r>
      <w:r w:rsidRPr="00F55305" w:rsidR="000F2B78">
        <w:rPr>
          <w:lang w:val="en-GB"/>
        </w:rPr>
        <w:t>April</w:t>
      </w:r>
      <w:r w:rsidRPr="00F55305" w:rsidR="002A199C">
        <w:rPr>
          <w:lang w:val="en-GB"/>
        </w:rPr>
        <w:t xml:space="preserve"> 2013 the local committee for combating</w:t>
      </w:r>
      <w:r w:rsidRPr="00F55305" w:rsidR="00405700">
        <w:rPr>
          <w:lang w:val="en-GB"/>
        </w:rPr>
        <w:t xml:space="preserve"> juvenile</w:t>
      </w:r>
      <w:r w:rsidRPr="00F55305" w:rsidR="002A199C">
        <w:rPr>
          <w:lang w:val="en-GB"/>
        </w:rPr>
        <w:t xml:space="preserve"> antisocial behaviour (</w:t>
      </w:r>
      <w:r w:rsidRPr="00F55305" w:rsidR="00142AD9">
        <w:rPr>
          <w:lang w:val="en-GB"/>
        </w:rPr>
        <w:t>“</w:t>
      </w:r>
      <w:r w:rsidRPr="00F55305" w:rsidR="002A199C">
        <w:rPr>
          <w:lang w:val="en-GB"/>
        </w:rPr>
        <w:t>the local committee</w:t>
      </w:r>
      <w:r w:rsidRPr="00F55305" w:rsidR="00142AD9">
        <w:rPr>
          <w:lang w:val="en-GB"/>
        </w:rPr>
        <w:t>”</w:t>
      </w:r>
      <w:r w:rsidRPr="00F55305" w:rsidR="002A199C">
        <w:rPr>
          <w:lang w:val="en-GB"/>
        </w:rPr>
        <w:t>) asked the</w:t>
      </w:r>
      <w:r w:rsidRPr="00F55305">
        <w:rPr>
          <w:lang w:val="en-GB"/>
        </w:rPr>
        <w:t xml:space="preserve"> </w:t>
      </w:r>
      <w:r w:rsidRPr="00F55305" w:rsidR="000F2B78">
        <w:rPr>
          <w:lang w:val="en-GB"/>
        </w:rPr>
        <w:t>District Court</w:t>
      </w:r>
      <w:r w:rsidRPr="00F55305">
        <w:rPr>
          <w:lang w:val="en-GB"/>
        </w:rPr>
        <w:t xml:space="preserve"> </w:t>
      </w:r>
      <w:r w:rsidRPr="00F55305" w:rsidR="002A199C">
        <w:rPr>
          <w:lang w:val="en-GB"/>
        </w:rPr>
        <w:t xml:space="preserve">to order the </w:t>
      </w:r>
      <w:r w:rsidRPr="00F55305" w:rsidR="000F2B78">
        <w:rPr>
          <w:lang w:val="en-GB"/>
        </w:rPr>
        <w:t>applicant</w:t>
      </w:r>
      <w:r w:rsidRPr="00F55305" w:rsidR="00F55305">
        <w:rPr>
          <w:lang w:val="en-GB"/>
        </w:rPr>
        <w:t>’</w:t>
      </w:r>
      <w:r w:rsidRPr="00F55305" w:rsidR="002A199C">
        <w:rPr>
          <w:lang w:val="en-GB"/>
        </w:rPr>
        <w:t>s placement in a correctional boarding school</w:t>
      </w:r>
      <w:r w:rsidRPr="00F55305">
        <w:rPr>
          <w:lang w:val="en-GB"/>
        </w:rPr>
        <w:t>.</w:t>
      </w:r>
      <w:bookmarkEnd w:id="15"/>
      <w:r w:rsidRPr="00F55305">
        <w:rPr>
          <w:lang w:val="en-GB"/>
        </w:rPr>
        <w:t xml:space="preserve"> </w:t>
      </w:r>
      <w:bookmarkStart w:name="lt_pId031" w:id="16"/>
      <w:r w:rsidRPr="00F55305" w:rsidR="000F2B78">
        <w:rPr>
          <w:lang w:val="en-GB"/>
        </w:rPr>
        <w:t>On 1</w:t>
      </w:r>
      <w:r w:rsidRPr="00F55305">
        <w:rPr>
          <w:lang w:val="en-GB"/>
        </w:rPr>
        <w:t xml:space="preserve">9 </w:t>
      </w:r>
      <w:r w:rsidRPr="00F55305" w:rsidR="000F2B78">
        <w:rPr>
          <w:lang w:val="en-GB"/>
        </w:rPr>
        <w:t>April</w:t>
      </w:r>
      <w:r w:rsidRPr="00F55305" w:rsidR="002A199C">
        <w:rPr>
          <w:lang w:val="en-GB"/>
        </w:rPr>
        <w:t xml:space="preserve"> 2013</w:t>
      </w:r>
      <w:r w:rsidRPr="00F55305">
        <w:rPr>
          <w:lang w:val="en-GB"/>
        </w:rPr>
        <w:t xml:space="preserve"> </w:t>
      </w:r>
      <w:r w:rsidRPr="00F55305" w:rsidR="002A199C">
        <w:rPr>
          <w:lang w:val="en-GB"/>
        </w:rPr>
        <w:t>a criminal bench of the</w:t>
      </w:r>
      <w:r w:rsidRPr="00F55305">
        <w:rPr>
          <w:lang w:val="en-GB"/>
        </w:rPr>
        <w:t xml:space="preserve"> </w:t>
      </w:r>
      <w:r w:rsidRPr="00F55305" w:rsidR="000F2B78">
        <w:rPr>
          <w:lang w:val="en-GB"/>
        </w:rPr>
        <w:t>District Court</w:t>
      </w:r>
      <w:r w:rsidRPr="00F55305">
        <w:rPr>
          <w:lang w:val="en-GB"/>
        </w:rPr>
        <w:t xml:space="preserve"> </w:t>
      </w:r>
      <w:r w:rsidRPr="00F55305" w:rsidR="002A199C">
        <w:rPr>
          <w:lang w:val="en-GB"/>
        </w:rPr>
        <w:t xml:space="preserve">held a hearing, following which it gave a decision imposing a less </w:t>
      </w:r>
      <w:r w:rsidRPr="00F55305" w:rsidR="006901CA">
        <w:rPr>
          <w:lang w:val="en-GB"/>
        </w:rPr>
        <w:t>severe educational measure on</w:t>
      </w:r>
      <w:r w:rsidRPr="00F55305">
        <w:rPr>
          <w:lang w:val="en-GB"/>
        </w:rPr>
        <w:t xml:space="preserve"> </w:t>
      </w:r>
      <w:r w:rsidRPr="00F55305" w:rsidR="000F2B78">
        <w:rPr>
          <w:lang w:val="en-GB"/>
        </w:rPr>
        <w:t>the applicant</w:t>
      </w:r>
      <w:r w:rsidRPr="00F55305">
        <w:rPr>
          <w:lang w:val="en-GB"/>
        </w:rPr>
        <w:t xml:space="preserve">, </w:t>
      </w:r>
      <w:r w:rsidRPr="00F55305" w:rsidR="006901CA">
        <w:rPr>
          <w:lang w:val="en-GB"/>
        </w:rPr>
        <w:t xml:space="preserve">namely </w:t>
      </w:r>
      <w:r w:rsidRPr="00F55305" w:rsidR="00142AD9">
        <w:rPr>
          <w:lang w:val="en-GB"/>
        </w:rPr>
        <w:t>“</w:t>
      </w:r>
      <w:r w:rsidRPr="00F55305" w:rsidR="006901CA">
        <w:rPr>
          <w:lang w:val="en-GB"/>
        </w:rPr>
        <w:t xml:space="preserve">a </w:t>
      </w:r>
      <w:r w:rsidRPr="00F55305" w:rsidR="00E96F7A">
        <w:rPr>
          <w:lang w:val="en-GB"/>
        </w:rPr>
        <w:t>ban</w:t>
      </w:r>
      <w:r w:rsidRPr="00F55305" w:rsidR="006901CA">
        <w:rPr>
          <w:lang w:val="en-GB"/>
        </w:rPr>
        <w:t xml:space="preserve"> on meeting and making contact with certain individuals</w:t>
      </w:r>
      <w:r w:rsidRPr="00F55305" w:rsidR="00142AD9">
        <w:rPr>
          <w:lang w:val="en-GB"/>
        </w:rPr>
        <w:t>”</w:t>
      </w:r>
      <w:r w:rsidRPr="00F55305" w:rsidR="006901CA">
        <w:rPr>
          <w:lang w:val="en-GB"/>
        </w:rPr>
        <w:t>.</w:t>
      </w:r>
      <w:r w:rsidRPr="00F55305">
        <w:rPr>
          <w:lang w:val="en-GB"/>
        </w:rPr>
        <w:t xml:space="preserve"> </w:t>
      </w:r>
      <w:bookmarkStart w:name="lt_pId032" w:id="17"/>
      <w:bookmarkEnd w:id="16"/>
      <w:r w:rsidRPr="00F55305" w:rsidR="006901CA">
        <w:rPr>
          <w:lang w:val="en-GB"/>
        </w:rPr>
        <w:t>In its reasoning the court specified that</w:t>
      </w:r>
      <w:r w:rsidRPr="00F55305">
        <w:rPr>
          <w:lang w:val="en-GB"/>
        </w:rPr>
        <w:t xml:space="preserve"> placement </w:t>
      </w:r>
      <w:r w:rsidRPr="00F55305" w:rsidR="006901CA">
        <w:rPr>
          <w:lang w:val="en-GB"/>
        </w:rPr>
        <w:t>in a correctional boarding school was liable to have a negative impact on the child</w:t>
      </w:r>
      <w:r w:rsidRPr="00F55305" w:rsidR="00F55305">
        <w:rPr>
          <w:lang w:val="en-GB"/>
        </w:rPr>
        <w:t>’</w:t>
      </w:r>
      <w:r w:rsidRPr="00F55305" w:rsidR="006901CA">
        <w:rPr>
          <w:lang w:val="en-GB"/>
        </w:rPr>
        <w:t xml:space="preserve">s psychological and social development, given the </w:t>
      </w:r>
      <w:r w:rsidRPr="00F55305" w:rsidR="00142AD9">
        <w:rPr>
          <w:lang w:val="en-GB"/>
        </w:rPr>
        <w:t>“</w:t>
      </w:r>
      <w:r w:rsidRPr="00F55305" w:rsidR="006901CA">
        <w:rPr>
          <w:lang w:val="en-GB"/>
        </w:rPr>
        <w:t>unfavourable environment offered by that type of institution</w:t>
      </w:r>
      <w:r w:rsidRPr="00F55305" w:rsidR="00142AD9">
        <w:rPr>
          <w:lang w:val="en-GB"/>
        </w:rPr>
        <w:t>”</w:t>
      </w:r>
      <w:r w:rsidRPr="00F55305" w:rsidR="006901CA">
        <w:rPr>
          <w:lang w:val="en-GB"/>
        </w:rPr>
        <w:t xml:space="preserve">. </w:t>
      </w:r>
      <w:bookmarkStart w:name="lt_pId033" w:id="18"/>
      <w:bookmarkEnd w:id="17"/>
      <w:r w:rsidRPr="00F55305">
        <w:rPr>
          <w:lang w:val="en-GB"/>
        </w:rPr>
        <w:t>I</w:t>
      </w:r>
      <w:r w:rsidRPr="00F55305" w:rsidR="006901CA">
        <w:rPr>
          <w:lang w:val="en-GB"/>
        </w:rPr>
        <w:t xml:space="preserve">t added that following the expiry of her placement in the </w:t>
      </w:r>
      <w:r w:rsidRPr="00F55305" w:rsidR="00DD0B47">
        <w:rPr>
          <w:lang w:val="en-GB"/>
        </w:rPr>
        <w:t>Open Door</w:t>
      </w:r>
      <w:r w:rsidRPr="00F55305" w:rsidR="006901CA">
        <w:rPr>
          <w:lang w:val="en-GB"/>
        </w:rPr>
        <w:t xml:space="preserve"> centre, it would be appropriate to admit the applicant to another institution </w:t>
      </w:r>
      <w:r w:rsidRPr="00F55305" w:rsidR="00E96F7A">
        <w:rPr>
          <w:lang w:val="en-GB"/>
        </w:rPr>
        <w:t>regulated</w:t>
      </w:r>
      <w:r w:rsidRPr="00F55305" w:rsidR="006901CA">
        <w:rPr>
          <w:lang w:val="en-GB"/>
        </w:rPr>
        <w:t xml:space="preserve"> by the Child Protection Act in order to keep her away from the people who had forced her into </w:t>
      </w:r>
      <w:r w:rsidRPr="00F55305">
        <w:rPr>
          <w:lang w:val="en-GB"/>
        </w:rPr>
        <w:t>prostitution.</w:t>
      </w:r>
      <w:bookmarkEnd w:id="18"/>
    </w:p>
    <w:p w:rsidRPr="00F55305" w:rsidR="00F55305"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w:t>
      </w:r>
      <w:r w:rsidRPr="00F55305">
        <w:rPr>
          <w:lang w:val="en-GB"/>
        </w:rPr>
        <w:fldChar w:fldCharType="end"/>
      </w:r>
      <w:r w:rsidRPr="00F55305">
        <w:rPr>
          <w:lang w:val="en-GB"/>
        </w:rPr>
        <w:t>.  </w:t>
      </w:r>
      <w:bookmarkStart w:name="lt_pId035" w:id="19"/>
      <w:r w:rsidRPr="00F55305" w:rsidR="000F2B78">
        <w:rPr>
          <w:lang w:val="en-GB"/>
        </w:rPr>
        <w:t>On 1</w:t>
      </w:r>
      <w:r w:rsidRPr="00F55305">
        <w:rPr>
          <w:lang w:val="en-GB"/>
        </w:rPr>
        <w:t xml:space="preserve">7 </w:t>
      </w:r>
      <w:r w:rsidRPr="00F55305" w:rsidR="006901CA">
        <w:rPr>
          <w:lang w:val="en-GB"/>
        </w:rPr>
        <w:t>May</w:t>
      </w:r>
      <w:r w:rsidRPr="00F55305">
        <w:rPr>
          <w:lang w:val="en-GB"/>
        </w:rPr>
        <w:t xml:space="preserve"> 2013 </w:t>
      </w:r>
      <w:r w:rsidRPr="00F55305" w:rsidR="00C634DC">
        <w:rPr>
          <w:lang w:val="en-GB"/>
        </w:rPr>
        <w:t>the local committee</w:t>
      </w:r>
      <w:r w:rsidRPr="00F55305">
        <w:rPr>
          <w:lang w:val="en-GB"/>
        </w:rPr>
        <w:t xml:space="preserve"> </w:t>
      </w:r>
      <w:r w:rsidRPr="00F55305" w:rsidR="00535187">
        <w:rPr>
          <w:lang w:val="en-GB"/>
        </w:rPr>
        <w:t>sent the</w:t>
      </w:r>
      <w:r w:rsidRPr="00F55305">
        <w:rPr>
          <w:lang w:val="en-GB"/>
        </w:rPr>
        <w:t xml:space="preserve"> </w:t>
      </w:r>
      <w:r w:rsidRPr="00F55305" w:rsidR="000F2B78">
        <w:rPr>
          <w:lang w:val="en-GB"/>
        </w:rPr>
        <w:t>District Court</w:t>
      </w:r>
      <w:r w:rsidRPr="00F55305">
        <w:rPr>
          <w:lang w:val="en-GB"/>
        </w:rPr>
        <w:t xml:space="preserve"> </w:t>
      </w:r>
      <w:r w:rsidRPr="00F55305" w:rsidR="00535187">
        <w:rPr>
          <w:lang w:val="en-GB"/>
        </w:rPr>
        <w:t>a new proposal for the applicant</w:t>
      </w:r>
      <w:r w:rsidRPr="00F55305" w:rsidR="00F55305">
        <w:rPr>
          <w:lang w:val="en-GB"/>
        </w:rPr>
        <w:t>’</w:t>
      </w:r>
      <w:r w:rsidRPr="00F55305" w:rsidR="00535187">
        <w:rPr>
          <w:lang w:val="en-GB"/>
        </w:rPr>
        <w:t xml:space="preserve">s admission to a correctional boarding school under the </w:t>
      </w:r>
      <w:r w:rsidRPr="00F55305" w:rsidR="00E96F7A">
        <w:rPr>
          <w:lang w:val="en-GB"/>
        </w:rPr>
        <w:t>Juvenile</w:t>
      </w:r>
      <w:r w:rsidRPr="00F55305" w:rsidR="00297E3D">
        <w:rPr>
          <w:lang w:val="en-GB"/>
        </w:rPr>
        <w:t xml:space="preserve"> Antisocial Behaviour Prevention Act</w:t>
      </w:r>
      <w:r w:rsidRPr="00F55305">
        <w:rPr>
          <w:lang w:val="en-GB"/>
        </w:rPr>
        <w:t>.</w:t>
      </w:r>
      <w:bookmarkEnd w:id="19"/>
      <w:r w:rsidRPr="00F55305">
        <w:rPr>
          <w:lang w:val="en-GB"/>
        </w:rPr>
        <w:t xml:space="preserve"> </w:t>
      </w:r>
      <w:bookmarkStart w:name="lt_pId036" w:id="20"/>
      <w:r w:rsidRPr="00F55305" w:rsidR="00297E3D">
        <w:rPr>
          <w:lang w:val="en-GB"/>
        </w:rPr>
        <w:t xml:space="preserve">It argued that the </w:t>
      </w:r>
      <w:r w:rsidRPr="00F55305" w:rsidR="000F2B78">
        <w:rPr>
          <w:lang w:val="en-GB"/>
        </w:rPr>
        <w:t>applicant</w:t>
      </w:r>
      <w:r w:rsidRPr="00F55305">
        <w:rPr>
          <w:lang w:val="en-GB"/>
        </w:rPr>
        <w:t xml:space="preserve"> </w:t>
      </w:r>
      <w:r w:rsidRPr="00F55305" w:rsidR="00B45151">
        <w:rPr>
          <w:lang w:val="en-GB"/>
        </w:rPr>
        <w:t>did not have</w:t>
      </w:r>
      <w:r w:rsidRPr="00F55305" w:rsidR="00297E3D">
        <w:rPr>
          <w:lang w:val="en-GB"/>
        </w:rPr>
        <w:t xml:space="preserve"> a </w:t>
      </w:r>
      <w:r w:rsidRPr="00F55305" w:rsidR="008D32CF">
        <w:rPr>
          <w:lang w:val="en-GB"/>
        </w:rPr>
        <w:t>favourable</w:t>
      </w:r>
      <w:r w:rsidRPr="00F55305" w:rsidR="00297E3D">
        <w:rPr>
          <w:lang w:val="en-GB"/>
        </w:rPr>
        <w:t xml:space="preserve"> family </w:t>
      </w:r>
      <w:r w:rsidRPr="00F55305" w:rsidR="00407E57">
        <w:rPr>
          <w:lang w:val="en-GB"/>
        </w:rPr>
        <w:t>environment</w:t>
      </w:r>
      <w:r w:rsidRPr="00F55305">
        <w:rPr>
          <w:lang w:val="en-GB"/>
        </w:rPr>
        <w:t xml:space="preserve"> </w:t>
      </w:r>
      <w:r w:rsidRPr="00F55305" w:rsidR="00297E3D">
        <w:rPr>
          <w:lang w:val="en-GB"/>
        </w:rPr>
        <w:t xml:space="preserve">and that, in particular, her father was serving a prison sentence and her mother had trouble assuming her parental responsibilities. This had caused the applicant to </w:t>
      </w:r>
      <w:bookmarkStart w:name="lt_pId037" w:id="21"/>
      <w:bookmarkEnd w:id="20"/>
      <w:r w:rsidRPr="00F55305" w:rsidR="00297E3D">
        <w:rPr>
          <w:lang w:val="en-GB"/>
        </w:rPr>
        <w:t xml:space="preserve">run away from home and develop a circle of friends including both adults and juveniles who were identified as </w:t>
      </w:r>
      <w:r w:rsidRPr="00F55305" w:rsidR="00142AD9">
        <w:rPr>
          <w:lang w:val="en-GB"/>
        </w:rPr>
        <w:t>“</w:t>
      </w:r>
      <w:r w:rsidRPr="00F55305" w:rsidR="008D32CF">
        <w:rPr>
          <w:lang w:val="en-GB"/>
        </w:rPr>
        <w:t>delinquents</w:t>
      </w:r>
      <w:r w:rsidRPr="00F55305" w:rsidR="00142AD9">
        <w:rPr>
          <w:lang w:val="en-GB"/>
        </w:rPr>
        <w:t>”</w:t>
      </w:r>
      <w:r w:rsidRPr="00F55305" w:rsidR="00297E3D">
        <w:rPr>
          <w:lang w:val="en-GB"/>
        </w:rPr>
        <w:t xml:space="preserve"> and had allegedly </w:t>
      </w:r>
      <w:r w:rsidRPr="00F55305" w:rsidR="00FA1646">
        <w:rPr>
          <w:lang w:val="en-GB"/>
        </w:rPr>
        <w:t>incited her to engage in immoral conduct,</w:t>
      </w:r>
      <w:r w:rsidRPr="00F55305" w:rsidR="00297E3D">
        <w:rPr>
          <w:lang w:val="en-GB"/>
        </w:rPr>
        <w:t xml:space="preserve"> </w:t>
      </w:r>
      <w:r w:rsidRPr="00F55305" w:rsidR="00FA1646">
        <w:rPr>
          <w:lang w:val="en-GB"/>
        </w:rPr>
        <w:t>such as t</w:t>
      </w:r>
      <w:r w:rsidRPr="00F55305" w:rsidR="00297E3D">
        <w:rPr>
          <w:lang w:val="en-GB"/>
        </w:rPr>
        <w:t xml:space="preserve">he provision of </w:t>
      </w:r>
      <w:r w:rsidRPr="00F55305" w:rsidR="00142AD9">
        <w:rPr>
          <w:lang w:val="en-GB"/>
        </w:rPr>
        <w:t>“</w:t>
      </w:r>
      <w:r w:rsidRPr="00F55305" w:rsidR="00297E3D">
        <w:rPr>
          <w:lang w:val="en-GB"/>
        </w:rPr>
        <w:t>sexual services</w:t>
      </w:r>
      <w:r w:rsidRPr="00F55305" w:rsidR="00142AD9">
        <w:rPr>
          <w:lang w:val="en-GB"/>
        </w:rPr>
        <w:t>”</w:t>
      </w:r>
      <w:r w:rsidRPr="00F55305" w:rsidR="00297E3D">
        <w:rPr>
          <w:lang w:val="en-GB"/>
        </w:rPr>
        <w:t xml:space="preserve">. </w:t>
      </w:r>
      <w:bookmarkStart w:name="lt_pId038" w:id="22"/>
      <w:bookmarkEnd w:id="21"/>
      <w:r w:rsidRPr="00F55305" w:rsidR="00FA1646">
        <w:rPr>
          <w:lang w:val="en-GB"/>
        </w:rPr>
        <w:t>Lastly</w:t>
      </w:r>
      <w:r w:rsidRPr="00F55305">
        <w:rPr>
          <w:lang w:val="en-GB"/>
        </w:rPr>
        <w:t xml:space="preserve">, </w:t>
      </w:r>
      <w:r w:rsidRPr="00F55305" w:rsidR="00C634DC">
        <w:rPr>
          <w:lang w:val="en-GB"/>
        </w:rPr>
        <w:t>the local committee</w:t>
      </w:r>
      <w:r w:rsidRPr="00F55305" w:rsidR="00FA1646">
        <w:rPr>
          <w:lang w:val="en-GB"/>
        </w:rPr>
        <w:t xml:space="preserve"> noted that</w:t>
      </w:r>
      <w:r w:rsidRPr="00F55305">
        <w:rPr>
          <w:lang w:val="en-GB"/>
        </w:rPr>
        <w:t xml:space="preserve"> </w:t>
      </w:r>
      <w:r w:rsidRPr="00F55305" w:rsidR="000F2B78">
        <w:rPr>
          <w:lang w:val="en-GB"/>
        </w:rPr>
        <w:t>the applicant</w:t>
      </w:r>
      <w:r w:rsidRPr="00F55305">
        <w:rPr>
          <w:lang w:val="en-GB"/>
        </w:rPr>
        <w:t xml:space="preserve"> </w:t>
      </w:r>
      <w:r w:rsidRPr="00F55305" w:rsidR="00FA1646">
        <w:rPr>
          <w:lang w:val="en-GB"/>
        </w:rPr>
        <w:t xml:space="preserve">had also run away </w:t>
      </w:r>
      <w:r w:rsidRPr="00F55305" w:rsidR="008D32CF">
        <w:rPr>
          <w:lang w:val="en-GB"/>
        </w:rPr>
        <w:t xml:space="preserve">twice </w:t>
      </w:r>
      <w:r w:rsidRPr="00F55305" w:rsidR="00FA1646">
        <w:rPr>
          <w:lang w:val="en-GB"/>
        </w:rPr>
        <w:t>from the</w:t>
      </w:r>
      <w:r w:rsidRPr="00F55305" w:rsidR="00DD0B47">
        <w:rPr>
          <w:lang w:val="en-GB"/>
        </w:rPr>
        <w:t xml:space="preserve"> children</w:t>
      </w:r>
      <w:r w:rsidRPr="00F55305" w:rsidR="00F55305">
        <w:rPr>
          <w:lang w:val="en-GB"/>
        </w:rPr>
        <w:t>’</w:t>
      </w:r>
      <w:r w:rsidRPr="00F55305" w:rsidR="00DD0B47">
        <w:rPr>
          <w:lang w:val="en-GB"/>
        </w:rPr>
        <w:t>s crisis</w:t>
      </w:r>
      <w:r w:rsidRPr="00F55305" w:rsidR="00FA1646">
        <w:rPr>
          <w:lang w:val="en-GB"/>
        </w:rPr>
        <w:t xml:space="preserve"> centre and </w:t>
      </w:r>
      <w:r w:rsidRPr="00F55305" w:rsidR="00661908">
        <w:rPr>
          <w:lang w:val="en-GB"/>
        </w:rPr>
        <w:t xml:space="preserve">had </w:t>
      </w:r>
      <w:r w:rsidRPr="00F55305" w:rsidR="00FA1646">
        <w:rPr>
          <w:lang w:val="en-GB"/>
        </w:rPr>
        <w:t>behaved aggressively towards the staff.</w:t>
      </w:r>
      <w:bookmarkEnd w:id="2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11</w:t>
      </w:r>
      <w:r w:rsidRPr="00F55305">
        <w:rPr>
          <w:lang w:val="en-GB"/>
        </w:rPr>
        <w:fldChar w:fldCharType="end"/>
      </w:r>
      <w:r w:rsidRPr="00F55305">
        <w:rPr>
          <w:lang w:val="en-GB"/>
        </w:rPr>
        <w:t>.  </w:t>
      </w:r>
      <w:bookmarkStart w:name="lt_pId040" w:id="23"/>
      <w:r w:rsidRPr="00F55305">
        <w:rPr>
          <w:lang w:val="en-GB"/>
        </w:rPr>
        <w:t>On 10 June 2013 a criminal bench of the District Court held a hearing.</w:t>
      </w:r>
      <w:bookmarkEnd w:id="23"/>
      <w:r w:rsidRPr="00F55305">
        <w:rPr>
          <w:lang w:val="en-GB"/>
        </w:rPr>
        <w:t xml:space="preserve"> </w:t>
      </w:r>
      <w:bookmarkStart w:name="lt_pId041" w:id="24"/>
      <w:r w:rsidRPr="00F55305" w:rsidR="00FA1646">
        <w:rPr>
          <w:lang w:val="en-GB"/>
        </w:rPr>
        <w:t>T</w:t>
      </w:r>
      <w:r w:rsidRPr="00F55305" w:rsidR="000F2B78">
        <w:rPr>
          <w:lang w:val="en-GB"/>
        </w:rPr>
        <w:t>he applicant</w:t>
      </w:r>
      <w:r w:rsidRPr="00F55305" w:rsidR="00F55305">
        <w:rPr>
          <w:lang w:val="en-GB"/>
        </w:rPr>
        <w:t>’</w:t>
      </w:r>
      <w:r w:rsidRPr="00F55305" w:rsidR="00FA1646">
        <w:rPr>
          <w:lang w:val="en-GB"/>
        </w:rPr>
        <w:t>s mother</w:t>
      </w:r>
      <w:r w:rsidRPr="00F55305" w:rsidR="00661908">
        <w:rPr>
          <w:lang w:val="en-GB"/>
        </w:rPr>
        <w:t xml:space="preserve"> was present, having been summoned to appear at the hearings, </w:t>
      </w:r>
      <w:r w:rsidRPr="00F55305" w:rsidR="00FA1646">
        <w:rPr>
          <w:lang w:val="en-GB"/>
        </w:rPr>
        <w:t xml:space="preserve">and asked to have a </w:t>
      </w:r>
      <w:r w:rsidRPr="00F55305" w:rsidR="003027FC">
        <w:rPr>
          <w:lang w:val="en-GB"/>
        </w:rPr>
        <w:t>l</w:t>
      </w:r>
      <w:r w:rsidRPr="00F55305" w:rsidR="00FA1646">
        <w:rPr>
          <w:lang w:val="en-GB"/>
        </w:rPr>
        <w:t xml:space="preserve">awyer officially appointed to represent her daughter in the proceedings. </w:t>
      </w:r>
      <w:bookmarkStart w:name="lt_pId042" w:id="25"/>
      <w:bookmarkEnd w:id="24"/>
      <w:r w:rsidRPr="00F55305" w:rsidR="000F2B78">
        <w:rPr>
          <w:lang w:val="en-GB"/>
        </w:rPr>
        <w:t>The applicant</w:t>
      </w:r>
      <w:r w:rsidRPr="00F55305">
        <w:rPr>
          <w:lang w:val="en-GB"/>
        </w:rPr>
        <w:t xml:space="preserve"> </w:t>
      </w:r>
      <w:r w:rsidRPr="00F55305" w:rsidR="00FA1646">
        <w:rPr>
          <w:lang w:val="en-GB"/>
        </w:rPr>
        <w:t>also asked to have a lawyer appointed</w:t>
      </w:r>
      <w:r w:rsidRPr="00F55305">
        <w:rPr>
          <w:lang w:val="en-GB"/>
        </w:rPr>
        <w:t>.</w:t>
      </w:r>
      <w:bookmarkEnd w:id="25"/>
      <w:r w:rsidRPr="00F55305">
        <w:rPr>
          <w:lang w:val="en-GB"/>
        </w:rPr>
        <w:t xml:space="preserve"> </w:t>
      </w:r>
      <w:bookmarkStart w:name="lt_pId043" w:id="26"/>
      <w:r w:rsidRPr="00F55305">
        <w:rPr>
          <w:lang w:val="en-GB"/>
        </w:rPr>
        <w:t xml:space="preserve">The court </w:t>
      </w:r>
      <w:r w:rsidRPr="00F55305" w:rsidR="00FA1646">
        <w:rPr>
          <w:lang w:val="en-GB"/>
        </w:rPr>
        <w:t>granted</w:t>
      </w:r>
      <w:r w:rsidRPr="00F55305">
        <w:rPr>
          <w:lang w:val="en-GB"/>
        </w:rPr>
        <w:t xml:space="preserve"> their </w:t>
      </w:r>
      <w:r w:rsidRPr="00F55305" w:rsidR="00FA1646">
        <w:rPr>
          <w:lang w:val="en-GB"/>
        </w:rPr>
        <w:t>request</w:t>
      </w:r>
      <w:r w:rsidRPr="00F55305">
        <w:rPr>
          <w:lang w:val="en-GB"/>
        </w:rPr>
        <w:t>.</w:t>
      </w:r>
      <w:bookmarkEnd w:id="26"/>
      <w:r w:rsidRPr="00F55305">
        <w:rPr>
          <w:lang w:val="en-GB"/>
        </w:rPr>
        <w:t xml:space="preserve"> </w:t>
      </w:r>
      <w:bookmarkStart w:name="lt_pId044" w:id="27"/>
      <w:r w:rsidRPr="00F55305">
        <w:rPr>
          <w:lang w:val="en-GB"/>
        </w:rPr>
        <w:t>I</w:t>
      </w:r>
      <w:r w:rsidRPr="00F55305" w:rsidR="00FA1646">
        <w:rPr>
          <w:lang w:val="en-GB"/>
        </w:rPr>
        <w:t>t heard evidence from</w:t>
      </w:r>
      <w:r w:rsidRPr="00F55305">
        <w:rPr>
          <w:lang w:val="en-GB"/>
        </w:rPr>
        <w:t xml:space="preserve"> </w:t>
      </w:r>
      <w:r w:rsidRPr="00F55305" w:rsidR="000F2B78">
        <w:rPr>
          <w:lang w:val="en-GB"/>
        </w:rPr>
        <w:t>the applicant</w:t>
      </w:r>
      <w:r w:rsidRPr="00F55305">
        <w:rPr>
          <w:lang w:val="en-GB"/>
        </w:rPr>
        <w:t xml:space="preserve">, </w:t>
      </w:r>
      <w:r w:rsidRPr="00F55305" w:rsidR="00FA1646">
        <w:rPr>
          <w:lang w:val="en-GB"/>
        </w:rPr>
        <w:t xml:space="preserve">her officially appointed </w:t>
      </w:r>
      <w:r w:rsidRPr="00F55305" w:rsidR="003027FC">
        <w:rPr>
          <w:lang w:val="en-GB"/>
        </w:rPr>
        <w:t>lawyer</w:t>
      </w:r>
      <w:r w:rsidRPr="00F55305" w:rsidR="00FA1646">
        <w:rPr>
          <w:lang w:val="en-GB"/>
        </w:rPr>
        <w:t>, a representative of</w:t>
      </w:r>
      <w:r w:rsidRPr="00F55305">
        <w:rPr>
          <w:lang w:val="en-GB"/>
        </w:rPr>
        <w:t xml:space="preserve"> </w:t>
      </w:r>
      <w:r w:rsidRPr="00F55305" w:rsidR="00C634DC">
        <w:rPr>
          <w:lang w:val="en-GB"/>
        </w:rPr>
        <w:t>the local committee</w:t>
      </w:r>
      <w:r w:rsidRPr="00F55305">
        <w:rPr>
          <w:lang w:val="en-GB"/>
        </w:rPr>
        <w:t xml:space="preserve">, </w:t>
      </w:r>
      <w:r w:rsidRPr="00F55305" w:rsidR="00FA1646">
        <w:rPr>
          <w:lang w:val="en-GB"/>
        </w:rPr>
        <w:t>an inspector</w:t>
      </w:r>
      <w:r w:rsidRPr="00F55305">
        <w:rPr>
          <w:lang w:val="en-GB"/>
        </w:rPr>
        <w:t xml:space="preserve"> </w:t>
      </w:r>
      <w:r w:rsidRPr="00F55305" w:rsidR="00FA1646">
        <w:rPr>
          <w:lang w:val="en-GB"/>
        </w:rPr>
        <w:t>from the child protection team</w:t>
      </w:r>
      <w:r w:rsidRPr="00F55305">
        <w:rPr>
          <w:lang w:val="en-GB"/>
        </w:rPr>
        <w:t xml:space="preserve"> (</w:t>
      </w:r>
      <w:r w:rsidRPr="00F55305">
        <w:rPr>
          <w:i/>
          <w:lang w:val="en-GB"/>
        </w:rPr>
        <w:t>Детска педагогическа стая</w:t>
      </w:r>
      <w:r w:rsidRPr="00F55305">
        <w:rPr>
          <w:lang w:val="en-GB"/>
        </w:rPr>
        <w:t xml:space="preserve">), </w:t>
      </w:r>
      <w:r w:rsidRPr="00F55305" w:rsidR="00FA1646">
        <w:rPr>
          <w:lang w:val="en-GB"/>
        </w:rPr>
        <w:t>a</w:t>
      </w:r>
      <w:r w:rsidRPr="00F55305">
        <w:rPr>
          <w:lang w:val="en-GB"/>
        </w:rPr>
        <w:t xml:space="preserve"> </w:t>
      </w:r>
      <w:r w:rsidRPr="00F55305" w:rsidR="00FA1646">
        <w:rPr>
          <w:lang w:val="en-GB"/>
        </w:rPr>
        <w:t>representative of the district prosecutor</w:t>
      </w:r>
      <w:r w:rsidRPr="00F55305" w:rsidR="00F55305">
        <w:rPr>
          <w:lang w:val="en-GB"/>
        </w:rPr>
        <w:t>’</w:t>
      </w:r>
      <w:r w:rsidRPr="00F55305" w:rsidR="00FA1646">
        <w:rPr>
          <w:lang w:val="en-GB"/>
        </w:rPr>
        <w:t>s office</w:t>
      </w:r>
      <w:r w:rsidRPr="00F55305">
        <w:rPr>
          <w:lang w:val="en-GB"/>
        </w:rPr>
        <w:t xml:space="preserve">, </w:t>
      </w:r>
      <w:r w:rsidRPr="00F55305" w:rsidR="00FA1646">
        <w:rPr>
          <w:lang w:val="en-GB"/>
        </w:rPr>
        <w:t xml:space="preserve">a representative of the </w:t>
      </w:r>
      <w:r w:rsidRPr="00F55305" w:rsidR="00DD0B47">
        <w:rPr>
          <w:lang w:val="en-GB"/>
        </w:rPr>
        <w:t xml:space="preserve">municipal child </w:t>
      </w:r>
      <w:r w:rsidRPr="00F55305">
        <w:rPr>
          <w:lang w:val="en-GB"/>
        </w:rPr>
        <w:t xml:space="preserve">protection </w:t>
      </w:r>
      <w:r w:rsidRPr="00F55305" w:rsidR="00DD0B47">
        <w:rPr>
          <w:lang w:val="en-GB"/>
        </w:rPr>
        <w:t>department and two social workers from the children</w:t>
      </w:r>
      <w:r w:rsidRPr="00F55305" w:rsidR="00F55305">
        <w:rPr>
          <w:lang w:val="en-GB"/>
        </w:rPr>
        <w:t>’</w:t>
      </w:r>
      <w:r w:rsidRPr="00F55305" w:rsidR="00DD0B47">
        <w:rPr>
          <w:lang w:val="en-GB"/>
        </w:rPr>
        <w:t xml:space="preserve">s crisis centre where the applicant </w:t>
      </w:r>
      <w:r w:rsidRPr="00F55305" w:rsidR="00097566">
        <w:rPr>
          <w:lang w:val="en-GB"/>
        </w:rPr>
        <w:t>was living</w:t>
      </w:r>
      <w:r w:rsidRPr="00F55305" w:rsidR="00DD0B47">
        <w:rPr>
          <w:lang w:val="en-GB"/>
        </w:rPr>
        <w:t xml:space="preserve">. The </w:t>
      </w:r>
      <w:bookmarkEnd w:id="27"/>
      <w:r w:rsidRPr="00F55305" w:rsidR="00DD0B47">
        <w:rPr>
          <w:lang w:val="en-GB"/>
        </w:rPr>
        <w:t xml:space="preserve">inspector from the child protection team stated that </w:t>
      </w:r>
      <w:bookmarkStart w:name="lt_pId045" w:id="28"/>
      <w:r w:rsidRPr="00F55305" w:rsidR="000F2B78">
        <w:rPr>
          <w:lang w:val="en-GB"/>
        </w:rPr>
        <w:t>the applicant</w:t>
      </w:r>
      <w:r w:rsidRPr="00F55305">
        <w:rPr>
          <w:lang w:val="en-GB"/>
        </w:rPr>
        <w:t xml:space="preserve"> </w:t>
      </w:r>
      <w:r w:rsidRPr="00F55305" w:rsidR="00DD0B47">
        <w:rPr>
          <w:lang w:val="en-GB"/>
        </w:rPr>
        <w:t xml:space="preserve">engaged in </w:t>
      </w:r>
      <w:r w:rsidRPr="00F55305">
        <w:rPr>
          <w:lang w:val="en-GB"/>
        </w:rPr>
        <w:t xml:space="preserve">prostitution </w:t>
      </w:r>
      <w:r w:rsidRPr="00F55305" w:rsidR="00DD0B47">
        <w:rPr>
          <w:lang w:val="en-GB"/>
        </w:rPr>
        <w:t xml:space="preserve">and had been found offering prostitution services on a motorway near </w:t>
      </w:r>
      <w:r w:rsidRPr="00F55305">
        <w:rPr>
          <w:lang w:val="en-GB"/>
        </w:rPr>
        <w:t xml:space="preserve">Devnia, </w:t>
      </w:r>
      <w:r w:rsidRPr="00F55305" w:rsidR="00DD0B47">
        <w:rPr>
          <w:lang w:val="en-GB"/>
        </w:rPr>
        <w:t>some</w:t>
      </w:r>
      <w:r w:rsidRPr="00F55305">
        <w:rPr>
          <w:lang w:val="en-GB"/>
        </w:rPr>
        <w:t xml:space="preserve"> 270 km </w:t>
      </w:r>
      <w:r w:rsidRPr="00F55305" w:rsidR="00DD0B47">
        <w:rPr>
          <w:lang w:val="en-GB"/>
        </w:rPr>
        <w:t>from her home town</w:t>
      </w:r>
      <w:r w:rsidRPr="00F55305">
        <w:rPr>
          <w:lang w:val="en-GB"/>
        </w:rPr>
        <w:t>.</w:t>
      </w:r>
      <w:bookmarkEnd w:id="28"/>
      <w:r w:rsidRPr="00F55305">
        <w:rPr>
          <w:lang w:val="en-GB"/>
        </w:rPr>
        <w:t xml:space="preserve"> </w:t>
      </w:r>
      <w:bookmarkStart w:name="lt_pId046" w:id="29"/>
      <w:r w:rsidRPr="00F55305" w:rsidR="004C166B">
        <w:rPr>
          <w:lang w:val="en-GB"/>
        </w:rPr>
        <w:t>The two social workers from the children</w:t>
      </w:r>
      <w:r w:rsidRPr="00F55305" w:rsidR="00F55305">
        <w:rPr>
          <w:lang w:val="en-GB"/>
        </w:rPr>
        <w:t>’</w:t>
      </w:r>
      <w:r w:rsidRPr="00F55305" w:rsidR="004C166B">
        <w:rPr>
          <w:lang w:val="en-GB"/>
        </w:rPr>
        <w:t xml:space="preserve">s crisis </w:t>
      </w:r>
      <w:r w:rsidRPr="00F55305">
        <w:rPr>
          <w:lang w:val="en-GB"/>
        </w:rPr>
        <w:t xml:space="preserve">centre </w:t>
      </w:r>
      <w:r w:rsidRPr="00F55305" w:rsidR="004C166B">
        <w:rPr>
          <w:lang w:val="en-GB"/>
        </w:rPr>
        <w:t>pointed out that that factor had served as a ground for placing her in the centre as a protective measure for a child at risk</w:t>
      </w:r>
      <w:r w:rsidRPr="00F55305">
        <w:rPr>
          <w:lang w:val="en-GB"/>
        </w:rPr>
        <w:t>.</w:t>
      </w:r>
      <w:bookmarkEnd w:id="29"/>
      <w:r w:rsidRPr="00F55305">
        <w:rPr>
          <w:lang w:val="en-GB"/>
        </w:rPr>
        <w:t xml:space="preserve"> </w:t>
      </w:r>
      <w:bookmarkStart w:name="lt_pId047" w:id="30"/>
      <w:r w:rsidRPr="00F55305" w:rsidR="004C166B">
        <w:rPr>
          <w:lang w:val="en-GB"/>
        </w:rPr>
        <w:t xml:space="preserve">They added that after her admission to the centre, the child had remained in contact with the people who had incited her to engage in </w:t>
      </w:r>
      <w:r w:rsidRPr="00F55305">
        <w:rPr>
          <w:lang w:val="en-GB"/>
        </w:rPr>
        <w:t xml:space="preserve">prostitution </w:t>
      </w:r>
      <w:r w:rsidRPr="00F55305" w:rsidR="004C166B">
        <w:rPr>
          <w:lang w:val="en-GB"/>
        </w:rPr>
        <w:t>despite the steps that had been taken to protect her</w:t>
      </w:r>
      <w:r w:rsidRPr="00F55305">
        <w:rPr>
          <w:lang w:val="en-GB"/>
        </w:rPr>
        <w:t>.</w:t>
      </w:r>
      <w:bookmarkEnd w:id="30"/>
      <w:r w:rsidRPr="00F55305">
        <w:rPr>
          <w:lang w:val="en-GB"/>
        </w:rPr>
        <w:t xml:space="preserve"> </w:t>
      </w:r>
      <w:bookmarkStart w:name="lt_pId048" w:id="31"/>
      <w:r w:rsidRPr="00F55305" w:rsidR="004C166B">
        <w:rPr>
          <w:lang w:val="en-GB"/>
        </w:rPr>
        <w:t>In the social workers</w:t>
      </w:r>
      <w:r w:rsidRPr="00F55305" w:rsidR="00F55305">
        <w:rPr>
          <w:lang w:val="en-GB"/>
        </w:rPr>
        <w:t>’</w:t>
      </w:r>
      <w:r w:rsidRPr="00F55305" w:rsidR="004C166B">
        <w:rPr>
          <w:lang w:val="en-GB"/>
        </w:rPr>
        <w:t xml:space="preserve"> opinion, the applicant</w:t>
      </w:r>
      <w:r w:rsidRPr="00F55305" w:rsidR="00F55305">
        <w:rPr>
          <w:lang w:val="en-GB"/>
        </w:rPr>
        <w:t>’</w:t>
      </w:r>
      <w:r w:rsidRPr="00F55305" w:rsidR="004C166B">
        <w:rPr>
          <w:lang w:val="en-GB"/>
        </w:rPr>
        <w:t xml:space="preserve">s family environment was unsuitable for her. She came from a large family </w:t>
      </w:r>
      <w:r w:rsidRPr="00F55305" w:rsidR="007B3406">
        <w:rPr>
          <w:lang w:val="en-GB"/>
        </w:rPr>
        <w:t xml:space="preserve">where the mother </w:t>
      </w:r>
      <w:r w:rsidRPr="00F55305" w:rsidR="00097566">
        <w:rPr>
          <w:lang w:val="en-GB"/>
        </w:rPr>
        <w:t>did not exert any</w:t>
      </w:r>
      <w:r w:rsidRPr="00F55305" w:rsidR="007B3406">
        <w:rPr>
          <w:lang w:val="en-GB"/>
        </w:rPr>
        <w:t xml:space="preserve"> parental control</w:t>
      </w:r>
      <w:bookmarkStart w:name="lt_pId049" w:id="32"/>
      <w:bookmarkEnd w:id="31"/>
      <w:r w:rsidRPr="00F55305">
        <w:rPr>
          <w:lang w:val="en-GB"/>
        </w:rPr>
        <w:t>.</w:t>
      </w:r>
      <w:bookmarkEnd w:id="32"/>
      <w:r w:rsidRPr="00F55305">
        <w:rPr>
          <w:lang w:val="en-GB"/>
        </w:rPr>
        <w:t xml:space="preserve"> </w:t>
      </w:r>
      <w:bookmarkStart w:name="lt_pId050" w:id="33"/>
      <w:r w:rsidRPr="00F55305" w:rsidR="007B3406">
        <w:rPr>
          <w:lang w:val="en-GB"/>
        </w:rPr>
        <w:t>The mother did not have a job and her partner drank and was violent towards her and her children. The mother had also stayed at the children</w:t>
      </w:r>
      <w:r w:rsidRPr="00F55305" w:rsidR="00F55305">
        <w:rPr>
          <w:lang w:val="en-GB"/>
        </w:rPr>
        <w:t>’</w:t>
      </w:r>
      <w:r w:rsidRPr="00F55305" w:rsidR="007B3406">
        <w:rPr>
          <w:lang w:val="en-GB"/>
        </w:rPr>
        <w:t xml:space="preserve">s crisis centre with two of her other children. </w:t>
      </w:r>
      <w:bookmarkStart w:name="lt_pId052" w:id="34"/>
      <w:bookmarkEnd w:id="33"/>
      <w:r w:rsidRPr="00F55305" w:rsidR="007B3406">
        <w:rPr>
          <w:lang w:val="en-GB"/>
        </w:rPr>
        <w:t>After</w:t>
      </w:r>
      <w:r w:rsidRPr="00F55305">
        <w:rPr>
          <w:lang w:val="en-GB"/>
        </w:rPr>
        <w:t xml:space="preserve"> </w:t>
      </w:r>
      <w:r w:rsidRPr="00F55305" w:rsidR="00764EEE">
        <w:rPr>
          <w:lang w:val="en-GB"/>
        </w:rPr>
        <w:t>intensive psychological and social</w:t>
      </w:r>
      <w:r w:rsidRPr="00F55305">
        <w:rPr>
          <w:lang w:val="en-GB"/>
        </w:rPr>
        <w:t xml:space="preserve"> </w:t>
      </w:r>
      <w:r w:rsidRPr="00F55305" w:rsidR="00D63F6B">
        <w:rPr>
          <w:lang w:val="en-GB"/>
        </w:rPr>
        <w:t>counselling</w:t>
      </w:r>
      <w:r w:rsidRPr="00F55305">
        <w:rPr>
          <w:lang w:val="en-GB"/>
        </w:rPr>
        <w:t xml:space="preserve">, </w:t>
      </w:r>
      <w:r w:rsidRPr="00F55305" w:rsidR="00D63F6B">
        <w:rPr>
          <w:lang w:val="en-GB"/>
        </w:rPr>
        <w:t xml:space="preserve">a positive development had been noted in </w:t>
      </w:r>
      <w:r w:rsidRPr="00F55305" w:rsidR="000F2B78">
        <w:rPr>
          <w:lang w:val="en-GB"/>
        </w:rPr>
        <w:t>the applicant</w:t>
      </w:r>
      <w:r w:rsidRPr="00F55305">
        <w:rPr>
          <w:lang w:val="en-GB"/>
        </w:rPr>
        <w:t xml:space="preserve"> </w:t>
      </w:r>
      <w:r w:rsidRPr="00F55305" w:rsidR="00D63F6B">
        <w:rPr>
          <w:lang w:val="en-GB"/>
        </w:rPr>
        <w:t xml:space="preserve">and </w:t>
      </w:r>
      <w:r w:rsidRPr="00F55305" w:rsidR="00B108A0">
        <w:rPr>
          <w:lang w:val="en-GB"/>
        </w:rPr>
        <w:t xml:space="preserve">there were </w:t>
      </w:r>
      <w:r w:rsidRPr="00F55305" w:rsidR="00D63F6B">
        <w:rPr>
          <w:lang w:val="en-GB"/>
        </w:rPr>
        <w:t>plans to find different accommodation arrangements for her</w:t>
      </w:r>
      <w:r w:rsidRPr="00F55305">
        <w:rPr>
          <w:lang w:val="en-GB"/>
        </w:rPr>
        <w:t>.</w:t>
      </w:r>
      <w:bookmarkEnd w:id="34"/>
      <w:r w:rsidRPr="00F55305">
        <w:rPr>
          <w:lang w:val="en-GB"/>
        </w:rPr>
        <w:t xml:space="preserve"> </w:t>
      </w:r>
      <w:bookmarkStart w:name="lt_pId053" w:id="35"/>
      <w:r w:rsidRPr="00F55305" w:rsidR="00D63F6B">
        <w:rPr>
          <w:lang w:val="en-GB"/>
        </w:rPr>
        <w:t>However</w:t>
      </w:r>
      <w:r w:rsidRPr="00F55305">
        <w:rPr>
          <w:lang w:val="en-GB"/>
        </w:rPr>
        <w:t xml:space="preserve">, </w:t>
      </w:r>
      <w:r w:rsidRPr="00F55305" w:rsidR="00D63F6B">
        <w:rPr>
          <w:lang w:val="en-GB"/>
        </w:rPr>
        <w:t>the social workers added that by the time of the hearing the applicant</w:t>
      </w:r>
      <w:r w:rsidRPr="00F55305" w:rsidR="00F55305">
        <w:rPr>
          <w:lang w:val="en-GB"/>
        </w:rPr>
        <w:t>’</w:t>
      </w:r>
      <w:r w:rsidRPr="00F55305" w:rsidR="00D63F6B">
        <w:rPr>
          <w:lang w:val="en-GB"/>
        </w:rPr>
        <w:t xml:space="preserve">s situation had worsened as she did not follow the rules in place, came back late from school or was brought back by the police when she failed to return, and continued to associate with individuals known to the police, to </w:t>
      </w:r>
      <w:r w:rsidRPr="00F55305" w:rsidR="009B65F4">
        <w:rPr>
          <w:lang w:val="en-GB"/>
        </w:rPr>
        <w:t>engage in</w:t>
      </w:r>
      <w:r w:rsidRPr="00F55305" w:rsidR="00D63F6B">
        <w:rPr>
          <w:lang w:val="en-GB"/>
        </w:rPr>
        <w:t xml:space="preserve"> sexual </w:t>
      </w:r>
      <w:r w:rsidRPr="00F55305" w:rsidR="009B65F4">
        <w:rPr>
          <w:lang w:val="en-GB"/>
        </w:rPr>
        <w:t>relations</w:t>
      </w:r>
      <w:r w:rsidRPr="00F55305" w:rsidR="00D63F6B">
        <w:rPr>
          <w:lang w:val="en-GB"/>
        </w:rPr>
        <w:t xml:space="preserve"> and to behave aggressively towards the staff. </w:t>
      </w:r>
      <w:bookmarkStart w:name="lt_pId054" w:id="36"/>
      <w:bookmarkEnd w:id="35"/>
      <w:r w:rsidRPr="00F55305" w:rsidR="00D63F6B">
        <w:rPr>
          <w:lang w:val="en-GB"/>
        </w:rPr>
        <w:t>She had attended a s</w:t>
      </w:r>
      <w:r w:rsidRPr="00F55305" w:rsidR="00C74788">
        <w:rPr>
          <w:lang w:val="en-GB"/>
        </w:rPr>
        <w:t xml:space="preserve">eries of talks on prevention of </w:t>
      </w:r>
      <w:r w:rsidRPr="00F55305" w:rsidR="00142AD9">
        <w:rPr>
          <w:lang w:val="en-GB"/>
        </w:rPr>
        <w:t>“</w:t>
      </w:r>
      <w:r w:rsidRPr="00F55305" w:rsidR="00C74788">
        <w:rPr>
          <w:lang w:val="en-GB"/>
        </w:rPr>
        <w:t>lover boy</w:t>
      </w:r>
      <w:r w:rsidRPr="00F55305" w:rsidR="00142AD9">
        <w:rPr>
          <w:lang w:val="en-GB"/>
        </w:rPr>
        <w:t>”</w:t>
      </w:r>
      <w:r w:rsidRPr="00F55305" w:rsidR="002A1E7F">
        <w:rPr>
          <w:lang w:val="en-GB"/>
        </w:rPr>
        <w:t>-type</w:t>
      </w:r>
      <w:r w:rsidRPr="00F55305" w:rsidR="00C74788">
        <w:rPr>
          <w:lang w:val="en-GB"/>
        </w:rPr>
        <w:t xml:space="preserve"> </w:t>
      </w:r>
      <w:r w:rsidRPr="00F55305" w:rsidR="00B17C59">
        <w:rPr>
          <w:lang w:val="en-GB"/>
        </w:rPr>
        <w:t xml:space="preserve">human trafficking </w:t>
      </w:r>
      <w:r w:rsidRPr="00F55305" w:rsidR="00C74788">
        <w:rPr>
          <w:lang w:val="en-GB"/>
        </w:rPr>
        <w:t>but had not been receptive to the protective measures recommended.</w:t>
      </w:r>
      <w:bookmarkStart w:name="lt_pId055" w:id="37"/>
      <w:bookmarkEnd w:id="36"/>
      <w:r w:rsidRPr="00F55305" w:rsidR="00C74788">
        <w:rPr>
          <w:lang w:val="en-GB"/>
        </w:rPr>
        <w:t xml:space="preserve"> The </w:t>
      </w:r>
      <w:r w:rsidRPr="00F55305">
        <w:rPr>
          <w:lang w:val="en-GB"/>
        </w:rPr>
        <w:t xml:space="preserve">social </w:t>
      </w:r>
      <w:r w:rsidRPr="00F55305" w:rsidR="00C74788">
        <w:rPr>
          <w:lang w:val="en-GB"/>
        </w:rPr>
        <w:t xml:space="preserve">workers expressed the opinion that the </w:t>
      </w:r>
      <w:r w:rsidRPr="00F55305" w:rsidR="000F2B78">
        <w:rPr>
          <w:lang w:val="en-GB"/>
        </w:rPr>
        <w:t>applicant</w:t>
      </w:r>
      <w:r w:rsidRPr="00F55305">
        <w:rPr>
          <w:lang w:val="en-GB"/>
        </w:rPr>
        <w:t xml:space="preserve"> </w:t>
      </w:r>
      <w:r w:rsidRPr="00F55305" w:rsidR="004F5DE8">
        <w:rPr>
          <w:lang w:val="en-GB"/>
        </w:rPr>
        <w:t>faced a strong ri</w:t>
      </w:r>
      <w:r w:rsidRPr="00F55305" w:rsidR="00C74788">
        <w:rPr>
          <w:lang w:val="en-GB"/>
        </w:rPr>
        <w:t>sk of being driven into</w:t>
      </w:r>
      <w:r w:rsidRPr="00F55305">
        <w:rPr>
          <w:lang w:val="en-GB"/>
        </w:rPr>
        <w:t xml:space="preserve"> prostitution </w:t>
      </w:r>
      <w:r w:rsidRPr="00F55305" w:rsidR="00C74788">
        <w:rPr>
          <w:lang w:val="en-GB"/>
        </w:rPr>
        <w:t>and that the arrangements in place at the crisis centre did not afford her the necessary protection.</w:t>
      </w:r>
      <w:r w:rsidRPr="00F55305">
        <w:rPr>
          <w:lang w:val="en-GB"/>
        </w:rPr>
        <w:t xml:space="preserve"> </w:t>
      </w:r>
      <w:bookmarkStart w:name="lt_pId056" w:id="38"/>
      <w:bookmarkEnd w:id="37"/>
      <w:r w:rsidRPr="00F55305" w:rsidR="00C74788">
        <w:rPr>
          <w:lang w:val="en-GB"/>
        </w:rPr>
        <w:t>In their view,</w:t>
      </w:r>
      <w:r w:rsidRPr="00F55305">
        <w:rPr>
          <w:lang w:val="en-GB"/>
        </w:rPr>
        <w:t xml:space="preserve"> </w:t>
      </w:r>
      <w:r w:rsidRPr="00F55305" w:rsidR="00C74788">
        <w:rPr>
          <w:lang w:val="en-GB"/>
        </w:rPr>
        <w:t>such</w:t>
      </w:r>
      <w:r w:rsidRPr="00F55305">
        <w:rPr>
          <w:lang w:val="en-GB"/>
        </w:rPr>
        <w:t xml:space="preserve"> protection </w:t>
      </w:r>
      <w:r w:rsidRPr="00F55305" w:rsidR="00C74788">
        <w:rPr>
          <w:lang w:val="en-GB"/>
        </w:rPr>
        <w:t>would only be provided in a</w:t>
      </w:r>
      <w:r w:rsidRPr="00F55305">
        <w:rPr>
          <w:lang w:val="en-GB"/>
        </w:rPr>
        <w:t xml:space="preserve"> </w:t>
      </w:r>
      <w:r w:rsidRPr="00F55305" w:rsidR="0041559F">
        <w:rPr>
          <w:lang w:val="en-GB"/>
        </w:rPr>
        <w:t xml:space="preserve">secure centre with a restrictive regime. Lastly, the representative of the </w:t>
      </w:r>
      <w:bookmarkStart w:name="lt_pId057" w:id="39"/>
      <w:bookmarkEnd w:id="38"/>
      <w:r w:rsidRPr="00F55305" w:rsidR="00C634DC">
        <w:rPr>
          <w:lang w:val="en-GB"/>
        </w:rPr>
        <w:t>local committee</w:t>
      </w:r>
      <w:r w:rsidRPr="00F55305">
        <w:rPr>
          <w:lang w:val="en-GB"/>
        </w:rPr>
        <w:t xml:space="preserve"> </w:t>
      </w:r>
      <w:r w:rsidRPr="00F55305" w:rsidR="0041559F">
        <w:rPr>
          <w:lang w:val="en-GB"/>
        </w:rPr>
        <w:t xml:space="preserve">stated that four educational measures had already been imposed on the applicant, including </w:t>
      </w:r>
      <w:r w:rsidRPr="00F55305" w:rsidR="00306941">
        <w:rPr>
          <w:lang w:val="en-GB"/>
        </w:rPr>
        <w:t>strict monitoring</w:t>
      </w:r>
      <w:r w:rsidRPr="00F55305" w:rsidR="00306274">
        <w:rPr>
          <w:lang w:val="en-GB"/>
        </w:rPr>
        <w:t xml:space="preserve"> by a</w:t>
      </w:r>
      <w:r w:rsidRPr="00F55305" w:rsidR="005F6157">
        <w:rPr>
          <w:lang w:val="en-GB"/>
        </w:rPr>
        <w:t xml:space="preserve"> </w:t>
      </w:r>
      <w:r w:rsidRPr="00F55305" w:rsidR="00306941">
        <w:rPr>
          <w:lang w:val="en-GB"/>
        </w:rPr>
        <w:t>supervisor</w:t>
      </w:r>
      <w:r w:rsidRPr="00F55305" w:rsidR="005F6157">
        <w:rPr>
          <w:lang w:val="en-GB"/>
        </w:rPr>
        <w:t xml:space="preserve">, the ban on associating with certain individuals and the warning recommending placement in a correctional boarding school. </w:t>
      </w:r>
      <w:bookmarkStart w:name="lt_pId058" w:id="40"/>
      <w:bookmarkEnd w:id="39"/>
      <w:r w:rsidRPr="00F55305" w:rsidR="008B52FD">
        <w:rPr>
          <w:lang w:val="en-GB"/>
        </w:rPr>
        <w:t>He viewed</w:t>
      </w:r>
      <w:r w:rsidRPr="00F55305">
        <w:rPr>
          <w:lang w:val="en-GB"/>
        </w:rPr>
        <w:t xml:space="preserve"> those measures </w:t>
      </w:r>
      <w:r w:rsidRPr="00F55305" w:rsidR="008B52FD">
        <w:rPr>
          <w:lang w:val="en-GB"/>
        </w:rPr>
        <w:t>as</w:t>
      </w:r>
      <w:r w:rsidRPr="00F55305">
        <w:rPr>
          <w:lang w:val="en-GB"/>
        </w:rPr>
        <w:t xml:space="preserve"> insufficient.</w:t>
      </w:r>
      <w:bookmarkEnd w:id="4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12</w:t>
      </w:r>
      <w:r w:rsidRPr="00F55305">
        <w:rPr>
          <w:lang w:val="en-GB"/>
        </w:rPr>
        <w:fldChar w:fldCharType="end"/>
      </w:r>
      <w:r w:rsidRPr="00F55305">
        <w:rPr>
          <w:lang w:val="en-GB"/>
        </w:rPr>
        <w:t>.  </w:t>
      </w:r>
      <w:bookmarkStart w:name="lt_pId060" w:id="41"/>
      <w:r w:rsidRPr="00F55305" w:rsidR="005F6157">
        <w:rPr>
          <w:lang w:val="en-GB"/>
        </w:rPr>
        <w:t>Th</w:t>
      </w:r>
      <w:r w:rsidRPr="00F55305">
        <w:rPr>
          <w:lang w:val="en-GB"/>
        </w:rPr>
        <w:t xml:space="preserve">e </w:t>
      </w:r>
      <w:r w:rsidRPr="00F55305" w:rsidR="005F6157">
        <w:rPr>
          <w:lang w:val="en-GB"/>
        </w:rPr>
        <w:t>court</w:t>
      </w:r>
      <w:r w:rsidRPr="00F55305">
        <w:rPr>
          <w:lang w:val="en-GB"/>
        </w:rPr>
        <w:t xml:space="preserve"> </w:t>
      </w:r>
      <w:r w:rsidRPr="00F55305" w:rsidR="005F6157">
        <w:rPr>
          <w:lang w:val="en-GB"/>
        </w:rPr>
        <w:t xml:space="preserve">also </w:t>
      </w:r>
      <w:r w:rsidRPr="00F55305" w:rsidR="003A73D6">
        <w:rPr>
          <w:lang w:val="en-GB"/>
        </w:rPr>
        <w:t>obtained</w:t>
      </w:r>
      <w:r w:rsidRPr="00F55305" w:rsidR="005F6157">
        <w:rPr>
          <w:lang w:val="en-GB"/>
        </w:rPr>
        <w:t xml:space="preserve"> welfare reports. The applicant stated that she did not wish to be admitted to a correctional boarding school and preferred to remain in the children</w:t>
      </w:r>
      <w:r w:rsidRPr="00F55305" w:rsidR="00F55305">
        <w:rPr>
          <w:lang w:val="en-GB"/>
        </w:rPr>
        <w:t>’</w:t>
      </w:r>
      <w:r w:rsidRPr="00F55305" w:rsidR="005F6157">
        <w:rPr>
          <w:lang w:val="en-GB"/>
        </w:rPr>
        <w:t>s crisis centre. The officially appointed lawyer called for the adoption of less severe educational measures. The representatives of the district prosecutor</w:t>
      </w:r>
      <w:r w:rsidRPr="00F55305" w:rsidR="00F55305">
        <w:rPr>
          <w:lang w:val="en-GB"/>
        </w:rPr>
        <w:t>’</w:t>
      </w:r>
      <w:r w:rsidRPr="00F55305" w:rsidR="005F6157">
        <w:rPr>
          <w:lang w:val="en-GB"/>
        </w:rPr>
        <w:t xml:space="preserve">s office </w:t>
      </w:r>
      <w:bookmarkStart w:name="lt_pId063" w:id="42"/>
      <w:bookmarkEnd w:id="41"/>
      <w:r w:rsidRPr="00F55305" w:rsidR="005F6157">
        <w:rPr>
          <w:lang w:val="en-GB"/>
        </w:rPr>
        <w:t xml:space="preserve">and of the municipal child protection department supported the proposal by the </w:t>
      </w:r>
      <w:r w:rsidRPr="00F55305" w:rsidR="00C634DC">
        <w:rPr>
          <w:lang w:val="en-GB"/>
        </w:rPr>
        <w:t>local committee</w:t>
      </w:r>
      <w:r w:rsidRPr="00F55305">
        <w:rPr>
          <w:lang w:val="en-GB"/>
        </w:rPr>
        <w:t>.</w:t>
      </w:r>
      <w:bookmarkEnd w:id="42"/>
      <w:r w:rsidRPr="00F55305">
        <w:rPr>
          <w:lang w:val="en-GB"/>
        </w:rPr>
        <w:t xml:space="preserve"> </w:t>
      </w:r>
      <w:bookmarkStart w:name="lt_pId064" w:id="43"/>
      <w:r w:rsidRPr="00F55305" w:rsidR="005F6157">
        <w:rPr>
          <w:lang w:val="en-GB"/>
        </w:rPr>
        <w:t>The representative of the municipal child protection department</w:t>
      </w:r>
      <w:r w:rsidRPr="00F55305">
        <w:rPr>
          <w:lang w:val="en-GB"/>
        </w:rPr>
        <w:t xml:space="preserve"> </w:t>
      </w:r>
      <w:r w:rsidRPr="00F55305" w:rsidR="005F6157">
        <w:rPr>
          <w:lang w:val="en-GB"/>
        </w:rPr>
        <w:t>stated that during the hearing all the safeguards laid down in the Child Protection Act had been observed.</w:t>
      </w:r>
      <w:bookmarkEnd w:id="43"/>
      <w:r w:rsidRPr="00F55305">
        <w:rPr>
          <w:lang w:val="en-GB"/>
        </w:rPr>
        <w:t xml:space="preserve"> </w:t>
      </w:r>
      <w:bookmarkStart w:name="lt_pId065" w:id="44"/>
      <w:r w:rsidRPr="00F55305" w:rsidR="005F6157">
        <w:rPr>
          <w:lang w:val="en-GB"/>
        </w:rPr>
        <w:t xml:space="preserve">In his opinion, the </w:t>
      </w:r>
      <w:r w:rsidRPr="00F55305" w:rsidR="006C6D72">
        <w:rPr>
          <w:lang w:val="en-GB"/>
        </w:rPr>
        <w:t>possibilities for the child</w:t>
      </w:r>
      <w:r w:rsidRPr="00F55305" w:rsidR="00F55305">
        <w:rPr>
          <w:lang w:val="en-GB"/>
        </w:rPr>
        <w:t>’</w:t>
      </w:r>
      <w:r w:rsidRPr="00F55305" w:rsidR="006C6D72">
        <w:rPr>
          <w:lang w:val="en-GB"/>
        </w:rPr>
        <w:t xml:space="preserve">s </w:t>
      </w:r>
      <w:r w:rsidRPr="00F55305" w:rsidR="003A73D6">
        <w:rPr>
          <w:lang w:val="en-GB"/>
        </w:rPr>
        <w:t>upbringing</w:t>
      </w:r>
      <w:r w:rsidRPr="00F55305" w:rsidR="006C6D72">
        <w:rPr>
          <w:lang w:val="en-GB"/>
        </w:rPr>
        <w:t xml:space="preserve"> in the crisis centre had been exhausted</w:t>
      </w:r>
      <w:r w:rsidRPr="00F55305">
        <w:rPr>
          <w:lang w:val="en-GB"/>
        </w:rPr>
        <w:t xml:space="preserve">, </w:t>
      </w:r>
      <w:r w:rsidRPr="00F55305" w:rsidR="006C6D72">
        <w:rPr>
          <w:lang w:val="en-GB"/>
        </w:rPr>
        <w:t xml:space="preserve">the risk of her renewed involvement in human trafficking was very high and she was unaware of this. Accordingly, the measure of placement in a correctional boarding school was in </w:t>
      </w:r>
      <w:r w:rsidRPr="00F55305" w:rsidR="003A73D6">
        <w:rPr>
          <w:lang w:val="en-GB"/>
        </w:rPr>
        <w:t>fact</w:t>
      </w:r>
      <w:r w:rsidRPr="00F55305" w:rsidR="006C6D72">
        <w:rPr>
          <w:lang w:val="en-GB"/>
        </w:rPr>
        <w:t xml:space="preserve"> in her interests.</w:t>
      </w:r>
      <w:bookmarkEnd w:id="4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13</w:t>
      </w:r>
      <w:r w:rsidRPr="00F55305">
        <w:rPr>
          <w:lang w:val="en-GB"/>
        </w:rPr>
        <w:fldChar w:fldCharType="end"/>
      </w:r>
      <w:r w:rsidRPr="00F55305">
        <w:rPr>
          <w:lang w:val="en-GB"/>
        </w:rPr>
        <w:t>.  </w:t>
      </w:r>
      <w:bookmarkStart w:name="lt_pId068" w:id="45"/>
      <w:r w:rsidRPr="00F55305" w:rsidR="008B5D9C">
        <w:rPr>
          <w:lang w:val="en-GB"/>
        </w:rPr>
        <w:t>Later</w:t>
      </w:r>
      <w:r w:rsidRPr="00F55305">
        <w:rPr>
          <w:lang w:val="en-GB"/>
        </w:rPr>
        <w:t xml:space="preserve"> </w:t>
      </w:r>
      <w:r w:rsidRPr="00F55305" w:rsidR="000F2B78">
        <w:rPr>
          <w:lang w:val="en-GB"/>
        </w:rPr>
        <w:t>on 1</w:t>
      </w:r>
      <w:r w:rsidRPr="00F55305">
        <w:rPr>
          <w:lang w:val="en-GB"/>
        </w:rPr>
        <w:t xml:space="preserve">0 </w:t>
      </w:r>
      <w:r w:rsidRPr="00F55305" w:rsidR="006C6D72">
        <w:rPr>
          <w:lang w:val="en-GB"/>
        </w:rPr>
        <w:t>June</w:t>
      </w:r>
      <w:r w:rsidRPr="00F55305" w:rsidR="003A73D6">
        <w:rPr>
          <w:lang w:val="en-GB"/>
        </w:rPr>
        <w:t xml:space="preserve"> 2013</w:t>
      </w:r>
      <w:r w:rsidRPr="00F55305">
        <w:rPr>
          <w:lang w:val="en-GB"/>
        </w:rPr>
        <w:t xml:space="preserve"> </w:t>
      </w:r>
      <w:r w:rsidRPr="00F55305" w:rsidR="006C6D72">
        <w:rPr>
          <w:lang w:val="en-GB"/>
        </w:rPr>
        <w:t>th</w:t>
      </w:r>
      <w:r w:rsidRPr="00F55305">
        <w:rPr>
          <w:lang w:val="en-GB"/>
        </w:rPr>
        <w:t xml:space="preserve">e </w:t>
      </w:r>
      <w:r w:rsidRPr="00F55305" w:rsidR="000F2B78">
        <w:rPr>
          <w:lang w:val="en-GB"/>
        </w:rPr>
        <w:t>District Court</w:t>
      </w:r>
      <w:r w:rsidRPr="00F55305">
        <w:rPr>
          <w:lang w:val="en-GB"/>
        </w:rPr>
        <w:t xml:space="preserve"> </w:t>
      </w:r>
      <w:r w:rsidRPr="00F55305" w:rsidR="008B5D9C">
        <w:rPr>
          <w:lang w:val="en-GB"/>
        </w:rPr>
        <w:t xml:space="preserve">gave a judgment ordering the </w:t>
      </w:r>
      <w:r w:rsidRPr="00F55305" w:rsidR="000F2B78">
        <w:rPr>
          <w:lang w:val="en-GB"/>
        </w:rPr>
        <w:t>applicant</w:t>
      </w:r>
      <w:r w:rsidRPr="00F55305" w:rsidR="00F55305">
        <w:rPr>
          <w:lang w:val="en-GB"/>
        </w:rPr>
        <w:t>’</w:t>
      </w:r>
      <w:r w:rsidRPr="00F55305" w:rsidR="008B5D9C">
        <w:rPr>
          <w:lang w:val="en-GB"/>
        </w:rPr>
        <w:t>s</w:t>
      </w:r>
      <w:r w:rsidRPr="00F55305">
        <w:rPr>
          <w:lang w:val="en-GB"/>
        </w:rPr>
        <w:t xml:space="preserve"> </w:t>
      </w:r>
      <w:r w:rsidRPr="00F55305" w:rsidR="008B5D9C">
        <w:rPr>
          <w:lang w:val="en-GB"/>
        </w:rPr>
        <w:t>placement in the correctional boarding school in Podem (</w:t>
      </w:r>
      <w:r w:rsidRPr="00F55305" w:rsidR="00142AD9">
        <w:rPr>
          <w:lang w:val="en-GB"/>
        </w:rPr>
        <w:t>“</w:t>
      </w:r>
      <w:r w:rsidRPr="00F55305" w:rsidR="008B5D9C">
        <w:rPr>
          <w:lang w:val="en-GB"/>
        </w:rPr>
        <w:t xml:space="preserve">the Podem </w:t>
      </w:r>
      <w:r w:rsidRPr="00F55305" w:rsidR="00381E90">
        <w:rPr>
          <w:lang w:val="en-GB"/>
        </w:rPr>
        <w:t>school</w:t>
      </w:r>
      <w:r w:rsidRPr="00F55305" w:rsidR="00142AD9">
        <w:rPr>
          <w:lang w:val="en-GB"/>
        </w:rPr>
        <w:t>”</w:t>
      </w:r>
      <w:r w:rsidRPr="00F55305">
        <w:rPr>
          <w:lang w:val="en-GB"/>
        </w:rPr>
        <w:t xml:space="preserve">), </w:t>
      </w:r>
      <w:r w:rsidRPr="00F55305" w:rsidR="008B5D9C">
        <w:rPr>
          <w:lang w:val="en-GB"/>
        </w:rPr>
        <w:t>a</w:t>
      </w:r>
      <w:r w:rsidRPr="00F55305">
        <w:rPr>
          <w:lang w:val="en-GB"/>
        </w:rPr>
        <w:t xml:space="preserve"> village 20 </w:t>
      </w:r>
      <w:r w:rsidRPr="00F55305" w:rsidR="008B5D9C">
        <w:rPr>
          <w:lang w:val="en-GB"/>
        </w:rPr>
        <w:t>kilometres away from</w:t>
      </w:r>
      <w:r w:rsidRPr="00F55305">
        <w:rPr>
          <w:lang w:val="en-GB"/>
        </w:rPr>
        <w:t xml:space="preserve"> Pleven.</w:t>
      </w:r>
      <w:bookmarkEnd w:id="45"/>
      <w:r w:rsidRPr="00F55305">
        <w:rPr>
          <w:lang w:val="en-GB"/>
        </w:rPr>
        <w:t xml:space="preserve"> </w:t>
      </w:r>
      <w:bookmarkStart w:name="lt_pId069" w:id="46"/>
      <w:r w:rsidRPr="00F55305" w:rsidR="008B5D9C">
        <w:rPr>
          <w:lang w:val="en-GB"/>
        </w:rPr>
        <w:t xml:space="preserve">In its reasoning the court held that despite the judicial decision of </w:t>
      </w:r>
      <w:r w:rsidRPr="00F55305" w:rsidR="000F2B78">
        <w:rPr>
          <w:lang w:val="en-GB"/>
        </w:rPr>
        <w:t>1</w:t>
      </w:r>
      <w:r w:rsidRPr="00F55305">
        <w:rPr>
          <w:lang w:val="en-GB"/>
        </w:rPr>
        <w:t xml:space="preserve"> </w:t>
      </w:r>
      <w:r w:rsidRPr="00F55305" w:rsidR="000F2B78">
        <w:rPr>
          <w:lang w:val="en-GB"/>
        </w:rPr>
        <w:t>April</w:t>
      </w:r>
      <w:r w:rsidRPr="00F55305">
        <w:rPr>
          <w:lang w:val="en-GB"/>
        </w:rPr>
        <w:t xml:space="preserve"> 2013 </w:t>
      </w:r>
      <w:r w:rsidRPr="00F55305" w:rsidR="008B5D9C">
        <w:rPr>
          <w:lang w:val="en-GB"/>
        </w:rPr>
        <w:t xml:space="preserve">in which a compromise solution had been adopted for the applicant, namely the </w:t>
      </w:r>
      <w:r w:rsidRPr="00F55305">
        <w:rPr>
          <w:lang w:val="en-GB"/>
        </w:rPr>
        <w:t xml:space="preserve">confirmation </w:t>
      </w:r>
      <w:r w:rsidRPr="00F55305" w:rsidR="008B5D9C">
        <w:rPr>
          <w:lang w:val="en-GB"/>
        </w:rPr>
        <w:t>and</w:t>
      </w:r>
      <w:r w:rsidRPr="00F55305">
        <w:rPr>
          <w:lang w:val="en-GB"/>
        </w:rPr>
        <w:t xml:space="preserve"> </w:t>
      </w:r>
      <w:r w:rsidRPr="00F55305" w:rsidR="008B5D9C">
        <w:rPr>
          <w:lang w:val="en-GB"/>
        </w:rPr>
        <w:t>extension of her</w:t>
      </w:r>
      <w:r w:rsidRPr="00F55305">
        <w:rPr>
          <w:lang w:val="en-GB"/>
        </w:rPr>
        <w:t xml:space="preserve"> placement </w:t>
      </w:r>
      <w:r w:rsidRPr="00F55305" w:rsidR="008B5D9C">
        <w:rPr>
          <w:lang w:val="en-GB"/>
        </w:rPr>
        <w:t>in the children</w:t>
      </w:r>
      <w:r w:rsidRPr="00F55305" w:rsidR="00F55305">
        <w:rPr>
          <w:lang w:val="en-GB"/>
        </w:rPr>
        <w:t>’</w:t>
      </w:r>
      <w:r w:rsidRPr="00F55305" w:rsidR="008B5D9C">
        <w:rPr>
          <w:lang w:val="en-GB"/>
        </w:rPr>
        <w:t>s crisis centre</w:t>
      </w:r>
      <w:r w:rsidRPr="00F55305">
        <w:rPr>
          <w:lang w:val="en-GB"/>
        </w:rPr>
        <w:t xml:space="preserve">, </w:t>
      </w:r>
      <w:r w:rsidRPr="00F55305" w:rsidR="008B5D9C">
        <w:rPr>
          <w:lang w:val="en-GB"/>
        </w:rPr>
        <w:t xml:space="preserve">she was still failing to abide by the </w:t>
      </w:r>
      <w:r w:rsidRPr="00F55305">
        <w:rPr>
          <w:lang w:val="en-GB"/>
        </w:rPr>
        <w:t>institution</w:t>
      </w:r>
      <w:r w:rsidRPr="00F55305" w:rsidR="00F55305">
        <w:rPr>
          <w:lang w:val="en-GB"/>
        </w:rPr>
        <w:t>’</w:t>
      </w:r>
      <w:r w:rsidRPr="00F55305" w:rsidR="008B5D9C">
        <w:rPr>
          <w:lang w:val="en-GB"/>
        </w:rPr>
        <w:t>s internal rules</w:t>
      </w:r>
      <w:r w:rsidRPr="00F55305">
        <w:rPr>
          <w:lang w:val="en-GB"/>
        </w:rPr>
        <w:t xml:space="preserve">, </w:t>
      </w:r>
      <w:r w:rsidRPr="00F55305" w:rsidR="008B5D9C">
        <w:rPr>
          <w:lang w:val="en-GB"/>
        </w:rPr>
        <w:t>was not returning to the centre by the designated time</w:t>
      </w:r>
      <w:r w:rsidRPr="00F55305" w:rsidR="00555C7F">
        <w:rPr>
          <w:lang w:val="en-GB"/>
        </w:rPr>
        <w:t xml:space="preserve"> after school</w:t>
      </w:r>
      <w:r w:rsidRPr="00F55305" w:rsidR="008B5D9C">
        <w:rPr>
          <w:lang w:val="en-GB"/>
        </w:rPr>
        <w:t xml:space="preserve">, was in contact with individuals identified as </w:t>
      </w:r>
      <w:r w:rsidRPr="00F55305" w:rsidR="00142AD9">
        <w:rPr>
          <w:lang w:val="en-GB"/>
        </w:rPr>
        <w:t>“</w:t>
      </w:r>
      <w:r w:rsidRPr="00F55305" w:rsidR="00AC7741">
        <w:rPr>
          <w:lang w:val="en-GB"/>
        </w:rPr>
        <w:t>delinquents</w:t>
      </w:r>
      <w:r w:rsidRPr="00F55305" w:rsidR="00142AD9">
        <w:rPr>
          <w:lang w:val="en-GB"/>
        </w:rPr>
        <w:t>”</w:t>
      </w:r>
      <w:r w:rsidRPr="00F55305" w:rsidR="008B5D9C">
        <w:rPr>
          <w:lang w:val="en-GB"/>
        </w:rPr>
        <w:t xml:space="preserve"> and was still behaving rudely and aggressively towards the social workers at the centre.</w:t>
      </w:r>
      <w:r w:rsidRPr="00F55305">
        <w:rPr>
          <w:lang w:val="en-GB"/>
        </w:rPr>
        <w:t xml:space="preserve"> </w:t>
      </w:r>
      <w:bookmarkStart w:name="lt_pId070" w:id="47"/>
      <w:bookmarkEnd w:id="46"/>
      <w:r w:rsidRPr="00F55305" w:rsidR="003B5A4F">
        <w:rPr>
          <w:lang w:val="en-GB"/>
        </w:rPr>
        <w:t xml:space="preserve">It noted that, in the absence of adequate parental control, </w:t>
      </w:r>
      <w:r w:rsidRPr="00F55305" w:rsidR="000F2B78">
        <w:rPr>
          <w:lang w:val="en-GB"/>
        </w:rPr>
        <w:t>the applicant</w:t>
      </w:r>
      <w:r w:rsidRPr="00F55305">
        <w:rPr>
          <w:lang w:val="en-GB"/>
        </w:rPr>
        <w:t xml:space="preserve"> </w:t>
      </w:r>
      <w:r w:rsidRPr="00F55305" w:rsidR="003B5A4F">
        <w:rPr>
          <w:lang w:val="en-GB"/>
        </w:rPr>
        <w:t>had</w:t>
      </w:r>
      <w:r w:rsidRPr="00F55305">
        <w:rPr>
          <w:lang w:val="en-GB"/>
        </w:rPr>
        <w:t xml:space="preserve"> </w:t>
      </w:r>
      <w:r w:rsidRPr="00F55305" w:rsidR="003B5A4F">
        <w:rPr>
          <w:lang w:val="en-GB"/>
        </w:rPr>
        <w:t>developed serious</w:t>
      </w:r>
      <w:r w:rsidRPr="00F55305">
        <w:rPr>
          <w:lang w:val="en-GB"/>
        </w:rPr>
        <w:t xml:space="preserve"> antisocial </w:t>
      </w:r>
      <w:r w:rsidRPr="00F55305" w:rsidR="003B5A4F">
        <w:rPr>
          <w:lang w:val="en-GB"/>
        </w:rPr>
        <w:t>habits and that her</w:t>
      </w:r>
      <w:r w:rsidRPr="00F55305">
        <w:rPr>
          <w:lang w:val="en-GB"/>
        </w:rPr>
        <w:t xml:space="preserve"> placement </w:t>
      </w:r>
      <w:r w:rsidRPr="00F55305" w:rsidR="003B5A4F">
        <w:rPr>
          <w:lang w:val="en-GB"/>
        </w:rPr>
        <w:t>in a children</w:t>
      </w:r>
      <w:r w:rsidRPr="00F55305" w:rsidR="00F55305">
        <w:rPr>
          <w:lang w:val="en-GB"/>
        </w:rPr>
        <w:t>’</w:t>
      </w:r>
      <w:r w:rsidRPr="00F55305" w:rsidR="003B5A4F">
        <w:rPr>
          <w:lang w:val="en-GB"/>
        </w:rPr>
        <w:t>s crisis centre no longer had the intended educational and preventive effect on her behaviour. In the court</w:t>
      </w:r>
      <w:r w:rsidRPr="00F55305" w:rsidR="00F55305">
        <w:rPr>
          <w:lang w:val="en-GB"/>
        </w:rPr>
        <w:t>’</w:t>
      </w:r>
      <w:r w:rsidRPr="00F55305" w:rsidR="003B5A4F">
        <w:rPr>
          <w:lang w:val="en-GB"/>
        </w:rPr>
        <w:t xml:space="preserve">s view, the applicant </w:t>
      </w:r>
      <w:bookmarkStart w:name="lt_pId071" w:id="48"/>
      <w:bookmarkEnd w:id="47"/>
      <w:r w:rsidRPr="00F55305" w:rsidR="003B5A4F">
        <w:rPr>
          <w:lang w:val="en-GB"/>
        </w:rPr>
        <w:t xml:space="preserve">no longer displayed any willingness to abide by the rules of society, or even those of the </w:t>
      </w:r>
      <w:r w:rsidRPr="00F55305">
        <w:rPr>
          <w:lang w:val="en-GB"/>
        </w:rPr>
        <w:t xml:space="preserve">institution </w:t>
      </w:r>
      <w:r w:rsidRPr="00F55305" w:rsidR="003B5A4F">
        <w:rPr>
          <w:lang w:val="en-GB"/>
        </w:rPr>
        <w:t xml:space="preserve">in which she </w:t>
      </w:r>
      <w:r w:rsidRPr="00F55305" w:rsidR="00A25EFC">
        <w:rPr>
          <w:lang w:val="en-GB"/>
        </w:rPr>
        <w:t xml:space="preserve">was </w:t>
      </w:r>
      <w:r w:rsidRPr="00F55305" w:rsidR="003B5A4F">
        <w:rPr>
          <w:lang w:val="en-GB"/>
        </w:rPr>
        <w:t>liv</w:t>
      </w:r>
      <w:r w:rsidRPr="00F55305" w:rsidR="00A25EFC">
        <w:rPr>
          <w:lang w:val="en-GB"/>
        </w:rPr>
        <w:t>ing</w:t>
      </w:r>
      <w:r w:rsidRPr="00F55305">
        <w:rPr>
          <w:lang w:val="en-GB"/>
        </w:rPr>
        <w:t xml:space="preserve">, </w:t>
      </w:r>
      <w:r w:rsidRPr="00F55305" w:rsidR="003B5A4F">
        <w:rPr>
          <w:lang w:val="en-GB"/>
        </w:rPr>
        <w:t xml:space="preserve">and it was therefore advisable to remove her from her circle of acquaintances who </w:t>
      </w:r>
      <w:r w:rsidRPr="00F55305" w:rsidR="00A25EFC">
        <w:rPr>
          <w:lang w:val="en-GB"/>
        </w:rPr>
        <w:t>were harming</w:t>
      </w:r>
      <w:r w:rsidRPr="00F55305" w:rsidR="003B5A4F">
        <w:rPr>
          <w:lang w:val="en-GB"/>
        </w:rPr>
        <w:t xml:space="preserve"> her personal development, and to provide her with enhanced educational support in order to eradicate her negative behavioural traits. The court noted that educational measures had already been imposed on her, but they had not produced a positive result. </w:t>
      </w:r>
      <w:bookmarkEnd w:id="48"/>
      <w:r w:rsidRPr="00F55305" w:rsidR="003B5A4F">
        <w:rPr>
          <w:lang w:val="en-GB"/>
        </w:rPr>
        <w:t>It concluded that the measure of</w:t>
      </w:r>
      <w:r w:rsidRPr="00F55305">
        <w:rPr>
          <w:lang w:val="en-GB"/>
        </w:rPr>
        <w:t xml:space="preserve"> </w:t>
      </w:r>
      <w:bookmarkStart w:name="lt_pId073" w:id="49"/>
      <w:r w:rsidRPr="00F55305" w:rsidR="003B5A4F">
        <w:rPr>
          <w:lang w:val="en-GB"/>
        </w:rPr>
        <w:t xml:space="preserve">admission to a correctional boarding school was necessary </w:t>
      </w:r>
      <w:r w:rsidRPr="00F55305" w:rsidR="00B72A08">
        <w:rPr>
          <w:lang w:val="en-GB"/>
        </w:rPr>
        <w:t xml:space="preserve">not only </w:t>
      </w:r>
      <w:r w:rsidRPr="00F55305" w:rsidR="003B5A4F">
        <w:rPr>
          <w:lang w:val="en-GB"/>
        </w:rPr>
        <w:t>for her own benefit but in the interests of society.</w:t>
      </w:r>
      <w:bookmarkEnd w:id="4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14</w:t>
      </w:r>
      <w:r w:rsidRPr="00F55305">
        <w:rPr>
          <w:lang w:val="en-GB"/>
        </w:rPr>
        <w:fldChar w:fldCharType="end"/>
      </w:r>
      <w:r w:rsidRPr="00F55305">
        <w:rPr>
          <w:lang w:val="en-GB"/>
        </w:rPr>
        <w:t>.  </w:t>
      </w:r>
      <w:bookmarkStart w:name="lt_pId075" w:id="50"/>
      <w:r w:rsidRPr="00F55305">
        <w:rPr>
          <w:lang w:val="en-GB"/>
        </w:rPr>
        <w:t>The applicant, represented by her lawyer, appealed against that judgment.</w:t>
      </w:r>
      <w:bookmarkEnd w:id="50"/>
      <w:r w:rsidRPr="00F55305">
        <w:rPr>
          <w:lang w:val="en-GB"/>
        </w:rPr>
        <w:t xml:space="preserve"> </w:t>
      </w:r>
      <w:bookmarkStart w:name="lt_pId076" w:id="51"/>
      <w:r w:rsidRPr="00F55305" w:rsidR="003B5A4F">
        <w:rPr>
          <w:lang w:val="en-GB"/>
        </w:rPr>
        <w:t>She challenged the measure imposed on her, arguing in particular that the court had not specified its duration, that her mother had not been given a hearing by the first-instance court and that she herself had not committed any criminal acts</w:t>
      </w:r>
      <w:r w:rsidRPr="00F55305">
        <w:rPr>
          <w:lang w:val="en-GB"/>
        </w:rPr>
        <w:t>.</w:t>
      </w:r>
      <w:bookmarkEnd w:id="5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15</w:t>
      </w:r>
      <w:r w:rsidRPr="00F55305">
        <w:rPr>
          <w:lang w:val="en-GB"/>
        </w:rPr>
        <w:fldChar w:fldCharType="end"/>
      </w:r>
      <w:r w:rsidRPr="00F55305">
        <w:rPr>
          <w:lang w:val="en-GB"/>
        </w:rPr>
        <w:t>.  </w:t>
      </w:r>
      <w:bookmarkStart w:name="lt_pId078" w:id="52"/>
      <w:r w:rsidRPr="00F55305" w:rsidR="003B5A4F">
        <w:rPr>
          <w:lang w:val="en-GB"/>
        </w:rPr>
        <w:t>In a final judgment of</w:t>
      </w:r>
      <w:r w:rsidRPr="00F55305">
        <w:rPr>
          <w:lang w:val="en-GB"/>
        </w:rPr>
        <w:t xml:space="preserve"> 16 </w:t>
      </w:r>
      <w:r w:rsidRPr="00F55305" w:rsidR="003B5A4F">
        <w:rPr>
          <w:lang w:val="en-GB"/>
        </w:rPr>
        <w:t>July</w:t>
      </w:r>
      <w:r w:rsidRPr="00F55305">
        <w:rPr>
          <w:lang w:val="en-GB"/>
        </w:rPr>
        <w:t xml:space="preserve"> 2013</w:t>
      </w:r>
      <w:r w:rsidRPr="00F55305" w:rsidR="003B5A4F">
        <w:rPr>
          <w:lang w:val="en-GB"/>
        </w:rPr>
        <w:t xml:space="preserve"> a criminal bench of the </w:t>
      </w:r>
      <w:r w:rsidRPr="00F55305">
        <w:rPr>
          <w:lang w:val="en-GB"/>
        </w:rPr>
        <w:t xml:space="preserve">Pleven </w:t>
      </w:r>
      <w:r w:rsidRPr="00F55305" w:rsidR="003B5A4F">
        <w:rPr>
          <w:lang w:val="en-GB"/>
        </w:rPr>
        <w:t>Regional Court upheld the first-instance court</w:t>
      </w:r>
      <w:r w:rsidRPr="00F55305" w:rsidR="00F55305">
        <w:rPr>
          <w:lang w:val="en-GB"/>
        </w:rPr>
        <w:t>’</w:t>
      </w:r>
      <w:r w:rsidRPr="00F55305" w:rsidR="003B5A4F">
        <w:rPr>
          <w:lang w:val="en-GB"/>
        </w:rPr>
        <w:t xml:space="preserve">s decision. </w:t>
      </w:r>
      <w:bookmarkStart w:name="lt_pId079" w:id="53"/>
      <w:bookmarkEnd w:id="52"/>
      <w:r w:rsidRPr="00F55305" w:rsidR="003B5A4F">
        <w:rPr>
          <w:lang w:val="en-GB"/>
        </w:rPr>
        <w:t xml:space="preserve">In its reasoning it held that the law did not oblige the court to hear evidence from the parents </w:t>
      </w:r>
      <w:r w:rsidRPr="00F55305" w:rsidR="003B5A4F">
        <w:rPr>
          <w:lang w:val="en-GB"/>
        </w:rPr>
        <w:softHyphen/>
        <w:t>– in this instance the applicant</w:t>
      </w:r>
      <w:r w:rsidRPr="00F55305" w:rsidR="00F55305">
        <w:rPr>
          <w:lang w:val="en-GB"/>
        </w:rPr>
        <w:t>’</w:t>
      </w:r>
      <w:r w:rsidRPr="00F55305" w:rsidR="003B5A4F">
        <w:rPr>
          <w:lang w:val="en-GB"/>
        </w:rPr>
        <w:t xml:space="preserve">s mother </w:t>
      </w:r>
      <w:r w:rsidRPr="00F55305" w:rsidR="003B5A4F">
        <w:rPr>
          <w:lang w:val="en-GB"/>
        </w:rPr>
        <w:softHyphen/>
        <w:t>– and that the applicant</w:t>
      </w:r>
      <w:r w:rsidRPr="00F55305" w:rsidR="00F55305">
        <w:rPr>
          <w:lang w:val="en-GB"/>
        </w:rPr>
        <w:t>’</w:t>
      </w:r>
      <w:r w:rsidRPr="00F55305" w:rsidR="003B5A4F">
        <w:rPr>
          <w:lang w:val="en-GB"/>
        </w:rPr>
        <w:t>s other complaints were unsubstantiated and ill-founded.</w:t>
      </w:r>
      <w:bookmarkEnd w:id="5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16</w:t>
      </w:r>
      <w:r w:rsidRPr="00F55305">
        <w:rPr>
          <w:lang w:val="en-GB"/>
        </w:rPr>
        <w:fldChar w:fldCharType="end"/>
      </w:r>
      <w:r w:rsidRPr="00F55305">
        <w:rPr>
          <w:lang w:val="en-GB"/>
        </w:rPr>
        <w:t>.  </w:t>
      </w:r>
      <w:bookmarkStart w:name="lt_pId081" w:id="54"/>
      <w:r w:rsidRPr="00F55305" w:rsidR="000F2B78">
        <w:rPr>
          <w:lang w:val="en-GB"/>
        </w:rPr>
        <w:t>On 1</w:t>
      </w:r>
      <w:r w:rsidRPr="00F55305">
        <w:rPr>
          <w:lang w:val="en-GB"/>
        </w:rPr>
        <w:t xml:space="preserve">3 </w:t>
      </w:r>
      <w:r w:rsidRPr="00F55305" w:rsidR="006E56E1">
        <w:rPr>
          <w:lang w:val="en-GB"/>
        </w:rPr>
        <w:t>September</w:t>
      </w:r>
      <w:r w:rsidRPr="00F55305">
        <w:rPr>
          <w:lang w:val="en-GB"/>
        </w:rPr>
        <w:t xml:space="preserve"> 2013 </w:t>
      </w:r>
      <w:r w:rsidRPr="00F55305" w:rsidR="000F2B78">
        <w:rPr>
          <w:lang w:val="en-GB"/>
        </w:rPr>
        <w:t>the applicant</w:t>
      </w:r>
      <w:r w:rsidRPr="00F55305">
        <w:rPr>
          <w:lang w:val="en-GB"/>
        </w:rPr>
        <w:t xml:space="preserve"> </w:t>
      </w:r>
      <w:r w:rsidRPr="00F55305" w:rsidR="00181C1E">
        <w:rPr>
          <w:lang w:val="en-GB"/>
        </w:rPr>
        <w:t>attempted to commit suicide and was admitted to the toxicology department of</w:t>
      </w:r>
      <w:r w:rsidRPr="00F55305">
        <w:rPr>
          <w:lang w:val="en-GB"/>
        </w:rPr>
        <w:t xml:space="preserve"> Pleven</w:t>
      </w:r>
      <w:r w:rsidRPr="00F55305" w:rsidR="00181C1E">
        <w:rPr>
          <w:lang w:val="en-GB"/>
        </w:rPr>
        <w:t xml:space="preserve"> Hospital</w:t>
      </w:r>
      <w:r w:rsidRPr="00F55305">
        <w:rPr>
          <w:lang w:val="en-GB"/>
        </w:rPr>
        <w:t>.</w:t>
      </w:r>
      <w:bookmarkEnd w:id="54"/>
      <w:r w:rsidRPr="00F55305">
        <w:rPr>
          <w:lang w:val="en-GB"/>
        </w:rPr>
        <w:t xml:space="preserve"> </w:t>
      </w:r>
      <w:bookmarkStart w:name="lt_pId082" w:id="55"/>
      <w:r w:rsidRPr="00F55305" w:rsidR="00181C1E">
        <w:rPr>
          <w:lang w:val="en-GB"/>
        </w:rPr>
        <w:t>According to a medical certificate dated</w:t>
      </w:r>
      <w:r w:rsidRPr="00F55305">
        <w:rPr>
          <w:lang w:val="en-GB"/>
        </w:rPr>
        <w:t xml:space="preserve"> 15 </w:t>
      </w:r>
      <w:r w:rsidRPr="00F55305" w:rsidR="00181C1E">
        <w:rPr>
          <w:lang w:val="en-GB"/>
        </w:rPr>
        <w:t>September</w:t>
      </w:r>
      <w:r w:rsidRPr="00F55305">
        <w:rPr>
          <w:lang w:val="en-GB"/>
        </w:rPr>
        <w:t xml:space="preserve"> 2013, </w:t>
      </w:r>
      <w:r w:rsidRPr="00F55305" w:rsidR="00181C1E">
        <w:rPr>
          <w:lang w:val="en-GB"/>
        </w:rPr>
        <w:t>she had taken</w:t>
      </w:r>
      <w:r w:rsidRPr="00F55305">
        <w:rPr>
          <w:lang w:val="en-GB"/>
        </w:rPr>
        <w:t xml:space="preserve"> </w:t>
      </w:r>
      <w:r w:rsidRPr="00F55305" w:rsidR="00181C1E">
        <w:rPr>
          <w:lang w:val="en-GB"/>
        </w:rPr>
        <w:t xml:space="preserve">ten </w:t>
      </w:r>
      <w:r w:rsidRPr="00F55305">
        <w:rPr>
          <w:lang w:val="en-GB"/>
        </w:rPr>
        <w:t xml:space="preserve">500 mg </w:t>
      </w:r>
      <w:r w:rsidRPr="00F55305" w:rsidR="00181C1E">
        <w:rPr>
          <w:lang w:val="en-GB"/>
        </w:rPr>
        <w:t xml:space="preserve">paracetamol tablets and ten </w:t>
      </w:r>
      <w:r w:rsidRPr="00F55305">
        <w:rPr>
          <w:lang w:val="en-GB"/>
        </w:rPr>
        <w:t xml:space="preserve">Remotiv </w:t>
      </w:r>
      <w:r w:rsidRPr="00F55305" w:rsidR="00035D6A">
        <w:rPr>
          <w:lang w:val="en-GB"/>
        </w:rPr>
        <w:t>tablets and was in a fragile state.</w:t>
      </w:r>
      <w:r w:rsidRPr="00F55305">
        <w:rPr>
          <w:lang w:val="en-GB"/>
        </w:rPr>
        <w:t xml:space="preserve"> </w:t>
      </w:r>
      <w:bookmarkStart w:name="lt_pId083" w:id="56"/>
      <w:bookmarkEnd w:id="55"/>
      <w:r w:rsidRPr="00F55305" w:rsidR="00035D6A">
        <w:rPr>
          <w:lang w:val="en-GB"/>
        </w:rPr>
        <w:t>After her stomach was pumped</w:t>
      </w:r>
      <w:r w:rsidRPr="00F55305">
        <w:rPr>
          <w:lang w:val="en-GB"/>
        </w:rPr>
        <w:t xml:space="preserve">, </w:t>
      </w:r>
      <w:r w:rsidRPr="00F55305" w:rsidR="00035D6A">
        <w:rPr>
          <w:lang w:val="en-GB"/>
        </w:rPr>
        <w:t>the effects of the</w:t>
      </w:r>
      <w:r w:rsidRPr="00F55305">
        <w:rPr>
          <w:lang w:val="en-GB"/>
        </w:rPr>
        <w:t xml:space="preserve"> intoxication </w:t>
      </w:r>
      <w:r w:rsidRPr="00F55305" w:rsidR="00035D6A">
        <w:rPr>
          <w:lang w:val="en-GB"/>
        </w:rPr>
        <w:t>were brought under control</w:t>
      </w:r>
      <w:r w:rsidRPr="00F55305">
        <w:rPr>
          <w:lang w:val="en-GB"/>
        </w:rPr>
        <w:t>.</w:t>
      </w:r>
      <w:bookmarkEnd w:id="56"/>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17</w:t>
      </w:r>
      <w:r w:rsidRPr="00F55305">
        <w:rPr>
          <w:lang w:val="en-GB"/>
        </w:rPr>
        <w:fldChar w:fldCharType="end"/>
      </w:r>
      <w:r w:rsidRPr="00F55305">
        <w:rPr>
          <w:lang w:val="en-GB"/>
        </w:rPr>
        <w:t>.  </w:t>
      </w:r>
      <w:bookmarkStart w:name="lt_pId085" w:id="57"/>
      <w:r w:rsidRPr="00F55305" w:rsidR="000F2B78">
        <w:rPr>
          <w:lang w:val="en-GB"/>
        </w:rPr>
        <w:t>On 1</w:t>
      </w:r>
      <w:r w:rsidRPr="00F55305">
        <w:rPr>
          <w:lang w:val="en-GB"/>
        </w:rPr>
        <w:t xml:space="preserve">5 </w:t>
      </w:r>
      <w:r w:rsidRPr="00F55305" w:rsidR="006E56E1">
        <w:rPr>
          <w:lang w:val="en-GB"/>
        </w:rPr>
        <w:t>September</w:t>
      </w:r>
      <w:r w:rsidRPr="00F55305" w:rsidR="00035D6A">
        <w:rPr>
          <w:lang w:val="en-GB"/>
        </w:rPr>
        <w:t xml:space="preserve"> 2013</w:t>
      </w:r>
      <w:r w:rsidRPr="00F55305">
        <w:rPr>
          <w:lang w:val="en-GB"/>
        </w:rPr>
        <w:t xml:space="preserve"> </w:t>
      </w:r>
      <w:r w:rsidRPr="00F55305" w:rsidR="000F2B78">
        <w:rPr>
          <w:lang w:val="en-GB"/>
        </w:rPr>
        <w:t>the applicant</w:t>
      </w:r>
      <w:r w:rsidRPr="00F55305">
        <w:rPr>
          <w:lang w:val="en-GB"/>
        </w:rPr>
        <w:t xml:space="preserve"> </w:t>
      </w:r>
      <w:r w:rsidRPr="00F55305" w:rsidR="00035D6A">
        <w:rPr>
          <w:lang w:val="en-GB"/>
        </w:rPr>
        <w:t>was taken to</w:t>
      </w:r>
      <w:r w:rsidRPr="00F55305">
        <w:rPr>
          <w:lang w:val="en-GB"/>
        </w:rPr>
        <w:t xml:space="preserve"> </w:t>
      </w:r>
      <w:r w:rsidRPr="00F55305" w:rsidR="003B5A4F">
        <w:rPr>
          <w:lang w:val="en-GB"/>
        </w:rPr>
        <w:t>the Podem school</w:t>
      </w:r>
      <w:r w:rsidRPr="00F55305">
        <w:rPr>
          <w:lang w:val="en-GB"/>
        </w:rPr>
        <w:t>.</w:t>
      </w:r>
      <w:bookmarkEnd w:id="57"/>
      <w:r w:rsidRPr="00F55305">
        <w:rPr>
          <w:lang w:val="en-GB"/>
        </w:rPr>
        <w:t xml:space="preserve"> </w:t>
      </w:r>
      <w:bookmarkStart w:name="lt_pId086" w:id="58"/>
      <w:r w:rsidRPr="00F55305" w:rsidR="00035D6A">
        <w:rPr>
          <w:lang w:val="en-GB"/>
        </w:rPr>
        <w:t xml:space="preserve">She was still there at the time of the most recent information submitted to the Court, on </w:t>
      </w:r>
      <w:r w:rsidRPr="00F55305" w:rsidR="000F2B78">
        <w:rPr>
          <w:lang w:val="en-GB"/>
        </w:rPr>
        <w:t>1</w:t>
      </w:r>
      <w:r w:rsidRPr="00F55305">
        <w:rPr>
          <w:lang w:val="en-GB"/>
        </w:rPr>
        <w:t xml:space="preserve">1 </w:t>
      </w:r>
      <w:r w:rsidRPr="00F55305" w:rsidR="00035D6A">
        <w:rPr>
          <w:lang w:val="en-GB"/>
        </w:rPr>
        <w:t>June</w:t>
      </w:r>
      <w:r w:rsidRPr="00F55305">
        <w:rPr>
          <w:lang w:val="en-GB"/>
        </w:rPr>
        <w:t xml:space="preserve"> 2015.</w:t>
      </w:r>
      <w:bookmarkEnd w:id="58"/>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18</w:t>
      </w:r>
      <w:r w:rsidRPr="00F55305">
        <w:rPr>
          <w:lang w:val="en-GB"/>
        </w:rPr>
        <w:fldChar w:fldCharType="end"/>
      </w:r>
      <w:r w:rsidRPr="00F55305">
        <w:rPr>
          <w:lang w:val="en-GB"/>
        </w:rPr>
        <w:t>.  </w:t>
      </w:r>
      <w:bookmarkStart w:name="lt_pId088" w:id="59"/>
      <w:r w:rsidRPr="00F55305" w:rsidR="00110701">
        <w:rPr>
          <w:lang w:val="en-GB"/>
        </w:rPr>
        <w:t xml:space="preserve">Regarding life at the school, </w:t>
      </w:r>
      <w:r w:rsidRPr="00F55305" w:rsidR="000F2B78">
        <w:rPr>
          <w:lang w:val="en-GB"/>
        </w:rPr>
        <w:t>the applicant</w:t>
      </w:r>
      <w:r w:rsidRPr="00F55305">
        <w:rPr>
          <w:lang w:val="en-GB"/>
        </w:rPr>
        <w:t xml:space="preserve"> </w:t>
      </w:r>
      <w:r w:rsidRPr="00F55305" w:rsidR="00110701">
        <w:rPr>
          <w:lang w:val="en-GB"/>
        </w:rPr>
        <w:t xml:space="preserve">submitted in her application that the level of teaching was much lower than at her previous </w:t>
      </w:r>
      <w:r w:rsidRPr="00F55305" w:rsidR="00B72A08">
        <w:rPr>
          <w:lang w:val="en-GB"/>
        </w:rPr>
        <w:t>institution</w:t>
      </w:r>
      <w:r w:rsidRPr="00F55305" w:rsidR="00110701">
        <w:rPr>
          <w:lang w:val="en-GB"/>
        </w:rPr>
        <w:t xml:space="preserve">. In the four years prior to her application, only six pupils had obtained the secondary-school leaving </w:t>
      </w:r>
      <w:bookmarkStart w:name="lt_pId089" w:id="60"/>
      <w:bookmarkEnd w:id="59"/>
      <w:r w:rsidRPr="00F55305" w:rsidR="00110701">
        <w:rPr>
          <w:lang w:val="en-GB"/>
        </w:rPr>
        <w:t>certificate</w:t>
      </w:r>
      <w:r w:rsidRPr="00F55305">
        <w:rPr>
          <w:lang w:val="en-GB"/>
        </w:rPr>
        <w:t xml:space="preserve">, </w:t>
      </w:r>
      <w:r w:rsidRPr="00F55305" w:rsidR="00110701">
        <w:rPr>
          <w:lang w:val="en-GB"/>
        </w:rPr>
        <w:t>and</w:t>
      </w:r>
      <w:r w:rsidRPr="00F55305">
        <w:rPr>
          <w:lang w:val="en-GB"/>
        </w:rPr>
        <w:t xml:space="preserve"> </w:t>
      </w:r>
      <w:r w:rsidRPr="00F55305" w:rsidR="001A00CB">
        <w:rPr>
          <w:lang w:val="en-GB"/>
        </w:rPr>
        <w:t xml:space="preserve">none </w:t>
      </w:r>
      <w:r w:rsidRPr="00F55305" w:rsidR="00110701">
        <w:rPr>
          <w:lang w:val="en-GB"/>
        </w:rPr>
        <w:t xml:space="preserve">at all </w:t>
      </w:r>
      <w:r w:rsidRPr="00F55305" w:rsidR="001A00CB">
        <w:rPr>
          <w:lang w:val="en-GB"/>
        </w:rPr>
        <w:t>in</w:t>
      </w:r>
      <w:r w:rsidRPr="00F55305">
        <w:rPr>
          <w:lang w:val="en-GB"/>
        </w:rPr>
        <w:t xml:space="preserve"> 2011 </w:t>
      </w:r>
      <w:r w:rsidRPr="00F55305" w:rsidR="001A00CB">
        <w:rPr>
          <w:lang w:val="en-GB"/>
        </w:rPr>
        <w:t>or</w:t>
      </w:r>
      <w:r w:rsidRPr="00F55305">
        <w:rPr>
          <w:lang w:val="en-GB"/>
        </w:rPr>
        <w:t xml:space="preserve"> 2012.</w:t>
      </w:r>
      <w:bookmarkEnd w:id="60"/>
      <w:r w:rsidRPr="00F55305">
        <w:rPr>
          <w:lang w:val="en-GB"/>
        </w:rPr>
        <w:t xml:space="preserve"> </w:t>
      </w:r>
      <w:bookmarkStart w:name="lt_pId090" w:id="61"/>
      <w:r w:rsidRPr="00F55305" w:rsidR="00110701">
        <w:rPr>
          <w:lang w:val="en-GB"/>
        </w:rPr>
        <w:t>Three pupils had been awarded</w:t>
      </w:r>
      <w:r w:rsidRPr="00F55305">
        <w:rPr>
          <w:lang w:val="en-GB"/>
        </w:rPr>
        <w:t xml:space="preserve"> </w:t>
      </w:r>
      <w:r w:rsidRPr="00F55305" w:rsidR="00110701">
        <w:rPr>
          <w:lang w:val="en-GB"/>
        </w:rPr>
        <w:t xml:space="preserve">the certificate in </w:t>
      </w:r>
      <w:r w:rsidRPr="00F55305">
        <w:rPr>
          <w:lang w:val="en-GB"/>
        </w:rPr>
        <w:t xml:space="preserve">2013 </w:t>
      </w:r>
      <w:r w:rsidRPr="00F55305" w:rsidR="00110701">
        <w:rPr>
          <w:lang w:val="en-GB"/>
        </w:rPr>
        <w:t>with an overall average mark of</w:t>
      </w:r>
      <w:r w:rsidRPr="00F55305">
        <w:rPr>
          <w:lang w:val="en-GB"/>
        </w:rPr>
        <w:t xml:space="preserve"> 3</w:t>
      </w:r>
      <w:r w:rsidRPr="00F55305" w:rsidR="00110701">
        <w:rPr>
          <w:lang w:val="en-GB"/>
        </w:rPr>
        <w:t>.</w:t>
      </w:r>
      <w:r w:rsidRPr="00F55305">
        <w:rPr>
          <w:lang w:val="en-GB"/>
        </w:rPr>
        <w:t xml:space="preserve">67 </w:t>
      </w:r>
      <w:r w:rsidRPr="00F55305" w:rsidR="00110701">
        <w:rPr>
          <w:lang w:val="en-GB"/>
        </w:rPr>
        <w:t>out of</w:t>
      </w:r>
      <w:r w:rsidRPr="00F55305">
        <w:rPr>
          <w:lang w:val="en-GB"/>
        </w:rPr>
        <w:t xml:space="preserve"> 6, </w:t>
      </w:r>
      <w:r w:rsidRPr="00F55305" w:rsidR="00110701">
        <w:rPr>
          <w:lang w:val="en-GB"/>
        </w:rPr>
        <w:t xml:space="preserve">the minimum pass mark being </w:t>
      </w:r>
      <w:r w:rsidRPr="00F55305">
        <w:rPr>
          <w:lang w:val="en-GB"/>
        </w:rPr>
        <w:t>3.</w:t>
      </w:r>
      <w:bookmarkEnd w:id="61"/>
      <w:r w:rsidRPr="00F55305">
        <w:rPr>
          <w:lang w:val="en-GB"/>
        </w:rPr>
        <w:t xml:space="preserve"> </w:t>
      </w:r>
      <w:bookmarkStart w:name="lt_pId091" w:id="62"/>
      <w:r w:rsidRPr="00F55305" w:rsidR="000F2B78">
        <w:rPr>
          <w:lang w:val="en-GB"/>
        </w:rPr>
        <w:t>The applicant</w:t>
      </w:r>
      <w:r w:rsidRPr="00F55305">
        <w:rPr>
          <w:lang w:val="en-GB"/>
        </w:rPr>
        <w:t xml:space="preserve"> </w:t>
      </w:r>
      <w:r w:rsidRPr="00F55305" w:rsidR="00110701">
        <w:rPr>
          <w:lang w:val="en-GB"/>
        </w:rPr>
        <w:t>added that in</w:t>
      </w:r>
      <w:r w:rsidRPr="00F55305">
        <w:rPr>
          <w:lang w:val="en-GB"/>
        </w:rPr>
        <w:t xml:space="preserve"> 2012 </w:t>
      </w:r>
      <w:r w:rsidRPr="00F55305" w:rsidR="001A00CB">
        <w:rPr>
          <w:lang w:val="en-GB"/>
        </w:rPr>
        <w:t>and</w:t>
      </w:r>
      <w:r w:rsidRPr="00F55305">
        <w:rPr>
          <w:lang w:val="en-GB"/>
        </w:rPr>
        <w:t xml:space="preserve"> 2013 </w:t>
      </w:r>
      <w:r w:rsidRPr="00F55305" w:rsidR="00571BCF">
        <w:rPr>
          <w:lang w:val="en-GB"/>
        </w:rPr>
        <w:t xml:space="preserve">the pedagogical council had not </w:t>
      </w:r>
      <w:r w:rsidRPr="00F55305" w:rsidR="00B72A08">
        <w:rPr>
          <w:lang w:val="en-GB"/>
        </w:rPr>
        <w:t>given</w:t>
      </w:r>
      <w:r w:rsidRPr="00F55305" w:rsidR="00571BCF">
        <w:rPr>
          <w:lang w:val="en-GB"/>
        </w:rPr>
        <w:t xml:space="preserve"> any positive assessments of pupils</w:t>
      </w:r>
      <w:r w:rsidRPr="00F55305" w:rsidR="00F55305">
        <w:rPr>
          <w:lang w:val="en-GB"/>
        </w:rPr>
        <w:t>’</w:t>
      </w:r>
      <w:r w:rsidRPr="00F55305" w:rsidR="00571BCF">
        <w:rPr>
          <w:lang w:val="en-GB"/>
        </w:rPr>
        <w:t xml:space="preserve"> behaviour or school results, meaning that no proposals for the end of a placement had been submitted to the</w:t>
      </w:r>
      <w:r w:rsidRPr="00F55305">
        <w:rPr>
          <w:lang w:val="en-GB"/>
        </w:rPr>
        <w:t xml:space="preserve"> </w:t>
      </w:r>
      <w:r w:rsidRPr="00F55305" w:rsidR="000F2B78">
        <w:rPr>
          <w:lang w:val="en-GB"/>
        </w:rPr>
        <w:t>District Court</w:t>
      </w:r>
      <w:r w:rsidRPr="00F55305">
        <w:rPr>
          <w:lang w:val="en-GB"/>
        </w:rPr>
        <w:t>.</w:t>
      </w:r>
      <w:bookmarkEnd w:id="6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19</w:t>
      </w:r>
      <w:r w:rsidRPr="00F55305">
        <w:rPr>
          <w:lang w:val="en-GB"/>
        </w:rPr>
        <w:fldChar w:fldCharType="end"/>
      </w:r>
      <w:r w:rsidRPr="00F55305">
        <w:rPr>
          <w:lang w:val="en-GB"/>
        </w:rPr>
        <w:t>.  </w:t>
      </w:r>
      <w:bookmarkStart w:name="lt_pId093" w:id="63"/>
      <w:r w:rsidRPr="00F55305" w:rsidR="000F2B78">
        <w:rPr>
          <w:lang w:val="en-GB"/>
        </w:rPr>
        <w:t>The applicant</w:t>
      </w:r>
      <w:r w:rsidRPr="00F55305">
        <w:rPr>
          <w:lang w:val="en-GB"/>
        </w:rPr>
        <w:t xml:space="preserve"> </w:t>
      </w:r>
      <w:r w:rsidRPr="00F55305" w:rsidR="00571BCF">
        <w:rPr>
          <w:lang w:val="en-GB"/>
        </w:rPr>
        <w:t>also asserted that she had continued to be threatened with forced</w:t>
      </w:r>
      <w:r w:rsidRPr="00F55305">
        <w:rPr>
          <w:lang w:val="en-GB"/>
        </w:rPr>
        <w:t xml:space="preserve"> prostitution </w:t>
      </w:r>
      <w:r w:rsidRPr="00F55305" w:rsidR="00571BCF">
        <w:rPr>
          <w:lang w:val="en-GB"/>
        </w:rPr>
        <w:t>by her former</w:t>
      </w:r>
      <w:r w:rsidRPr="00F55305">
        <w:rPr>
          <w:lang w:val="en-GB"/>
        </w:rPr>
        <w:t xml:space="preserve"> </w:t>
      </w:r>
      <w:r w:rsidRPr="00F55305" w:rsidR="00571BCF">
        <w:rPr>
          <w:lang w:val="en-GB"/>
        </w:rPr>
        <w:t xml:space="preserve">contacts </w:t>
      </w:r>
      <w:r w:rsidRPr="00F55305" w:rsidR="00B72A08">
        <w:rPr>
          <w:lang w:val="en-GB"/>
        </w:rPr>
        <w:t>after being</w:t>
      </w:r>
      <w:r w:rsidRPr="00F55305" w:rsidR="00571BCF">
        <w:rPr>
          <w:lang w:val="en-GB"/>
        </w:rPr>
        <w:t xml:space="preserve"> admitted to</w:t>
      </w:r>
      <w:r w:rsidRPr="00F55305">
        <w:rPr>
          <w:lang w:val="en-GB"/>
        </w:rPr>
        <w:t xml:space="preserve"> </w:t>
      </w:r>
      <w:r w:rsidRPr="00F55305" w:rsidR="003B5A4F">
        <w:rPr>
          <w:lang w:val="en-GB"/>
        </w:rPr>
        <w:t>the Podem school</w:t>
      </w:r>
      <w:r w:rsidRPr="00F55305">
        <w:rPr>
          <w:lang w:val="en-GB"/>
        </w:rPr>
        <w:t>.</w:t>
      </w:r>
      <w:bookmarkEnd w:id="63"/>
      <w:r w:rsidRPr="00F55305">
        <w:rPr>
          <w:lang w:val="en-GB"/>
        </w:rPr>
        <w:t xml:space="preserve"> </w:t>
      </w:r>
      <w:bookmarkStart w:name="lt_pId094" w:id="64"/>
      <w:r w:rsidRPr="00F55305" w:rsidR="000F2B78">
        <w:rPr>
          <w:lang w:val="en-GB"/>
        </w:rPr>
        <w:t>On 1</w:t>
      </w:r>
      <w:r w:rsidRPr="00F55305">
        <w:rPr>
          <w:lang w:val="en-GB"/>
        </w:rPr>
        <w:t xml:space="preserve">9 </w:t>
      </w:r>
      <w:r w:rsidRPr="00F55305" w:rsidR="006E56E1">
        <w:rPr>
          <w:lang w:val="en-GB"/>
        </w:rPr>
        <w:t>November</w:t>
      </w:r>
      <w:r w:rsidRPr="00F55305" w:rsidR="00571BCF">
        <w:rPr>
          <w:lang w:val="en-GB"/>
        </w:rPr>
        <w:t xml:space="preserve"> 2013 she had attempted suicide for the second time, as part of a group with four other girls, by ingesting chemical</w:t>
      </w:r>
      <w:r w:rsidRPr="00F55305">
        <w:rPr>
          <w:lang w:val="en-GB"/>
        </w:rPr>
        <w:t xml:space="preserve"> substances.</w:t>
      </w:r>
      <w:bookmarkEnd w:id="64"/>
      <w:r w:rsidRPr="00F55305">
        <w:rPr>
          <w:lang w:val="en-GB"/>
        </w:rPr>
        <w:t xml:space="preserve"> </w:t>
      </w:r>
      <w:bookmarkStart w:name="lt_pId095" w:id="65"/>
      <w:r w:rsidRPr="00F55305" w:rsidR="00571BCF">
        <w:rPr>
          <w:lang w:val="en-GB"/>
        </w:rPr>
        <w:t xml:space="preserve">She had then been taken to </w:t>
      </w:r>
      <w:r w:rsidRPr="00F55305">
        <w:rPr>
          <w:lang w:val="en-GB"/>
        </w:rPr>
        <w:t>hospital</w:t>
      </w:r>
      <w:r w:rsidRPr="00F55305" w:rsidR="00571BCF">
        <w:rPr>
          <w:lang w:val="en-GB"/>
        </w:rPr>
        <w:t xml:space="preserve"> for three days. There had been other suicide attempts at the school.</w:t>
      </w:r>
      <w:bookmarkEnd w:id="6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20</w:t>
      </w:r>
      <w:r w:rsidRPr="00F55305">
        <w:rPr>
          <w:lang w:val="en-GB"/>
        </w:rPr>
        <w:fldChar w:fldCharType="end"/>
      </w:r>
      <w:r w:rsidRPr="00F55305">
        <w:rPr>
          <w:lang w:val="en-GB"/>
        </w:rPr>
        <w:t>.  </w:t>
      </w:r>
      <w:bookmarkStart w:name="lt_pId098" w:id="66"/>
      <w:r w:rsidRPr="00F55305" w:rsidR="00571BCF">
        <w:rPr>
          <w:lang w:val="en-GB"/>
        </w:rPr>
        <w:t xml:space="preserve">The applicant further submitted that her telephone conversations were monitored by a </w:t>
      </w:r>
      <w:r w:rsidRPr="00F55305" w:rsidR="00306941">
        <w:rPr>
          <w:lang w:val="en-GB"/>
        </w:rPr>
        <w:t>supervisor</w:t>
      </w:r>
      <w:r w:rsidRPr="00F55305">
        <w:rPr>
          <w:lang w:val="en-GB"/>
        </w:rPr>
        <w:t>.</w:t>
      </w:r>
      <w:bookmarkEnd w:id="66"/>
      <w:r w:rsidRPr="00F55305">
        <w:rPr>
          <w:lang w:val="en-GB"/>
        </w:rPr>
        <w:t xml:space="preserve"> </w:t>
      </w:r>
      <w:bookmarkStart w:name="lt_pId099" w:id="67"/>
      <w:r w:rsidRPr="00F55305" w:rsidR="006746E7">
        <w:rPr>
          <w:lang w:val="en-GB"/>
        </w:rPr>
        <w:t xml:space="preserve">For that purpose, a loudspeaker had been attached to the telephone and switched on during each </w:t>
      </w:r>
      <w:r w:rsidRPr="00F55305">
        <w:rPr>
          <w:lang w:val="en-GB"/>
        </w:rPr>
        <w:t>conversation.</w:t>
      </w:r>
      <w:bookmarkEnd w:id="67"/>
    </w:p>
    <w:p w:rsidRPr="00F55305" w:rsidR="00F55305"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21</w:t>
      </w:r>
      <w:r w:rsidRPr="00F55305">
        <w:rPr>
          <w:lang w:val="en-GB"/>
        </w:rPr>
        <w:fldChar w:fldCharType="end"/>
      </w:r>
      <w:r w:rsidRPr="00F55305">
        <w:rPr>
          <w:lang w:val="en-GB"/>
        </w:rPr>
        <w:t>.  </w:t>
      </w:r>
      <w:bookmarkStart w:name="lt_pId101" w:id="68"/>
      <w:r w:rsidRPr="00F55305" w:rsidR="008D0725">
        <w:rPr>
          <w:lang w:val="en-GB"/>
        </w:rPr>
        <w:t>In addition, because of the significant number of violent incidents at correctional boarding schools, the prosecutor</w:t>
      </w:r>
      <w:r w:rsidRPr="00F55305" w:rsidR="00F55305">
        <w:rPr>
          <w:lang w:val="en-GB"/>
        </w:rPr>
        <w:t>’</w:t>
      </w:r>
      <w:r w:rsidRPr="00F55305" w:rsidR="008D0725">
        <w:rPr>
          <w:lang w:val="en-GB"/>
        </w:rPr>
        <w:t xml:space="preserve">s office </w:t>
      </w:r>
      <w:r w:rsidRPr="00F55305" w:rsidR="000F2B78">
        <w:rPr>
          <w:lang w:val="en-GB"/>
        </w:rPr>
        <w:t>on 7</w:t>
      </w:r>
      <w:r w:rsidRPr="00F55305">
        <w:rPr>
          <w:lang w:val="en-GB"/>
        </w:rPr>
        <w:t xml:space="preserve"> </w:t>
      </w:r>
      <w:r w:rsidRPr="00F55305" w:rsidR="006E56E1">
        <w:rPr>
          <w:lang w:val="en-GB"/>
        </w:rPr>
        <w:t>November</w:t>
      </w:r>
      <w:r w:rsidRPr="00F55305" w:rsidR="008D0725">
        <w:rPr>
          <w:lang w:val="en-GB"/>
        </w:rPr>
        <w:t xml:space="preserve"> 2013 ordered an inspection of all secure educational institutions, including the </w:t>
      </w:r>
      <w:r w:rsidRPr="00F55305">
        <w:rPr>
          <w:lang w:val="en-GB"/>
        </w:rPr>
        <w:t>Podem</w:t>
      </w:r>
      <w:r w:rsidRPr="00F55305" w:rsidR="008D0725">
        <w:rPr>
          <w:lang w:val="en-GB"/>
        </w:rPr>
        <w:t xml:space="preserve"> school</w:t>
      </w:r>
      <w:r w:rsidRPr="00F55305">
        <w:rPr>
          <w:lang w:val="en-GB"/>
        </w:rPr>
        <w:t>.</w:t>
      </w:r>
      <w:bookmarkEnd w:id="68"/>
      <w:r w:rsidRPr="00F55305">
        <w:rPr>
          <w:lang w:val="en-GB"/>
        </w:rPr>
        <w:t xml:space="preserve"> </w:t>
      </w:r>
      <w:bookmarkStart w:name="lt_pId102" w:id="69"/>
      <w:r w:rsidRPr="00F55305" w:rsidR="008D0725">
        <w:rPr>
          <w:lang w:val="en-GB"/>
        </w:rPr>
        <w:t>The results of the inspection are not known.</w:t>
      </w:r>
      <w:bookmarkEnd w:id="69"/>
    </w:p>
    <w:p w:rsidRPr="00F55305" w:rsidR="00F55305" w:rsidP="00F55305" w:rsidRDefault="00711D81">
      <w:pPr>
        <w:pStyle w:val="ECHRHeading2"/>
        <w:rPr>
          <w:lang w:val="en-GB"/>
        </w:rPr>
      </w:pPr>
      <w:r w:rsidRPr="00F55305">
        <w:rPr>
          <w:lang w:val="en-GB"/>
        </w:rPr>
        <w:t>B.  </w:t>
      </w:r>
      <w:bookmarkStart w:name="lt_pId104" w:id="70"/>
      <w:r w:rsidRPr="00F55305" w:rsidR="001A00CB">
        <w:rPr>
          <w:lang w:val="en-GB"/>
        </w:rPr>
        <w:t>Report by the</w:t>
      </w:r>
      <w:r w:rsidRPr="00F55305">
        <w:rPr>
          <w:lang w:val="en-GB"/>
        </w:rPr>
        <w:t xml:space="preserve"> </w:t>
      </w:r>
      <w:r w:rsidRPr="00F55305" w:rsidR="001A00CB">
        <w:rPr>
          <w:lang w:val="en-GB"/>
        </w:rPr>
        <w:t xml:space="preserve">head of the Podem </w:t>
      </w:r>
      <w:r w:rsidRPr="00F55305" w:rsidR="00035D6A">
        <w:rPr>
          <w:lang w:val="en-GB"/>
        </w:rPr>
        <w:t>correctional boarding school</w:t>
      </w:r>
      <w:bookmarkEnd w:id="7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22</w:t>
      </w:r>
      <w:r w:rsidRPr="00F55305">
        <w:rPr>
          <w:lang w:val="en-GB"/>
        </w:rPr>
        <w:fldChar w:fldCharType="end"/>
      </w:r>
      <w:r w:rsidRPr="00F55305">
        <w:rPr>
          <w:lang w:val="en-GB"/>
        </w:rPr>
        <w:t>.  </w:t>
      </w:r>
      <w:bookmarkStart w:name="lt_pId106" w:id="71"/>
      <w:r w:rsidRPr="00F55305" w:rsidR="009E1676">
        <w:rPr>
          <w:lang w:val="en-GB"/>
        </w:rPr>
        <w:t xml:space="preserve">When submitting their </w:t>
      </w:r>
      <w:r w:rsidRPr="00F55305">
        <w:rPr>
          <w:lang w:val="en-GB"/>
        </w:rPr>
        <w:t xml:space="preserve">observations </w:t>
      </w:r>
      <w:r w:rsidRPr="00F55305" w:rsidR="009E1676">
        <w:rPr>
          <w:lang w:val="en-GB"/>
        </w:rPr>
        <w:t>on the admissibility and merits of the application</w:t>
      </w:r>
      <w:r w:rsidRPr="00F55305">
        <w:rPr>
          <w:lang w:val="en-GB"/>
        </w:rPr>
        <w:t xml:space="preserve">, </w:t>
      </w:r>
      <w:r w:rsidRPr="00F55305" w:rsidR="000F2B78">
        <w:rPr>
          <w:lang w:val="en-GB"/>
        </w:rPr>
        <w:t>the Government</w:t>
      </w:r>
      <w:r w:rsidRPr="00F55305">
        <w:rPr>
          <w:lang w:val="en-GB"/>
        </w:rPr>
        <w:t xml:space="preserve"> </w:t>
      </w:r>
      <w:r w:rsidRPr="00F55305" w:rsidR="009E1676">
        <w:rPr>
          <w:lang w:val="en-GB"/>
        </w:rPr>
        <w:t>included a report dated 30 January 2015 by the head of the Podem school about the applicant</w:t>
      </w:r>
      <w:r w:rsidRPr="00F55305" w:rsidR="00F55305">
        <w:rPr>
          <w:lang w:val="en-GB"/>
        </w:rPr>
        <w:t>’</w:t>
      </w:r>
      <w:r w:rsidRPr="00F55305" w:rsidR="009E1676">
        <w:rPr>
          <w:lang w:val="en-GB"/>
        </w:rPr>
        <w:t xml:space="preserve">s </w:t>
      </w:r>
      <w:r w:rsidRPr="00F55305">
        <w:rPr>
          <w:lang w:val="en-GB"/>
        </w:rPr>
        <w:t>situation.</w:t>
      </w:r>
      <w:bookmarkEnd w:id="71"/>
      <w:r w:rsidRPr="00F55305">
        <w:rPr>
          <w:lang w:val="en-GB"/>
        </w:rPr>
        <w:t xml:space="preserve"> </w:t>
      </w:r>
      <w:bookmarkStart w:name="lt_pId107" w:id="72"/>
      <w:r w:rsidRPr="00F55305" w:rsidR="00407904">
        <w:rPr>
          <w:lang w:val="en-GB"/>
        </w:rPr>
        <w:t>According to the report</w:t>
      </w:r>
      <w:r w:rsidRPr="00F55305">
        <w:rPr>
          <w:lang w:val="en-GB"/>
        </w:rPr>
        <w:t xml:space="preserve">, </w:t>
      </w:r>
      <w:r w:rsidRPr="00F55305" w:rsidR="00407904">
        <w:rPr>
          <w:lang w:val="en-GB"/>
        </w:rPr>
        <w:t>during her previous placement in the Open Door centre</w:t>
      </w:r>
      <w:r w:rsidRPr="00F55305">
        <w:rPr>
          <w:lang w:val="en-GB"/>
        </w:rPr>
        <w:t xml:space="preserve">, </w:t>
      </w:r>
      <w:r w:rsidRPr="00F55305" w:rsidR="00407904">
        <w:rPr>
          <w:lang w:val="en-GB"/>
        </w:rPr>
        <w:t xml:space="preserve">the applicant had been aggressive towards the staff, had encouraged other girls to engage in </w:t>
      </w:r>
      <w:r w:rsidRPr="00F55305">
        <w:rPr>
          <w:lang w:val="en-GB"/>
        </w:rPr>
        <w:t xml:space="preserve">prostitution </w:t>
      </w:r>
      <w:r w:rsidRPr="00F55305" w:rsidR="00407904">
        <w:rPr>
          <w:lang w:val="en-GB"/>
        </w:rPr>
        <w:t>and had run away on two occasions</w:t>
      </w:r>
      <w:r w:rsidRPr="00F55305">
        <w:rPr>
          <w:lang w:val="en-GB"/>
        </w:rPr>
        <w:t xml:space="preserve"> </w:t>
      </w:r>
      <w:r w:rsidRPr="00F55305" w:rsidR="00407904">
        <w:rPr>
          <w:lang w:val="en-GB"/>
        </w:rPr>
        <w:t>(</w:t>
      </w:r>
      <w:r w:rsidRPr="00F55305" w:rsidR="000F2B78">
        <w:rPr>
          <w:lang w:val="en-GB"/>
        </w:rPr>
        <w:t>4</w:t>
      </w:r>
      <w:r w:rsidRPr="00F55305">
        <w:rPr>
          <w:lang w:val="en-GB"/>
        </w:rPr>
        <w:t xml:space="preserve"> </w:t>
      </w:r>
      <w:r w:rsidRPr="00F55305" w:rsidR="00407904">
        <w:rPr>
          <w:lang w:val="en-GB"/>
        </w:rPr>
        <w:t xml:space="preserve">and </w:t>
      </w:r>
      <w:r w:rsidRPr="00F55305" w:rsidR="000F2B78">
        <w:rPr>
          <w:lang w:val="en-GB"/>
        </w:rPr>
        <w:t>2</w:t>
      </w:r>
      <w:r w:rsidRPr="00F55305" w:rsidR="00981ED7">
        <w:rPr>
          <w:lang w:val="en-GB"/>
        </w:rPr>
        <w:t>7 </w:t>
      </w:r>
      <w:r w:rsidRPr="00F55305" w:rsidR="001A00CB">
        <w:rPr>
          <w:lang w:val="en-GB"/>
        </w:rPr>
        <w:t>February</w:t>
      </w:r>
      <w:r w:rsidRPr="00F55305">
        <w:rPr>
          <w:lang w:val="en-GB"/>
        </w:rPr>
        <w:t xml:space="preserve"> 2013</w:t>
      </w:r>
      <w:r w:rsidRPr="00F55305" w:rsidR="00407904">
        <w:rPr>
          <w:lang w:val="en-GB"/>
        </w:rPr>
        <w:t>)</w:t>
      </w:r>
      <w:r w:rsidRPr="00F55305">
        <w:rPr>
          <w:lang w:val="en-GB"/>
        </w:rPr>
        <w:t>.</w:t>
      </w:r>
      <w:bookmarkEnd w:id="72"/>
      <w:r w:rsidRPr="00F55305">
        <w:rPr>
          <w:lang w:val="en-GB"/>
        </w:rPr>
        <w:t xml:space="preserve"> </w:t>
      </w:r>
      <w:bookmarkStart w:name="lt_pId108" w:id="73"/>
      <w:r w:rsidRPr="00F55305" w:rsidR="00407904">
        <w:rPr>
          <w:lang w:val="en-GB"/>
        </w:rPr>
        <w:t>Th</w:t>
      </w:r>
      <w:r w:rsidRPr="00F55305">
        <w:rPr>
          <w:lang w:val="en-GB"/>
        </w:rPr>
        <w:t>e r</w:t>
      </w:r>
      <w:r w:rsidRPr="00F55305" w:rsidR="00407904">
        <w:rPr>
          <w:lang w:val="en-GB"/>
        </w:rPr>
        <w:t>e</w:t>
      </w:r>
      <w:r w:rsidRPr="00F55305">
        <w:rPr>
          <w:lang w:val="en-GB"/>
        </w:rPr>
        <w:t xml:space="preserve">port </w:t>
      </w:r>
      <w:r w:rsidRPr="00F55305" w:rsidR="00407904">
        <w:rPr>
          <w:lang w:val="en-GB"/>
        </w:rPr>
        <w:t>also stated that she had unashamedly admitted to having been sexually active since the age of</w:t>
      </w:r>
      <w:r w:rsidRPr="00F55305">
        <w:rPr>
          <w:lang w:val="en-GB"/>
        </w:rPr>
        <w:t xml:space="preserve"> 12 </w:t>
      </w:r>
      <w:r w:rsidRPr="00F55305" w:rsidR="00407904">
        <w:rPr>
          <w:lang w:val="en-GB"/>
        </w:rPr>
        <w:t>and that she provided</w:t>
      </w:r>
      <w:r w:rsidRPr="00F55305">
        <w:rPr>
          <w:lang w:val="en-GB"/>
        </w:rPr>
        <w:t xml:space="preserve"> </w:t>
      </w:r>
      <w:r w:rsidRPr="00F55305" w:rsidR="00142AD9">
        <w:rPr>
          <w:lang w:val="en-GB"/>
        </w:rPr>
        <w:t>“</w:t>
      </w:r>
      <w:r w:rsidRPr="00F55305" w:rsidR="009E1676">
        <w:rPr>
          <w:lang w:val="en-GB"/>
        </w:rPr>
        <w:t>sexual</w:t>
      </w:r>
      <w:r w:rsidRPr="00F55305" w:rsidR="00FD79AA">
        <w:rPr>
          <w:lang w:val="en-GB"/>
        </w:rPr>
        <w:t xml:space="preserve"> </w:t>
      </w:r>
      <w:r w:rsidRPr="00F55305">
        <w:rPr>
          <w:lang w:val="en-GB"/>
        </w:rPr>
        <w:t>services</w:t>
      </w:r>
      <w:r w:rsidRPr="00F55305" w:rsidR="00142AD9">
        <w:rPr>
          <w:lang w:val="en-GB"/>
        </w:rPr>
        <w:t>”</w:t>
      </w:r>
      <w:r w:rsidRPr="00F55305" w:rsidR="00407904">
        <w:rPr>
          <w:lang w:val="en-GB"/>
        </w:rPr>
        <w:t xml:space="preserve"> in return for payment</w:t>
      </w:r>
      <w:r w:rsidRPr="00F55305">
        <w:rPr>
          <w:lang w:val="en-GB"/>
        </w:rPr>
        <w:t>.</w:t>
      </w:r>
      <w:bookmarkEnd w:id="7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23</w:t>
      </w:r>
      <w:r w:rsidRPr="00F55305">
        <w:rPr>
          <w:lang w:val="en-GB"/>
        </w:rPr>
        <w:fldChar w:fldCharType="end"/>
      </w:r>
      <w:r w:rsidRPr="00F55305">
        <w:rPr>
          <w:lang w:val="en-GB"/>
        </w:rPr>
        <w:t>.  </w:t>
      </w:r>
      <w:bookmarkStart w:name="lt_pId110" w:id="74"/>
      <w:r w:rsidRPr="00F55305" w:rsidR="00407904">
        <w:rPr>
          <w:lang w:val="en-GB"/>
        </w:rPr>
        <w:t>The re</w:t>
      </w:r>
      <w:r w:rsidRPr="00F55305">
        <w:rPr>
          <w:lang w:val="en-GB"/>
        </w:rPr>
        <w:t>port mention</w:t>
      </w:r>
      <w:r w:rsidRPr="00F55305" w:rsidR="003759CD">
        <w:rPr>
          <w:lang w:val="en-GB"/>
        </w:rPr>
        <w:t>ed</w:t>
      </w:r>
      <w:r w:rsidRPr="00F55305" w:rsidR="00407904">
        <w:rPr>
          <w:lang w:val="en-GB"/>
        </w:rPr>
        <w:t xml:space="preserve">, in addition, that the </w:t>
      </w:r>
      <w:r w:rsidRPr="00F55305" w:rsidR="000F2B78">
        <w:rPr>
          <w:lang w:val="en-GB"/>
        </w:rPr>
        <w:t>applicant</w:t>
      </w:r>
      <w:r w:rsidRPr="00F55305">
        <w:rPr>
          <w:lang w:val="en-GB"/>
        </w:rPr>
        <w:t xml:space="preserve"> </w:t>
      </w:r>
      <w:r w:rsidRPr="00F55305" w:rsidR="00407904">
        <w:rPr>
          <w:lang w:val="en-GB"/>
        </w:rPr>
        <w:t xml:space="preserve">did not </w:t>
      </w:r>
      <w:r w:rsidRPr="00F55305" w:rsidR="00B45151">
        <w:rPr>
          <w:lang w:val="en-GB"/>
        </w:rPr>
        <w:t>have a favourable</w:t>
      </w:r>
      <w:r w:rsidRPr="00F55305" w:rsidR="00407904">
        <w:rPr>
          <w:lang w:val="en-GB"/>
        </w:rPr>
        <w:t xml:space="preserve"> family </w:t>
      </w:r>
      <w:r w:rsidRPr="00F55305" w:rsidR="00B45151">
        <w:rPr>
          <w:lang w:val="en-GB"/>
        </w:rPr>
        <w:t>background</w:t>
      </w:r>
      <w:r w:rsidRPr="00F55305" w:rsidR="00407904">
        <w:rPr>
          <w:lang w:val="en-GB"/>
        </w:rPr>
        <w:t xml:space="preserve"> and that she was left unsupervised, which </w:t>
      </w:r>
      <w:r w:rsidRPr="00F55305" w:rsidR="001F1959">
        <w:rPr>
          <w:lang w:val="en-GB"/>
        </w:rPr>
        <w:t xml:space="preserve">explained why she had previously run away and led </w:t>
      </w:r>
      <w:r w:rsidRPr="00F55305" w:rsidR="005E2024">
        <w:rPr>
          <w:lang w:val="en-GB"/>
        </w:rPr>
        <w:t>a vagrant lifestyle.</w:t>
      </w:r>
      <w:bookmarkEnd w:id="74"/>
    </w:p>
    <w:p w:rsidRPr="00F55305" w:rsidR="00474D5D"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24</w:t>
      </w:r>
      <w:r w:rsidRPr="00F55305">
        <w:rPr>
          <w:lang w:val="en-GB"/>
        </w:rPr>
        <w:fldChar w:fldCharType="end"/>
      </w:r>
      <w:r w:rsidRPr="00F55305">
        <w:rPr>
          <w:lang w:val="en-GB"/>
        </w:rPr>
        <w:t>.  </w:t>
      </w:r>
      <w:bookmarkStart w:name="lt_pId112" w:id="75"/>
      <w:r w:rsidRPr="00F55305" w:rsidR="003759CD">
        <w:rPr>
          <w:lang w:val="en-GB"/>
        </w:rPr>
        <w:t>According to the re</w:t>
      </w:r>
      <w:r w:rsidRPr="00F55305">
        <w:rPr>
          <w:lang w:val="en-GB"/>
        </w:rPr>
        <w:t xml:space="preserve">port, </w:t>
      </w:r>
      <w:r w:rsidRPr="00F55305" w:rsidR="003B5A4F">
        <w:rPr>
          <w:lang w:val="en-GB"/>
        </w:rPr>
        <w:t>the Podem school</w:t>
      </w:r>
      <w:r w:rsidRPr="00F55305">
        <w:rPr>
          <w:lang w:val="en-GB"/>
        </w:rPr>
        <w:t xml:space="preserve"> </w:t>
      </w:r>
      <w:r w:rsidRPr="00F55305" w:rsidR="00904BAD">
        <w:rPr>
          <w:lang w:val="en-GB"/>
        </w:rPr>
        <w:t xml:space="preserve">offered an educational </w:t>
      </w:r>
      <w:r w:rsidRPr="00F55305" w:rsidR="00FF3B56">
        <w:rPr>
          <w:lang w:val="en-GB"/>
        </w:rPr>
        <w:t xml:space="preserve">environment </w:t>
      </w:r>
      <w:r w:rsidRPr="00F55305" w:rsidR="00F82BD9">
        <w:rPr>
          <w:lang w:val="en-GB"/>
        </w:rPr>
        <w:t>with</w:t>
      </w:r>
      <w:r w:rsidRPr="00F55305" w:rsidR="00FF3B56">
        <w:rPr>
          <w:lang w:val="en-GB"/>
        </w:rPr>
        <w:t xml:space="preserve"> experts qualified to </w:t>
      </w:r>
      <w:r w:rsidRPr="00F55305" w:rsidR="00F82BD9">
        <w:rPr>
          <w:lang w:val="en-GB"/>
        </w:rPr>
        <w:t>work</w:t>
      </w:r>
      <w:r w:rsidRPr="00F55305" w:rsidR="00FF3B56">
        <w:rPr>
          <w:lang w:val="en-GB"/>
        </w:rPr>
        <w:t xml:space="preserve"> as teachers or </w:t>
      </w:r>
      <w:r w:rsidRPr="00F55305" w:rsidR="00306941">
        <w:rPr>
          <w:lang w:val="en-GB"/>
        </w:rPr>
        <w:t>supervisors</w:t>
      </w:r>
      <w:r w:rsidRPr="00F55305" w:rsidR="00FF3B56">
        <w:rPr>
          <w:lang w:val="en-GB"/>
        </w:rPr>
        <w:t xml:space="preserve"> in accordance with the requirements of the Ministry of Education and Science. </w:t>
      </w:r>
      <w:bookmarkStart w:name="lt_pId113" w:id="76"/>
      <w:bookmarkEnd w:id="75"/>
      <w:r w:rsidRPr="00F55305" w:rsidR="00FF3B56">
        <w:rPr>
          <w:lang w:val="en-GB"/>
        </w:rPr>
        <w:t>The school curriculum</w:t>
      </w:r>
      <w:r w:rsidRPr="00F55305">
        <w:rPr>
          <w:lang w:val="en-GB"/>
        </w:rPr>
        <w:t xml:space="preserve"> </w:t>
      </w:r>
      <w:r w:rsidRPr="00F55305" w:rsidR="00B75B47">
        <w:rPr>
          <w:lang w:val="en-GB"/>
        </w:rPr>
        <w:t xml:space="preserve">and the </w:t>
      </w:r>
      <w:r w:rsidRPr="00F55305" w:rsidR="00D21E05">
        <w:rPr>
          <w:lang w:val="en-GB"/>
        </w:rPr>
        <w:t xml:space="preserve">courses followed in all specific subjects had been developed and approved in </w:t>
      </w:r>
      <w:r w:rsidRPr="00F55305" w:rsidR="00F82BD9">
        <w:rPr>
          <w:lang w:val="en-GB"/>
        </w:rPr>
        <w:t>line</w:t>
      </w:r>
      <w:r w:rsidRPr="00F55305" w:rsidR="00D21E05">
        <w:rPr>
          <w:lang w:val="en-GB"/>
        </w:rPr>
        <w:t xml:space="preserve"> with the Ministry</w:t>
      </w:r>
      <w:r w:rsidRPr="00F55305" w:rsidR="00F55305">
        <w:rPr>
          <w:lang w:val="en-GB"/>
        </w:rPr>
        <w:t>’</w:t>
      </w:r>
      <w:r w:rsidRPr="00F55305" w:rsidR="00D21E05">
        <w:rPr>
          <w:lang w:val="en-GB"/>
        </w:rPr>
        <w:t xml:space="preserve">s </w:t>
      </w:r>
      <w:r w:rsidRPr="00F55305" w:rsidR="00F82BD9">
        <w:rPr>
          <w:lang w:val="en-GB"/>
        </w:rPr>
        <w:t xml:space="preserve">standard </w:t>
      </w:r>
      <w:r w:rsidRPr="00F55305" w:rsidR="00D21E05">
        <w:rPr>
          <w:lang w:val="en-GB"/>
        </w:rPr>
        <w:t>procedures</w:t>
      </w:r>
      <w:r w:rsidRPr="00F55305">
        <w:rPr>
          <w:lang w:val="en-GB"/>
        </w:rPr>
        <w:t>.</w:t>
      </w:r>
      <w:bookmarkEnd w:id="76"/>
      <w:r w:rsidRPr="00F55305">
        <w:rPr>
          <w:lang w:val="en-GB"/>
        </w:rPr>
        <w:t xml:space="preserve"> </w:t>
      </w:r>
      <w:bookmarkStart w:name="lt_pId114" w:id="77"/>
      <w:r w:rsidRPr="00F55305" w:rsidR="000F2B78">
        <w:rPr>
          <w:lang w:val="en-GB"/>
        </w:rPr>
        <w:t>The applicant</w:t>
      </w:r>
      <w:r w:rsidRPr="00F55305">
        <w:rPr>
          <w:lang w:val="en-GB"/>
        </w:rPr>
        <w:t xml:space="preserve"> </w:t>
      </w:r>
      <w:r w:rsidRPr="00F55305" w:rsidR="00D21E05">
        <w:rPr>
          <w:lang w:val="en-GB"/>
        </w:rPr>
        <w:t xml:space="preserve">had been deficient in many areas and the teachers had worked with her on a one-to-one basis </w:t>
      </w:r>
      <w:r w:rsidRPr="00F55305" w:rsidR="00474D5D">
        <w:rPr>
          <w:lang w:val="en-GB"/>
        </w:rPr>
        <w:t xml:space="preserve">as well as during </w:t>
      </w:r>
      <w:bookmarkEnd w:id="77"/>
      <w:r w:rsidRPr="00F55305" w:rsidR="00F82BD9">
        <w:rPr>
          <w:lang w:val="en-GB"/>
        </w:rPr>
        <w:t>lessons</w:t>
      </w:r>
      <w:r w:rsidRPr="00F55305" w:rsidR="00474D5D">
        <w:rPr>
          <w:lang w:val="en-GB"/>
        </w:rPr>
        <w:t>.</w:t>
      </w:r>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25</w:t>
      </w:r>
      <w:r w:rsidRPr="00F55305">
        <w:rPr>
          <w:lang w:val="en-GB"/>
        </w:rPr>
        <w:fldChar w:fldCharType="end"/>
      </w:r>
      <w:r w:rsidRPr="00F55305">
        <w:rPr>
          <w:lang w:val="en-GB"/>
        </w:rPr>
        <w:t>.  </w:t>
      </w:r>
      <w:bookmarkStart w:name="lt_pId116" w:id="78"/>
      <w:r w:rsidRPr="00F55305" w:rsidR="00474D5D">
        <w:rPr>
          <w:lang w:val="en-GB"/>
        </w:rPr>
        <w:t xml:space="preserve">The file does not include a copy of the individual development plan </w:t>
      </w:r>
      <w:r w:rsidRPr="00F55305" w:rsidR="00F14FB1">
        <w:rPr>
          <w:lang w:val="en-GB"/>
        </w:rPr>
        <w:t>that was supposed to have been drawn up at the time of the applicant</w:t>
      </w:r>
      <w:r w:rsidRPr="00F55305" w:rsidR="00F55305">
        <w:rPr>
          <w:lang w:val="en-GB"/>
        </w:rPr>
        <w:t>’</w:t>
      </w:r>
      <w:r w:rsidRPr="00F55305" w:rsidR="00F14FB1">
        <w:rPr>
          <w:lang w:val="en-GB"/>
        </w:rPr>
        <w:t>s admission to the school and updated every six months</w:t>
      </w:r>
      <w:r w:rsidRPr="00F55305">
        <w:rPr>
          <w:lang w:val="en-GB"/>
        </w:rPr>
        <w:t>.</w:t>
      </w:r>
      <w:bookmarkEnd w:id="78"/>
      <w:r w:rsidRPr="00F55305">
        <w:rPr>
          <w:lang w:val="en-GB"/>
        </w:rPr>
        <w:t xml:space="preserve"> </w:t>
      </w:r>
      <w:bookmarkStart w:name="lt_pId117" w:id="79"/>
      <w:r w:rsidRPr="00F55305" w:rsidR="00F14FB1">
        <w:rPr>
          <w:lang w:val="en-GB"/>
        </w:rPr>
        <w:t>However</w:t>
      </w:r>
      <w:r w:rsidRPr="00F55305">
        <w:rPr>
          <w:lang w:val="en-GB"/>
        </w:rPr>
        <w:t xml:space="preserve">, </w:t>
      </w:r>
      <w:r w:rsidRPr="00F55305" w:rsidR="00F14FB1">
        <w:rPr>
          <w:lang w:val="en-GB"/>
        </w:rPr>
        <w:t xml:space="preserve">according to the report, the plan indicated that she was unaware of the risks </w:t>
      </w:r>
      <w:r w:rsidRPr="00F55305" w:rsidR="00E476CB">
        <w:rPr>
          <w:lang w:val="en-GB"/>
        </w:rPr>
        <w:t xml:space="preserve">she ran on account of her </w:t>
      </w:r>
      <w:r w:rsidRPr="00F55305" w:rsidR="00142AD9">
        <w:rPr>
          <w:lang w:val="en-GB"/>
        </w:rPr>
        <w:t>“</w:t>
      </w:r>
      <w:r w:rsidRPr="00F55305" w:rsidR="00E476CB">
        <w:rPr>
          <w:lang w:val="en-GB"/>
        </w:rPr>
        <w:t>erratic sexual relations</w:t>
      </w:r>
      <w:r w:rsidRPr="00F55305" w:rsidR="00142AD9">
        <w:rPr>
          <w:lang w:val="en-GB"/>
        </w:rPr>
        <w:t>”</w:t>
      </w:r>
      <w:r w:rsidRPr="00F55305" w:rsidR="00E476CB">
        <w:rPr>
          <w:lang w:val="en-GB"/>
        </w:rPr>
        <w:t>,</w:t>
      </w:r>
      <w:r w:rsidRPr="00F55305">
        <w:rPr>
          <w:lang w:val="en-GB"/>
        </w:rPr>
        <w:t xml:space="preserve"> </w:t>
      </w:r>
      <w:r w:rsidRPr="00F55305" w:rsidR="00E476CB">
        <w:rPr>
          <w:lang w:val="en-GB"/>
        </w:rPr>
        <w:t xml:space="preserve">that she did not question the consequences of such acts and that she was not ready to </w:t>
      </w:r>
      <w:r w:rsidRPr="00F55305" w:rsidR="00F00F9C">
        <w:rPr>
          <w:lang w:val="en-GB"/>
        </w:rPr>
        <w:t>live independently</w:t>
      </w:r>
      <w:r w:rsidRPr="00F55305" w:rsidR="00E476CB">
        <w:rPr>
          <w:lang w:val="en-GB"/>
        </w:rPr>
        <w:t>.</w:t>
      </w:r>
      <w:r w:rsidRPr="00F55305">
        <w:rPr>
          <w:szCs w:val="24"/>
          <w:lang w:val="en-GB"/>
        </w:rPr>
        <w:t xml:space="preserve"> </w:t>
      </w:r>
      <w:r w:rsidRPr="00F55305" w:rsidR="00E476CB">
        <w:rPr>
          <w:szCs w:val="24"/>
          <w:lang w:val="en-GB"/>
        </w:rPr>
        <w:t xml:space="preserve">It added that she was </w:t>
      </w:r>
      <w:bookmarkStart w:name="lt_pId118" w:id="80"/>
      <w:bookmarkEnd w:id="79"/>
      <w:r w:rsidRPr="00F55305">
        <w:rPr>
          <w:szCs w:val="24"/>
          <w:lang w:val="en-GB"/>
        </w:rPr>
        <w:t>naïve</w:t>
      </w:r>
      <w:r w:rsidRPr="00F55305" w:rsidR="00E476CB">
        <w:rPr>
          <w:szCs w:val="24"/>
          <w:lang w:val="en-GB"/>
        </w:rPr>
        <w:t>,</w:t>
      </w:r>
      <w:r w:rsidRPr="00F55305">
        <w:rPr>
          <w:szCs w:val="24"/>
          <w:lang w:val="en-GB"/>
        </w:rPr>
        <w:t xml:space="preserve"> </w:t>
      </w:r>
      <w:r w:rsidRPr="00F55305" w:rsidR="00E476CB">
        <w:rPr>
          <w:szCs w:val="24"/>
          <w:lang w:val="en-GB"/>
        </w:rPr>
        <w:t xml:space="preserve">easy to manipulate, impulsive, emotionally </w:t>
      </w:r>
      <w:r w:rsidRPr="00F55305">
        <w:rPr>
          <w:szCs w:val="24"/>
          <w:lang w:val="en-GB"/>
        </w:rPr>
        <w:t>fragile</w:t>
      </w:r>
      <w:r w:rsidRPr="00F55305" w:rsidR="00E476CB">
        <w:rPr>
          <w:szCs w:val="24"/>
          <w:lang w:val="en-GB"/>
        </w:rPr>
        <w:t xml:space="preserve"> and prone to dishonesty.</w:t>
      </w:r>
      <w:bookmarkEnd w:id="8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26</w:t>
      </w:r>
      <w:r w:rsidRPr="00F55305">
        <w:rPr>
          <w:lang w:val="en-GB"/>
        </w:rPr>
        <w:fldChar w:fldCharType="end"/>
      </w:r>
      <w:r w:rsidRPr="00F55305">
        <w:rPr>
          <w:lang w:val="en-GB"/>
        </w:rPr>
        <w:t>.  </w:t>
      </w:r>
      <w:bookmarkStart w:name="lt_pId120" w:id="81"/>
      <w:r w:rsidRPr="00F55305" w:rsidR="00D01ED8">
        <w:rPr>
          <w:lang w:val="en-GB"/>
        </w:rPr>
        <w:t xml:space="preserve">The report went on to state that the individual plan as updated </w:t>
      </w:r>
      <w:r w:rsidRPr="00F55305" w:rsidR="000F2B78">
        <w:rPr>
          <w:lang w:val="en-GB"/>
        </w:rPr>
        <w:t>on 2</w:t>
      </w:r>
      <w:r w:rsidRPr="00F55305">
        <w:rPr>
          <w:lang w:val="en-GB"/>
        </w:rPr>
        <w:t>9 </w:t>
      </w:r>
      <w:r w:rsidRPr="00F55305" w:rsidR="00D01ED8">
        <w:rPr>
          <w:lang w:val="en-GB"/>
        </w:rPr>
        <w:t>September 2014 noted a positive change in the child</w:t>
      </w:r>
      <w:r w:rsidRPr="00F55305" w:rsidR="00F55305">
        <w:rPr>
          <w:lang w:val="en-GB"/>
        </w:rPr>
        <w:t>’</w:t>
      </w:r>
      <w:r w:rsidRPr="00F55305" w:rsidR="00D01ED8">
        <w:rPr>
          <w:lang w:val="en-GB"/>
        </w:rPr>
        <w:t xml:space="preserve">s behaviour. Although she did not apply herself consistently, she had nevertheless shown some interest in schoolwork. </w:t>
      </w:r>
      <w:bookmarkStart w:name="lt_pId122" w:id="82"/>
      <w:bookmarkEnd w:id="81"/>
      <w:r w:rsidRPr="00F55305" w:rsidR="00D01ED8">
        <w:rPr>
          <w:lang w:val="en-GB"/>
        </w:rPr>
        <w:t>The individual p</w:t>
      </w:r>
      <w:r w:rsidRPr="00F55305">
        <w:rPr>
          <w:lang w:val="en-GB"/>
        </w:rPr>
        <w:t xml:space="preserve">lan </w:t>
      </w:r>
      <w:r w:rsidRPr="00F55305" w:rsidR="00D01ED8">
        <w:rPr>
          <w:lang w:val="en-GB"/>
        </w:rPr>
        <w:t>had</w:t>
      </w:r>
      <w:r w:rsidRPr="00F55305">
        <w:rPr>
          <w:lang w:val="en-GB"/>
        </w:rPr>
        <w:t xml:space="preserve"> </w:t>
      </w:r>
      <w:r w:rsidRPr="00F55305" w:rsidR="00D01ED8">
        <w:rPr>
          <w:lang w:val="en-GB"/>
        </w:rPr>
        <w:t xml:space="preserve">recommended that she </w:t>
      </w:r>
      <w:r w:rsidRPr="00F55305" w:rsidR="00CF0091">
        <w:rPr>
          <w:lang w:val="en-GB"/>
        </w:rPr>
        <w:t>step up her</w:t>
      </w:r>
      <w:r w:rsidRPr="00F55305" w:rsidR="00D01ED8">
        <w:rPr>
          <w:lang w:val="en-GB"/>
        </w:rPr>
        <w:t xml:space="preserve"> </w:t>
      </w:r>
      <w:r w:rsidRPr="00F55305">
        <w:rPr>
          <w:lang w:val="en-GB"/>
        </w:rPr>
        <w:t xml:space="preserve">efforts </w:t>
      </w:r>
      <w:r w:rsidRPr="00F55305" w:rsidR="00CF0091">
        <w:rPr>
          <w:lang w:val="en-GB"/>
        </w:rPr>
        <w:t xml:space="preserve">to </w:t>
      </w:r>
      <w:r w:rsidRPr="00F55305" w:rsidR="00CF030B">
        <w:rPr>
          <w:lang w:val="en-GB"/>
        </w:rPr>
        <w:t>acquire</w:t>
      </w:r>
      <w:r w:rsidRPr="00F55305" w:rsidR="00CF0091">
        <w:rPr>
          <w:lang w:val="en-GB"/>
        </w:rPr>
        <w:t xml:space="preserve"> knowledge</w:t>
      </w:r>
      <w:r w:rsidRPr="00F55305" w:rsidR="00CF030B">
        <w:rPr>
          <w:lang w:val="en-GB"/>
        </w:rPr>
        <w:t xml:space="preserve"> on an ongoing, in-depth basis</w:t>
      </w:r>
      <w:r w:rsidRPr="00F55305">
        <w:rPr>
          <w:lang w:val="en-GB"/>
        </w:rPr>
        <w:t>.</w:t>
      </w:r>
      <w:bookmarkEnd w:id="8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27</w:t>
      </w:r>
      <w:r w:rsidRPr="00F55305">
        <w:rPr>
          <w:lang w:val="en-GB"/>
        </w:rPr>
        <w:fldChar w:fldCharType="end"/>
      </w:r>
      <w:r w:rsidRPr="00F55305">
        <w:rPr>
          <w:lang w:val="en-GB"/>
        </w:rPr>
        <w:t>.  </w:t>
      </w:r>
      <w:bookmarkStart w:name="lt_pId124" w:id="83"/>
      <w:r w:rsidRPr="00F55305" w:rsidR="00E506E7">
        <w:rPr>
          <w:lang w:val="en-GB"/>
        </w:rPr>
        <w:t>The re</w:t>
      </w:r>
      <w:r w:rsidRPr="00F55305">
        <w:rPr>
          <w:lang w:val="en-GB"/>
        </w:rPr>
        <w:t xml:space="preserve">port </w:t>
      </w:r>
      <w:r w:rsidRPr="00F55305" w:rsidR="00E506E7">
        <w:rPr>
          <w:lang w:val="en-GB"/>
        </w:rPr>
        <w:t xml:space="preserve">also noted that at the end of the </w:t>
      </w:r>
      <w:r w:rsidRPr="00F55305">
        <w:rPr>
          <w:lang w:val="en-GB"/>
        </w:rPr>
        <w:t>2013</w:t>
      </w:r>
      <w:r w:rsidRPr="00F55305" w:rsidR="00E506E7">
        <w:rPr>
          <w:lang w:val="en-GB"/>
        </w:rPr>
        <w:t>/</w:t>
      </w:r>
      <w:r w:rsidRPr="00F55305">
        <w:rPr>
          <w:lang w:val="en-GB"/>
        </w:rPr>
        <w:t>14</w:t>
      </w:r>
      <w:r w:rsidRPr="00F55305" w:rsidR="00E506E7">
        <w:rPr>
          <w:lang w:val="en-GB"/>
        </w:rPr>
        <w:t xml:space="preserve"> school year</w:t>
      </w:r>
      <w:r w:rsidRPr="00F55305">
        <w:rPr>
          <w:lang w:val="en-GB"/>
        </w:rPr>
        <w:t xml:space="preserve">, </w:t>
      </w:r>
      <w:r w:rsidRPr="00F55305" w:rsidR="000F2B78">
        <w:rPr>
          <w:lang w:val="en-GB"/>
        </w:rPr>
        <w:t>the applicant</w:t>
      </w:r>
      <w:r w:rsidRPr="00F55305">
        <w:rPr>
          <w:lang w:val="en-GB"/>
        </w:rPr>
        <w:t xml:space="preserve"> </w:t>
      </w:r>
      <w:r w:rsidRPr="00F55305" w:rsidR="00E506E7">
        <w:rPr>
          <w:lang w:val="en-GB"/>
        </w:rPr>
        <w:t>had achieved an average mark of</w:t>
      </w:r>
      <w:r w:rsidRPr="00F55305">
        <w:rPr>
          <w:lang w:val="en-GB"/>
        </w:rPr>
        <w:t xml:space="preserve"> </w:t>
      </w:r>
      <w:r w:rsidRPr="00F55305" w:rsidR="00E506E7">
        <w:rPr>
          <w:lang w:val="en-GB"/>
        </w:rPr>
        <w:t>3.</w:t>
      </w:r>
      <w:r w:rsidRPr="00F55305">
        <w:rPr>
          <w:lang w:val="en-GB"/>
        </w:rPr>
        <w:t xml:space="preserve">69 </w:t>
      </w:r>
      <w:r w:rsidRPr="00F55305" w:rsidR="00E506E7">
        <w:rPr>
          <w:lang w:val="en-GB"/>
        </w:rPr>
        <w:t>out of</w:t>
      </w:r>
      <w:r w:rsidRPr="00F55305">
        <w:rPr>
          <w:lang w:val="en-GB"/>
        </w:rPr>
        <w:t xml:space="preserve"> 6 </w:t>
      </w:r>
      <w:r w:rsidRPr="00F55305" w:rsidR="00E506E7">
        <w:rPr>
          <w:lang w:val="en-GB"/>
        </w:rPr>
        <w:t xml:space="preserve">and had therefore moved up to the next class, that she had also been awarded a certificate </w:t>
      </w:r>
      <w:r w:rsidRPr="00F55305" w:rsidR="00106EC3">
        <w:rPr>
          <w:lang w:val="en-GB"/>
        </w:rPr>
        <w:t xml:space="preserve">as a qualified seamstress and that she would be receiving a similar mark for the first semester of the </w:t>
      </w:r>
      <w:r w:rsidRPr="00F55305">
        <w:rPr>
          <w:lang w:val="en-GB"/>
        </w:rPr>
        <w:t>2014</w:t>
      </w:r>
      <w:r w:rsidRPr="00F55305" w:rsidR="00106EC3">
        <w:rPr>
          <w:lang w:val="en-GB"/>
        </w:rPr>
        <w:t>/</w:t>
      </w:r>
      <w:r w:rsidRPr="00F55305">
        <w:rPr>
          <w:lang w:val="en-GB"/>
        </w:rPr>
        <w:t>15</w:t>
      </w:r>
      <w:r w:rsidRPr="00F55305" w:rsidR="00106EC3">
        <w:rPr>
          <w:lang w:val="en-GB"/>
        </w:rPr>
        <w:t xml:space="preserve"> school year</w:t>
      </w:r>
      <w:r w:rsidRPr="00F55305">
        <w:rPr>
          <w:lang w:val="en-GB"/>
        </w:rPr>
        <w:t>.</w:t>
      </w:r>
      <w:bookmarkEnd w:id="8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28</w:t>
      </w:r>
      <w:r w:rsidRPr="00F55305">
        <w:rPr>
          <w:lang w:val="en-GB"/>
        </w:rPr>
        <w:fldChar w:fldCharType="end"/>
      </w:r>
      <w:r w:rsidRPr="00F55305">
        <w:rPr>
          <w:lang w:val="en-GB"/>
        </w:rPr>
        <w:t>.  </w:t>
      </w:r>
      <w:bookmarkStart w:name="lt_pId126" w:id="84"/>
      <w:r w:rsidRPr="00F55305" w:rsidR="00106EC3">
        <w:rPr>
          <w:lang w:val="en-GB"/>
        </w:rPr>
        <w:t>With regard to the applicant</w:t>
      </w:r>
      <w:r w:rsidRPr="00F55305" w:rsidR="00F55305">
        <w:rPr>
          <w:lang w:val="en-GB"/>
        </w:rPr>
        <w:t>’</w:t>
      </w:r>
      <w:r w:rsidRPr="00F55305" w:rsidR="00106EC3">
        <w:rPr>
          <w:lang w:val="en-GB"/>
        </w:rPr>
        <w:t>s telephone</w:t>
      </w:r>
      <w:r w:rsidRPr="00F55305">
        <w:rPr>
          <w:lang w:val="en-GB"/>
        </w:rPr>
        <w:t xml:space="preserve"> conversations</w:t>
      </w:r>
      <w:r w:rsidRPr="00F55305" w:rsidR="00106EC3">
        <w:rPr>
          <w:lang w:val="en-GB"/>
        </w:rPr>
        <w:t>, the re</w:t>
      </w:r>
      <w:r w:rsidRPr="00F55305">
        <w:rPr>
          <w:lang w:val="en-GB"/>
        </w:rPr>
        <w:t xml:space="preserve">port </w:t>
      </w:r>
      <w:r w:rsidRPr="00F55305" w:rsidR="00106EC3">
        <w:rPr>
          <w:lang w:val="en-GB"/>
        </w:rPr>
        <w:t xml:space="preserve">explained the </w:t>
      </w:r>
      <w:r w:rsidRPr="00F55305">
        <w:rPr>
          <w:lang w:val="en-GB"/>
        </w:rPr>
        <w:t>applicable</w:t>
      </w:r>
      <w:r w:rsidRPr="00F55305" w:rsidR="00106EC3">
        <w:rPr>
          <w:lang w:val="en-GB"/>
        </w:rPr>
        <w:t xml:space="preserve"> rules and stated that</w:t>
      </w:r>
      <w:r w:rsidRPr="00F55305">
        <w:rPr>
          <w:lang w:val="en-GB"/>
        </w:rPr>
        <w:t xml:space="preserve"> </w:t>
      </w:r>
      <w:r w:rsidRPr="00F55305" w:rsidR="00CF030B">
        <w:rPr>
          <w:lang w:val="en-GB"/>
        </w:rPr>
        <w:t>she</w:t>
      </w:r>
      <w:r w:rsidRPr="00F55305">
        <w:rPr>
          <w:lang w:val="en-GB"/>
        </w:rPr>
        <w:t xml:space="preserve"> </w:t>
      </w:r>
      <w:r w:rsidRPr="00F55305" w:rsidR="00CF030B">
        <w:rPr>
          <w:lang w:val="en-GB"/>
        </w:rPr>
        <w:t xml:space="preserve">had not been </w:t>
      </w:r>
      <w:r w:rsidRPr="00F55305" w:rsidR="00142AD9">
        <w:rPr>
          <w:lang w:val="en-GB"/>
        </w:rPr>
        <w:t>“</w:t>
      </w:r>
      <w:r w:rsidRPr="00F55305" w:rsidR="00106EC3">
        <w:rPr>
          <w:lang w:val="en-GB"/>
        </w:rPr>
        <w:t>deprived of telephone contact with her mother</w:t>
      </w:r>
      <w:r w:rsidRPr="00F55305" w:rsidR="00142AD9">
        <w:rPr>
          <w:lang w:val="en-GB"/>
        </w:rPr>
        <w:t>”</w:t>
      </w:r>
      <w:r w:rsidRPr="00F55305" w:rsidR="00106EC3">
        <w:rPr>
          <w:lang w:val="en-GB"/>
        </w:rPr>
        <w:t xml:space="preserve"> </w:t>
      </w:r>
      <w:r w:rsidRPr="00F55305" w:rsidR="00CF030B">
        <w:rPr>
          <w:lang w:val="en-GB"/>
        </w:rPr>
        <w:t>or</w:t>
      </w:r>
      <w:r w:rsidRPr="00F55305" w:rsidR="00106EC3">
        <w:rPr>
          <w:lang w:val="en-GB"/>
        </w:rPr>
        <w:t xml:space="preserve"> subjected to any restrictions on visits from her family, even though these had often taken place outside the times specified in the school</w:t>
      </w:r>
      <w:r w:rsidRPr="00F55305" w:rsidR="00F55305">
        <w:rPr>
          <w:lang w:val="en-GB"/>
        </w:rPr>
        <w:t>’</w:t>
      </w:r>
      <w:r w:rsidRPr="00F55305" w:rsidR="00106EC3">
        <w:rPr>
          <w:lang w:val="en-GB"/>
        </w:rPr>
        <w:t xml:space="preserve">s internal rules. </w:t>
      </w:r>
      <w:bookmarkStart w:name="lt_pId127" w:id="85"/>
      <w:bookmarkEnd w:id="84"/>
      <w:r w:rsidRPr="00F55305" w:rsidR="00106EC3">
        <w:rPr>
          <w:lang w:val="en-GB"/>
        </w:rPr>
        <w:t xml:space="preserve">In addition, </w:t>
      </w:r>
      <w:r w:rsidRPr="00F55305" w:rsidR="000F2B78">
        <w:rPr>
          <w:lang w:val="en-GB"/>
        </w:rPr>
        <w:t>the applicant</w:t>
      </w:r>
      <w:r w:rsidRPr="00F55305">
        <w:rPr>
          <w:lang w:val="en-GB"/>
        </w:rPr>
        <w:t xml:space="preserve"> </w:t>
      </w:r>
      <w:r w:rsidRPr="00F55305" w:rsidR="00106EC3">
        <w:rPr>
          <w:lang w:val="en-GB"/>
        </w:rPr>
        <w:t>had never received any letters or parcels from her family</w:t>
      </w:r>
      <w:r w:rsidRPr="00F55305">
        <w:rPr>
          <w:lang w:val="en-GB"/>
        </w:rPr>
        <w:t>.</w:t>
      </w:r>
      <w:bookmarkEnd w:id="85"/>
      <w:r w:rsidRPr="00F55305">
        <w:rPr>
          <w:lang w:val="en-GB"/>
        </w:rPr>
        <w:t xml:space="preserve"> </w:t>
      </w:r>
      <w:bookmarkStart w:name="lt_pId128" w:id="86"/>
      <w:r w:rsidRPr="00F55305" w:rsidR="00106EC3">
        <w:rPr>
          <w:lang w:val="en-GB"/>
        </w:rPr>
        <w:t xml:space="preserve">She had gone on home leave five times during the school holidays, from </w:t>
      </w:r>
      <w:r w:rsidRPr="00F55305">
        <w:rPr>
          <w:lang w:val="en-GB"/>
        </w:rPr>
        <w:t>21 </w:t>
      </w:r>
      <w:r w:rsidRPr="00F55305" w:rsidR="00106EC3">
        <w:rPr>
          <w:lang w:val="en-GB"/>
        </w:rPr>
        <w:t>December</w:t>
      </w:r>
      <w:r w:rsidRPr="00F55305">
        <w:rPr>
          <w:lang w:val="en-GB"/>
        </w:rPr>
        <w:t xml:space="preserve"> 2013 </w:t>
      </w:r>
      <w:r w:rsidRPr="00F55305" w:rsidR="00106EC3">
        <w:rPr>
          <w:lang w:val="en-GB"/>
        </w:rPr>
        <w:t>to</w:t>
      </w:r>
      <w:r w:rsidRPr="00F55305">
        <w:rPr>
          <w:lang w:val="en-GB"/>
        </w:rPr>
        <w:t xml:space="preserve"> 5 </w:t>
      </w:r>
      <w:r w:rsidRPr="00F55305" w:rsidR="002A199C">
        <w:rPr>
          <w:lang w:val="en-GB"/>
        </w:rPr>
        <w:t>January</w:t>
      </w:r>
      <w:r w:rsidRPr="00F55305">
        <w:rPr>
          <w:lang w:val="en-GB"/>
        </w:rPr>
        <w:t xml:space="preserve"> 2014, </w:t>
      </w:r>
      <w:r w:rsidRPr="00F55305" w:rsidR="00106EC3">
        <w:rPr>
          <w:lang w:val="en-GB"/>
        </w:rPr>
        <w:t>from</w:t>
      </w:r>
      <w:r w:rsidRPr="00F55305">
        <w:rPr>
          <w:lang w:val="en-GB"/>
        </w:rPr>
        <w:t xml:space="preserve"> 30 </w:t>
      </w:r>
      <w:r w:rsidRPr="00F55305" w:rsidR="002A199C">
        <w:rPr>
          <w:lang w:val="en-GB"/>
        </w:rPr>
        <w:t>January</w:t>
      </w:r>
      <w:r w:rsidRPr="00F55305">
        <w:rPr>
          <w:lang w:val="en-GB"/>
        </w:rPr>
        <w:t xml:space="preserve"> </w:t>
      </w:r>
      <w:r w:rsidRPr="00F55305" w:rsidR="00106EC3">
        <w:rPr>
          <w:lang w:val="en-GB"/>
        </w:rPr>
        <w:t>to</w:t>
      </w:r>
      <w:r w:rsidRPr="00F55305">
        <w:rPr>
          <w:lang w:val="en-GB"/>
        </w:rPr>
        <w:t xml:space="preserve"> 4 </w:t>
      </w:r>
      <w:r w:rsidRPr="00F55305" w:rsidR="001A00CB">
        <w:rPr>
          <w:lang w:val="en-GB"/>
        </w:rPr>
        <w:t>February</w:t>
      </w:r>
      <w:r w:rsidRPr="00F55305">
        <w:rPr>
          <w:lang w:val="en-GB"/>
        </w:rPr>
        <w:t xml:space="preserve"> 2014, </w:t>
      </w:r>
      <w:r w:rsidRPr="00F55305" w:rsidR="00106EC3">
        <w:rPr>
          <w:lang w:val="en-GB"/>
        </w:rPr>
        <w:t>from</w:t>
      </w:r>
      <w:r w:rsidRPr="00F55305">
        <w:rPr>
          <w:lang w:val="en-GB"/>
        </w:rPr>
        <w:t xml:space="preserve"> 28 </w:t>
      </w:r>
      <w:r w:rsidRPr="00F55305" w:rsidR="00106EC3">
        <w:rPr>
          <w:lang w:val="en-GB"/>
        </w:rPr>
        <w:t>March</w:t>
      </w:r>
      <w:r w:rsidRPr="00F55305">
        <w:rPr>
          <w:lang w:val="en-GB"/>
        </w:rPr>
        <w:t xml:space="preserve"> </w:t>
      </w:r>
      <w:r w:rsidRPr="00F55305" w:rsidR="00106EC3">
        <w:rPr>
          <w:lang w:val="en-GB"/>
        </w:rPr>
        <w:t>to</w:t>
      </w:r>
      <w:r w:rsidRPr="00F55305">
        <w:rPr>
          <w:lang w:val="en-GB"/>
        </w:rPr>
        <w:t xml:space="preserve"> 6 </w:t>
      </w:r>
      <w:r w:rsidRPr="00F55305" w:rsidR="000F2B78">
        <w:rPr>
          <w:lang w:val="en-GB"/>
        </w:rPr>
        <w:t>April</w:t>
      </w:r>
      <w:r w:rsidRPr="00F55305">
        <w:rPr>
          <w:lang w:val="en-GB"/>
        </w:rPr>
        <w:t xml:space="preserve"> 2014, </w:t>
      </w:r>
      <w:r w:rsidRPr="00F55305" w:rsidR="00106EC3">
        <w:rPr>
          <w:lang w:val="en-GB"/>
        </w:rPr>
        <w:t>from</w:t>
      </w:r>
      <w:r w:rsidRPr="00F55305">
        <w:rPr>
          <w:lang w:val="en-GB"/>
        </w:rPr>
        <w:t xml:space="preserve"> 4 </w:t>
      </w:r>
      <w:r w:rsidRPr="00F55305" w:rsidR="003B5A4F">
        <w:rPr>
          <w:lang w:val="en-GB"/>
        </w:rPr>
        <w:t>July</w:t>
      </w:r>
      <w:r w:rsidRPr="00F55305">
        <w:rPr>
          <w:lang w:val="en-GB"/>
        </w:rPr>
        <w:t xml:space="preserve"> </w:t>
      </w:r>
      <w:r w:rsidRPr="00F55305" w:rsidR="00106EC3">
        <w:rPr>
          <w:lang w:val="en-GB"/>
        </w:rPr>
        <w:t>to</w:t>
      </w:r>
      <w:r w:rsidRPr="00F55305">
        <w:rPr>
          <w:lang w:val="en-GB"/>
        </w:rPr>
        <w:t xml:space="preserve"> 15 </w:t>
      </w:r>
      <w:r w:rsidRPr="00F55305" w:rsidR="00106EC3">
        <w:rPr>
          <w:lang w:val="en-GB"/>
        </w:rPr>
        <w:t>September</w:t>
      </w:r>
      <w:r w:rsidRPr="00F55305">
        <w:rPr>
          <w:lang w:val="en-GB"/>
        </w:rPr>
        <w:t xml:space="preserve"> 2014, </w:t>
      </w:r>
      <w:r w:rsidRPr="00F55305" w:rsidR="00106EC3">
        <w:rPr>
          <w:lang w:val="en-GB"/>
        </w:rPr>
        <w:t>and from</w:t>
      </w:r>
      <w:r w:rsidRPr="00F55305">
        <w:rPr>
          <w:lang w:val="en-GB"/>
        </w:rPr>
        <w:t xml:space="preserve"> 19 </w:t>
      </w:r>
      <w:r w:rsidRPr="00F55305" w:rsidR="00106EC3">
        <w:rPr>
          <w:lang w:val="en-GB"/>
        </w:rPr>
        <w:t>December</w:t>
      </w:r>
      <w:r w:rsidRPr="00F55305">
        <w:rPr>
          <w:lang w:val="en-GB"/>
        </w:rPr>
        <w:t xml:space="preserve"> 2014 </w:t>
      </w:r>
      <w:r w:rsidRPr="00F55305" w:rsidR="00106EC3">
        <w:rPr>
          <w:lang w:val="en-GB"/>
        </w:rPr>
        <w:t>to</w:t>
      </w:r>
      <w:r w:rsidRPr="00F55305">
        <w:rPr>
          <w:lang w:val="en-GB"/>
        </w:rPr>
        <w:t xml:space="preserve"> 4 </w:t>
      </w:r>
      <w:r w:rsidRPr="00F55305" w:rsidR="002A199C">
        <w:rPr>
          <w:lang w:val="en-GB"/>
        </w:rPr>
        <w:t>January</w:t>
      </w:r>
      <w:r w:rsidRPr="00F55305">
        <w:rPr>
          <w:lang w:val="en-GB"/>
        </w:rPr>
        <w:t xml:space="preserve"> 2015.</w:t>
      </w:r>
      <w:bookmarkEnd w:id="86"/>
      <w:r w:rsidRPr="00F55305">
        <w:rPr>
          <w:lang w:val="en-GB"/>
        </w:rPr>
        <w:t xml:space="preserve"> </w:t>
      </w:r>
      <w:bookmarkStart w:name="lt_pId129" w:id="87"/>
      <w:r w:rsidRPr="00F55305" w:rsidR="00106EC3">
        <w:rPr>
          <w:lang w:val="en-GB"/>
        </w:rPr>
        <w:t>Each time</w:t>
      </w:r>
      <w:r w:rsidRPr="00F55305">
        <w:rPr>
          <w:lang w:val="en-GB"/>
        </w:rPr>
        <w:t xml:space="preserve">, </w:t>
      </w:r>
      <w:r w:rsidRPr="00F55305" w:rsidR="000F2B78">
        <w:rPr>
          <w:lang w:val="en-GB"/>
        </w:rPr>
        <w:t>the applicant</w:t>
      </w:r>
      <w:r w:rsidRPr="00F55305">
        <w:rPr>
          <w:lang w:val="en-GB"/>
        </w:rPr>
        <w:t xml:space="preserve"> </w:t>
      </w:r>
      <w:r w:rsidRPr="00F55305" w:rsidR="00106EC3">
        <w:rPr>
          <w:lang w:val="en-GB"/>
        </w:rPr>
        <w:t>had return</w:t>
      </w:r>
      <w:r w:rsidRPr="00F55305" w:rsidR="00CF030B">
        <w:rPr>
          <w:lang w:val="en-GB"/>
        </w:rPr>
        <w:t>ed late</w:t>
      </w:r>
      <w:r w:rsidRPr="00F55305" w:rsidR="00106EC3">
        <w:rPr>
          <w:lang w:val="en-GB"/>
        </w:rPr>
        <w:t xml:space="preserve"> to</w:t>
      </w:r>
      <w:r w:rsidRPr="00F55305">
        <w:rPr>
          <w:lang w:val="en-GB"/>
        </w:rPr>
        <w:t xml:space="preserve"> </w:t>
      </w:r>
      <w:r w:rsidRPr="00F55305" w:rsidR="003B5A4F">
        <w:rPr>
          <w:lang w:val="en-GB"/>
        </w:rPr>
        <w:t>the Podem school</w:t>
      </w:r>
      <w:r w:rsidRPr="00F55305">
        <w:rPr>
          <w:lang w:val="en-GB"/>
        </w:rPr>
        <w:t>.</w:t>
      </w:r>
      <w:bookmarkEnd w:id="8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29</w:t>
      </w:r>
      <w:r w:rsidRPr="00F55305">
        <w:rPr>
          <w:lang w:val="en-GB"/>
        </w:rPr>
        <w:fldChar w:fldCharType="end"/>
      </w:r>
      <w:r w:rsidRPr="00F55305">
        <w:rPr>
          <w:lang w:val="en-GB"/>
        </w:rPr>
        <w:t>.  </w:t>
      </w:r>
      <w:bookmarkStart w:name="lt_pId131" w:id="88"/>
      <w:r w:rsidRPr="00F55305" w:rsidR="00106EC3">
        <w:rPr>
          <w:lang w:val="en-GB"/>
        </w:rPr>
        <w:t>The re</w:t>
      </w:r>
      <w:r w:rsidRPr="00F55305">
        <w:rPr>
          <w:lang w:val="en-GB"/>
        </w:rPr>
        <w:t xml:space="preserve">port </w:t>
      </w:r>
      <w:r w:rsidRPr="00F55305" w:rsidR="00106EC3">
        <w:rPr>
          <w:lang w:val="en-GB"/>
        </w:rPr>
        <w:t>also stated that according to information</w:t>
      </w:r>
      <w:r w:rsidRPr="00F55305">
        <w:rPr>
          <w:lang w:val="en-GB"/>
        </w:rPr>
        <w:t xml:space="preserve"> </w:t>
      </w:r>
      <w:r w:rsidRPr="00F55305" w:rsidR="00106EC3">
        <w:rPr>
          <w:lang w:val="en-GB"/>
        </w:rPr>
        <w:t xml:space="preserve">from the </w:t>
      </w:r>
      <w:r w:rsidRPr="00F55305">
        <w:rPr>
          <w:lang w:val="en-GB"/>
        </w:rPr>
        <w:t xml:space="preserve">police, </w:t>
      </w:r>
      <w:r w:rsidRPr="00F55305" w:rsidR="00106EC3">
        <w:rPr>
          <w:lang w:val="en-GB"/>
        </w:rPr>
        <w:t>the child had been</w:t>
      </w:r>
      <w:r w:rsidRPr="00F55305">
        <w:rPr>
          <w:lang w:val="en-GB"/>
        </w:rPr>
        <w:t xml:space="preserve"> </w:t>
      </w:r>
      <w:r w:rsidRPr="00F55305" w:rsidR="00106EC3">
        <w:rPr>
          <w:lang w:val="en-GB"/>
        </w:rPr>
        <w:t>suspect</w:t>
      </w:r>
      <w:r w:rsidRPr="00F55305">
        <w:rPr>
          <w:lang w:val="en-GB"/>
        </w:rPr>
        <w:t>e</w:t>
      </w:r>
      <w:r w:rsidRPr="00F55305" w:rsidR="00106EC3">
        <w:rPr>
          <w:lang w:val="en-GB"/>
        </w:rPr>
        <w:t>d of stealing a mobile phone and jewels from a house on 4 January 2014</w:t>
      </w:r>
      <w:r w:rsidRPr="00F55305">
        <w:rPr>
          <w:lang w:val="en-GB"/>
        </w:rPr>
        <w:t>.</w:t>
      </w:r>
      <w:bookmarkEnd w:id="88"/>
      <w:r w:rsidRPr="00F55305">
        <w:rPr>
          <w:lang w:val="en-GB"/>
        </w:rPr>
        <w:t xml:space="preserve"> </w:t>
      </w:r>
      <w:bookmarkStart w:name="lt_pId132" w:id="89"/>
      <w:r w:rsidRPr="00F55305" w:rsidR="00526524">
        <w:rPr>
          <w:lang w:val="en-GB"/>
        </w:rPr>
        <w:t>On being</w:t>
      </w:r>
      <w:r w:rsidRPr="00F55305" w:rsidR="00106EC3">
        <w:rPr>
          <w:lang w:val="en-GB"/>
        </w:rPr>
        <w:t xml:space="preserve"> questioned by the police</w:t>
      </w:r>
      <w:r w:rsidRPr="00F55305" w:rsidR="00526524">
        <w:rPr>
          <w:lang w:val="en-GB"/>
        </w:rPr>
        <w:t>, she</w:t>
      </w:r>
      <w:r w:rsidRPr="00F55305" w:rsidR="00106EC3">
        <w:rPr>
          <w:lang w:val="en-GB"/>
        </w:rPr>
        <w:t xml:space="preserve"> had handed over the items in question of her own accord</w:t>
      </w:r>
      <w:r w:rsidRPr="00F55305">
        <w:rPr>
          <w:lang w:val="en-GB"/>
        </w:rPr>
        <w:t>.</w:t>
      </w:r>
      <w:bookmarkEnd w:id="8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30</w:t>
      </w:r>
      <w:r w:rsidRPr="00F55305">
        <w:rPr>
          <w:lang w:val="en-GB"/>
        </w:rPr>
        <w:fldChar w:fldCharType="end"/>
      </w:r>
      <w:r w:rsidRPr="00F55305">
        <w:rPr>
          <w:lang w:val="en-GB"/>
        </w:rPr>
        <w:t>.  </w:t>
      </w:r>
      <w:bookmarkStart w:name="lt_pId134" w:id="90"/>
      <w:r w:rsidRPr="00F55305" w:rsidR="00526524">
        <w:rPr>
          <w:lang w:val="en-GB"/>
        </w:rPr>
        <w:t>Lastly, the re</w:t>
      </w:r>
      <w:r w:rsidRPr="00F55305">
        <w:rPr>
          <w:lang w:val="en-GB"/>
        </w:rPr>
        <w:t xml:space="preserve">port </w:t>
      </w:r>
      <w:r w:rsidRPr="00F55305" w:rsidR="00526524">
        <w:rPr>
          <w:lang w:val="en-GB"/>
        </w:rPr>
        <w:t>noted that the school</w:t>
      </w:r>
      <w:r w:rsidRPr="00F55305" w:rsidR="00F55305">
        <w:rPr>
          <w:lang w:val="en-GB"/>
        </w:rPr>
        <w:t>’</w:t>
      </w:r>
      <w:r w:rsidRPr="00F55305" w:rsidR="00526524">
        <w:rPr>
          <w:lang w:val="en-GB"/>
        </w:rPr>
        <w:t>s committee on preventing the risks of assault and harassment of juveniles</w:t>
      </w:r>
      <w:r w:rsidRPr="00F55305">
        <w:rPr>
          <w:lang w:val="en-GB"/>
        </w:rPr>
        <w:t xml:space="preserve"> </w:t>
      </w:r>
      <w:r w:rsidRPr="00F55305" w:rsidR="00526524">
        <w:rPr>
          <w:lang w:val="en-GB"/>
        </w:rPr>
        <w:t xml:space="preserve">had not received any information to suggest that the applicant had been </w:t>
      </w:r>
      <w:r w:rsidRPr="00F55305" w:rsidR="00142AD9">
        <w:rPr>
          <w:lang w:val="en-GB"/>
        </w:rPr>
        <w:t>“</w:t>
      </w:r>
      <w:r w:rsidRPr="00F55305" w:rsidR="00526524">
        <w:rPr>
          <w:lang w:val="en-GB"/>
        </w:rPr>
        <w:t>sexually exploited</w:t>
      </w:r>
      <w:r w:rsidRPr="00F55305" w:rsidR="00142AD9">
        <w:rPr>
          <w:lang w:val="en-GB"/>
        </w:rPr>
        <w:t>”</w:t>
      </w:r>
      <w:r w:rsidRPr="00F55305" w:rsidR="009B1E23">
        <w:rPr>
          <w:lang w:val="en-GB"/>
        </w:rPr>
        <w:t xml:space="preserve"> </w:t>
      </w:r>
      <w:r w:rsidRPr="00F55305" w:rsidR="00526524">
        <w:rPr>
          <w:lang w:val="en-GB"/>
        </w:rPr>
        <w:t>within the school itself.</w:t>
      </w:r>
      <w:bookmarkEnd w:id="90"/>
    </w:p>
    <w:p w:rsidRPr="00F55305" w:rsidR="00711D81" w:rsidP="00F55305" w:rsidRDefault="00711D81">
      <w:pPr>
        <w:pStyle w:val="ECHRHeading2"/>
        <w:rPr>
          <w:lang w:val="en-GB"/>
        </w:rPr>
      </w:pPr>
      <w:r w:rsidRPr="00F55305">
        <w:rPr>
          <w:lang w:val="en-GB"/>
        </w:rPr>
        <w:t>C.  </w:t>
      </w:r>
      <w:bookmarkStart w:name="lt_pId136" w:id="91"/>
      <w:r w:rsidRPr="00F55305" w:rsidR="00F949DD">
        <w:rPr>
          <w:lang w:val="en-GB"/>
        </w:rPr>
        <w:t>Reports by the State Agency for Child Protection</w:t>
      </w:r>
      <w:r w:rsidRPr="00F55305">
        <w:rPr>
          <w:lang w:val="en-GB"/>
        </w:rPr>
        <w:t xml:space="preserve"> </w:t>
      </w:r>
      <w:r w:rsidRPr="00F55305" w:rsidR="00C97AB7">
        <w:rPr>
          <w:lang w:val="en-GB"/>
        </w:rPr>
        <w:t>and A</w:t>
      </w:r>
      <w:r w:rsidRPr="00F55305">
        <w:rPr>
          <w:lang w:val="en-GB"/>
        </w:rPr>
        <w:t xml:space="preserve">ction </w:t>
      </w:r>
      <w:r w:rsidRPr="00F55305" w:rsidR="00C97AB7">
        <w:rPr>
          <w:lang w:val="en-GB"/>
        </w:rPr>
        <w:t xml:space="preserve">Plan for the implementation of the </w:t>
      </w:r>
      <w:r w:rsidRPr="00F55305" w:rsidR="0019319C">
        <w:rPr>
          <w:lang w:val="en-GB"/>
        </w:rPr>
        <w:t xml:space="preserve">national policy </w:t>
      </w:r>
      <w:r w:rsidRPr="00F55305" w:rsidR="003D494B">
        <w:rPr>
          <w:lang w:val="en-GB"/>
        </w:rPr>
        <w:t xml:space="preserve">strategy </w:t>
      </w:r>
      <w:r w:rsidRPr="00F55305" w:rsidR="0019319C">
        <w:rPr>
          <w:lang w:val="en-GB"/>
        </w:rPr>
        <w:t>on juvenile justice for</w:t>
      </w:r>
      <w:r w:rsidRPr="00F55305" w:rsidR="009D3A50">
        <w:rPr>
          <w:lang w:val="en-GB"/>
        </w:rPr>
        <w:t xml:space="preserve"> </w:t>
      </w:r>
      <w:r w:rsidRPr="00F55305">
        <w:rPr>
          <w:lang w:val="en-GB"/>
        </w:rPr>
        <w:t>2013-2020</w:t>
      </w:r>
      <w:bookmarkEnd w:id="9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31</w:t>
      </w:r>
      <w:r w:rsidRPr="00F55305">
        <w:rPr>
          <w:lang w:val="en-GB"/>
        </w:rPr>
        <w:fldChar w:fldCharType="end"/>
      </w:r>
      <w:r w:rsidRPr="00F55305">
        <w:rPr>
          <w:lang w:val="en-GB"/>
        </w:rPr>
        <w:t>.  </w:t>
      </w:r>
      <w:bookmarkStart w:name="lt_pId138" w:id="92"/>
      <w:r w:rsidRPr="00F55305" w:rsidR="003D494B">
        <w:rPr>
          <w:lang w:val="en-GB"/>
        </w:rPr>
        <w:t>Two re</w:t>
      </w:r>
      <w:r w:rsidRPr="00F55305">
        <w:rPr>
          <w:lang w:val="en-GB"/>
        </w:rPr>
        <w:t xml:space="preserve">ports </w:t>
      </w:r>
      <w:r w:rsidRPr="00F55305" w:rsidR="003D494B">
        <w:rPr>
          <w:lang w:val="en-GB"/>
        </w:rPr>
        <w:t xml:space="preserve">issued in </w:t>
      </w:r>
      <w:r w:rsidRPr="00F55305">
        <w:rPr>
          <w:lang w:val="en-GB"/>
        </w:rPr>
        <w:t xml:space="preserve">2009 </w:t>
      </w:r>
      <w:r w:rsidRPr="00F55305" w:rsidR="003D494B">
        <w:rPr>
          <w:lang w:val="en-GB"/>
        </w:rPr>
        <w:t>and</w:t>
      </w:r>
      <w:r w:rsidRPr="00F55305">
        <w:rPr>
          <w:lang w:val="en-GB"/>
        </w:rPr>
        <w:t xml:space="preserve"> 2013 </w:t>
      </w:r>
      <w:r w:rsidRPr="00F55305" w:rsidR="008E1BFD">
        <w:rPr>
          <w:lang w:val="en-GB"/>
        </w:rPr>
        <w:t>by the</w:t>
      </w:r>
      <w:r w:rsidRPr="00F55305" w:rsidR="00C53A11">
        <w:rPr>
          <w:lang w:val="en-GB"/>
        </w:rPr>
        <w:t xml:space="preserve"> </w:t>
      </w:r>
      <w:r w:rsidRPr="00F55305" w:rsidR="00B0438E">
        <w:rPr>
          <w:lang w:val="en-GB"/>
        </w:rPr>
        <w:t xml:space="preserve">State Agency for Child Protection include a summary of the findings of an assessment of the operation of the four correctional boarding schools in </w:t>
      </w:r>
      <w:r w:rsidRPr="00F55305">
        <w:rPr>
          <w:lang w:val="en-GB"/>
        </w:rPr>
        <w:t>Bulgari</w:t>
      </w:r>
      <w:r w:rsidRPr="00F55305" w:rsidR="00B0438E">
        <w:rPr>
          <w:lang w:val="en-GB"/>
        </w:rPr>
        <w:t>a</w:t>
      </w:r>
      <w:r w:rsidRPr="00F55305">
        <w:rPr>
          <w:lang w:val="en-GB"/>
        </w:rPr>
        <w:t xml:space="preserve">, </w:t>
      </w:r>
      <w:r w:rsidRPr="00F55305" w:rsidR="00B0438E">
        <w:rPr>
          <w:lang w:val="en-GB"/>
        </w:rPr>
        <w:t xml:space="preserve">including the one in </w:t>
      </w:r>
      <w:r w:rsidRPr="00F55305">
        <w:rPr>
          <w:lang w:val="en-GB"/>
        </w:rPr>
        <w:t>Podem.</w:t>
      </w:r>
      <w:bookmarkEnd w:id="92"/>
      <w:r w:rsidRPr="00F55305">
        <w:rPr>
          <w:lang w:val="en-GB"/>
        </w:rPr>
        <w:t xml:space="preserve"> </w:t>
      </w:r>
      <w:bookmarkStart w:name="lt_pId139" w:id="93"/>
      <w:r w:rsidRPr="00F55305" w:rsidR="00B0438E">
        <w:rPr>
          <w:lang w:val="en-GB"/>
        </w:rPr>
        <w:t>They indicate that these schools had a total capacity of</w:t>
      </w:r>
      <w:r w:rsidRPr="00F55305">
        <w:rPr>
          <w:lang w:val="en-GB"/>
        </w:rPr>
        <w:t xml:space="preserve"> 405 places </w:t>
      </w:r>
      <w:r w:rsidRPr="00F55305" w:rsidR="00B0438E">
        <w:rPr>
          <w:lang w:val="en-GB"/>
        </w:rPr>
        <w:t>and that in 2013 there were</w:t>
      </w:r>
      <w:r w:rsidRPr="00F55305">
        <w:rPr>
          <w:lang w:val="en-GB"/>
        </w:rPr>
        <w:t xml:space="preserve"> 166 </w:t>
      </w:r>
      <w:r w:rsidRPr="00F55305" w:rsidR="00B0438E">
        <w:rPr>
          <w:lang w:val="en-GB"/>
        </w:rPr>
        <w:t xml:space="preserve">children attending them. There were 44 girls at the </w:t>
      </w:r>
      <w:bookmarkStart w:name="lt_pId140" w:id="94"/>
      <w:bookmarkEnd w:id="93"/>
      <w:r w:rsidRPr="00F55305">
        <w:rPr>
          <w:lang w:val="en-GB"/>
        </w:rPr>
        <w:t>Podem</w:t>
      </w:r>
      <w:r w:rsidRPr="00F55305" w:rsidR="00B0438E">
        <w:rPr>
          <w:lang w:val="en-GB"/>
        </w:rPr>
        <w:t xml:space="preserve"> school, all of whom had been admitted under the </w:t>
      </w:r>
      <w:r w:rsidRPr="00F55305" w:rsidR="008251A4">
        <w:rPr>
          <w:lang w:val="en-GB"/>
        </w:rPr>
        <w:t>Juvenile</w:t>
      </w:r>
      <w:r w:rsidRPr="00F55305" w:rsidR="00801209">
        <w:rPr>
          <w:lang w:val="en-GB"/>
        </w:rPr>
        <w:t xml:space="preserve"> Antisocial Behaviour</w:t>
      </w:r>
      <w:r w:rsidRPr="00F55305" w:rsidR="00B0438E">
        <w:rPr>
          <w:lang w:val="en-GB"/>
        </w:rPr>
        <w:t xml:space="preserve"> Act</w:t>
      </w:r>
      <w:r w:rsidRPr="00F55305">
        <w:rPr>
          <w:lang w:val="en-GB"/>
        </w:rPr>
        <w:t>.</w:t>
      </w:r>
      <w:bookmarkEnd w:id="9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32</w:t>
      </w:r>
      <w:r w:rsidRPr="00F55305">
        <w:rPr>
          <w:lang w:val="en-GB"/>
        </w:rPr>
        <w:fldChar w:fldCharType="end"/>
      </w:r>
      <w:r w:rsidRPr="00F55305">
        <w:rPr>
          <w:lang w:val="en-GB"/>
        </w:rPr>
        <w:t>.  </w:t>
      </w:r>
      <w:bookmarkStart w:name="lt_pId142" w:id="95"/>
      <w:r w:rsidRPr="00F55305" w:rsidR="00BE6B53">
        <w:rPr>
          <w:lang w:val="en-GB"/>
        </w:rPr>
        <w:t xml:space="preserve">The reports also note that there is a high pupil turnover rate during the school year because of the admission of juveniles on the basis of a placement order and </w:t>
      </w:r>
      <w:r w:rsidRPr="00F55305" w:rsidR="008251A4">
        <w:rPr>
          <w:lang w:val="en-GB"/>
        </w:rPr>
        <w:t xml:space="preserve">because of </w:t>
      </w:r>
      <w:r w:rsidRPr="00F55305" w:rsidR="00BE6B53">
        <w:rPr>
          <w:lang w:val="en-GB"/>
        </w:rPr>
        <w:t>their departure, in most cases on reaching the age of majority (18 years</w:t>
      </w:r>
      <w:r w:rsidRPr="00F55305" w:rsidR="008251A4">
        <w:rPr>
          <w:lang w:val="en-GB"/>
        </w:rPr>
        <w:t xml:space="preserve"> of age</w:t>
      </w:r>
      <w:r w:rsidRPr="00F55305" w:rsidR="00BE6B53">
        <w:rPr>
          <w:lang w:val="en-GB"/>
        </w:rPr>
        <w:t>) or on the expiry of the statutory maximum duration</w:t>
      </w:r>
      <w:r w:rsidRPr="00F55305">
        <w:rPr>
          <w:lang w:val="en-GB"/>
        </w:rPr>
        <w:t xml:space="preserve"> </w:t>
      </w:r>
      <w:r w:rsidRPr="00F55305" w:rsidR="00BE6B53">
        <w:rPr>
          <w:lang w:val="en-GB"/>
        </w:rPr>
        <w:t>of the placement</w:t>
      </w:r>
      <w:r w:rsidRPr="00F55305">
        <w:rPr>
          <w:lang w:val="en-GB"/>
        </w:rPr>
        <w:t>.</w:t>
      </w:r>
      <w:bookmarkEnd w:id="95"/>
      <w:r w:rsidRPr="00F55305">
        <w:rPr>
          <w:lang w:val="en-GB"/>
        </w:rPr>
        <w:t xml:space="preserve"> </w:t>
      </w:r>
      <w:bookmarkStart w:name="lt_pId143" w:id="96"/>
      <w:r w:rsidRPr="00F55305" w:rsidR="00BE6B53">
        <w:rPr>
          <w:lang w:val="en-GB"/>
        </w:rPr>
        <w:t>During</w:t>
      </w:r>
      <w:r w:rsidRPr="00F55305">
        <w:rPr>
          <w:lang w:val="en-GB"/>
        </w:rPr>
        <w:t xml:space="preserve"> 2009, </w:t>
      </w:r>
      <w:r w:rsidRPr="00F55305" w:rsidR="00BE6B53">
        <w:rPr>
          <w:lang w:val="en-GB"/>
        </w:rPr>
        <w:t xml:space="preserve">twenty children </w:t>
      </w:r>
      <w:r w:rsidRPr="00F55305" w:rsidR="008251A4">
        <w:rPr>
          <w:lang w:val="en-GB"/>
        </w:rPr>
        <w:t>ran</w:t>
      </w:r>
      <w:r w:rsidRPr="00F55305" w:rsidR="00BE6B53">
        <w:rPr>
          <w:lang w:val="en-GB"/>
        </w:rPr>
        <w:t xml:space="preserve"> away from the schools and eight left them following a positive annual assessment by the pedago</w:t>
      </w:r>
      <w:r w:rsidRPr="00F55305" w:rsidR="00754799">
        <w:rPr>
          <w:lang w:val="en-GB"/>
        </w:rPr>
        <w:t xml:space="preserve">gical council. During </w:t>
      </w:r>
      <w:bookmarkStart w:name="lt_pId144" w:id="97"/>
      <w:bookmarkEnd w:id="96"/>
      <w:r w:rsidRPr="00F55305">
        <w:rPr>
          <w:lang w:val="en-GB"/>
        </w:rPr>
        <w:t>2012</w:t>
      </w:r>
      <w:r w:rsidRPr="00F55305" w:rsidR="00754799">
        <w:rPr>
          <w:lang w:val="en-GB"/>
        </w:rPr>
        <w:t>/</w:t>
      </w:r>
      <w:r w:rsidRPr="00F55305">
        <w:rPr>
          <w:lang w:val="en-GB"/>
        </w:rPr>
        <w:t xml:space="preserve">13, </w:t>
      </w:r>
      <w:r w:rsidRPr="00F55305" w:rsidR="00754799">
        <w:rPr>
          <w:lang w:val="en-GB"/>
        </w:rPr>
        <w:t xml:space="preserve">fewer than four children had a positive assessment </w:t>
      </w:r>
      <w:r w:rsidRPr="00F55305" w:rsidR="008251A4">
        <w:rPr>
          <w:lang w:val="en-GB"/>
        </w:rPr>
        <w:t>and were therefore able to leave</w:t>
      </w:r>
      <w:r w:rsidRPr="00F55305" w:rsidR="00754799">
        <w:rPr>
          <w:lang w:val="en-GB"/>
        </w:rPr>
        <w:t xml:space="preserve"> the correctional boarding schools. During the </w:t>
      </w:r>
      <w:bookmarkStart w:name="lt_pId145" w:id="98"/>
      <w:bookmarkEnd w:id="97"/>
      <w:r w:rsidRPr="00F55305">
        <w:rPr>
          <w:lang w:val="en-GB"/>
        </w:rPr>
        <w:t>2013</w:t>
      </w:r>
      <w:r w:rsidRPr="00F55305" w:rsidR="00754799">
        <w:rPr>
          <w:lang w:val="en-GB"/>
        </w:rPr>
        <w:t xml:space="preserve">/14 </w:t>
      </w:r>
      <w:r w:rsidRPr="00F55305" w:rsidR="008251A4">
        <w:rPr>
          <w:lang w:val="en-GB"/>
        </w:rPr>
        <w:t xml:space="preserve">school year, there were no </w:t>
      </w:r>
      <w:r w:rsidRPr="00F55305" w:rsidR="007B5401">
        <w:rPr>
          <w:lang w:val="en-GB"/>
        </w:rPr>
        <w:t>instances</w:t>
      </w:r>
      <w:r w:rsidRPr="00F55305" w:rsidR="008251A4">
        <w:rPr>
          <w:lang w:val="en-GB"/>
        </w:rPr>
        <w:t xml:space="preserve"> of </w:t>
      </w:r>
      <w:r w:rsidRPr="00F55305" w:rsidR="00754799">
        <w:rPr>
          <w:lang w:val="en-GB"/>
        </w:rPr>
        <w:t xml:space="preserve">children </w:t>
      </w:r>
      <w:r w:rsidRPr="00F55305" w:rsidR="008251A4">
        <w:rPr>
          <w:lang w:val="en-GB"/>
        </w:rPr>
        <w:t xml:space="preserve">leaving </w:t>
      </w:r>
      <w:r w:rsidRPr="00F55305" w:rsidR="00754799">
        <w:rPr>
          <w:lang w:val="en-GB"/>
        </w:rPr>
        <w:t xml:space="preserve">the schools </w:t>
      </w:r>
      <w:r w:rsidRPr="00F55305" w:rsidR="008251A4">
        <w:rPr>
          <w:lang w:val="en-GB"/>
        </w:rPr>
        <w:t>following</w:t>
      </w:r>
      <w:r w:rsidRPr="00F55305" w:rsidR="00754799">
        <w:rPr>
          <w:lang w:val="en-GB"/>
        </w:rPr>
        <w:t xml:space="preserve"> a positive assessment.</w:t>
      </w:r>
      <w:r w:rsidRPr="00F55305">
        <w:rPr>
          <w:lang w:val="en-GB"/>
        </w:rPr>
        <w:t xml:space="preserve"> </w:t>
      </w:r>
      <w:r w:rsidRPr="00F55305" w:rsidR="00754799">
        <w:rPr>
          <w:lang w:val="en-GB"/>
        </w:rPr>
        <w:t xml:space="preserve">As regards the results achieved across </w:t>
      </w:r>
      <w:r w:rsidRPr="00F55305" w:rsidR="008251A4">
        <w:rPr>
          <w:lang w:val="en-GB"/>
        </w:rPr>
        <w:t>all</w:t>
      </w:r>
      <w:r w:rsidRPr="00F55305" w:rsidR="00754799">
        <w:rPr>
          <w:lang w:val="en-GB"/>
        </w:rPr>
        <w:t xml:space="preserve"> secure educational institutions in </w:t>
      </w:r>
      <w:bookmarkStart w:name="lt_pId146" w:id="99"/>
      <w:bookmarkEnd w:id="98"/>
      <w:r w:rsidRPr="00F55305" w:rsidR="00754799">
        <w:rPr>
          <w:lang w:val="en-GB"/>
        </w:rPr>
        <w:t>Bulgaria</w:t>
      </w:r>
      <w:r w:rsidRPr="00F55305">
        <w:rPr>
          <w:lang w:val="en-GB"/>
        </w:rPr>
        <w:t xml:space="preserve">, </w:t>
      </w:r>
      <w:r w:rsidRPr="00F55305" w:rsidR="00754799">
        <w:rPr>
          <w:lang w:val="en-GB"/>
        </w:rPr>
        <w:t>the re</w:t>
      </w:r>
      <w:r w:rsidRPr="00F55305">
        <w:rPr>
          <w:lang w:val="en-GB"/>
        </w:rPr>
        <w:t xml:space="preserve">ports </w:t>
      </w:r>
      <w:r w:rsidRPr="00F55305" w:rsidR="00754799">
        <w:rPr>
          <w:lang w:val="en-GB"/>
        </w:rPr>
        <w:t>indicate that in</w:t>
      </w:r>
      <w:r w:rsidRPr="00F55305">
        <w:rPr>
          <w:lang w:val="en-GB"/>
        </w:rPr>
        <w:t xml:space="preserve"> 2009, 10% </w:t>
      </w:r>
      <w:r w:rsidRPr="00F55305" w:rsidR="00754799">
        <w:rPr>
          <w:lang w:val="en-GB"/>
        </w:rPr>
        <w:t xml:space="preserve">of pupils were awarded a vocational </w:t>
      </w:r>
      <w:r w:rsidRPr="00F55305" w:rsidR="002723F1">
        <w:rPr>
          <w:lang w:val="en-GB"/>
        </w:rPr>
        <w:t>qualification,</w:t>
      </w:r>
      <w:r w:rsidRPr="00F55305">
        <w:rPr>
          <w:lang w:val="en-GB"/>
        </w:rPr>
        <w:t xml:space="preserve"> </w:t>
      </w:r>
      <w:r w:rsidRPr="00F55305" w:rsidR="002723F1">
        <w:rPr>
          <w:lang w:val="en-GB"/>
        </w:rPr>
        <w:t>35</w:t>
      </w:r>
      <w:r w:rsidRPr="00F55305">
        <w:rPr>
          <w:lang w:val="en-GB"/>
        </w:rPr>
        <w:t xml:space="preserve">% </w:t>
      </w:r>
      <w:r w:rsidRPr="00F55305" w:rsidR="002723F1">
        <w:rPr>
          <w:lang w:val="en-GB"/>
        </w:rPr>
        <w:t>successfully completed their secondary education up to the age of</w:t>
      </w:r>
      <w:r w:rsidRPr="00F55305">
        <w:rPr>
          <w:lang w:val="en-GB"/>
        </w:rPr>
        <w:t xml:space="preserve"> 14 </w:t>
      </w:r>
      <w:r w:rsidRPr="00F55305" w:rsidR="002723F1">
        <w:rPr>
          <w:lang w:val="en-GB"/>
        </w:rPr>
        <w:t>and</w:t>
      </w:r>
      <w:r w:rsidRPr="00F55305">
        <w:rPr>
          <w:lang w:val="en-GB"/>
        </w:rPr>
        <w:t xml:space="preserve"> 3% </w:t>
      </w:r>
      <w:r w:rsidRPr="00F55305" w:rsidR="002723F1">
        <w:rPr>
          <w:lang w:val="en-GB"/>
        </w:rPr>
        <w:t xml:space="preserve">successfully completed their secondary education up to the age of </w:t>
      </w:r>
      <w:r w:rsidRPr="00F55305">
        <w:rPr>
          <w:lang w:val="en-GB"/>
        </w:rPr>
        <w:t>18.</w:t>
      </w:r>
      <w:bookmarkEnd w:id="99"/>
      <w:r w:rsidRPr="00F55305">
        <w:rPr>
          <w:lang w:val="en-GB"/>
        </w:rPr>
        <w:t xml:space="preserve"> </w:t>
      </w:r>
      <w:bookmarkStart w:name="lt_pId147" w:id="100"/>
      <w:r w:rsidRPr="00F55305" w:rsidR="002723F1">
        <w:rPr>
          <w:lang w:val="en-GB"/>
        </w:rPr>
        <w:t xml:space="preserve">The remaining 52% of pupils failed to complete their education. The </w:t>
      </w:r>
      <w:bookmarkStart w:name="lt_pId148" w:id="101"/>
      <w:bookmarkEnd w:id="100"/>
      <w:r w:rsidRPr="00F55305">
        <w:rPr>
          <w:lang w:val="en-GB"/>
        </w:rPr>
        <w:t>2013</w:t>
      </w:r>
      <w:r w:rsidRPr="00F55305" w:rsidR="002723F1">
        <w:rPr>
          <w:lang w:val="en-GB"/>
        </w:rPr>
        <w:t xml:space="preserve"> report mentions a low success rate among pupils,</w:t>
      </w:r>
      <w:r w:rsidRPr="00F55305">
        <w:rPr>
          <w:lang w:val="en-GB"/>
        </w:rPr>
        <w:t xml:space="preserve"> </w:t>
      </w:r>
      <w:r w:rsidRPr="00F55305" w:rsidR="002723F1">
        <w:rPr>
          <w:lang w:val="en-GB"/>
        </w:rPr>
        <w:t xml:space="preserve">with average marks of between </w:t>
      </w:r>
      <w:r w:rsidRPr="00F55305">
        <w:rPr>
          <w:lang w:val="en-GB"/>
        </w:rPr>
        <w:t xml:space="preserve">3 </w:t>
      </w:r>
      <w:r w:rsidRPr="00F55305" w:rsidR="002723F1">
        <w:rPr>
          <w:lang w:val="en-GB"/>
        </w:rPr>
        <w:t>and</w:t>
      </w:r>
      <w:r w:rsidRPr="00F55305">
        <w:rPr>
          <w:lang w:val="en-GB"/>
        </w:rPr>
        <w:t xml:space="preserve"> 4 </w:t>
      </w:r>
      <w:r w:rsidRPr="00F55305" w:rsidR="002723F1">
        <w:rPr>
          <w:lang w:val="en-GB"/>
        </w:rPr>
        <w:t>out of</w:t>
      </w:r>
      <w:r w:rsidRPr="00F55305">
        <w:rPr>
          <w:lang w:val="en-GB"/>
        </w:rPr>
        <w:t xml:space="preserve"> 6.</w:t>
      </w:r>
      <w:bookmarkEnd w:id="101"/>
      <w:r w:rsidRPr="00F55305">
        <w:rPr>
          <w:lang w:val="en-GB"/>
        </w:rPr>
        <w:t xml:space="preserve"> </w:t>
      </w:r>
      <w:bookmarkStart w:name="lt_pId149" w:id="102"/>
      <w:r w:rsidRPr="00F55305" w:rsidR="003E2F05">
        <w:rPr>
          <w:lang w:val="en-GB"/>
        </w:rPr>
        <w:t>According to the re</w:t>
      </w:r>
      <w:r w:rsidRPr="00F55305">
        <w:rPr>
          <w:lang w:val="en-GB"/>
        </w:rPr>
        <w:t xml:space="preserve">ports, </w:t>
      </w:r>
      <w:r w:rsidRPr="00F55305" w:rsidR="003E2F05">
        <w:rPr>
          <w:lang w:val="en-GB"/>
        </w:rPr>
        <w:t xml:space="preserve">these figures </w:t>
      </w:r>
      <w:r w:rsidRPr="00F55305" w:rsidR="007877F2">
        <w:rPr>
          <w:lang w:val="en-GB"/>
        </w:rPr>
        <w:t>point to</w:t>
      </w:r>
      <w:r w:rsidRPr="00F55305" w:rsidR="003E2F05">
        <w:rPr>
          <w:lang w:val="en-GB"/>
        </w:rPr>
        <w:t xml:space="preserve"> a problem </w:t>
      </w:r>
      <w:r w:rsidRPr="00F55305" w:rsidR="007877F2">
        <w:rPr>
          <w:lang w:val="en-GB"/>
        </w:rPr>
        <w:t>as to</w:t>
      </w:r>
      <w:r w:rsidRPr="00F55305" w:rsidR="003E2F05">
        <w:rPr>
          <w:lang w:val="en-GB"/>
        </w:rPr>
        <w:t xml:space="preserve"> the effectiveness of educational and rehabilitative measures, and even raise questions as to whether </w:t>
      </w:r>
      <w:r w:rsidRPr="00F55305" w:rsidR="00142AD9">
        <w:rPr>
          <w:lang w:val="en-GB"/>
        </w:rPr>
        <w:t>“</w:t>
      </w:r>
      <w:r w:rsidRPr="00F55305" w:rsidR="003E2F05">
        <w:rPr>
          <w:lang w:val="en-GB"/>
        </w:rPr>
        <w:t>such measures exist in practice</w:t>
      </w:r>
      <w:r w:rsidRPr="00F55305" w:rsidR="00142AD9">
        <w:rPr>
          <w:lang w:val="en-GB"/>
        </w:rPr>
        <w:t>”</w:t>
      </w:r>
      <w:r w:rsidRPr="00F55305">
        <w:rPr>
          <w:lang w:val="en-GB"/>
        </w:rPr>
        <w:t>.</w:t>
      </w:r>
      <w:bookmarkEnd w:id="10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33</w:t>
      </w:r>
      <w:r w:rsidRPr="00F55305">
        <w:rPr>
          <w:lang w:val="en-GB"/>
        </w:rPr>
        <w:fldChar w:fldCharType="end"/>
      </w:r>
      <w:r w:rsidRPr="00F55305">
        <w:rPr>
          <w:lang w:val="en-GB"/>
        </w:rPr>
        <w:t>.  </w:t>
      </w:r>
      <w:bookmarkStart w:name="lt_pId151" w:id="103"/>
      <w:r w:rsidRPr="00F55305" w:rsidR="007B4E04">
        <w:rPr>
          <w:lang w:val="en-GB"/>
        </w:rPr>
        <w:t>The re</w:t>
      </w:r>
      <w:r w:rsidRPr="00F55305">
        <w:rPr>
          <w:lang w:val="en-GB"/>
        </w:rPr>
        <w:t xml:space="preserve">ports </w:t>
      </w:r>
      <w:r w:rsidRPr="00F55305" w:rsidR="007B4E04">
        <w:rPr>
          <w:lang w:val="en-GB"/>
        </w:rPr>
        <w:t xml:space="preserve">further state that, in accordance with the </w:t>
      </w:r>
      <w:r w:rsidRPr="00F55305">
        <w:rPr>
          <w:lang w:val="en-GB"/>
        </w:rPr>
        <w:t>applicable</w:t>
      </w:r>
      <w:r w:rsidRPr="00F55305" w:rsidR="007B4E04">
        <w:rPr>
          <w:lang w:val="en-GB"/>
        </w:rPr>
        <w:t xml:space="preserve"> legislation</w:t>
      </w:r>
      <w:r w:rsidRPr="00F55305">
        <w:rPr>
          <w:lang w:val="en-GB"/>
        </w:rPr>
        <w:t xml:space="preserve">, </w:t>
      </w:r>
      <w:r w:rsidRPr="00F55305" w:rsidR="007B4E04">
        <w:rPr>
          <w:lang w:val="en-GB"/>
        </w:rPr>
        <w:t>each</w:t>
      </w:r>
      <w:r w:rsidRPr="00F55305">
        <w:rPr>
          <w:lang w:val="en-GB"/>
        </w:rPr>
        <w:t xml:space="preserve"> </w:t>
      </w:r>
      <w:r w:rsidRPr="00F55305" w:rsidR="00035D6A">
        <w:rPr>
          <w:lang w:val="en-GB"/>
        </w:rPr>
        <w:t>correctional boarding school</w:t>
      </w:r>
      <w:r w:rsidRPr="00F55305">
        <w:rPr>
          <w:lang w:val="en-GB"/>
        </w:rPr>
        <w:t xml:space="preserve"> </w:t>
      </w:r>
      <w:r w:rsidRPr="00F55305" w:rsidR="007B4E04">
        <w:rPr>
          <w:lang w:val="en-GB"/>
        </w:rPr>
        <w:t xml:space="preserve">has a team responsible for </w:t>
      </w:r>
      <w:r w:rsidRPr="00F55305" w:rsidR="009B02A6">
        <w:rPr>
          <w:lang w:val="en-GB"/>
        </w:rPr>
        <w:t xml:space="preserve">educational and psychological assessment of pupils and a team of supervisors responsible for educational and rehabilitative support. The teams </w:t>
      </w:r>
      <w:bookmarkStart w:name="lt_pId152" w:id="104"/>
      <w:bookmarkEnd w:id="103"/>
      <w:r w:rsidRPr="00F55305" w:rsidR="009B02A6">
        <w:rPr>
          <w:lang w:val="en-GB"/>
        </w:rPr>
        <w:t>draw up annual individual plans for pupils, which in most cases are set out in a standardised form</w:t>
      </w:r>
      <w:r w:rsidRPr="00F55305">
        <w:rPr>
          <w:lang w:val="en-GB"/>
        </w:rPr>
        <w:t>.</w:t>
      </w:r>
      <w:bookmarkEnd w:id="104"/>
      <w:r w:rsidRPr="00F55305">
        <w:rPr>
          <w:lang w:val="en-GB"/>
        </w:rPr>
        <w:t xml:space="preserve"> </w:t>
      </w:r>
      <w:bookmarkStart w:name="lt_pId153" w:id="105"/>
      <w:r w:rsidRPr="00F55305" w:rsidR="009B02A6">
        <w:rPr>
          <w:lang w:val="en-GB"/>
        </w:rPr>
        <w:t xml:space="preserve">Objectives relating to learning, education and development are general in nature and do not include any specific activities tailored to the individual needs, abilities, age and interests of the children concerned. The </w:t>
      </w:r>
      <w:bookmarkStart w:name="lt_pId154" w:id="106"/>
      <w:bookmarkEnd w:id="105"/>
      <w:r w:rsidRPr="00F55305">
        <w:rPr>
          <w:lang w:val="en-GB"/>
        </w:rPr>
        <w:t>2013</w:t>
      </w:r>
      <w:r w:rsidRPr="00F55305" w:rsidR="009B02A6">
        <w:rPr>
          <w:lang w:val="en-GB"/>
        </w:rPr>
        <w:t xml:space="preserve"> report is </w:t>
      </w:r>
      <w:r w:rsidRPr="00F55305">
        <w:rPr>
          <w:lang w:val="en-GB"/>
        </w:rPr>
        <w:t>particul</w:t>
      </w:r>
      <w:r w:rsidRPr="00F55305" w:rsidR="009B02A6">
        <w:rPr>
          <w:lang w:val="en-GB"/>
        </w:rPr>
        <w:t>a</w:t>
      </w:r>
      <w:r w:rsidRPr="00F55305">
        <w:rPr>
          <w:lang w:val="en-GB"/>
        </w:rPr>
        <w:t>r</w:t>
      </w:r>
      <w:r w:rsidRPr="00F55305" w:rsidR="009B02A6">
        <w:rPr>
          <w:lang w:val="en-GB"/>
        </w:rPr>
        <w:t>ly</w:t>
      </w:r>
      <w:r w:rsidRPr="00F55305">
        <w:rPr>
          <w:lang w:val="en-GB"/>
        </w:rPr>
        <w:t xml:space="preserve"> </w:t>
      </w:r>
      <w:r w:rsidRPr="00F55305" w:rsidR="009B02A6">
        <w:rPr>
          <w:lang w:val="en-GB"/>
        </w:rPr>
        <w:t xml:space="preserve">critical of the prevalence of serious incidents involving </w:t>
      </w:r>
      <w:r w:rsidRPr="00F55305">
        <w:rPr>
          <w:lang w:val="en-GB"/>
        </w:rPr>
        <w:t xml:space="preserve">suicide </w:t>
      </w:r>
      <w:r w:rsidRPr="00F55305" w:rsidR="009B02A6">
        <w:rPr>
          <w:lang w:val="en-GB"/>
        </w:rPr>
        <w:t>attempts or assaults on other pupils</w:t>
      </w:r>
      <w:r w:rsidRPr="00F55305" w:rsidR="00672BBF">
        <w:rPr>
          <w:lang w:val="en-GB"/>
        </w:rPr>
        <w:t>, and deplores the fact that</w:t>
      </w:r>
      <w:r w:rsidRPr="00F55305">
        <w:rPr>
          <w:lang w:val="en-GB"/>
        </w:rPr>
        <w:t xml:space="preserve"> </w:t>
      </w:r>
      <w:r w:rsidRPr="00F55305" w:rsidR="00672BBF">
        <w:rPr>
          <w:lang w:val="en-GB"/>
        </w:rPr>
        <w:t xml:space="preserve">no provision is made for follow-up action in the individual plans of the pupils concerned </w:t>
      </w:r>
      <w:r w:rsidRPr="00F55305" w:rsidR="007877F2">
        <w:rPr>
          <w:lang w:val="en-GB"/>
        </w:rPr>
        <w:t xml:space="preserve">so that consideration can be given to </w:t>
      </w:r>
      <w:r w:rsidRPr="00F55305" w:rsidR="00672BBF">
        <w:rPr>
          <w:lang w:val="en-GB"/>
        </w:rPr>
        <w:t xml:space="preserve">the reasons for their actions and </w:t>
      </w:r>
      <w:r w:rsidRPr="00F55305" w:rsidR="007877F2">
        <w:rPr>
          <w:lang w:val="en-GB"/>
        </w:rPr>
        <w:t>to</w:t>
      </w:r>
      <w:r w:rsidRPr="00F55305" w:rsidR="00672BBF">
        <w:rPr>
          <w:lang w:val="en-GB"/>
        </w:rPr>
        <w:t xml:space="preserve"> their psychological </w:t>
      </w:r>
      <w:r w:rsidRPr="00F55305" w:rsidR="00B37177">
        <w:rPr>
          <w:lang w:val="en-GB"/>
        </w:rPr>
        <w:t>state.</w:t>
      </w:r>
      <w:bookmarkEnd w:id="106"/>
    </w:p>
    <w:p w:rsidRPr="00F55305" w:rsidR="00F55305"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34</w:t>
      </w:r>
      <w:r w:rsidRPr="00F55305">
        <w:rPr>
          <w:lang w:val="en-GB"/>
        </w:rPr>
        <w:fldChar w:fldCharType="end"/>
      </w:r>
      <w:r w:rsidRPr="00F55305">
        <w:rPr>
          <w:lang w:val="en-GB"/>
        </w:rPr>
        <w:t>.  </w:t>
      </w:r>
      <w:bookmarkStart w:name="lt_pId156" w:id="107"/>
      <w:r w:rsidRPr="00F55305" w:rsidR="00B37177">
        <w:rPr>
          <w:lang w:val="en-GB"/>
        </w:rPr>
        <w:t xml:space="preserve">In addition, the reports note that the staff of the </w:t>
      </w:r>
      <w:r w:rsidRPr="00F55305" w:rsidR="00C17252">
        <w:rPr>
          <w:lang w:val="en-GB"/>
        </w:rPr>
        <w:t>institutions concerned</w:t>
      </w:r>
      <w:r w:rsidRPr="00F55305" w:rsidR="00B37177">
        <w:rPr>
          <w:lang w:val="en-GB"/>
        </w:rPr>
        <w:t xml:space="preserve"> have under</w:t>
      </w:r>
      <w:r w:rsidRPr="00F55305" w:rsidR="00C17252">
        <w:rPr>
          <w:lang w:val="en-GB"/>
        </w:rPr>
        <w:t>gone</w:t>
      </w:r>
      <w:r w:rsidRPr="00F55305" w:rsidR="00B37177">
        <w:rPr>
          <w:lang w:val="en-GB"/>
        </w:rPr>
        <w:t xml:space="preserve"> training covering matters such as alternative education methods for children in difficulty</w:t>
      </w:r>
      <w:r w:rsidRPr="00F55305">
        <w:rPr>
          <w:lang w:val="en-GB"/>
        </w:rPr>
        <w:t xml:space="preserve">, </w:t>
      </w:r>
      <w:r w:rsidRPr="00F55305" w:rsidR="00B37177">
        <w:rPr>
          <w:lang w:val="en-GB"/>
        </w:rPr>
        <w:t xml:space="preserve">development of their potential for autonomy and catering for individual needs. With regard to </w:t>
      </w:r>
      <w:bookmarkStart w:name="lt_pId157" w:id="108"/>
      <w:bookmarkEnd w:id="107"/>
      <w:r w:rsidRPr="00F55305" w:rsidR="003B5A4F">
        <w:rPr>
          <w:lang w:val="en-GB"/>
        </w:rPr>
        <w:t>the Podem school</w:t>
      </w:r>
      <w:r w:rsidRPr="00F55305" w:rsidR="00B37177">
        <w:rPr>
          <w:lang w:val="en-GB"/>
        </w:rPr>
        <w:t xml:space="preserve"> in particular</w:t>
      </w:r>
      <w:r w:rsidRPr="00F55305">
        <w:rPr>
          <w:lang w:val="en-GB"/>
        </w:rPr>
        <w:t xml:space="preserve">, </w:t>
      </w:r>
      <w:r w:rsidRPr="00F55305" w:rsidR="00B37177">
        <w:rPr>
          <w:lang w:val="en-GB"/>
        </w:rPr>
        <w:t>the teaching and support staff are subject to external educational supervision</w:t>
      </w:r>
      <w:r w:rsidRPr="00F55305">
        <w:rPr>
          <w:lang w:val="en-GB"/>
        </w:rPr>
        <w:t>.</w:t>
      </w:r>
      <w:bookmarkEnd w:id="108"/>
      <w:r w:rsidRPr="00F55305">
        <w:rPr>
          <w:lang w:val="en-GB"/>
        </w:rPr>
        <w:t xml:space="preserve"> </w:t>
      </w:r>
      <w:bookmarkStart w:name="lt_pId158" w:id="109"/>
      <w:r w:rsidRPr="00F55305" w:rsidR="00B37177">
        <w:rPr>
          <w:lang w:val="en-GB"/>
        </w:rPr>
        <w:t>The re</w:t>
      </w:r>
      <w:r w:rsidRPr="00F55305">
        <w:rPr>
          <w:lang w:val="en-GB"/>
        </w:rPr>
        <w:t xml:space="preserve">ports </w:t>
      </w:r>
      <w:r w:rsidRPr="00F55305" w:rsidR="00B37177">
        <w:rPr>
          <w:lang w:val="en-GB"/>
        </w:rPr>
        <w:t>nevertheless conclude that the number of people employed to run extracurricular activities is insufficient, although the children</w:t>
      </w:r>
      <w:r w:rsidRPr="00F55305" w:rsidR="00F55305">
        <w:rPr>
          <w:lang w:val="en-GB"/>
        </w:rPr>
        <w:t>’</w:t>
      </w:r>
      <w:r w:rsidRPr="00F55305" w:rsidR="00B37177">
        <w:rPr>
          <w:lang w:val="en-GB"/>
        </w:rPr>
        <w:t xml:space="preserve">s wide-ranging needs and their vulnerability </w:t>
      </w:r>
      <w:r w:rsidRPr="00F55305" w:rsidR="00C17252">
        <w:rPr>
          <w:lang w:val="en-GB"/>
        </w:rPr>
        <w:t xml:space="preserve">suggest that </w:t>
      </w:r>
      <w:r w:rsidRPr="00F55305" w:rsidR="00B37177">
        <w:rPr>
          <w:lang w:val="en-GB"/>
        </w:rPr>
        <w:t xml:space="preserve">educational activities </w:t>
      </w:r>
      <w:r w:rsidRPr="00F55305" w:rsidR="009B3D16">
        <w:rPr>
          <w:lang w:val="en-GB"/>
        </w:rPr>
        <w:t xml:space="preserve">should be arranged </w:t>
      </w:r>
      <w:r w:rsidRPr="00F55305" w:rsidR="00B37177">
        <w:rPr>
          <w:lang w:val="en-GB"/>
        </w:rPr>
        <w:t>in small groups. They also criticise the lack of any programme to foster closer relations between children and their families.</w:t>
      </w:r>
      <w:bookmarkEnd w:id="10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35</w:t>
      </w:r>
      <w:r w:rsidRPr="00F55305">
        <w:rPr>
          <w:lang w:val="en-GB"/>
        </w:rPr>
        <w:fldChar w:fldCharType="end"/>
      </w:r>
      <w:r w:rsidRPr="00F55305">
        <w:rPr>
          <w:lang w:val="en-GB"/>
        </w:rPr>
        <w:t>.  </w:t>
      </w:r>
      <w:bookmarkStart w:name="lt_pId161" w:id="110"/>
      <w:r w:rsidRPr="00F55305" w:rsidR="00B37177">
        <w:rPr>
          <w:lang w:val="en-GB"/>
        </w:rPr>
        <w:t xml:space="preserve">Two </w:t>
      </w:r>
      <w:r w:rsidRPr="00F55305" w:rsidR="00E954B9">
        <w:rPr>
          <w:lang w:val="en-GB"/>
        </w:rPr>
        <w:t>types</w:t>
      </w:r>
      <w:r w:rsidRPr="00F55305" w:rsidR="00B37177">
        <w:rPr>
          <w:lang w:val="en-GB"/>
        </w:rPr>
        <w:t xml:space="preserve"> of problems are highlighted. The </w:t>
      </w:r>
      <w:r w:rsidRPr="00F55305" w:rsidR="00E954B9">
        <w:rPr>
          <w:lang w:val="en-GB"/>
        </w:rPr>
        <w:t>first type</w:t>
      </w:r>
      <w:r w:rsidRPr="00F55305" w:rsidR="00B37177">
        <w:rPr>
          <w:lang w:val="en-GB"/>
        </w:rPr>
        <w:t xml:space="preserve"> concerns the school curriculum and the </w:t>
      </w:r>
      <w:bookmarkStart w:name="lt_pId162" w:id="111"/>
      <w:bookmarkEnd w:id="110"/>
      <w:r w:rsidRPr="00F55305">
        <w:rPr>
          <w:lang w:val="en-GB"/>
        </w:rPr>
        <w:t xml:space="preserve">second </w:t>
      </w:r>
      <w:r w:rsidRPr="00F55305" w:rsidR="00E954B9">
        <w:rPr>
          <w:lang w:val="en-GB"/>
        </w:rPr>
        <w:t xml:space="preserve">concerns </w:t>
      </w:r>
      <w:r w:rsidRPr="00F55305" w:rsidR="00B37177">
        <w:rPr>
          <w:lang w:val="en-GB"/>
        </w:rPr>
        <w:t>the</w:t>
      </w:r>
      <w:r w:rsidRPr="00F55305">
        <w:rPr>
          <w:lang w:val="en-GB"/>
        </w:rPr>
        <w:t xml:space="preserve"> programme </w:t>
      </w:r>
      <w:r w:rsidRPr="00F55305" w:rsidR="00E954B9">
        <w:rPr>
          <w:lang w:val="en-GB"/>
        </w:rPr>
        <w:t>for social integration and rehabilitation.</w:t>
      </w:r>
      <w:bookmarkEnd w:id="11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36</w:t>
      </w:r>
      <w:r w:rsidRPr="00F55305">
        <w:rPr>
          <w:lang w:val="en-GB"/>
        </w:rPr>
        <w:fldChar w:fldCharType="end"/>
      </w:r>
      <w:r w:rsidRPr="00F55305">
        <w:rPr>
          <w:lang w:val="en-GB"/>
        </w:rPr>
        <w:t>.  </w:t>
      </w:r>
      <w:bookmarkStart w:name="lt_pId164" w:id="112"/>
      <w:r w:rsidRPr="00F55305" w:rsidR="00E954B9">
        <w:rPr>
          <w:lang w:val="en-GB"/>
        </w:rPr>
        <w:t xml:space="preserve">Regarding schoolwork, </w:t>
      </w:r>
      <w:r w:rsidRPr="00F55305" w:rsidR="00537657">
        <w:rPr>
          <w:lang w:val="en-GB"/>
        </w:rPr>
        <w:t>the reports note, among other things, that illiteracy levels are a cause for concern, particularly as children of a wide range of ages and abilities are grouped together in the same class.</w:t>
      </w:r>
      <w:r w:rsidRPr="00F55305">
        <w:rPr>
          <w:lang w:val="en-GB"/>
        </w:rPr>
        <w:t xml:space="preserve"> </w:t>
      </w:r>
      <w:r w:rsidRPr="00F55305" w:rsidR="00537657">
        <w:rPr>
          <w:lang w:val="en-GB"/>
        </w:rPr>
        <w:t xml:space="preserve">A large number of pupils are unable to read or write on their arrival at the schools, and the </w:t>
      </w:r>
      <w:bookmarkStart w:name="lt_pId165" w:id="113"/>
      <w:bookmarkEnd w:id="112"/>
      <w:r w:rsidRPr="00F55305" w:rsidR="00537657">
        <w:rPr>
          <w:lang w:val="en-GB"/>
        </w:rPr>
        <w:t xml:space="preserve">curricula taught do not allow them to </w:t>
      </w:r>
      <w:r w:rsidRPr="00F55305" w:rsidR="00272E95">
        <w:rPr>
          <w:lang w:val="en-GB"/>
        </w:rPr>
        <w:t>redress</w:t>
      </w:r>
      <w:r w:rsidRPr="00F55305" w:rsidR="00537657">
        <w:rPr>
          <w:lang w:val="en-GB"/>
        </w:rPr>
        <w:t xml:space="preserve"> their </w:t>
      </w:r>
      <w:r w:rsidRPr="00F55305" w:rsidR="00272E95">
        <w:rPr>
          <w:lang w:val="en-GB"/>
        </w:rPr>
        <w:t>shortcomings</w:t>
      </w:r>
      <w:r w:rsidRPr="00F55305" w:rsidR="00537657">
        <w:rPr>
          <w:lang w:val="en-GB"/>
        </w:rPr>
        <w:t xml:space="preserve"> and make progress. Furthermore, many children with behavioural difficulties also encounter problems at school and the development of their ability for effective learning and independent work is impaired.</w:t>
      </w:r>
      <w:r w:rsidRPr="00F55305">
        <w:rPr>
          <w:lang w:val="en-GB"/>
        </w:rPr>
        <w:t xml:space="preserve"> </w:t>
      </w:r>
      <w:r w:rsidRPr="00F55305" w:rsidR="00537657">
        <w:rPr>
          <w:lang w:val="en-GB"/>
        </w:rPr>
        <w:t xml:space="preserve">These children often run away, do not attend lessons regularly and </w:t>
      </w:r>
      <w:r w:rsidRPr="00F55305" w:rsidR="00A901A6">
        <w:rPr>
          <w:lang w:val="en-GB"/>
        </w:rPr>
        <w:t>have insufficient</w:t>
      </w:r>
      <w:r w:rsidRPr="00F55305" w:rsidR="00537657">
        <w:rPr>
          <w:lang w:val="en-GB"/>
        </w:rPr>
        <w:t xml:space="preserve"> contact with adults</w:t>
      </w:r>
      <w:bookmarkStart w:name="lt_pId167" w:id="114"/>
      <w:bookmarkEnd w:id="113"/>
      <w:r w:rsidRPr="00F55305">
        <w:rPr>
          <w:lang w:val="en-GB"/>
        </w:rPr>
        <w:t>.</w:t>
      </w:r>
      <w:bookmarkEnd w:id="11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37</w:t>
      </w:r>
      <w:r w:rsidRPr="00F55305">
        <w:rPr>
          <w:lang w:val="en-GB"/>
        </w:rPr>
        <w:fldChar w:fldCharType="end"/>
      </w:r>
      <w:r w:rsidRPr="00F55305">
        <w:rPr>
          <w:lang w:val="en-GB"/>
        </w:rPr>
        <w:t>.  </w:t>
      </w:r>
      <w:bookmarkStart w:name="lt_pId169" w:id="115"/>
      <w:r w:rsidRPr="00F55305" w:rsidR="00F44483">
        <w:rPr>
          <w:lang w:val="en-GB"/>
        </w:rPr>
        <w:t xml:space="preserve">As far as the </w:t>
      </w:r>
      <w:r w:rsidRPr="00F55305">
        <w:rPr>
          <w:lang w:val="en-GB"/>
        </w:rPr>
        <w:t>programme</w:t>
      </w:r>
      <w:r w:rsidRPr="00F55305" w:rsidR="00F44483">
        <w:rPr>
          <w:lang w:val="en-GB"/>
        </w:rPr>
        <w:t xml:space="preserve"> for social integration and rehabilitation is concerned</w:t>
      </w:r>
      <w:r w:rsidRPr="00F55305">
        <w:rPr>
          <w:lang w:val="en-GB"/>
        </w:rPr>
        <w:t xml:space="preserve">, </w:t>
      </w:r>
      <w:r w:rsidRPr="00F55305" w:rsidR="00F44483">
        <w:rPr>
          <w:lang w:val="en-GB"/>
        </w:rPr>
        <w:t xml:space="preserve">the reports state that, </w:t>
      </w:r>
      <w:r w:rsidRPr="00F55305" w:rsidR="00A901A6">
        <w:rPr>
          <w:lang w:val="en-GB"/>
        </w:rPr>
        <w:t>in addition to</w:t>
      </w:r>
      <w:r w:rsidRPr="00F55305" w:rsidR="00F44483">
        <w:rPr>
          <w:lang w:val="en-GB"/>
        </w:rPr>
        <w:t xml:space="preserve"> staff</w:t>
      </w:r>
      <w:r w:rsidRPr="00F55305" w:rsidR="00A901A6">
        <w:rPr>
          <w:lang w:val="en-GB"/>
        </w:rPr>
        <w:t xml:space="preserve"> shortages</w:t>
      </w:r>
      <w:r w:rsidRPr="00F55305" w:rsidR="00F44483">
        <w:rPr>
          <w:lang w:val="en-GB"/>
        </w:rPr>
        <w:t>, the existing group</w:t>
      </w:r>
      <w:r w:rsidRPr="00F55305">
        <w:rPr>
          <w:lang w:val="en-GB"/>
        </w:rPr>
        <w:t xml:space="preserve">s </w:t>
      </w:r>
      <w:r w:rsidRPr="00F55305" w:rsidR="00F44483">
        <w:rPr>
          <w:lang w:val="en-GB"/>
        </w:rPr>
        <w:t xml:space="preserve">of more than seven or eight children </w:t>
      </w:r>
      <w:r w:rsidRPr="00F55305" w:rsidR="00A901A6">
        <w:rPr>
          <w:lang w:val="en-GB"/>
        </w:rPr>
        <w:t>in</w:t>
      </w:r>
      <w:r w:rsidRPr="00F55305" w:rsidR="00F44483">
        <w:rPr>
          <w:lang w:val="en-GB"/>
        </w:rPr>
        <w:t xml:space="preserve"> difficult</w:t>
      </w:r>
      <w:r w:rsidRPr="00F55305" w:rsidR="00A901A6">
        <w:rPr>
          <w:lang w:val="en-GB"/>
        </w:rPr>
        <w:t>y</w:t>
      </w:r>
      <w:r w:rsidRPr="00F55305">
        <w:rPr>
          <w:lang w:val="en-GB"/>
        </w:rPr>
        <w:t xml:space="preserve"> </w:t>
      </w:r>
      <w:r w:rsidRPr="00F55305" w:rsidR="00F44483">
        <w:rPr>
          <w:lang w:val="en-GB"/>
        </w:rPr>
        <w:t>cannot be effectively supervised</w:t>
      </w:r>
      <w:r w:rsidRPr="00F55305">
        <w:rPr>
          <w:lang w:val="en-GB"/>
        </w:rPr>
        <w:t xml:space="preserve">, </w:t>
      </w:r>
      <w:r w:rsidRPr="00F55305" w:rsidR="00F44483">
        <w:rPr>
          <w:lang w:val="en-GB"/>
        </w:rPr>
        <w:t>the</w:t>
      </w:r>
      <w:r w:rsidRPr="00F55305">
        <w:rPr>
          <w:lang w:val="en-GB"/>
        </w:rPr>
        <w:t xml:space="preserve"> </w:t>
      </w:r>
      <w:r w:rsidRPr="00F55305" w:rsidR="00F44483">
        <w:rPr>
          <w:lang w:val="en-GB"/>
        </w:rPr>
        <w:t xml:space="preserve">activities on offer do not follow an appropriate methodology for vulnerable </w:t>
      </w:r>
      <w:r w:rsidRPr="00F55305" w:rsidR="00A901A6">
        <w:rPr>
          <w:lang w:val="en-GB"/>
        </w:rPr>
        <w:t>children</w:t>
      </w:r>
      <w:r w:rsidRPr="00F55305" w:rsidR="00F44483">
        <w:rPr>
          <w:lang w:val="en-GB"/>
        </w:rPr>
        <w:t xml:space="preserve">, and no </w:t>
      </w:r>
      <w:r w:rsidRPr="00F55305" w:rsidR="00A901A6">
        <w:rPr>
          <w:lang w:val="en-GB"/>
        </w:rPr>
        <w:t>arrangements are</w:t>
      </w:r>
      <w:r w:rsidRPr="00F55305" w:rsidR="00F44483">
        <w:rPr>
          <w:lang w:val="en-GB"/>
        </w:rPr>
        <w:t xml:space="preserve"> made at the </w:t>
      </w:r>
      <w:r w:rsidRPr="00F55305">
        <w:rPr>
          <w:lang w:val="en-GB"/>
        </w:rPr>
        <w:t xml:space="preserve">institutions </w:t>
      </w:r>
      <w:r w:rsidRPr="00F55305" w:rsidR="00F44483">
        <w:rPr>
          <w:lang w:val="en-GB"/>
        </w:rPr>
        <w:t>to</w:t>
      </w:r>
      <w:r w:rsidRPr="00F55305">
        <w:rPr>
          <w:lang w:val="en-GB"/>
        </w:rPr>
        <w:t xml:space="preserve"> encourage contact </w:t>
      </w:r>
      <w:r w:rsidRPr="00F55305" w:rsidR="00F44483">
        <w:rPr>
          <w:lang w:val="en-GB"/>
        </w:rPr>
        <w:t>between the children and their</w:t>
      </w:r>
      <w:r w:rsidRPr="00F55305">
        <w:rPr>
          <w:lang w:val="en-GB"/>
        </w:rPr>
        <w:t xml:space="preserve"> </w:t>
      </w:r>
      <w:r w:rsidRPr="00F55305" w:rsidR="00F44483">
        <w:rPr>
          <w:lang w:val="en-GB"/>
        </w:rPr>
        <w:t>families</w:t>
      </w:r>
      <w:r w:rsidRPr="00F55305" w:rsidR="002809C4">
        <w:rPr>
          <w:lang w:val="en-GB"/>
        </w:rPr>
        <w:t>, a shortcoming identified</w:t>
      </w:r>
      <w:r w:rsidRPr="00F55305" w:rsidR="00F44483">
        <w:rPr>
          <w:lang w:val="en-GB"/>
        </w:rPr>
        <w:t xml:space="preserve"> </w:t>
      </w:r>
      <w:r w:rsidRPr="00F55305" w:rsidR="002809C4">
        <w:rPr>
          <w:lang w:val="en-GB"/>
        </w:rPr>
        <w:t>as</w:t>
      </w:r>
      <w:r w:rsidRPr="00F55305" w:rsidR="00F44483">
        <w:rPr>
          <w:lang w:val="en-GB"/>
        </w:rPr>
        <w:t xml:space="preserve"> a cause of aggressive behaviour.</w:t>
      </w:r>
      <w:bookmarkEnd w:id="11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38</w:t>
      </w:r>
      <w:r w:rsidRPr="00F55305">
        <w:rPr>
          <w:lang w:val="en-GB"/>
        </w:rPr>
        <w:fldChar w:fldCharType="end"/>
      </w:r>
      <w:r w:rsidRPr="00F55305">
        <w:rPr>
          <w:lang w:val="en-GB"/>
        </w:rPr>
        <w:t>.  </w:t>
      </w:r>
      <w:bookmarkStart w:name="lt_pId171" w:id="116"/>
      <w:r w:rsidRPr="00F55305" w:rsidR="00F44483">
        <w:rPr>
          <w:lang w:val="en-GB"/>
        </w:rPr>
        <w:t>Lastly</w:t>
      </w:r>
      <w:r w:rsidRPr="00F55305">
        <w:rPr>
          <w:lang w:val="en-GB"/>
        </w:rPr>
        <w:t xml:space="preserve">, </w:t>
      </w:r>
      <w:r w:rsidRPr="00F55305" w:rsidR="00F44483">
        <w:rPr>
          <w:lang w:val="en-GB"/>
        </w:rPr>
        <w:t>th</w:t>
      </w:r>
      <w:r w:rsidRPr="00F55305">
        <w:rPr>
          <w:lang w:val="en-GB"/>
        </w:rPr>
        <w:t xml:space="preserve">e 2009 </w:t>
      </w:r>
      <w:r w:rsidRPr="00F55305" w:rsidR="001B0C43">
        <w:rPr>
          <w:lang w:val="en-GB"/>
        </w:rPr>
        <w:t>report recommends in particular: (</w:t>
      </w:r>
      <w:bookmarkStart w:name="lt_pId172" w:id="117"/>
      <w:bookmarkEnd w:id="116"/>
      <w:r w:rsidRPr="00F55305" w:rsidR="001B0C43">
        <w:rPr>
          <w:lang w:val="en-GB"/>
        </w:rPr>
        <w:t>a</w:t>
      </w:r>
      <w:r w:rsidRPr="00F55305" w:rsidR="00FD3D1D">
        <w:rPr>
          <w:lang w:val="en-GB"/>
        </w:rPr>
        <w:t>) </w:t>
      </w:r>
      <w:r w:rsidRPr="00F55305" w:rsidR="001B0C43">
        <w:rPr>
          <w:lang w:val="en-GB"/>
        </w:rPr>
        <w:t>a general reform of the status of the institutions in question and of their operation, through the inclusion of alternative educational and preventive methods</w:t>
      </w:r>
      <w:r w:rsidRPr="00F55305" w:rsidR="008F4E10">
        <w:rPr>
          <w:lang w:val="en-GB"/>
        </w:rPr>
        <w:t>;</w:t>
      </w:r>
      <w:bookmarkEnd w:id="117"/>
      <w:r w:rsidRPr="00F55305">
        <w:rPr>
          <w:lang w:val="en-GB"/>
        </w:rPr>
        <w:t xml:space="preserve"> </w:t>
      </w:r>
      <w:bookmarkStart w:name="lt_pId173" w:id="118"/>
      <w:r w:rsidRPr="00F55305" w:rsidR="001B0C43">
        <w:rPr>
          <w:lang w:val="en-GB"/>
        </w:rPr>
        <w:t>(</w:t>
      </w:r>
      <w:r w:rsidRPr="00F55305">
        <w:rPr>
          <w:lang w:val="en-GB"/>
        </w:rPr>
        <w:t>b) </w:t>
      </w:r>
      <w:r w:rsidRPr="00F55305" w:rsidR="001B0C43">
        <w:rPr>
          <w:lang w:val="en-GB"/>
        </w:rPr>
        <w:t>the</w:t>
      </w:r>
      <w:r w:rsidRPr="00F55305">
        <w:rPr>
          <w:lang w:val="en-GB"/>
        </w:rPr>
        <w:t xml:space="preserve"> </w:t>
      </w:r>
      <w:r w:rsidRPr="00F55305" w:rsidR="001B0C43">
        <w:rPr>
          <w:lang w:val="en-GB"/>
        </w:rPr>
        <w:t xml:space="preserve">introduction and </w:t>
      </w:r>
      <w:r w:rsidRPr="00F55305">
        <w:rPr>
          <w:lang w:val="en-GB"/>
        </w:rPr>
        <w:t>d</w:t>
      </w:r>
      <w:r w:rsidRPr="00F55305" w:rsidR="001B0C43">
        <w:rPr>
          <w:lang w:val="en-GB"/>
        </w:rPr>
        <w:t>e</w:t>
      </w:r>
      <w:r w:rsidRPr="00F55305">
        <w:rPr>
          <w:lang w:val="en-GB"/>
        </w:rPr>
        <w:t xml:space="preserve">velopment </w:t>
      </w:r>
      <w:r w:rsidRPr="00F55305" w:rsidR="001B0C43">
        <w:rPr>
          <w:lang w:val="en-GB"/>
        </w:rPr>
        <w:t xml:space="preserve">of units for </w:t>
      </w:r>
      <w:r w:rsidRPr="00F55305">
        <w:rPr>
          <w:lang w:val="en-GB"/>
        </w:rPr>
        <w:t>p</w:t>
      </w:r>
      <w:r w:rsidRPr="00F55305" w:rsidR="001B0C43">
        <w:rPr>
          <w:lang w:val="en-GB"/>
        </w:rPr>
        <w:t>re</w:t>
      </w:r>
      <w:r w:rsidRPr="00F55305">
        <w:rPr>
          <w:lang w:val="en-GB"/>
        </w:rPr>
        <w:t>venti</w:t>
      </w:r>
      <w:r w:rsidRPr="00F55305" w:rsidR="001B0C43">
        <w:rPr>
          <w:lang w:val="en-GB"/>
        </w:rPr>
        <w:t>ng deviant behaviour, and their involvement as soon as children display the first signs of such behaviour</w:t>
      </w:r>
      <w:r w:rsidRPr="00F55305" w:rsidR="008F4E10">
        <w:rPr>
          <w:lang w:val="en-GB"/>
        </w:rPr>
        <w:t>;</w:t>
      </w:r>
      <w:bookmarkEnd w:id="118"/>
      <w:r w:rsidRPr="00F55305">
        <w:rPr>
          <w:lang w:val="en-GB"/>
        </w:rPr>
        <w:t xml:space="preserve"> </w:t>
      </w:r>
      <w:bookmarkStart w:name="lt_pId174" w:id="119"/>
      <w:r w:rsidRPr="00F55305" w:rsidR="001B0C43">
        <w:rPr>
          <w:lang w:val="en-GB"/>
        </w:rPr>
        <w:t>(</w:t>
      </w:r>
      <w:r w:rsidRPr="00F55305">
        <w:rPr>
          <w:lang w:val="en-GB"/>
        </w:rPr>
        <w:t>c) </w:t>
      </w:r>
      <w:r w:rsidRPr="00F55305" w:rsidR="001B0C43">
        <w:rPr>
          <w:lang w:val="en-GB"/>
        </w:rPr>
        <w:t>shorter</w:t>
      </w:r>
      <w:r w:rsidRPr="00F55305">
        <w:rPr>
          <w:lang w:val="en-GB"/>
        </w:rPr>
        <w:t xml:space="preserve"> placement</w:t>
      </w:r>
      <w:r w:rsidRPr="00F55305" w:rsidR="001B0C43">
        <w:rPr>
          <w:lang w:val="en-GB"/>
        </w:rPr>
        <w:t>s</w:t>
      </w:r>
      <w:r w:rsidRPr="00F55305">
        <w:rPr>
          <w:lang w:val="en-GB"/>
        </w:rPr>
        <w:t xml:space="preserve">, </w:t>
      </w:r>
      <w:r w:rsidRPr="00F55305" w:rsidR="001B0C43">
        <w:rPr>
          <w:lang w:val="en-GB"/>
        </w:rPr>
        <w:t xml:space="preserve">with more emphasis on social rehabilitation and psychological support for children than on teaching; </w:t>
      </w:r>
      <w:bookmarkStart w:name="lt_pId175" w:id="120"/>
      <w:bookmarkEnd w:id="119"/>
      <w:r w:rsidRPr="00F55305" w:rsidR="001B0C43">
        <w:rPr>
          <w:lang w:val="en-GB"/>
        </w:rPr>
        <w:t>(</w:t>
      </w:r>
      <w:r w:rsidRPr="00F55305">
        <w:rPr>
          <w:lang w:val="en-GB"/>
        </w:rPr>
        <w:t>d) </w:t>
      </w:r>
      <w:r w:rsidRPr="00F55305" w:rsidR="001B0C43">
        <w:rPr>
          <w:lang w:val="en-GB"/>
        </w:rPr>
        <w:t>ret</w:t>
      </w:r>
      <w:r w:rsidRPr="00F55305">
        <w:rPr>
          <w:lang w:val="en-GB"/>
        </w:rPr>
        <w:t>ur</w:t>
      </w:r>
      <w:r w:rsidRPr="00F55305" w:rsidR="001B0C43">
        <w:rPr>
          <w:lang w:val="en-GB"/>
        </w:rPr>
        <w:t xml:space="preserve">ning the children in question to the ordinary school system, including in schools in their home area, rather than keeping them apart in specialist institutions, </w:t>
      </w:r>
      <w:r w:rsidRPr="00F55305" w:rsidR="00CF1B7B">
        <w:rPr>
          <w:lang w:val="en-GB"/>
        </w:rPr>
        <w:t>through</w:t>
      </w:r>
      <w:r w:rsidRPr="00F55305" w:rsidR="001B0C43">
        <w:rPr>
          <w:lang w:val="en-GB"/>
        </w:rPr>
        <w:t xml:space="preserve"> </w:t>
      </w:r>
      <w:r w:rsidRPr="00F55305" w:rsidR="00A901A6">
        <w:rPr>
          <w:lang w:val="en-GB"/>
        </w:rPr>
        <w:t xml:space="preserve">an </w:t>
      </w:r>
      <w:r w:rsidRPr="00F55305" w:rsidR="001B0C43">
        <w:rPr>
          <w:lang w:val="en-GB"/>
        </w:rPr>
        <w:t>intensive individual integration</w:t>
      </w:r>
      <w:r w:rsidRPr="00F55305" w:rsidR="00A901A6">
        <w:rPr>
          <w:lang w:val="en-GB"/>
        </w:rPr>
        <w:t xml:space="preserve"> scheme</w:t>
      </w:r>
      <w:r w:rsidRPr="00F55305" w:rsidR="001B0C43">
        <w:rPr>
          <w:lang w:val="en-GB"/>
        </w:rPr>
        <w:t xml:space="preserve"> managed by teams of educational experts; </w:t>
      </w:r>
      <w:bookmarkEnd w:id="120"/>
      <w:r w:rsidRPr="00F55305" w:rsidR="001B0C43">
        <w:rPr>
          <w:lang w:val="en-GB"/>
        </w:rPr>
        <w:t>(</w:t>
      </w:r>
      <w:bookmarkStart w:name="lt_pId176" w:id="121"/>
      <w:r w:rsidRPr="00F55305">
        <w:rPr>
          <w:lang w:val="en-GB"/>
        </w:rPr>
        <w:t>e) </w:t>
      </w:r>
      <w:r w:rsidRPr="00F55305" w:rsidR="001B0C43">
        <w:rPr>
          <w:lang w:val="en-GB"/>
        </w:rPr>
        <w:t xml:space="preserve">the introduction of </w:t>
      </w:r>
      <w:r w:rsidRPr="00F55305">
        <w:rPr>
          <w:lang w:val="en-GB"/>
        </w:rPr>
        <w:t xml:space="preserve">programmes </w:t>
      </w:r>
      <w:r w:rsidRPr="00F55305" w:rsidR="001B0C43">
        <w:rPr>
          <w:lang w:val="en-GB"/>
        </w:rPr>
        <w:t>allowing young people to acquire vocational skills</w:t>
      </w:r>
      <w:r w:rsidRPr="00F55305" w:rsidR="008F4E10">
        <w:rPr>
          <w:lang w:val="en-GB"/>
        </w:rPr>
        <w:t>;</w:t>
      </w:r>
      <w:bookmarkEnd w:id="121"/>
      <w:r w:rsidRPr="00F55305">
        <w:rPr>
          <w:lang w:val="en-GB"/>
        </w:rPr>
        <w:t xml:space="preserve"> </w:t>
      </w:r>
      <w:bookmarkStart w:name="lt_pId177" w:id="122"/>
      <w:r w:rsidRPr="00F55305" w:rsidR="001B0C43">
        <w:rPr>
          <w:lang w:val="en-GB"/>
        </w:rPr>
        <w:t>(</w:t>
      </w:r>
      <w:r w:rsidRPr="00F55305">
        <w:rPr>
          <w:lang w:val="en-GB"/>
        </w:rPr>
        <w:t>f) </w:t>
      </w:r>
      <w:r w:rsidRPr="00F55305" w:rsidR="001B0C43">
        <w:rPr>
          <w:lang w:val="en-GB"/>
        </w:rPr>
        <w:t>instilling an atmosphere of</w:t>
      </w:r>
      <w:r w:rsidRPr="00F55305">
        <w:rPr>
          <w:lang w:val="en-GB"/>
        </w:rPr>
        <w:t xml:space="preserve"> </w:t>
      </w:r>
      <w:r w:rsidRPr="00F55305" w:rsidR="001B0C43">
        <w:rPr>
          <w:lang w:val="en-GB"/>
        </w:rPr>
        <w:t>cooperation with</w:t>
      </w:r>
      <w:r w:rsidRPr="00F55305">
        <w:rPr>
          <w:lang w:val="en-GB"/>
        </w:rPr>
        <w:t xml:space="preserve"> </w:t>
      </w:r>
      <w:r w:rsidRPr="00F55305" w:rsidR="001B0C43">
        <w:rPr>
          <w:lang w:val="en-GB"/>
        </w:rPr>
        <w:t>families</w:t>
      </w:r>
      <w:r w:rsidRPr="00F55305" w:rsidR="008F4E10">
        <w:rPr>
          <w:lang w:val="en-GB"/>
        </w:rPr>
        <w:t>;</w:t>
      </w:r>
      <w:bookmarkEnd w:id="122"/>
      <w:r w:rsidRPr="00F55305">
        <w:rPr>
          <w:lang w:val="en-GB"/>
        </w:rPr>
        <w:t xml:space="preserve"> </w:t>
      </w:r>
      <w:bookmarkStart w:name="lt_pId178" w:id="123"/>
      <w:r w:rsidRPr="00F55305" w:rsidR="001B0C43">
        <w:rPr>
          <w:lang w:val="en-GB"/>
        </w:rPr>
        <w:t>(</w:t>
      </w:r>
      <w:r w:rsidRPr="00F55305">
        <w:rPr>
          <w:lang w:val="en-GB"/>
        </w:rPr>
        <w:t>g) </w:t>
      </w:r>
      <w:r w:rsidRPr="00F55305" w:rsidR="001B0C43">
        <w:rPr>
          <w:lang w:val="en-GB"/>
        </w:rPr>
        <w:t>a</w:t>
      </w:r>
      <w:r w:rsidRPr="00F55305">
        <w:rPr>
          <w:lang w:val="en-GB"/>
        </w:rPr>
        <w:t xml:space="preserve"> </w:t>
      </w:r>
      <w:r w:rsidRPr="00F55305" w:rsidR="001B0C43">
        <w:rPr>
          <w:lang w:val="en-GB"/>
        </w:rPr>
        <w:t xml:space="preserve">reform whereby local </w:t>
      </w:r>
      <w:r w:rsidRPr="00F55305" w:rsidR="005154B9">
        <w:rPr>
          <w:lang w:val="en-GB"/>
        </w:rPr>
        <w:t>committees for combating juvenile antisocial behaviour</w:t>
      </w:r>
      <w:r w:rsidRPr="00F55305" w:rsidR="001B0C43">
        <w:rPr>
          <w:lang w:val="en-GB"/>
        </w:rPr>
        <w:t xml:space="preserve"> would no longer have a decisive role in taking educational measures and such decisions would be taken by a specialist judge</w:t>
      </w:r>
      <w:r w:rsidRPr="00F55305" w:rsidR="00981407">
        <w:rPr>
          <w:lang w:val="en-GB"/>
        </w:rPr>
        <w:t xml:space="preserve"> alone</w:t>
      </w:r>
      <w:r w:rsidRPr="00F55305" w:rsidR="001B0C43">
        <w:rPr>
          <w:lang w:val="en-GB"/>
        </w:rPr>
        <w:t xml:space="preserve">; </w:t>
      </w:r>
      <w:bookmarkEnd w:id="123"/>
      <w:r w:rsidRPr="00F55305" w:rsidR="001B0C43">
        <w:rPr>
          <w:lang w:val="en-GB"/>
        </w:rPr>
        <w:t>(</w:t>
      </w:r>
      <w:bookmarkStart w:name="lt_pId179" w:id="124"/>
      <w:r w:rsidRPr="00F55305">
        <w:rPr>
          <w:lang w:val="en-GB"/>
        </w:rPr>
        <w:t>h) </w:t>
      </w:r>
      <w:r w:rsidRPr="00F55305" w:rsidR="001B0C43">
        <w:rPr>
          <w:lang w:val="en-GB"/>
        </w:rPr>
        <w:t>abolition of puni</w:t>
      </w:r>
      <w:r w:rsidRPr="00F55305" w:rsidR="00D26770">
        <w:rPr>
          <w:lang w:val="en-GB"/>
        </w:rPr>
        <w:t>shments</w:t>
      </w:r>
      <w:r w:rsidRPr="00F55305" w:rsidR="001B0C43">
        <w:rPr>
          <w:lang w:val="en-GB"/>
        </w:rPr>
        <w:t xml:space="preserve"> for </w:t>
      </w:r>
      <w:r w:rsidRPr="00F55305" w:rsidR="00981407">
        <w:rPr>
          <w:lang w:val="en-GB"/>
        </w:rPr>
        <w:t xml:space="preserve">juvenile </w:t>
      </w:r>
      <w:r w:rsidRPr="00F55305" w:rsidR="001B0C43">
        <w:rPr>
          <w:lang w:val="en-GB"/>
        </w:rPr>
        <w:t>antisocial behaviour</w:t>
      </w:r>
      <w:r w:rsidRPr="00F55305" w:rsidR="00243FA3">
        <w:rPr>
          <w:lang w:val="en-GB"/>
        </w:rPr>
        <w:t>; (</w:t>
      </w:r>
      <w:bookmarkStart w:name="lt_pId180" w:id="125"/>
      <w:bookmarkEnd w:id="124"/>
      <w:r w:rsidRPr="00F55305" w:rsidR="00FD3D1D">
        <w:rPr>
          <w:lang w:val="en-GB"/>
        </w:rPr>
        <w:t>i) </w:t>
      </w:r>
      <w:r w:rsidRPr="00F55305" w:rsidR="00243FA3">
        <w:rPr>
          <w:lang w:val="en-GB"/>
        </w:rPr>
        <w:t xml:space="preserve">abolition of criminal penalties for children under </w:t>
      </w:r>
      <w:r w:rsidRPr="00F55305">
        <w:rPr>
          <w:lang w:val="en-GB"/>
        </w:rPr>
        <w:t>14</w:t>
      </w:r>
      <w:r w:rsidRPr="00F55305" w:rsidR="00FD3D1D">
        <w:rPr>
          <w:lang w:val="en-GB"/>
        </w:rPr>
        <w:t xml:space="preserve"> </w:t>
      </w:r>
      <w:r w:rsidRPr="00F55305" w:rsidR="00243FA3">
        <w:rPr>
          <w:lang w:val="en-GB"/>
        </w:rPr>
        <w:t>years of age and their replacement by exclusively social and protective measures, applicable only in exceptional cases</w:t>
      </w:r>
      <w:r w:rsidRPr="00F55305" w:rsidR="008F4E10">
        <w:rPr>
          <w:lang w:val="en-GB"/>
        </w:rPr>
        <w:t>;</w:t>
      </w:r>
      <w:bookmarkEnd w:id="125"/>
      <w:r w:rsidRPr="00F55305">
        <w:rPr>
          <w:lang w:val="en-GB"/>
        </w:rPr>
        <w:t xml:space="preserve"> </w:t>
      </w:r>
      <w:bookmarkStart w:name="lt_pId181" w:id="126"/>
      <w:r w:rsidRPr="00F55305" w:rsidR="00243FA3">
        <w:rPr>
          <w:lang w:val="en-GB"/>
        </w:rPr>
        <w:t>(</w:t>
      </w:r>
      <w:r w:rsidRPr="00F55305">
        <w:rPr>
          <w:lang w:val="en-GB"/>
        </w:rPr>
        <w:t>j) </w:t>
      </w:r>
      <w:r w:rsidRPr="00F55305" w:rsidR="00243FA3">
        <w:rPr>
          <w:lang w:val="en-GB"/>
        </w:rPr>
        <w:t>admi</w:t>
      </w:r>
      <w:r w:rsidRPr="00F55305" w:rsidR="00FD3D1D">
        <w:rPr>
          <w:lang w:val="en-GB"/>
        </w:rPr>
        <w:t>tting</w:t>
      </w:r>
      <w:r w:rsidRPr="00F55305" w:rsidR="00243FA3">
        <w:rPr>
          <w:lang w:val="en-GB"/>
        </w:rPr>
        <w:t xml:space="preserve"> children under 14 years of age to specialist institutions only where there is a social need or a need for protection</w:t>
      </w:r>
      <w:r w:rsidRPr="00F55305" w:rsidR="008F4E10">
        <w:rPr>
          <w:lang w:val="en-GB"/>
        </w:rPr>
        <w:t>;</w:t>
      </w:r>
      <w:bookmarkEnd w:id="126"/>
      <w:r w:rsidRPr="00F55305">
        <w:rPr>
          <w:lang w:val="en-GB"/>
        </w:rPr>
        <w:t xml:space="preserve"> </w:t>
      </w:r>
      <w:bookmarkStart w:name="lt_pId182" w:id="127"/>
      <w:r w:rsidRPr="00F55305" w:rsidR="00A34F8C">
        <w:rPr>
          <w:lang w:val="en-GB"/>
        </w:rPr>
        <w:t xml:space="preserve">and </w:t>
      </w:r>
      <w:r w:rsidRPr="00F55305" w:rsidR="00243FA3">
        <w:rPr>
          <w:lang w:val="en-GB"/>
        </w:rPr>
        <w:t>(</w:t>
      </w:r>
      <w:r w:rsidRPr="00F55305">
        <w:rPr>
          <w:lang w:val="en-GB"/>
        </w:rPr>
        <w:t>k) </w:t>
      </w:r>
      <w:r w:rsidRPr="00F55305" w:rsidR="00A34F8C">
        <w:rPr>
          <w:lang w:val="en-GB"/>
        </w:rPr>
        <w:t>closure of the institutions in question</w:t>
      </w:r>
      <w:r w:rsidRPr="00F55305" w:rsidR="00243FA3">
        <w:rPr>
          <w:lang w:val="en-GB"/>
        </w:rPr>
        <w:t xml:space="preserve">, </w:t>
      </w:r>
      <w:r w:rsidRPr="00F55305" w:rsidR="00A34F8C">
        <w:rPr>
          <w:lang w:val="en-GB"/>
        </w:rPr>
        <w:t>subject to the introduction of</w:t>
      </w:r>
      <w:r w:rsidRPr="00F55305">
        <w:rPr>
          <w:lang w:val="en-GB"/>
        </w:rPr>
        <w:t xml:space="preserve"> </w:t>
      </w:r>
      <w:r w:rsidRPr="00F55305" w:rsidR="00243FA3">
        <w:rPr>
          <w:lang w:val="en-GB"/>
        </w:rPr>
        <w:t>alternative protective and judicial measures in legislation and practice</w:t>
      </w:r>
      <w:r w:rsidRPr="00F55305">
        <w:rPr>
          <w:lang w:val="en-GB"/>
        </w:rPr>
        <w:t>.</w:t>
      </w:r>
      <w:bookmarkEnd w:id="12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39</w:t>
      </w:r>
      <w:r w:rsidRPr="00F55305">
        <w:rPr>
          <w:lang w:val="en-GB"/>
        </w:rPr>
        <w:fldChar w:fldCharType="end"/>
      </w:r>
      <w:r w:rsidRPr="00F55305">
        <w:rPr>
          <w:lang w:val="en-GB"/>
        </w:rPr>
        <w:t>.  </w:t>
      </w:r>
      <w:bookmarkStart w:name="lt_pId184" w:id="128"/>
      <w:r w:rsidRPr="00F55305">
        <w:rPr>
          <w:lang w:val="en-GB"/>
        </w:rPr>
        <w:t>I</w:t>
      </w:r>
      <w:r w:rsidRPr="00F55305" w:rsidR="00243FA3">
        <w:rPr>
          <w:lang w:val="en-GB"/>
        </w:rPr>
        <w:t xml:space="preserve">t appears that, following the </w:t>
      </w:r>
      <w:r w:rsidRPr="00F55305">
        <w:rPr>
          <w:lang w:val="en-GB"/>
        </w:rPr>
        <w:t xml:space="preserve">2009 </w:t>
      </w:r>
      <w:r w:rsidRPr="00F55305" w:rsidR="00243FA3">
        <w:rPr>
          <w:lang w:val="en-GB"/>
        </w:rPr>
        <w:t>report by the State Agency for Child Protection, the Ministry of Education and Science</w:t>
      </w:r>
      <w:r w:rsidRPr="00F55305">
        <w:rPr>
          <w:lang w:val="en-GB"/>
        </w:rPr>
        <w:t xml:space="preserve"> </w:t>
      </w:r>
      <w:r w:rsidRPr="00F55305" w:rsidR="00243FA3">
        <w:rPr>
          <w:lang w:val="en-GB"/>
        </w:rPr>
        <w:t>undertook to reform the secure institutions for juveniles in order to ensure that the system was entirely focused on the child and offered an individual</w:t>
      </w:r>
      <w:r w:rsidRPr="00F55305" w:rsidR="005D170E">
        <w:rPr>
          <w:lang w:val="en-GB"/>
        </w:rPr>
        <w:t>ly tailored</w:t>
      </w:r>
      <w:r w:rsidRPr="00F55305" w:rsidR="00243FA3">
        <w:rPr>
          <w:lang w:val="en-GB"/>
        </w:rPr>
        <w:t xml:space="preserve"> approach. </w:t>
      </w:r>
      <w:bookmarkStart w:name="lt_pId185" w:id="129"/>
      <w:bookmarkEnd w:id="128"/>
      <w:r w:rsidRPr="00F55305" w:rsidR="00243FA3">
        <w:rPr>
          <w:lang w:val="en-GB"/>
        </w:rPr>
        <w:t>Measures were subsequently put forward in an</w:t>
      </w:r>
      <w:r w:rsidRPr="00F55305">
        <w:rPr>
          <w:lang w:val="en-GB"/>
        </w:rPr>
        <w:t xml:space="preserve"> </w:t>
      </w:r>
      <w:r w:rsidRPr="00F55305" w:rsidR="005D170E">
        <w:rPr>
          <w:lang w:val="en-GB"/>
        </w:rPr>
        <w:t>a</w:t>
      </w:r>
      <w:r w:rsidRPr="00F55305" w:rsidR="00243FA3">
        <w:rPr>
          <w:lang w:val="en-GB"/>
        </w:rPr>
        <w:t xml:space="preserve">ction </w:t>
      </w:r>
      <w:r w:rsidRPr="00F55305" w:rsidR="005D170E">
        <w:rPr>
          <w:lang w:val="en-GB"/>
        </w:rPr>
        <w:t>p</w:t>
      </w:r>
      <w:r w:rsidRPr="00F55305" w:rsidR="00243FA3">
        <w:rPr>
          <w:lang w:val="en-GB"/>
        </w:rPr>
        <w:t>lan for the implementation of the national policy strategy on juvenile justice for 2013-2020</w:t>
      </w:r>
      <w:r w:rsidRPr="00F55305">
        <w:rPr>
          <w:lang w:val="en-GB"/>
        </w:rPr>
        <w:t>.</w:t>
      </w:r>
      <w:bookmarkEnd w:id="129"/>
      <w:r w:rsidRPr="00F55305">
        <w:rPr>
          <w:lang w:val="en-GB"/>
        </w:rPr>
        <w:t xml:space="preserve"> </w:t>
      </w:r>
      <w:bookmarkStart w:name="lt_pId186" w:id="130"/>
      <w:r w:rsidRPr="00F55305" w:rsidR="005D170E">
        <w:rPr>
          <w:lang w:val="en-GB"/>
        </w:rPr>
        <w:t>Among th</w:t>
      </w:r>
      <w:r w:rsidRPr="00F55305" w:rsidR="00243FA3">
        <w:rPr>
          <w:lang w:val="en-GB"/>
        </w:rPr>
        <w:t xml:space="preserve">e measures envisaged </w:t>
      </w:r>
      <w:r w:rsidRPr="00F55305" w:rsidR="005D170E">
        <w:rPr>
          <w:lang w:val="en-GB"/>
        </w:rPr>
        <w:t>were</w:t>
      </w:r>
      <w:r w:rsidRPr="00F55305" w:rsidR="00243FA3">
        <w:rPr>
          <w:lang w:val="en-GB"/>
        </w:rPr>
        <w:t xml:space="preserve">: </w:t>
      </w:r>
      <w:r w:rsidRPr="00F55305" w:rsidR="005D170E">
        <w:rPr>
          <w:lang w:val="en-GB"/>
        </w:rPr>
        <w:t xml:space="preserve">the </w:t>
      </w:r>
      <w:r w:rsidRPr="00F55305" w:rsidR="00243FA3">
        <w:rPr>
          <w:lang w:val="en-GB"/>
        </w:rPr>
        <w:t xml:space="preserve">repeal of the </w:t>
      </w:r>
      <w:r w:rsidRPr="00F55305" w:rsidR="008251A4">
        <w:rPr>
          <w:lang w:val="en-GB"/>
        </w:rPr>
        <w:t>Juvenile</w:t>
      </w:r>
      <w:r w:rsidRPr="00F55305" w:rsidR="00801209">
        <w:rPr>
          <w:lang w:val="en-GB"/>
        </w:rPr>
        <w:t xml:space="preserve"> Antisocial Behaviour</w:t>
      </w:r>
      <w:r w:rsidRPr="00F55305" w:rsidR="00243FA3">
        <w:rPr>
          <w:lang w:val="en-GB"/>
        </w:rPr>
        <w:t xml:space="preserve"> Act and the introduction of a new </w:t>
      </w:r>
      <w:r w:rsidRPr="00F55305" w:rsidR="000F501C">
        <w:rPr>
          <w:lang w:val="en-GB"/>
        </w:rPr>
        <w:t xml:space="preserve">Juvenile Justice </w:t>
      </w:r>
      <w:r w:rsidRPr="00F55305" w:rsidR="00243FA3">
        <w:rPr>
          <w:lang w:val="en-GB"/>
        </w:rPr>
        <w:t>A</w:t>
      </w:r>
      <w:r w:rsidRPr="00F55305" w:rsidR="000F501C">
        <w:rPr>
          <w:lang w:val="en-GB"/>
        </w:rPr>
        <w:t xml:space="preserve">ct for children in conflict with the law, with the aim of offering a wide range of social, educational and learning services to children </w:t>
      </w:r>
      <w:bookmarkStart w:name="lt_pId187" w:id="131"/>
      <w:bookmarkEnd w:id="130"/>
      <w:r w:rsidRPr="00F55305" w:rsidR="000F501C">
        <w:rPr>
          <w:lang w:val="en-GB"/>
        </w:rPr>
        <w:t>i</w:t>
      </w:r>
      <w:r w:rsidRPr="00F55305">
        <w:rPr>
          <w:lang w:val="en-GB"/>
        </w:rPr>
        <w:t xml:space="preserve">n </w:t>
      </w:r>
      <w:r w:rsidRPr="00F55305" w:rsidR="000F501C">
        <w:rPr>
          <w:lang w:val="en-GB"/>
        </w:rPr>
        <w:t>difficulty</w:t>
      </w:r>
      <w:r w:rsidRPr="00F55305">
        <w:rPr>
          <w:lang w:val="en-GB"/>
        </w:rPr>
        <w:t>.</w:t>
      </w:r>
      <w:bookmarkEnd w:id="131"/>
    </w:p>
    <w:p w:rsidRPr="00F55305" w:rsidR="00711D81" w:rsidP="00F55305" w:rsidRDefault="008F4E10">
      <w:pPr>
        <w:pStyle w:val="ECHRPara"/>
        <w:rPr>
          <w:lang w:val="en-GB"/>
        </w:rPr>
      </w:pPr>
      <w:r w:rsidRPr="00F55305">
        <w:rPr>
          <w:lang w:val="en-GB"/>
        </w:rPr>
        <w:t>...</w:t>
      </w:r>
    </w:p>
    <w:p w:rsidRPr="00F55305" w:rsidR="00711D81" w:rsidP="00F55305" w:rsidRDefault="00711D81">
      <w:pPr>
        <w:pStyle w:val="ECHRTitle1"/>
        <w:rPr>
          <w:lang w:val="en-GB"/>
        </w:rPr>
      </w:pPr>
      <w:bookmarkStart w:name="lt_pId189" w:id="132"/>
      <w:r w:rsidRPr="00F55305">
        <w:rPr>
          <w:lang w:val="en-GB"/>
        </w:rPr>
        <w:t>THE LAW</w:t>
      </w:r>
      <w:bookmarkEnd w:id="132"/>
    </w:p>
    <w:p w:rsidRPr="00F55305" w:rsidR="00711D81" w:rsidP="00F55305" w:rsidRDefault="00711D81">
      <w:pPr>
        <w:pStyle w:val="ECHRPara"/>
        <w:rPr>
          <w:lang w:val="en-GB"/>
        </w:rPr>
      </w:pPr>
      <w:r w:rsidRPr="00F55305">
        <w:rPr>
          <w:bCs/>
          <w:lang w:val="en-GB"/>
        </w:rPr>
        <w:fldChar w:fldCharType="begin"/>
      </w:r>
      <w:r w:rsidRPr="00F55305">
        <w:rPr>
          <w:lang w:val="en-GB"/>
        </w:rPr>
        <w:instrText xml:space="preserve"> SEQ level0 \*arabic\r59 </w:instrText>
      </w:r>
      <w:r w:rsidRPr="00F55305">
        <w:rPr>
          <w:bCs/>
          <w:lang w:val="en-GB"/>
        </w:rPr>
        <w:fldChar w:fldCharType="separate"/>
      </w:r>
      <w:r w:rsidR="00F55305">
        <w:rPr>
          <w:noProof/>
          <w:lang w:val="en-GB"/>
        </w:rPr>
        <w:t>59</w:t>
      </w:r>
      <w:r w:rsidRPr="00F55305">
        <w:rPr>
          <w:bCs/>
          <w:lang w:val="en-GB"/>
        </w:rPr>
        <w:fldChar w:fldCharType="end"/>
      </w:r>
      <w:r w:rsidRPr="00F55305">
        <w:rPr>
          <w:lang w:val="en-GB"/>
        </w:rPr>
        <w:t>.  </w:t>
      </w:r>
      <w:bookmarkStart w:name="lt_pId191" w:id="133"/>
      <w:r w:rsidRPr="00F55305" w:rsidR="000F2B78">
        <w:rPr>
          <w:lang w:val="en-GB"/>
        </w:rPr>
        <w:t>The applicant</w:t>
      </w:r>
      <w:r w:rsidRPr="00F55305">
        <w:rPr>
          <w:lang w:val="en-GB"/>
        </w:rPr>
        <w:t xml:space="preserve"> </w:t>
      </w:r>
      <w:r w:rsidRPr="00F55305" w:rsidR="00382896">
        <w:rPr>
          <w:lang w:val="en-GB"/>
        </w:rPr>
        <w:t>complained that her</w:t>
      </w:r>
      <w:r w:rsidRPr="00F55305">
        <w:rPr>
          <w:lang w:val="en-GB"/>
        </w:rPr>
        <w:t xml:space="preserve"> placement </w:t>
      </w:r>
      <w:r w:rsidRPr="00F55305" w:rsidR="00382896">
        <w:rPr>
          <w:lang w:val="en-GB"/>
        </w:rPr>
        <w:t xml:space="preserve">in a </w:t>
      </w:r>
      <w:r w:rsidRPr="00F55305" w:rsidR="00035D6A">
        <w:rPr>
          <w:lang w:val="en-GB"/>
        </w:rPr>
        <w:t>correctional boarding school</w:t>
      </w:r>
      <w:r w:rsidRPr="00F55305">
        <w:rPr>
          <w:lang w:val="en-GB"/>
        </w:rPr>
        <w:t xml:space="preserve"> </w:t>
      </w:r>
      <w:r w:rsidRPr="00F55305" w:rsidR="00382896">
        <w:rPr>
          <w:lang w:val="en-GB"/>
        </w:rPr>
        <w:t xml:space="preserve">had not been in accordance with </w:t>
      </w:r>
      <w:r w:rsidRPr="00F55305" w:rsidR="008F4E10">
        <w:rPr>
          <w:lang w:val="en-GB"/>
        </w:rPr>
        <w:t>Article 5</w:t>
      </w:r>
      <w:r w:rsidRPr="00F55305">
        <w:rPr>
          <w:lang w:val="en-GB"/>
        </w:rPr>
        <w:t xml:space="preserve"> § 1 </w:t>
      </w:r>
      <w:r w:rsidRPr="00F55305" w:rsidR="008F4E10">
        <w:rPr>
          <w:lang w:val="en-GB"/>
        </w:rPr>
        <w:t>of the Convention</w:t>
      </w:r>
      <w:r w:rsidRPr="00F55305">
        <w:rPr>
          <w:lang w:val="en-GB"/>
        </w:rPr>
        <w:t xml:space="preserve"> </w:t>
      </w:r>
      <w:r w:rsidRPr="00F55305" w:rsidR="00382896">
        <w:rPr>
          <w:lang w:val="en-GB"/>
        </w:rPr>
        <w:t xml:space="preserve">and that </w:t>
      </w:r>
      <w:r w:rsidRPr="00F55305" w:rsidR="00930DE6">
        <w:rPr>
          <w:lang w:val="en-GB"/>
        </w:rPr>
        <w:t xml:space="preserve">she had been unable to have that measure reviewed by a court at regular intervals, as provided for by Article 5 § 4. She added that the automatic monitoring of her correspondence and telephone calls at the correctional boarding school </w:t>
      </w:r>
      <w:r w:rsidRPr="00F55305" w:rsidR="005D170E">
        <w:rPr>
          <w:lang w:val="en-GB"/>
        </w:rPr>
        <w:t>in</w:t>
      </w:r>
      <w:r w:rsidRPr="00F55305" w:rsidR="00930DE6">
        <w:rPr>
          <w:lang w:val="en-GB"/>
        </w:rPr>
        <w:t xml:space="preserve"> which she had been </w:t>
      </w:r>
      <w:r w:rsidRPr="00F55305" w:rsidR="005D170E">
        <w:rPr>
          <w:lang w:val="en-GB"/>
        </w:rPr>
        <w:t>placed</w:t>
      </w:r>
      <w:r w:rsidRPr="00F55305" w:rsidR="00930DE6">
        <w:rPr>
          <w:lang w:val="en-GB"/>
        </w:rPr>
        <w:t xml:space="preserve"> was in breach of </w:t>
      </w:r>
      <w:bookmarkStart w:name="lt_pId192" w:id="134"/>
      <w:bookmarkEnd w:id="133"/>
      <w:r w:rsidRPr="00F55305" w:rsidR="008F4E10">
        <w:rPr>
          <w:lang w:val="en-GB"/>
        </w:rPr>
        <w:t>Article 8</w:t>
      </w:r>
      <w:r w:rsidRPr="00F55305">
        <w:rPr>
          <w:lang w:val="en-GB"/>
        </w:rPr>
        <w:t xml:space="preserve"> </w:t>
      </w:r>
      <w:r w:rsidRPr="00F55305" w:rsidR="008F4E10">
        <w:rPr>
          <w:lang w:val="en-GB"/>
        </w:rPr>
        <w:t>of the Convention</w:t>
      </w:r>
      <w:r w:rsidRPr="00F55305">
        <w:rPr>
          <w:lang w:val="en-GB"/>
        </w:rPr>
        <w:t>.</w:t>
      </w:r>
      <w:bookmarkEnd w:id="134"/>
    </w:p>
    <w:p w:rsidRPr="00F55305" w:rsidR="00711D81" w:rsidP="00F55305" w:rsidRDefault="008F4E10">
      <w:pPr>
        <w:pStyle w:val="ECHRPara"/>
        <w:rPr>
          <w:lang w:val="en-GB" w:eastAsia="fr-FR"/>
        </w:rPr>
      </w:pPr>
      <w:r w:rsidRPr="00F55305">
        <w:rPr>
          <w:lang w:val="en-GB"/>
        </w:rPr>
        <w:t>...</w:t>
      </w:r>
    </w:p>
    <w:p w:rsidRPr="00F55305" w:rsidR="00711D81" w:rsidP="00F55305" w:rsidRDefault="00711D81">
      <w:pPr>
        <w:pStyle w:val="ECHRHeading1"/>
        <w:rPr>
          <w:lang w:val="en-GB"/>
        </w:rPr>
      </w:pPr>
      <w:bookmarkStart w:name="lt_pId194" w:id="135"/>
      <w:r w:rsidRPr="00F55305">
        <w:rPr>
          <w:lang w:val="en-GB"/>
        </w:rPr>
        <w:t>II.</w:t>
      </w:r>
      <w:bookmarkEnd w:id="135"/>
      <w:r w:rsidRPr="00F55305">
        <w:rPr>
          <w:lang w:val="en-GB"/>
        </w:rPr>
        <w:t>  </w:t>
      </w:r>
      <w:bookmarkStart w:name="lt_pId195" w:id="136"/>
      <w:r w:rsidRPr="00F55305">
        <w:rPr>
          <w:lang w:val="en-GB"/>
        </w:rPr>
        <w:t>MERITS</w:t>
      </w:r>
      <w:bookmarkEnd w:id="136"/>
    </w:p>
    <w:p w:rsidRPr="00F55305" w:rsidR="00711D81" w:rsidP="00F55305" w:rsidRDefault="00711D81">
      <w:pPr>
        <w:pStyle w:val="ECHRHeading2"/>
        <w:rPr>
          <w:lang w:val="en-GB"/>
        </w:rPr>
      </w:pPr>
      <w:r w:rsidRPr="00F55305">
        <w:rPr>
          <w:lang w:val="en-GB"/>
        </w:rPr>
        <w:t>A.  </w:t>
      </w:r>
      <w:bookmarkStart w:name="lt_pId197" w:id="137"/>
      <w:r w:rsidRPr="00F55305">
        <w:rPr>
          <w:lang w:val="en-GB"/>
        </w:rPr>
        <w:t>Alleged violation of Article 5 § 1 of the Convention</w:t>
      </w:r>
      <w:bookmarkEnd w:id="13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\r64 </w:instrText>
      </w:r>
      <w:r w:rsidRPr="00F55305">
        <w:rPr>
          <w:lang w:val="en-GB"/>
        </w:rPr>
        <w:fldChar w:fldCharType="separate"/>
      </w:r>
      <w:r w:rsidR="00F55305">
        <w:rPr>
          <w:noProof/>
          <w:lang w:val="en-GB"/>
        </w:rPr>
        <w:t>64</w:t>
      </w:r>
      <w:r w:rsidRPr="00F55305">
        <w:rPr>
          <w:lang w:val="en-GB"/>
        </w:rPr>
        <w:fldChar w:fldCharType="end"/>
      </w:r>
      <w:r w:rsidRPr="00F55305">
        <w:rPr>
          <w:lang w:val="en-GB"/>
        </w:rPr>
        <w:t>.  </w:t>
      </w:r>
      <w:bookmarkStart w:name="lt_pId199" w:id="138"/>
      <w:r w:rsidRPr="00F55305" w:rsidR="000F2B78">
        <w:rPr>
          <w:lang w:val="en-GB"/>
        </w:rPr>
        <w:t>The applicant</w:t>
      </w:r>
      <w:r w:rsidRPr="00F55305">
        <w:rPr>
          <w:lang w:val="en-GB"/>
        </w:rPr>
        <w:t xml:space="preserve"> all</w:t>
      </w:r>
      <w:r w:rsidRPr="00F55305" w:rsidR="007A08F7">
        <w:rPr>
          <w:lang w:val="en-GB"/>
        </w:rPr>
        <w:t xml:space="preserve">eged that her </w:t>
      </w:r>
      <w:r w:rsidRPr="00F55305">
        <w:rPr>
          <w:lang w:val="en-GB"/>
        </w:rPr>
        <w:t xml:space="preserve">placement </w:t>
      </w:r>
      <w:r w:rsidRPr="00F55305" w:rsidR="007A08F7">
        <w:rPr>
          <w:lang w:val="en-GB"/>
        </w:rPr>
        <w:t>in a</w:t>
      </w:r>
      <w:r w:rsidRPr="00F55305">
        <w:rPr>
          <w:lang w:val="en-GB"/>
        </w:rPr>
        <w:t xml:space="preserve"> </w:t>
      </w:r>
      <w:r w:rsidRPr="00F55305" w:rsidR="00076D12">
        <w:rPr>
          <w:lang w:val="en-GB"/>
        </w:rPr>
        <w:t>correctional boarding school</w:t>
      </w:r>
      <w:r w:rsidRPr="00F55305">
        <w:rPr>
          <w:lang w:val="en-GB"/>
        </w:rPr>
        <w:t xml:space="preserve"> </w:t>
      </w:r>
      <w:r w:rsidRPr="00F55305" w:rsidR="007A08F7">
        <w:rPr>
          <w:lang w:val="en-GB"/>
        </w:rPr>
        <w:t>infringed</w:t>
      </w:r>
      <w:r w:rsidRPr="00F55305">
        <w:rPr>
          <w:lang w:val="en-GB"/>
        </w:rPr>
        <w:t xml:space="preserve"> </w:t>
      </w:r>
      <w:r w:rsidRPr="00F55305" w:rsidR="008F4E10">
        <w:rPr>
          <w:lang w:val="en-GB"/>
        </w:rPr>
        <w:t>Article 5</w:t>
      </w:r>
      <w:r w:rsidRPr="00F55305">
        <w:rPr>
          <w:lang w:val="en-GB"/>
        </w:rPr>
        <w:t xml:space="preserve"> § 1 </w:t>
      </w:r>
      <w:r w:rsidRPr="00F55305" w:rsidR="008F4E10">
        <w:rPr>
          <w:lang w:val="en-GB"/>
        </w:rPr>
        <w:t>of the Convention</w:t>
      </w:r>
      <w:r w:rsidRPr="00F55305">
        <w:rPr>
          <w:lang w:val="en-GB"/>
        </w:rPr>
        <w:t xml:space="preserve">, </w:t>
      </w:r>
      <w:r w:rsidRPr="00F55305" w:rsidR="007A08F7">
        <w:rPr>
          <w:lang w:val="en-GB"/>
        </w:rPr>
        <w:t>the relevant parts of which read</w:t>
      </w:r>
      <w:r w:rsidRPr="00F55305" w:rsidR="008F4E10">
        <w:rPr>
          <w:lang w:val="en-GB"/>
        </w:rPr>
        <w:t>:</w:t>
      </w:r>
      <w:bookmarkEnd w:id="138"/>
    </w:p>
    <w:p w:rsidRPr="00F55305" w:rsidR="00711D81" w:rsidP="00F55305" w:rsidRDefault="00142AD9">
      <w:pPr>
        <w:pStyle w:val="ECHRParaQuote"/>
        <w:rPr>
          <w:lang w:val="en-GB"/>
        </w:rPr>
      </w:pPr>
      <w:bookmarkStart w:name="lt_pId201" w:id="139"/>
      <w:r w:rsidRPr="00F55305">
        <w:rPr>
          <w:lang w:val="en-GB"/>
        </w:rPr>
        <w:t>“</w:t>
      </w:r>
      <w:r w:rsidRPr="00F55305" w:rsidR="00035D6A">
        <w:rPr>
          <w:lang w:val="en-GB"/>
        </w:rPr>
        <w:t>1.  </w:t>
      </w:r>
      <w:r w:rsidRPr="00F55305" w:rsidR="00711D81">
        <w:rPr>
          <w:lang w:val="en-GB"/>
        </w:rPr>
        <w:t>Everyone has the right to liberty and security of person.</w:t>
      </w:r>
      <w:bookmarkEnd w:id="139"/>
      <w:r w:rsidRPr="00F55305" w:rsidR="00711D81">
        <w:rPr>
          <w:lang w:val="en-GB"/>
        </w:rPr>
        <w:t xml:space="preserve"> </w:t>
      </w:r>
      <w:bookmarkStart w:name="lt_pId202" w:id="140"/>
      <w:r w:rsidRPr="00F55305" w:rsidR="00711D81">
        <w:rPr>
          <w:lang w:val="en-GB"/>
        </w:rPr>
        <w:t>No one shall be deprived of his liberty save in the following cases and in accordance with a procedure prescribed by law:</w:t>
      </w:r>
      <w:bookmarkEnd w:id="140"/>
    </w:p>
    <w:p w:rsidRPr="00F55305" w:rsidR="00711D81" w:rsidP="00F55305" w:rsidRDefault="00711D81">
      <w:pPr>
        <w:pStyle w:val="ECHRParaQuote"/>
        <w:rPr>
          <w:lang w:val="en-GB"/>
        </w:rPr>
      </w:pPr>
      <w:bookmarkStart w:name="lt_pId203" w:id="141"/>
      <w:r w:rsidRPr="00F55305">
        <w:rPr>
          <w:lang w:val="en-GB"/>
        </w:rPr>
        <w:t>(a)</w:t>
      </w:r>
      <w:r w:rsidRPr="00F55305" w:rsidR="008523D4">
        <w:rPr>
          <w:lang w:val="en-GB"/>
        </w:rPr>
        <w:t>  </w:t>
      </w:r>
      <w:r w:rsidRPr="00F55305">
        <w:rPr>
          <w:lang w:val="en-GB"/>
        </w:rPr>
        <w:t>the lawful detention of a person after conviction by a competent court;</w:t>
      </w:r>
      <w:bookmarkEnd w:id="141"/>
    </w:p>
    <w:p w:rsidRPr="00F55305" w:rsidR="00711D81" w:rsidP="00F55305" w:rsidRDefault="00711D81">
      <w:pPr>
        <w:pStyle w:val="ECHRParaQuote"/>
        <w:rPr>
          <w:lang w:val="en-GB"/>
        </w:rPr>
      </w:pPr>
      <w:r w:rsidRPr="00F55305">
        <w:rPr>
          <w:lang w:val="en-GB"/>
        </w:rPr>
        <w:t>...</w:t>
      </w:r>
    </w:p>
    <w:p w:rsidRPr="00F55305" w:rsidR="00711D81" w:rsidP="00F55305" w:rsidRDefault="008523D4">
      <w:pPr>
        <w:pStyle w:val="ECHRParaQuote"/>
        <w:rPr>
          <w:lang w:val="en-GB"/>
        </w:rPr>
      </w:pPr>
      <w:bookmarkStart w:name="lt_pId205" w:id="142"/>
      <w:r w:rsidRPr="00F55305">
        <w:rPr>
          <w:lang w:val="en-GB"/>
        </w:rPr>
        <w:t>(d)  </w:t>
      </w:r>
      <w:r w:rsidRPr="00F55305" w:rsidR="00711D81">
        <w:rPr>
          <w:lang w:val="en-GB"/>
        </w:rPr>
        <w:t>the detention of a minor by lawful order for the purpose of educational supervision or his lawful detention for the purpose of bringing him before the competent legal authority;</w:t>
      </w:r>
      <w:bookmarkEnd w:id="142"/>
    </w:p>
    <w:p w:rsidRPr="00F55305" w:rsidR="00711D81" w:rsidP="00F55305" w:rsidRDefault="00711D81">
      <w:pPr>
        <w:pStyle w:val="ECHRParaQuote"/>
        <w:rPr>
          <w:lang w:val="en-GB"/>
        </w:rPr>
      </w:pPr>
      <w:r w:rsidRPr="00F55305">
        <w:rPr>
          <w:lang w:val="en-GB"/>
        </w:rPr>
        <w:t>...</w:t>
      </w:r>
      <w:r w:rsidRPr="00F55305" w:rsidR="00142AD9">
        <w:rPr>
          <w:lang w:val="en-GB"/>
        </w:rPr>
        <w:t>”</w:t>
      </w:r>
    </w:p>
    <w:p w:rsidRPr="00F55305" w:rsidR="00711D81" w:rsidP="00F55305" w:rsidRDefault="00035D6A">
      <w:pPr>
        <w:pStyle w:val="ECHRHeading3"/>
        <w:rPr>
          <w:lang w:val="en-GB"/>
        </w:rPr>
      </w:pPr>
      <w:bookmarkStart w:name="lt_pId208" w:id="143"/>
      <w:r w:rsidRPr="00F55305">
        <w:rPr>
          <w:lang w:val="en-GB"/>
        </w:rPr>
        <w:t>1.  </w:t>
      </w:r>
      <w:r w:rsidRPr="00F55305" w:rsidR="00711D81">
        <w:rPr>
          <w:lang w:val="en-GB"/>
        </w:rPr>
        <w:t>The parties</w:t>
      </w:r>
      <w:r w:rsidRPr="00F55305" w:rsidR="00F55305">
        <w:rPr>
          <w:lang w:val="en-GB"/>
        </w:rPr>
        <w:t>’</w:t>
      </w:r>
      <w:r w:rsidRPr="00F55305" w:rsidR="00711D81">
        <w:rPr>
          <w:lang w:val="en-GB"/>
        </w:rPr>
        <w:t xml:space="preserve"> submissions</w:t>
      </w:r>
      <w:bookmarkEnd w:id="14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65</w:t>
      </w:r>
      <w:r w:rsidRPr="00F55305">
        <w:rPr>
          <w:lang w:val="en-GB"/>
        </w:rPr>
        <w:fldChar w:fldCharType="end"/>
      </w:r>
      <w:r w:rsidRPr="00F55305">
        <w:rPr>
          <w:lang w:val="en-GB"/>
        </w:rPr>
        <w:t>.  </w:t>
      </w:r>
      <w:bookmarkStart w:name="lt_pId210" w:id="144"/>
      <w:r w:rsidRPr="00F55305" w:rsidR="000F2B78">
        <w:rPr>
          <w:lang w:val="en-GB"/>
        </w:rPr>
        <w:t>The applicant</w:t>
      </w:r>
      <w:r w:rsidRPr="00F55305" w:rsidR="008C1A2E">
        <w:rPr>
          <w:lang w:val="en-GB"/>
        </w:rPr>
        <w:t xml:space="preserve"> submitted that, in view of the living conditions at the </w:t>
      </w:r>
      <w:r w:rsidRPr="00F55305" w:rsidR="003B5A4F">
        <w:rPr>
          <w:lang w:val="en-GB"/>
        </w:rPr>
        <w:t>Podem school</w:t>
      </w:r>
      <w:r w:rsidRPr="00F55305" w:rsidR="008C1A2E">
        <w:rPr>
          <w:lang w:val="en-GB"/>
        </w:rPr>
        <w:t xml:space="preserve"> and her admission to the school against her and her mother</w:t>
      </w:r>
      <w:r w:rsidRPr="00F55305" w:rsidR="00F55305">
        <w:rPr>
          <w:lang w:val="en-GB"/>
        </w:rPr>
        <w:t>’</w:t>
      </w:r>
      <w:r w:rsidRPr="00F55305" w:rsidR="008C1A2E">
        <w:rPr>
          <w:lang w:val="en-GB"/>
        </w:rPr>
        <w:t>s wishes</w:t>
      </w:r>
      <w:r w:rsidRPr="00F55305">
        <w:rPr>
          <w:lang w:val="en-GB"/>
        </w:rPr>
        <w:t xml:space="preserve">, </w:t>
      </w:r>
      <w:r w:rsidRPr="00F55305" w:rsidR="008C1A2E">
        <w:rPr>
          <w:lang w:val="en-GB"/>
        </w:rPr>
        <w:t>the measure in question amounted to deprivation of liberty.</w:t>
      </w:r>
      <w:bookmarkEnd w:id="14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66</w:t>
      </w:r>
      <w:r w:rsidRPr="00F55305">
        <w:rPr>
          <w:lang w:val="en-GB"/>
        </w:rPr>
        <w:fldChar w:fldCharType="end"/>
      </w:r>
      <w:r w:rsidRPr="00F55305">
        <w:rPr>
          <w:lang w:val="en-GB"/>
        </w:rPr>
        <w:t>.  </w:t>
      </w:r>
      <w:bookmarkStart w:name="lt_pId212" w:id="145"/>
      <w:r w:rsidRPr="00F55305" w:rsidR="00653E4F">
        <w:rPr>
          <w:lang w:val="en-GB"/>
        </w:rPr>
        <w:t xml:space="preserve">Next, she contended that the </w:t>
      </w:r>
      <w:r w:rsidRPr="00F55305" w:rsidR="008251A4">
        <w:rPr>
          <w:lang w:val="en-GB"/>
        </w:rPr>
        <w:t>Juvenile</w:t>
      </w:r>
      <w:r w:rsidRPr="00F55305" w:rsidR="00801209">
        <w:rPr>
          <w:lang w:val="en-GB"/>
        </w:rPr>
        <w:t xml:space="preserve"> Antisocial Behaviour</w:t>
      </w:r>
      <w:r w:rsidRPr="00F55305" w:rsidR="00653E4F">
        <w:rPr>
          <w:lang w:val="en-GB"/>
        </w:rPr>
        <w:t xml:space="preserve"> Act was not sufficiently clear </w:t>
      </w:r>
      <w:r w:rsidRPr="00F55305" w:rsidR="008C1A2E">
        <w:rPr>
          <w:lang w:val="en-GB"/>
        </w:rPr>
        <w:t>and</w:t>
      </w:r>
      <w:r w:rsidRPr="00F55305">
        <w:rPr>
          <w:lang w:val="en-GB"/>
        </w:rPr>
        <w:t xml:space="preserve"> </w:t>
      </w:r>
      <w:r w:rsidRPr="00F55305" w:rsidR="00653E4F">
        <w:rPr>
          <w:lang w:val="en-GB"/>
        </w:rPr>
        <w:t>foreseeable as to its application</w:t>
      </w:r>
      <w:r w:rsidRPr="00F55305">
        <w:rPr>
          <w:lang w:val="en-GB"/>
        </w:rPr>
        <w:t>.</w:t>
      </w:r>
      <w:bookmarkEnd w:id="145"/>
      <w:r w:rsidRPr="00F55305">
        <w:rPr>
          <w:lang w:val="en-GB"/>
        </w:rPr>
        <w:t xml:space="preserve"> </w:t>
      </w:r>
      <w:bookmarkStart w:name="lt_pId213" w:id="146"/>
      <w:r w:rsidRPr="00F55305" w:rsidR="00653E4F">
        <w:rPr>
          <w:lang w:val="en-GB"/>
        </w:rPr>
        <w:t xml:space="preserve">Neither the Act nor the domestic case-law defined the term </w:t>
      </w:r>
      <w:r w:rsidRPr="00F55305" w:rsidR="00142AD9">
        <w:rPr>
          <w:lang w:val="en-GB"/>
        </w:rPr>
        <w:t>“</w:t>
      </w:r>
      <w:r w:rsidRPr="00F55305">
        <w:rPr>
          <w:lang w:val="en-GB"/>
        </w:rPr>
        <w:t>antisocial</w:t>
      </w:r>
      <w:r w:rsidRPr="00F55305" w:rsidR="00264BDF">
        <w:rPr>
          <w:lang w:val="en-GB"/>
        </w:rPr>
        <w:t xml:space="preserve"> </w:t>
      </w:r>
      <w:r w:rsidRPr="00F55305" w:rsidR="00653E4F">
        <w:rPr>
          <w:lang w:val="en-GB"/>
        </w:rPr>
        <w:t>behaviour</w:t>
      </w:r>
      <w:r w:rsidRPr="00F55305" w:rsidR="00142AD9">
        <w:rPr>
          <w:lang w:val="en-GB"/>
        </w:rPr>
        <w:t>”</w:t>
      </w:r>
      <w:r w:rsidRPr="00F55305">
        <w:rPr>
          <w:lang w:val="en-GB"/>
        </w:rPr>
        <w:t xml:space="preserve"> </w:t>
      </w:r>
      <w:r w:rsidRPr="00F55305" w:rsidR="008C1A2E">
        <w:rPr>
          <w:lang w:val="en-GB"/>
        </w:rPr>
        <w:t>...</w:t>
      </w:r>
      <w:r w:rsidRPr="00F55305" w:rsidR="001279E6">
        <w:rPr>
          <w:lang w:val="en-GB"/>
        </w:rPr>
        <w:t xml:space="preserve"> </w:t>
      </w:r>
      <w:r w:rsidRPr="00F55305" w:rsidR="00CE5DA2">
        <w:rPr>
          <w:lang w:val="en-GB"/>
        </w:rPr>
        <w:t>sufficiently precisely for her to have been able to foresee that her behaviour would result in her being deprived of her liberty. She also disputed the authorities</w:t>
      </w:r>
      <w:r w:rsidRPr="00F55305" w:rsidR="00F55305">
        <w:rPr>
          <w:lang w:val="en-GB"/>
        </w:rPr>
        <w:t>’</w:t>
      </w:r>
      <w:r w:rsidRPr="00F55305" w:rsidR="00CE5DA2">
        <w:rPr>
          <w:lang w:val="en-GB"/>
        </w:rPr>
        <w:t xml:space="preserve"> finding that she had committed acts falling within the scope of </w:t>
      </w:r>
      <w:r w:rsidRPr="00F55305" w:rsidR="005D170E">
        <w:rPr>
          <w:lang w:val="en-GB"/>
        </w:rPr>
        <w:t>this legislation</w:t>
      </w:r>
      <w:r w:rsidRPr="00F55305" w:rsidR="00CE5DA2">
        <w:rPr>
          <w:lang w:val="en-GB"/>
        </w:rPr>
        <w:t xml:space="preserve">; in her view, her situation was more that of a child at risk who required protective measures. Furthermore, the Act did not give a clear indication of the </w:t>
      </w:r>
      <w:bookmarkStart w:name="lt_pId215" w:id="147"/>
      <w:bookmarkEnd w:id="146"/>
      <w:r w:rsidRPr="00F55305" w:rsidR="004C7442">
        <w:rPr>
          <w:lang w:val="en-GB"/>
        </w:rPr>
        <w:t>ord</w:t>
      </w:r>
      <w:r w:rsidRPr="00F55305">
        <w:rPr>
          <w:lang w:val="en-GB"/>
        </w:rPr>
        <w:t>e</w:t>
      </w:r>
      <w:r w:rsidRPr="00F55305" w:rsidR="004C7442">
        <w:rPr>
          <w:lang w:val="en-GB"/>
        </w:rPr>
        <w:t>r</w:t>
      </w:r>
      <w:r w:rsidRPr="00F55305">
        <w:rPr>
          <w:lang w:val="en-GB"/>
        </w:rPr>
        <w:t xml:space="preserve"> </w:t>
      </w:r>
      <w:r w:rsidRPr="00F55305" w:rsidR="004C7442">
        <w:rPr>
          <w:lang w:val="en-GB"/>
        </w:rPr>
        <w:t xml:space="preserve">in which educational measures were to be applied or of the educational institution </w:t>
      </w:r>
      <w:r w:rsidRPr="00F55305" w:rsidR="008161D2">
        <w:rPr>
          <w:lang w:val="en-GB"/>
        </w:rPr>
        <w:t xml:space="preserve">that would be the most suitable in view of her alleged acts. In addition, her admission to the </w:t>
      </w:r>
      <w:bookmarkStart w:name="lt_pId216" w:id="148"/>
      <w:bookmarkEnd w:id="147"/>
      <w:r w:rsidRPr="00F55305" w:rsidR="003B5A4F">
        <w:rPr>
          <w:lang w:val="en-GB"/>
        </w:rPr>
        <w:t>Podem school</w:t>
      </w:r>
      <w:r w:rsidRPr="00F55305">
        <w:rPr>
          <w:lang w:val="en-GB"/>
        </w:rPr>
        <w:t xml:space="preserve"> </w:t>
      </w:r>
      <w:r w:rsidRPr="00F55305" w:rsidR="008161D2">
        <w:rPr>
          <w:lang w:val="en-GB"/>
        </w:rPr>
        <w:t>had not been ordered as a last resort.</w:t>
      </w:r>
      <w:bookmarkEnd w:id="148"/>
    </w:p>
    <w:p w:rsidRPr="00F55305" w:rsidR="00F55305"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67</w:t>
      </w:r>
      <w:r w:rsidRPr="00F55305">
        <w:rPr>
          <w:lang w:val="en-GB"/>
        </w:rPr>
        <w:fldChar w:fldCharType="end"/>
      </w:r>
      <w:r w:rsidRPr="00F55305">
        <w:rPr>
          <w:lang w:val="en-GB"/>
        </w:rPr>
        <w:t>.  </w:t>
      </w:r>
      <w:bookmarkStart w:name="lt_pId218" w:id="149"/>
      <w:r w:rsidRPr="00F55305" w:rsidR="000F2B78">
        <w:rPr>
          <w:lang w:val="en-GB"/>
        </w:rPr>
        <w:t>The applicant</w:t>
      </w:r>
      <w:r w:rsidRPr="00F55305">
        <w:rPr>
          <w:lang w:val="en-GB"/>
        </w:rPr>
        <w:t xml:space="preserve"> </w:t>
      </w:r>
      <w:r w:rsidRPr="00F55305" w:rsidR="008161D2">
        <w:rPr>
          <w:lang w:val="en-GB"/>
        </w:rPr>
        <w:t xml:space="preserve">submitted that she had been subjected to a criminal sanction and that her deprivation of liberty could therefore, on the face of it, be </w:t>
      </w:r>
      <w:r w:rsidRPr="00F55305" w:rsidR="00E2162C">
        <w:rPr>
          <w:lang w:val="en-GB"/>
        </w:rPr>
        <w:t>treated in the same way as the situation</w:t>
      </w:r>
      <w:r w:rsidRPr="00F55305" w:rsidR="00064286">
        <w:rPr>
          <w:lang w:val="en-GB"/>
        </w:rPr>
        <w:t xml:space="preserve"> covered by</w:t>
      </w:r>
      <w:r w:rsidRPr="00F55305">
        <w:rPr>
          <w:lang w:val="en-GB"/>
        </w:rPr>
        <w:t xml:space="preserve"> </w:t>
      </w:r>
      <w:r w:rsidRPr="00F55305" w:rsidR="008F4E10">
        <w:rPr>
          <w:lang w:val="en-GB"/>
        </w:rPr>
        <w:t>Article 5</w:t>
      </w:r>
      <w:r w:rsidRPr="00F55305">
        <w:rPr>
          <w:lang w:val="en-GB"/>
        </w:rPr>
        <w:t xml:space="preserve"> § 1 </w:t>
      </w:r>
      <w:r w:rsidRPr="00F55305" w:rsidR="008C1A2E">
        <w:rPr>
          <w:lang w:val="en-GB"/>
        </w:rPr>
        <w:t>(</w:t>
      </w:r>
      <w:r w:rsidRPr="00F55305">
        <w:rPr>
          <w:lang w:val="en-GB"/>
        </w:rPr>
        <w:t xml:space="preserve">a) </w:t>
      </w:r>
      <w:r w:rsidRPr="00F55305" w:rsidR="008F4E10">
        <w:rPr>
          <w:lang w:val="en-GB"/>
        </w:rPr>
        <w:t>of the Convention</w:t>
      </w:r>
      <w:r w:rsidRPr="00F55305">
        <w:rPr>
          <w:lang w:val="en-GB"/>
        </w:rPr>
        <w:t>.</w:t>
      </w:r>
      <w:bookmarkEnd w:id="149"/>
      <w:r w:rsidRPr="00F55305">
        <w:rPr>
          <w:lang w:val="en-GB"/>
        </w:rPr>
        <w:t xml:space="preserve"> </w:t>
      </w:r>
      <w:bookmarkStart w:name="lt_pId219" w:id="150"/>
      <w:r w:rsidRPr="00F55305" w:rsidR="008161D2">
        <w:rPr>
          <w:lang w:val="en-GB"/>
        </w:rPr>
        <w:t xml:space="preserve">Since, in her submission, </w:t>
      </w:r>
      <w:r w:rsidRPr="00F55305" w:rsidR="006B79A4">
        <w:rPr>
          <w:lang w:val="en-GB"/>
        </w:rPr>
        <w:t>her</w:t>
      </w:r>
      <w:r w:rsidRPr="00F55305" w:rsidR="008161D2">
        <w:rPr>
          <w:lang w:val="en-GB"/>
        </w:rPr>
        <w:t xml:space="preserve"> deprivation of liberty had not </w:t>
      </w:r>
      <w:r w:rsidRPr="00F55305" w:rsidR="006B79A4">
        <w:rPr>
          <w:lang w:val="en-GB"/>
        </w:rPr>
        <w:t>been effected</w:t>
      </w:r>
      <w:r w:rsidRPr="00F55305" w:rsidR="008161D2">
        <w:rPr>
          <w:lang w:val="en-GB"/>
        </w:rPr>
        <w:t xml:space="preserve"> in accordance with the applicable criminal procedure</w:t>
      </w:r>
      <w:r w:rsidRPr="00F55305">
        <w:rPr>
          <w:lang w:val="en-GB"/>
        </w:rPr>
        <w:t xml:space="preserve">, </w:t>
      </w:r>
      <w:r w:rsidRPr="00F55305" w:rsidR="008161D2">
        <w:rPr>
          <w:lang w:val="en-GB"/>
        </w:rPr>
        <w:t xml:space="preserve">it had to be regarded as breaching that provision of the </w:t>
      </w:r>
      <w:r w:rsidRPr="00F55305" w:rsidR="008F4E10">
        <w:rPr>
          <w:lang w:val="en-GB"/>
        </w:rPr>
        <w:t>Convention</w:t>
      </w:r>
      <w:r w:rsidRPr="00F55305">
        <w:rPr>
          <w:lang w:val="en-GB"/>
        </w:rPr>
        <w:t>.</w:t>
      </w:r>
      <w:bookmarkEnd w:id="150"/>
      <w:r w:rsidRPr="00F55305">
        <w:rPr>
          <w:lang w:val="en-GB"/>
        </w:rPr>
        <w:t xml:space="preserve"> </w:t>
      </w:r>
      <w:bookmarkStart w:name="lt_pId220" w:id="151"/>
      <w:r w:rsidRPr="00F55305" w:rsidR="008161D2">
        <w:rPr>
          <w:lang w:val="en-GB"/>
        </w:rPr>
        <w:t>Nor was her</w:t>
      </w:r>
      <w:r w:rsidRPr="00F55305">
        <w:rPr>
          <w:lang w:val="en-GB"/>
        </w:rPr>
        <w:t xml:space="preserve"> placement </w:t>
      </w:r>
      <w:r w:rsidRPr="00F55305" w:rsidR="008161D2">
        <w:rPr>
          <w:lang w:val="en-GB"/>
        </w:rPr>
        <w:t xml:space="preserve">in the school </w:t>
      </w:r>
      <w:r w:rsidRPr="00F55305">
        <w:rPr>
          <w:lang w:val="en-GB"/>
        </w:rPr>
        <w:t xml:space="preserve">compatible </w:t>
      </w:r>
      <w:r w:rsidRPr="00F55305" w:rsidR="008161D2">
        <w:rPr>
          <w:lang w:val="en-GB"/>
        </w:rPr>
        <w:t>with</w:t>
      </w:r>
      <w:r w:rsidRPr="00F55305">
        <w:rPr>
          <w:lang w:val="en-GB"/>
        </w:rPr>
        <w:t xml:space="preserve"> </w:t>
      </w:r>
      <w:r w:rsidRPr="00F55305" w:rsidR="008F4E10">
        <w:rPr>
          <w:lang w:val="en-GB"/>
        </w:rPr>
        <w:t>Article 5</w:t>
      </w:r>
      <w:r w:rsidRPr="00F55305">
        <w:rPr>
          <w:lang w:val="en-GB"/>
        </w:rPr>
        <w:t xml:space="preserve"> § 1</w:t>
      </w:r>
      <w:r w:rsidRPr="00F55305" w:rsidR="008C1A2E">
        <w:rPr>
          <w:lang w:val="en-GB"/>
        </w:rPr>
        <w:t xml:space="preserve"> (</w:t>
      </w:r>
      <w:r w:rsidRPr="00F55305">
        <w:rPr>
          <w:lang w:val="en-GB"/>
        </w:rPr>
        <w:t xml:space="preserve">d) </w:t>
      </w:r>
      <w:r w:rsidRPr="00F55305" w:rsidR="008F4E10">
        <w:rPr>
          <w:lang w:val="en-GB"/>
        </w:rPr>
        <w:t>of the Convention</w:t>
      </w:r>
      <w:r w:rsidRPr="00F55305">
        <w:rPr>
          <w:lang w:val="en-GB"/>
        </w:rPr>
        <w:t xml:space="preserve">, </w:t>
      </w:r>
      <w:r w:rsidRPr="00F55305" w:rsidR="008161D2">
        <w:rPr>
          <w:lang w:val="en-GB"/>
        </w:rPr>
        <w:t xml:space="preserve">seeing that she had not </w:t>
      </w:r>
      <w:r w:rsidRPr="00F55305" w:rsidR="006B79A4">
        <w:rPr>
          <w:lang w:val="en-GB"/>
        </w:rPr>
        <w:t>had access to</w:t>
      </w:r>
      <w:r w:rsidRPr="00F55305" w:rsidR="005949EC">
        <w:rPr>
          <w:lang w:val="en-GB"/>
        </w:rPr>
        <w:t xml:space="preserve"> a system of</w:t>
      </w:r>
      <w:r w:rsidRPr="00F55305" w:rsidR="006B79A4">
        <w:rPr>
          <w:lang w:val="en-GB"/>
        </w:rPr>
        <w:t>fering</w:t>
      </w:r>
      <w:r w:rsidRPr="00F55305" w:rsidR="005949EC">
        <w:rPr>
          <w:lang w:val="en-GB"/>
        </w:rPr>
        <w:t xml:space="preserve"> adequate education </w:t>
      </w:r>
      <w:r w:rsidRPr="00F55305" w:rsidR="006B79A4">
        <w:rPr>
          <w:lang w:val="en-GB"/>
        </w:rPr>
        <w:t>and support</w:t>
      </w:r>
      <w:r w:rsidRPr="00F55305" w:rsidR="005949EC">
        <w:rPr>
          <w:lang w:val="en-GB"/>
        </w:rPr>
        <w:t xml:space="preserve"> at </w:t>
      </w:r>
      <w:r w:rsidRPr="00F55305" w:rsidR="003B5A4F">
        <w:rPr>
          <w:lang w:val="en-GB"/>
        </w:rPr>
        <w:t>the Podem school</w:t>
      </w:r>
      <w:r w:rsidRPr="00F55305">
        <w:rPr>
          <w:lang w:val="en-GB"/>
        </w:rPr>
        <w:t xml:space="preserve"> </w:t>
      </w:r>
      <w:r w:rsidRPr="00F55305" w:rsidR="008C1A2E">
        <w:rPr>
          <w:lang w:val="en-GB"/>
        </w:rPr>
        <w:t>and</w:t>
      </w:r>
      <w:r w:rsidRPr="00F55305" w:rsidR="005949EC">
        <w:rPr>
          <w:lang w:val="en-GB"/>
        </w:rPr>
        <w:t xml:space="preserve"> had not been properly protected against the exploitation to which she had previously </w:t>
      </w:r>
      <w:r w:rsidRPr="00F55305" w:rsidR="004509A8">
        <w:rPr>
          <w:lang w:val="en-GB"/>
        </w:rPr>
        <w:t>fallen victim</w:t>
      </w:r>
      <w:r w:rsidRPr="00F55305" w:rsidR="005949EC">
        <w:rPr>
          <w:lang w:val="en-GB"/>
        </w:rPr>
        <w:t xml:space="preserve"> and which had formed the basis for her </w:t>
      </w:r>
      <w:r w:rsidRPr="00F55305" w:rsidR="004509A8">
        <w:rPr>
          <w:lang w:val="en-GB"/>
        </w:rPr>
        <w:t>placement in</w:t>
      </w:r>
      <w:r w:rsidRPr="00F55305" w:rsidR="005949EC">
        <w:rPr>
          <w:lang w:val="en-GB"/>
        </w:rPr>
        <w:t xml:space="preserve"> the school.</w:t>
      </w:r>
      <w:bookmarkEnd w:id="15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68</w:t>
      </w:r>
      <w:r w:rsidRPr="00F55305">
        <w:rPr>
          <w:lang w:val="en-GB"/>
        </w:rPr>
        <w:fldChar w:fldCharType="end"/>
      </w:r>
      <w:r w:rsidRPr="00F55305">
        <w:rPr>
          <w:lang w:val="en-GB"/>
        </w:rPr>
        <w:t>.  </w:t>
      </w:r>
      <w:bookmarkStart w:name="lt_pId222" w:id="152"/>
      <w:r w:rsidRPr="00F55305">
        <w:rPr>
          <w:lang w:val="en-GB"/>
        </w:rPr>
        <w:t>The Government did not dispute that the impugned measure amounted to a deprivation of liberty.</w:t>
      </w:r>
      <w:bookmarkEnd w:id="152"/>
      <w:r w:rsidRPr="00F55305">
        <w:rPr>
          <w:lang w:val="en-GB"/>
        </w:rPr>
        <w:t xml:space="preserve"> </w:t>
      </w:r>
      <w:bookmarkStart w:name="lt_pId223" w:id="153"/>
      <w:r w:rsidRPr="00F55305" w:rsidR="00A65999">
        <w:rPr>
          <w:lang w:val="en-GB"/>
        </w:rPr>
        <w:t xml:space="preserve">Ruling out the applicability of </w:t>
      </w:r>
      <w:r w:rsidRPr="00F55305" w:rsidR="004509A8">
        <w:rPr>
          <w:lang w:val="en-GB"/>
        </w:rPr>
        <w:t>Article </w:t>
      </w:r>
      <w:r w:rsidRPr="00F55305" w:rsidR="008F4E10">
        <w:rPr>
          <w:lang w:val="en-GB"/>
        </w:rPr>
        <w:t>5</w:t>
      </w:r>
      <w:r w:rsidRPr="00F55305">
        <w:rPr>
          <w:lang w:val="en-GB"/>
        </w:rPr>
        <w:t xml:space="preserve"> § 1 </w:t>
      </w:r>
      <w:r w:rsidRPr="00F55305" w:rsidR="008C1A2E">
        <w:rPr>
          <w:lang w:val="en-GB"/>
        </w:rPr>
        <w:t>(</w:t>
      </w:r>
      <w:r w:rsidRPr="00F55305">
        <w:rPr>
          <w:lang w:val="en-GB"/>
        </w:rPr>
        <w:t xml:space="preserve">a), </w:t>
      </w:r>
      <w:r w:rsidRPr="00F55305" w:rsidR="00A65999">
        <w:rPr>
          <w:lang w:val="en-GB"/>
        </w:rPr>
        <w:t>they contended that the</w:t>
      </w:r>
      <w:r w:rsidRPr="00F55305">
        <w:rPr>
          <w:lang w:val="en-GB"/>
        </w:rPr>
        <w:t xml:space="preserve"> me</w:t>
      </w:r>
      <w:r w:rsidRPr="00F55305" w:rsidR="00A65999">
        <w:rPr>
          <w:lang w:val="en-GB"/>
        </w:rPr>
        <w:t>a</w:t>
      </w:r>
      <w:r w:rsidRPr="00F55305">
        <w:rPr>
          <w:lang w:val="en-GB"/>
        </w:rPr>
        <w:t xml:space="preserve">sure </w:t>
      </w:r>
      <w:r w:rsidRPr="00F55305" w:rsidR="00A65999">
        <w:rPr>
          <w:lang w:val="en-GB"/>
        </w:rPr>
        <w:t xml:space="preserve">in issue </w:t>
      </w:r>
      <w:r w:rsidRPr="00F55305">
        <w:rPr>
          <w:lang w:val="en-GB"/>
        </w:rPr>
        <w:t>correspond</w:t>
      </w:r>
      <w:r w:rsidRPr="00F55305" w:rsidR="00A65999">
        <w:rPr>
          <w:lang w:val="en-GB"/>
        </w:rPr>
        <w:t xml:space="preserve">ed to the </w:t>
      </w:r>
      <w:r w:rsidRPr="00F55305" w:rsidR="004509A8">
        <w:rPr>
          <w:lang w:val="en-GB"/>
        </w:rPr>
        <w:t>situation</w:t>
      </w:r>
      <w:r w:rsidRPr="00F55305" w:rsidR="00A65999">
        <w:rPr>
          <w:lang w:val="en-GB"/>
        </w:rPr>
        <w:t xml:space="preserve"> contemplated in Article 5 § 1</w:t>
      </w:r>
      <w:r w:rsidRPr="00F55305">
        <w:rPr>
          <w:lang w:val="en-GB"/>
        </w:rPr>
        <w:t xml:space="preserve"> </w:t>
      </w:r>
      <w:r w:rsidRPr="00F55305" w:rsidR="008C1A2E">
        <w:rPr>
          <w:lang w:val="en-GB"/>
        </w:rPr>
        <w:t>(</w:t>
      </w:r>
      <w:r w:rsidRPr="00F55305">
        <w:rPr>
          <w:lang w:val="en-GB"/>
        </w:rPr>
        <w:t>d).</w:t>
      </w:r>
      <w:bookmarkEnd w:id="153"/>
      <w:r w:rsidRPr="00F55305">
        <w:rPr>
          <w:lang w:val="en-GB"/>
        </w:rPr>
        <w:t xml:space="preserve"> </w:t>
      </w:r>
      <w:bookmarkStart w:name="lt_pId224" w:id="154"/>
      <w:r w:rsidRPr="00F55305" w:rsidR="00A65999">
        <w:rPr>
          <w:lang w:val="en-GB"/>
        </w:rPr>
        <w:t>They gave a detailed account of the</w:t>
      </w:r>
      <w:r w:rsidRPr="00F55305">
        <w:rPr>
          <w:lang w:val="en-GB"/>
        </w:rPr>
        <w:t xml:space="preserve"> </w:t>
      </w:r>
      <w:r w:rsidRPr="00F55305" w:rsidR="004509A8">
        <w:rPr>
          <w:lang w:val="en-GB"/>
        </w:rPr>
        <w:t>system of support</w:t>
      </w:r>
      <w:r w:rsidRPr="00F55305" w:rsidR="00AF5245">
        <w:rPr>
          <w:lang w:val="en-GB"/>
        </w:rPr>
        <w:t xml:space="preserve"> and education offer</w:t>
      </w:r>
      <w:r w:rsidRPr="00F55305" w:rsidR="004509A8">
        <w:rPr>
          <w:lang w:val="en-GB"/>
        </w:rPr>
        <w:t>ed</w:t>
      </w:r>
      <w:r w:rsidRPr="00F55305" w:rsidR="00AF5245">
        <w:rPr>
          <w:lang w:val="en-GB"/>
        </w:rPr>
        <w:t xml:space="preserve"> at </w:t>
      </w:r>
      <w:r w:rsidRPr="00F55305" w:rsidR="003B5A4F">
        <w:rPr>
          <w:lang w:val="en-GB"/>
        </w:rPr>
        <w:t>the Podem school</w:t>
      </w:r>
      <w:r w:rsidRPr="00F55305">
        <w:rPr>
          <w:lang w:val="en-GB"/>
        </w:rPr>
        <w:t>.</w:t>
      </w:r>
      <w:bookmarkEnd w:id="154"/>
      <w:r w:rsidRPr="00F55305">
        <w:rPr>
          <w:lang w:val="en-GB"/>
        </w:rPr>
        <w:t xml:space="preserve"> </w:t>
      </w:r>
      <w:bookmarkStart w:name="lt_pId225" w:id="155"/>
      <w:r w:rsidRPr="00F55305" w:rsidR="00AF5245">
        <w:rPr>
          <w:lang w:val="en-GB"/>
        </w:rPr>
        <w:t>They added that the decision to admit the applicant to the school had been taken in the context of adversarial judicial proceedings that had included an examination of the factual circumstances and that her behaviour had been found to be antisocial under the applicable legislation</w:t>
      </w:r>
      <w:r w:rsidRPr="00F55305">
        <w:rPr>
          <w:lang w:val="en-GB"/>
        </w:rPr>
        <w:t>.</w:t>
      </w:r>
      <w:bookmarkEnd w:id="155"/>
      <w:r w:rsidRPr="00F55305">
        <w:rPr>
          <w:lang w:val="en-GB"/>
        </w:rPr>
        <w:t xml:space="preserve"> </w:t>
      </w:r>
      <w:bookmarkStart w:name="lt_pId226" w:id="156"/>
      <w:r w:rsidRPr="00F55305" w:rsidR="00AF5245">
        <w:rPr>
          <w:lang w:val="en-GB"/>
        </w:rPr>
        <w:t>The measure had also been justified by the need to correct the applicant</w:t>
      </w:r>
      <w:r w:rsidRPr="00F55305" w:rsidR="00F55305">
        <w:rPr>
          <w:lang w:val="en-GB"/>
        </w:rPr>
        <w:t>’</w:t>
      </w:r>
      <w:r w:rsidRPr="00F55305" w:rsidR="00AF5245">
        <w:rPr>
          <w:lang w:val="en-GB"/>
        </w:rPr>
        <w:t>s behaviour through education</w:t>
      </w:r>
      <w:r w:rsidRPr="00F55305">
        <w:rPr>
          <w:lang w:val="en-GB"/>
        </w:rPr>
        <w:t xml:space="preserve"> a</w:t>
      </w:r>
      <w:r w:rsidRPr="00F55305" w:rsidR="008C1A2E">
        <w:rPr>
          <w:lang w:val="en-GB"/>
        </w:rPr>
        <w:t>nd</w:t>
      </w:r>
      <w:r w:rsidRPr="00F55305" w:rsidR="006A75A6">
        <w:rPr>
          <w:lang w:val="en-GB"/>
        </w:rPr>
        <w:t xml:space="preserve"> </w:t>
      </w:r>
      <w:r w:rsidRPr="00F55305" w:rsidR="00AF5245">
        <w:rPr>
          <w:lang w:val="en-GB"/>
        </w:rPr>
        <w:t xml:space="preserve">to remove her from </w:t>
      </w:r>
      <w:r w:rsidRPr="00F55305" w:rsidR="00415961">
        <w:rPr>
          <w:lang w:val="en-GB"/>
        </w:rPr>
        <w:t>an unfavourable social environ</w:t>
      </w:r>
      <w:r w:rsidRPr="00F55305">
        <w:rPr>
          <w:lang w:val="en-GB"/>
        </w:rPr>
        <w:t>ment.</w:t>
      </w:r>
      <w:bookmarkEnd w:id="156"/>
      <w:r w:rsidRPr="00F55305">
        <w:rPr>
          <w:lang w:val="en-GB"/>
        </w:rPr>
        <w:t xml:space="preserve"> </w:t>
      </w:r>
      <w:bookmarkStart w:name="lt_pId227" w:id="157"/>
      <w:r w:rsidRPr="00F55305" w:rsidR="00415961">
        <w:rPr>
          <w:lang w:val="en-GB"/>
        </w:rPr>
        <w:t xml:space="preserve">The most severe educational measure, namely </w:t>
      </w:r>
      <w:r w:rsidRPr="00F55305">
        <w:rPr>
          <w:lang w:val="en-GB"/>
        </w:rPr>
        <w:t xml:space="preserve">placement </w:t>
      </w:r>
      <w:r w:rsidRPr="00F55305" w:rsidR="00415961">
        <w:rPr>
          <w:lang w:val="en-GB"/>
        </w:rPr>
        <w:t>in a secure</w:t>
      </w:r>
      <w:r w:rsidRPr="00F55305">
        <w:rPr>
          <w:lang w:val="en-GB"/>
        </w:rPr>
        <w:t xml:space="preserve"> institution, </w:t>
      </w:r>
      <w:r w:rsidRPr="00F55305" w:rsidR="00415961">
        <w:rPr>
          <w:lang w:val="en-GB"/>
        </w:rPr>
        <w:t>had been chosen because of the failure of other</w:t>
      </w:r>
      <w:r w:rsidRPr="00F55305" w:rsidR="004509A8">
        <w:rPr>
          <w:lang w:val="en-GB"/>
        </w:rPr>
        <w:t>,</w:t>
      </w:r>
      <w:r w:rsidRPr="00F55305" w:rsidR="00415961">
        <w:rPr>
          <w:lang w:val="en-GB"/>
        </w:rPr>
        <w:t xml:space="preserve"> less restrictive measures that had previously been imposed on the applicant.</w:t>
      </w:r>
      <w:bookmarkEnd w:id="157"/>
    </w:p>
    <w:p w:rsidRPr="00F55305" w:rsidR="00711D81" w:rsidP="00F55305" w:rsidRDefault="00711D81">
      <w:pPr>
        <w:pStyle w:val="ECHRHeading3"/>
        <w:rPr>
          <w:lang w:val="en-GB"/>
        </w:rPr>
      </w:pPr>
      <w:r w:rsidRPr="00F55305">
        <w:rPr>
          <w:lang w:val="en-GB"/>
        </w:rPr>
        <w:t>2.  </w:t>
      </w:r>
      <w:bookmarkStart w:name="lt_pId229" w:id="158"/>
      <w:r w:rsidRPr="00F55305">
        <w:rPr>
          <w:lang w:val="en-GB"/>
        </w:rPr>
        <w:t>The Court</w:t>
      </w:r>
      <w:r w:rsidRPr="00F55305" w:rsidR="00F55305">
        <w:rPr>
          <w:lang w:val="en-GB"/>
        </w:rPr>
        <w:t>’</w:t>
      </w:r>
      <w:r w:rsidRPr="00F55305">
        <w:rPr>
          <w:lang w:val="en-GB"/>
        </w:rPr>
        <w:t>s assessment</w:t>
      </w:r>
      <w:bookmarkEnd w:id="158"/>
    </w:p>
    <w:p w:rsidRPr="00F55305" w:rsidR="00711D81" w:rsidP="00F55305" w:rsidRDefault="00711D81">
      <w:pPr>
        <w:pStyle w:val="ECHRPara"/>
        <w:rPr>
          <w:snapToGrid w:val="0"/>
          <w:szCs w:val="24"/>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69</w:t>
      </w:r>
      <w:r w:rsidRPr="00F55305">
        <w:rPr>
          <w:lang w:val="en-GB"/>
        </w:rPr>
        <w:fldChar w:fldCharType="end"/>
      </w:r>
      <w:r w:rsidRPr="00F55305">
        <w:rPr>
          <w:lang w:val="en-GB"/>
        </w:rPr>
        <w:t>.  </w:t>
      </w:r>
      <w:bookmarkStart w:name="lt_pId231" w:id="159"/>
      <w:r w:rsidRPr="00F55305" w:rsidR="008C1A2E">
        <w:rPr>
          <w:lang w:val="en-GB"/>
        </w:rPr>
        <w:t>The Court</w:t>
      </w:r>
      <w:r w:rsidRPr="00F55305">
        <w:rPr>
          <w:lang w:val="en-GB"/>
        </w:rPr>
        <w:t xml:space="preserve"> note</w:t>
      </w:r>
      <w:r w:rsidRPr="00F55305" w:rsidR="0026238F">
        <w:rPr>
          <w:lang w:val="en-GB"/>
        </w:rPr>
        <w:t>s at the outset that</w:t>
      </w:r>
      <w:r w:rsidRPr="00F55305">
        <w:rPr>
          <w:lang w:val="en-GB"/>
        </w:rPr>
        <w:t xml:space="preserve"> </w:t>
      </w:r>
      <w:r w:rsidRPr="00F55305" w:rsidR="000F2B78">
        <w:rPr>
          <w:lang w:val="en-GB"/>
        </w:rPr>
        <w:t>the Government</w:t>
      </w:r>
      <w:r w:rsidRPr="00F55305">
        <w:rPr>
          <w:lang w:val="en-GB"/>
        </w:rPr>
        <w:t xml:space="preserve"> </w:t>
      </w:r>
      <w:r w:rsidRPr="00F55305" w:rsidR="0026238F">
        <w:rPr>
          <w:lang w:val="en-GB"/>
        </w:rPr>
        <w:t>did not dispute that the</w:t>
      </w:r>
      <w:r w:rsidRPr="00F55305">
        <w:rPr>
          <w:lang w:val="en-GB"/>
        </w:rPr>
        <w:t xml:space="preserve"> </w:t>
      </w:r>
      <w:r w:rsidRPr="00F55305" w:rsidR="000F2B78">
        <w:rPr>
          <w:lang w:val="en-GB"/>
        </w:rPr>
        <w:t>applicant</w:t>
      </w:r>
      <w:r w:rsidRPr="00F55305" w:rsidR="00F55305">
        <w:rPr>
          <w:lang w:val="en-GB"/>
        </w:rPr>
        <w:t>’</w:t>
      </w:r>
      <w:r w:rsidRPr="00F55305" w:rsidR="0026238F">
        <w:rPr>
          <w:lang w:val="en-GB"/>
        </w:rPr>
        <w:t>s placement in</w:t>
      </w:r>
      <w:r w:rsidRPr="00F55305">
        <w:rPr>
          <w:lang w:val="en-GB"/>
        </w:rPr>
        <w:t xml:space="preserve"> </w:t>
      </w:r>
      <w:r w:rsidRPr="00F55305" w:rsidR="003B5A4F">
        <w:rPr>
          <w:lang w:val="en-GB"/>
        </w:rPr>
        <w:t>the Podem school</w:t>
      </w:r>
      <w:r w:rsidRPr="00F55305">
        <w:rPr>
          <w:lang w:val="en-GB"/>
        </w:rPr>
        <w:t xml:space="preserve"> </w:t>
      </w:r>
      <w:r w:rsidRPr="00F55305" w:rsidR="0026238F">
        <w:rPr>
          <w:lang w:val="en-GB"/>
        </w:rPr>
        <w:t>amounted to deprivation of liberty within the meaning of A</w:t>
      </w:r>
      <w:r w:rsidRPr="00F55305" w:rsidR="008F4E10">
        <w:rPr>
          <w:lang w:val="en-GB"/>
        </w:rPr>
        <w:t>rticle 5</w:t>
      </w:r>
      <w:r w:rsidRPr="00F55305">
        <w:rPr>
          <w:lang w:val="en-GB"/>
        </w:rPr>
        <w:t xml:space="preserve"> </w:t>
      </w:r>
      <w:r w:rsidRPr="00F55305" w:rsidR="008F4E10">
        <w:rPr>
          <w:lang w:val="en-GB"/>
        </w:rPr>
        <w:t>of the Convention</w:t>
      </w:r>
      <w:r w:rsidRPr="00F55305">
        <w:rPr>
          <w:lang w:val="en-GB"/>
        </w:rPr>
        <w:t>.</w:t>
      </w:r>
      <w:bookmarkEnd w:id="159"/>
      <w:r w:rsidRPr="00F55305">
        <w:rPr>
          <w:lang w:val="en-GB"/>
        </w:rPr>
        <w:t xml:space="preserve"> </w:t>
      </w:r>
      <w:bookmarkStart w:name="lt_pId232" w:id="160"/>
      <w:r w:rsidRPr="00F55305" w:rsidR="0026238F">
        <w:rPr>
          <w:lang w:val="en-GB"/>
        </w:rPr>
        <w:t xml:space="preserve">In any event, it </w:t>
      </w:r>
      <w:r w:rsidRPr="00F55305" w:rsidR="00BC0B54">
        <w:rPr>
          <w:lang w:val="en-GB"/>
        </w:rPr>
        <w:t xml:space="preserve">notes that it has already examined </w:t>
      </w:r>
      <w:r w:rsidRPr="00F55305" w:rsidR="00F2483B">
        <w:rPr>
          <w:lang w:val="en-GB"/>
        </w:rPr>
        <w:t xml:space="preserve">a similar </w:t>
      </w:r>
      <w:r w:rsidRPr="00F55305">
        <w:rPr>
          <w:lang w:val="en-GB"/>
        </w:rPr>
        <w:t>placement</w:t>
      </w:r>
      <w:r w:rsidRPr="00F55305" w:rsidR="00F2483B">
        <w:rPr>
          <w:lang w:val="en-GB"/>
        </w:rPr>
        <w:t xml:space="preserve"> in the institution in question and </w:t>
      </w:r>
      <w:r w:rsidRPr="00F55305">
        <w:rPr>
          <w:lang w:val="en-GB"/>
        </w:rPr>
        <w:t>conclu</w:t>
      </w:r>
      <w:r w:rsidRPr="00F55305" w:rsidR="00F2483B">
        <w:rPr>
          <w:lang w:val="en-GB"/>
        </w:rPr>
        <w:t>ded</w:t>
      </w:r>
      <w:r w:rsidRPr="00F55305">
        <w:rPr>
          <w:lang w:val="en-GB"/>
        </w:rPr>
        <w:t xml:space="preserve"> </w:t>
      </w:r>
      <w:r w:rsidRPr="00F55305" w:rsidR="00F2483B">
        <w:rPr>
          <w:lang w:val="en-GB"/>
        </w:rPr>
        <w:t xml:space="preserve">that such a measure had deprived the children concerned of their liberty, considering in particular </w:t>
      </w:r>
      <w:r w:rsidRPr="00F55305" w:rsidR="007703E4">
        <w:rPr>
          <w:lang w:val="en-GB"/>
        </w:rPr>
        <w:t xml:space="preserve">the system of permanent supervision, </w:t>
      </w:r>
      <w:r w:rsidRPr="00F55305" w:rsidR="003D46EF">
        <w:rPr>
          <w:lang w:val="en-GB"/>
        </w:rPr>
        <w:t xml:space="preserve">the need for permission in order to </w:t>
      </w:r>
      <w:r w:rsidRPr="00F55305" w:rsidR="007703E4">
        <w:rPr>
          <w:lang w:val="en-GB"/>
        </w:rPr>
        <w:t xml:space="preserve">leave </w:t>
      </w:r>
      <w:r w:rsidRPr="00F55305" w:rsidR="003D46EF">
        <w:rPr>
          <w:lang w:val="en-GB"/>
        </w:rPr>
        <w:t xml:space="preserve">the premises and the </w:t>
      </w:r>
      <w:r w:rsidRPr="00F55305" w:rsidR="007703E4">
        <w:rPr>
          <w:lang w:val="en-GB"/>
        </w:rPr>
        <w:t>duration of the placement</w:t>
      </w:r>
      <w:r w:rsidRPr="00F55305">
        <w:rPr>
          <w:lang w:val="en-GB"/>
        </w:rPr>
        <w:t xml:space="preserve"> (</w:t>
      </w:r>
      <w:r w:rsidRPr="00F55305" w:rsidR="008C1A2E">
        <w:rPr>
          <w:lang w:val="en-GB"/>
        </w:rPr>
        <w:t xml:space="preserve">see </w:t>
      </w:r>
      <w:r w:rsidRPr="00F55305">
        <w:rPr>
          <w:i/>
          <w:lang w:val="en-GB"/>
        </w:rPr>
        <w:t>A</w:t>
      </w:r>
      <w:r w:rsidRPr="00F55305" w:rsidR="001B24F2">
        <w:rPr>
          <w:i/>
          <w:lang w:val="en-GB"/>
        </w:rPr>
        <w:t>.</w:t>
      </w:r>
      <w:r w:rsidRPr="00F55305">
        <w:rPr>
          <w:i/>
          <w:lang w:val="en-GB"/>
        </w:rPr>
        <w:t> </w:t>
      </w:r>
      <w:r w:rsidRPr="00F55305" w:rsidR="008C1A2E">
        <w:rPr>
          <w:i/>
          <w:lang w:val="en-GB"/>
        </w:rPr>
        <w:t>and Others v. Bulgaria</w:t>
      </w:r>
      <w:r w:rsidRPr="00F55305">
        <w:rPr>
          <w:lang w:val="en-GB"/>
        </w:rPr>
        <w:t>, n</w:t>
      </w:r>
      <w:r w:rsidRPr="00F55305" w:rsidR="008C1A2E">
        <w:rPr>
          <w:lang w:val="en-GB"/>
        </w:rPr>
        <w:t>o.</w:t>
      </w:r>
      <w:r w:rsidRPr="00F55305">
        <w:rPr>
          <w:lang w:val="en-GB"/>
        </w:rPr>
        <w:t xml:space="preserve"> 51776/08</w:t>
      </w:r>
      <w:r w:rsidRPr="00F55305" w:rsidR="003D46EF">
        <w:rPr>
          <w:snapToGrid w:val="0"/>
          <w:szCs w:val="24"/>
          <w:lang w:val="en-GB"/>
        </w:rPr>
        <w:t>, §§ </w:t>
      </w:r>
      <w:r w:rsidRPr="00F55305">
        <w:rPr>
          <w:snapToGrid w:val="0"/>
          <w:szCs w:val="24"/>
          <w:lang w:val="en-GB"/>
        </w:rPr>
        <w:t xml:space="preserve">62-63, 29 </w:t>
      </w:r>
      <w:r w:rsidRPr="00F55305" w:rsidR="008C1A2E">
        <w:rPr>
          <w:snapToGrid w:val="0"/>
          <w:szCs w:val="24"/>
          <w:lang w:val="en-GB"/>
        </w:rPr>
        <w:t>November</w:t>
      </w:r>
      <w:r w:rsidRPr="00F55305">
        <w:rPr>
          <w:snapToGrid w:val="0"/>
          <w:szCs w:val="24"/>
          <w:lang w:val="en-GB"/>
        </w:rPr>
        <w:t xml:space="preserve"> 2011).</w:t>
      </w:r>
      <w:bookmarkEnd w:id="160"/>
      <w:r w:rsidRPr="00F55305">
        <w:rPr>
          <w:snapToGrid w:val="0"/>
          <w:szCs w:val="24"/>
          <w:lang w:val="en-GB"/>
        </w:rPr>
        <w:t xml:space="preserve"> </w:t>
      </w:r>
      <w:bookmarkStart w:name="lt_pId233" w:id="161"/>
      <w:r w:rsidRPr="00F55305" w:rsidR="003D46EF">
        <w:rPr>
          <w:snapToGrid w:val="0"/>
          <w:szCs w:val="24"/>
          <w:lang w:val="en-GB"/>
        </w:rPr>
        <w:t>Since this system remains unchanged, the Court sees no reason to depart from that finding in the present case and concludes that the applicant</w:t>
      </w:r>
      <w:r w:rsidRPr="00F55305" w:rsidR="00F55305">
        <w:rPr>
          <w:snapToGrid w:val="0"/>
          <w:szCs w:val="24"/>
          <w:lang w:val="en-GB"/>
        </w:rPr>
        <w:t>’</w:t>
      </w:r>
      <w:r w:rsidRPr="00F55305" w:rsidR="003D46EF">
        <w:rPr>
          <w:snapToGrid w:val="0"/>
          <w:szCs w:val="24"/>
          <w:lang w:val="en-GB"/>
        </w:rPr>
        <w:t>s placement in the school likewise amounted to deprivation of liberty</w:t>
      </w:r>
      <w:r w:rsidRPr="00F55305">
        <w:rPr>
          <w:snapToGrid w:val="0"/>
          <w:szCs w:val="24"/>
          <w:lang w:val="en-GB"/>
        </w:rPr>
        <w:t>.</w:t>
      </w:r>
      <w:bookmarkEnd w:id="161"/>
    </w:p>
    <w:p w:rsidRPr="00F55305" w:rsidR="00711D81" w:rsidP="00F55305" w:rsidRDefault="00711D81">
      <w:pPr>
        <w:pStyle w:val="ECHRPara"/>
        <w:rPr>
          <w:snapToGrid w:val="0"/>
          <w:szCs w:val="24"/>
          <w:lang w:val="en-GB"/>
        </w:rPr>
      </w:pPr>
      <w:r w:rsidRPr="00F55305">
        <w:rPr>
          <w:snapToGrid w:val="0"/>
          <w:szCs w:val="24"/>
          <w:lang w:val="en-GB"/>
        </w:rPr>
        <w:fldChar w:fldCharType="begin"/>
      </w:r>
      <w:r w:rsidRPr="00F55305">
        <w:rPr>
          <w:snapToGrid w:val="0"/>
          <w:szCs w:val="24"/>
          <w:lang w:val="en-GB"/>
        </w:rPr>
        <w:instrText xml:space="preserve"> SEQ level0 \*arabic </w:instrText>
      </w:r>
      <w:r w:rsidRPr="00F55305">
        <w:rPr>
          <w:snapToGrid w:val="0"/>
          <w:szCs w:val="24"/>
          <w:lang w:val="en-GB"/>
        </w:rPr>
        <w:fldChar w:fldCharType="separate"/>
      </w:r>
      <w:r w:rsidR="00F55305">
        <w:rPr>
          <w:noProof/>
          <w:snapToGrid w:val="0"/>
          <w:szCs w:val="24"/>
          <w:lang w:val="en-GB"/>
        </w:rPr>
        <w:t>70</w:t>
      </w:r>
      <w:r w:rsidRPr="00F55305">
        <w:rPr>
          <w:snapToGrid w:val="0"/>
          <w:szCs w:val="24"/>
          <w:lang w:val="en-GB"/>
        </w:rPr>
        <w:fldChar w:fldCharType="end"/>
      </w:r>
      <w:r w:rsidRPr="00F55305">
        <w:rPr>
          <w:snapToGrid w:val="0"/>
          <w:szCs w:val="24"/>
          <w:lang w:val="en-GB"/>
        </w:rPr>
        <w:t>.  </w:t>
      </w:r>
      <w:bookmarkStart w:name="lt_pId235" w:id="162"/>
      <w:r w:rsidRPr="00F55305" w:rsidR="000F2B78">
        <w:rPr>
          <w:snapToGrid w:val="0"/>
          <w:szCs w:val="24"/>
          <w:lang w:val="en-GB"/>
        </w:rPr>
        <w:t>The applicant</w:t>
      </w:r>
      <w:r w:rsidRPr="00F55305">
        <w:rPr>
          <w:snapToGrid w:val="0"/>
          <w:szCs w:val="24"/>
          <w:lang w:val="en-GB"/>
        </w:rPr>
        <w:t xml:space="preserve"> </w:t>
      </w:r>
      <w:r w:rsidRPr="00F55305" w:rsidR="006610E0">
        <w:rPr>
          <w:snapToGrid w:val="0"/>
          <w:szCs w:val="24"/>
          <w:lang w:val="en-GB"/>
        </w:rPr>
        <w:t>contended that her</w:t>
      </w:r>
      <w:r w:rsidRPr="00F55305">
        <w:rPr>
          <w:snapToGrid w:val="0"/>
          <w:szCs w:val="24"/>
          <w:lang w:val="en-GB"/>
        </w:rPr>
        <w:t xml:space="preserve"> placement </w:t>
      </w:r>
      <w:r w:rsidRPr="00F55305" w:rsidR="006610E0">
        <w:rPr>
          <w:snapToGrid w:val="0"/>
          <w:szCs w:val="24"/>
          <w:lang w:val="en-GB"/>
        </w:rPr>
        <w:t xml:space="preserve">did not fall within any of the </w:t>
      </w:r>
      <w:r w:rsidRPr="00F55305">
        <w:rPr>
          <w:snapToGrid w:val="0"/>
          <w:szCs w:val="24"/>
          <w:lang w:val="en-GB"/>
        </w:rPr>
        <w:t xml:space="preserve">situations </w:t>
      </w:r>
      <w:r w:rsidRPr="00F55305" w:rsidR="006610E0">
        <w:rPr>
          <w:snapToGrid w:val="0"/>
          <w:szCs w:val="24"/>
          <w:lang w:val="en-GB"/>
        </w:rPr>
        <w:t>contemplated in</w:t>
      </w:r>
      <w:r w:rsidRPr="00F55305">
        <w:rPr>
          <w:snapToGrid w:val="0"/>
          <w:szCs w:val="24"/>
          <w:lang w:val="en-GB"/>
        </w:rPr>
        <w:t xml:space="preserve"> </w:t>
      </w:r>
      <w:r w:rsidRPr="00F55305" w:rsidR="008F4E10">
        <w:rPr>
          <w:snapToGrid w:val="0"/>
          <w:szCs w:val="24"/>
          <w:lang w:val="en-GB"/>
        </w:rPr>
        <w:t>Article 5</w:t>
      </w:r>
      <w:r w:rsidRPr="00F55305">
        <w:rPr>
          <w:snapToGrid w:val="0"/>
          <w:szCs w:val="24"/>
          <w:lang w:val="en-GB"/>
        </w:rPr>
        <w:t xml:space="preserve"> § 1, </w:t>
      </w:r>
      <w:r w:rsidRPr="00F55305" w:rsidR="006610E0">
        <w:rPr>
          <w:snapToGrid w:val="0"/>
          <w:szCs w:val="24"/>
          <w:lang w:val="en-GB"/>
        </w:rPr>
        <w:t>in particular those covered by sub-paragraphs</w:t>
      </w:r>
      <w:r w:rsidRPr="00F55305">
        <w:rPr>
          <w:snapToGrid w:val="0"/>
          <w:szCs w:val="24"/>
          <w:lang w:val="en-GB"/>
        </w:rPr>
        <w:t xml:space="preserve"> </w:t>
      </w:r>
      <w:r w:rsidRPr="00F55305" w:rsidR="008C1A2E">
        <w:rPr>
          <w:snapToGrid w:val="0"/>
          <w:szCs w:val="24"/>
          <w:lang w:val="en-GB"/>
        </w:rPr>
        <w:t>(</w:t>
      </w:r>
      <w:r w:rsidRPr="00F55305">
        <w:rPr>
          <w:snapToGrid w:val="0"/>
          <w:szCs w:val="24"/>
          <w:lang w:val="en-GB"/>
        </w:rPr>
        <w:t xml:space="preserve">a) </w:t>
      </w:r>
      <w:r w:rsidRPr="00F55305" w:rsidR="008C1A2E">
        <w:rPr>
          <w:snapToGrid w:val="0"/>
          <w:szCs w:val="24"/>
          <w:lang w:val="en-GB"/>
        </w:rPr>
        <w:t>and</w:t>
      </w:r>
      <w:r w:rsidRPr="00F55305">
        <w:rPr>
          <w:snapToGrid w:val="0"/>
          <w:szCs w:val="24"/>
          <w:lang w:val="en-GB"/>
        </w:rPr>
        <w:t xml:space="preserve"> </w:t>
      </w:r>
      <w:r w:rsidRPr="00F55305" w:rsidR="008C1A2E">
        <w:rPr>
          <w:snapToGrid w:val="0"/>
          <w:szCs w:val="24"/>
          <w:lang w:val="en-GB"/>
        </w:rPr>
        <w:t>(</w:t>
      </w:r>
      <w:r w:rsidRPr="00F55305">
        <w:rPr>
          <w:snapToGrid w:val="0"/>
          <w:szCs w:val="24"/>
          <w:lang w:val="en-GB"/>
        </w:rPr>
        <w:t>d).</w:t>
      </w:r>
      <w:bookmarkEnd w:id="162"/>
      <w:r w:rsidRPr="00F55305">
        <w:rPr>
          <w:snapToGrid w:val="0"/>
          <w:szCs w:val="24"/>
          <w:lang w:val="en-GB"/>
        </w:rPr>
        <w:t xml:space="preserve"> </w:t>
      </w:r>
      <w:bookmarkStart w:name="lt_pId236" w:id="163"/>
      <w:r w:rsidRPr="00F55305" w:rsidR="000F2B78">
        <w:rPr>
          <w:snapToGrid w:val="0"/>
          <w:szCs w:val="24"/>
          <w:lang w:val="en-GB"/>
        </w:rPr>
        <w:t>The Government</w:t>
      </w:r>
      <w:r w:rsidRPr="00F55305">
        <w:rPr>
          <w:snapToGrid w:val="0"/>
          <w:szCs w:val="24"/>
          <w:lang w:val="en-GB"/>
        </w:rPr>
        <w:t xml:space="preserve">, </w:t>
      </w:r>
      <w:r w:rsidRPr="00F55305" w:rsidR="006610E0">
        <w:rPr>
          <w:snapToGrid w:val="0"/>
          <w:szCs w:val="24"/>
          <w:lang w:val="en-GB"/>
        </w:rPr>
        <w:t>for their part, submitted that</w:t>
      </w:r>
      <w:r w:rsidRPr="00F55305">
        <w:rPr>
          <w:snapToGrid w:val="0"/>
          <w:szCs w:val="24"/>
          <w:lang w:val="en-GB"/>
        </w:rPr>
        <w:t xml:space="preserve"> </w:t>
      </w:r>
      <w:r w:rsidRPr="00F55305" w:rsidR="008F4E10">
        <w:rPr>
          <w:snapToGrid w:val="0"/>
          <w:szCs w:val="24"/>
          <w:lang w:val="en-GB"/>
        </w:rPr>
        <w:t>Article 5</w:t>
      </w:r>
      <w:r w:rsidRPr="00F55305">
        <w:rPr>
          <w:snapToGrid w:val="0"/>
          <w:szCs w:val="24"/>
          <w:lang w:val="en-GB"/>
        </w:rPr>
        <w:t xml:space="preserve"> § 1 </w:t>
      </w:r>
      <w:r w:rsidRPr="00F55305" w:rsidR="008C1A2E">
        <w:rPr>
          <w:snapToGrid w:val="0"/>
          <w:szCs w:val="24"/>
          <w:lang w:val="en-GB"/>
        </w:rPr>
        <w:t>(</w:t>
      </w:r>
      <w:r w:rsidRPr="00F55305">
        <w:rPr>
          <w:snapToGrid w:val="0"/>
          <w:szCs w:val="24"/>
          <w:lang w:val="en-GB"/>
        </w:rPr>
        <w:t xml:space="preserve">a) </w:t>
      </w:r>
      <w:r w:rsidRPr="00F55305" w:rsidR="006610E0">
        <w:rPr>
          <w:snapToGrid w:val="0"/>
          <w:szCs w:val="24"/>
          <w:lang w:val="en-GB"/>
        </w:rPr>
        <w:t xml:space="preserve">was not applicable in the present case, but that the measure complained of was in accordance with </w:t>
      </w:r>
      <w:r w:rsidRPr="00F55305" w:rsidR="008F4E10">
        <w:rPr>
          <w:snapToGrid w:val="0"/>
          <w:szCs w:val="24"/>
          <w:lang w:val="en-GB"/>
        </w:rPr>
        <w:t>Article 5</w:t>
      </w:r>
      <w:r w:rsidRPr="00F55305">
        <w:rPr>
          <w:snapToGrid w:val="0"/>
          <w:szCs w:val="24"/>
          <w:lang w:val="en-GB"/>
        </w:rPr>
        <w:t xml:space="preserve"> § 1 </w:t>
      </w:r>
      <w:r w:rsidRPr="00F55305" w:rsidR="008C1A2E">
        <w:rPr>
          <w:snapToGrid w:val="0"/>
          <w:szCs w:val="24"/>
          <w:lang w:val="en-GB"/>
        </w:rPr>
        <w:t>(</w:t>
      </w:r>
      <w:r w:rsidRPr="00F55305">
        <w:rPr>
          <w:snapToGrid w:val="0"/>
          <w:szCs w:val="24"/>
          <w:lang w:val="en-GB"/>
        </w:rPr>
        <w:t>d).</w:t>
      </w:r>
      <w:bookmarkEnd w:id="163"/>
      <w:r w:rsidRPr="00F55305">
        <w:rPr>
          <w:snapToGrid w:val="0"/>
          <w:szCs w:val="24"/>
          <w:lang w:val="en-GB"/>
        </w:rPr>
        <w:t xml:space="preserve"> </w:t>
      </w:r>
      <w:bookmarkStart w:name="lt_pId237" w:id="164"/>
      <w:r w:rsidRPr="00F55305" w:rsidR="006610E0">
        <w:rPr>
          <w:snapToGrid w:val="0"/>
          <w:szCs w:val="24"/>
          <w:lang w:val="en-GB"/>
        </w:rPr>
        <w:t xml:space="preserve">As a result, and bearing in mind that that provision was applied in relation to the placement considered in the case of </w:t>
      </w:r>
      <w:r w:rsidRPr="00F55305">
        <w:rPr>
          <w:i/>
          <w:snapToGrid w:val="0"/>
          <w:szCs w:val="24"/>
          <w:lang w:val="en-GB"/>
        </w:rPr>
        <w:t>A</w:t>
      </w:r>
      <w:r w:rsidRPr="00F55305" w:rsidR="001B24F2">
        <w:rPr>
          <w:i/>
          <w:snapToGrid w:val="0"/>
          <w:szCs w:val="24"/>
          <w:lang w:val="en-GB"/>
        </w:rPr>
        <w:t>.</w:t>
      </w:r>
      <w:r w:rsidRPr="00F55305">
        <w:rPr>
          <w:i/>
          <w:snapToGrid w:val="0"/>
          <w:szCs w:val="24"/>
          <w:lang w:val="en-GB"/>
        </w:rPr>
        <w:t xml:space="preserve"> </w:t>
      </w:r>
      <w:r w:rsidRPr="00F55305" w:rsidR="008C1A2E">
        <w:rPr>
          <w:i/>
          <w:snapToGrid w:val="0"/>
          <w:szCs w:val="24"/>
          <w:lang w:val="en-GB"/>
        </w:rPr>
        <w:t>and Others</w:t>
      </w:r>
      <w:r w:rsidRPr="00F55305" w:rsidR="007C46B5">
        <w:rPr>
          <w:i/>
          <w:snapToGrid w:val="0"/>
          <w:szCs w:val="24"/>
          <w:lang w:val="en-GB"/>
        </w:rPr>
        <w:t xml:space="preserve"> v. Bulgaria</w:t>
      </w:r>
      <w:r w:rsidRPr="00F55305">
        <w:rPr>
          <w:snapToGrid w:val="0"/>
          <w:szCs w:val="24"/>
          <w:lang w:val="en-GB"/>
        </w:rPr>
        <w:t xml:space="preserve"> (</w:t>
      </w:r>
      <w:r w:rsidRPr="00F55305" w:rsidR="00BD277E">
        <w:rPr>
          <w:snapToGrid w:val="0"/>
          <w:szCs w:val="24"/>
          <w:lang w:val="en-GB"/>
        </w:rPr>
        <w:t>cited above</w:t>
      </w:r>
      <w:r w:rsidRPr="00F55305">
        <w:rPr>
          <w:snapToGrid w:val="0"/>
          <w:szCs w:val="24"/>
          <w:lang w:val="en-GB"/>
        </w:rPr>
        <w:t xml:space="preserve">), </w:t>
      </w:r>
      <w:r w:rsidRPr="00F55305" w:rsidR="008C1A2E">
        <w:rPr>
          <w:snapToGrid w:val="0"/>
          <w:szCs w:val="24"/>
          <w:lang w:val="en-GB"/>
        </w:rPr>
        <w:t>the Court</w:t>
      </w:r>
      <w:r w:rsidRPr="00F55305" w:rsidR="006610E0">
        <w:rPr>
          <w:snapToGrid w:val="0"/>
          <w:szCs w:val="24"/>
          <w:lang w:val="en-GB"/>
        </w:rPr>
        <w:t xml:space="preserve"> will focus firstly on whether the applicant</w:t>
      </w:r>
      <w:r w:rsidRPr="00F55305" w:rsidR="00F55305">
        <w:rPr>
          <w:snapToGrid w:val="0"/>
          <w:szCs w:val="24"/>
          <w:lang w:val="en-GB"/>
        </w:rPr>
        <w:t>’</w:t>
      </w:r>
      <w:r w:rsidRPr="00F55305" w:rsidR="006610E0">
        <w:rPr>
          <w:snapToGrid w:val="0"/>
          <w:szCs w:val="24"/>
          <w:lang w:val="en-GB"/>
        </w:rPr>
        <w:t xml:space="preserve">s </w:t>
      </w:r>
      <w:r w:rsidRPr="00F55305">
        <w:rPr>
          <w:snapToGrid w:val="0"/>
          <w:szCs w:val="24"/>
          <w:lang w:val="en-GB"/>
        </w:rPr>
        <w:t xml:space="preserve">placement </w:t>
      </w:r>
      <w:r w:rsidRPr="00F55305" w:rsidR="006610E0">
        <w:rPr>
          <w:snapToGrid w:val="0"/>
          <w:szCs w:val="24"/>
          <w:lang w:val="en-GB"/>
        </w:rPr>
        <w:t>in</w:t>
      </w:r>
      <w:r w:rsidRPr="00F55305">
        <w:rPr>
          <w:snapToGrid w:val="0"/>
          <w:szCs w:val="24"/>
          <w:lang w:val="en-GB"/>
        </w:rPr>
        <w:t xml:space="preserve"> </w:t>
      </w:r>
      <w:r w:rsidRPr="00F55305" w:rsidR="003B5A4F">
        <w:rPr>
          <w:snapToGrid w:val="0"/>
          <w:szCs w:val="24"/>
          <w:lang w:val="en-GB"/>
        </w:rPr>
        <w:t>the Podem school</w:t>
      </w:r>
      <w:r w:rsidRPr="00F55305">
        <w:rPr>
          <w:snapToGrid w:val="0"/>
          <w:szCs w:val="24"/>
          <w:lang w:val="en-GB"/>
        </w:rPr>
        <w:t xml:space="preserve"> </w:t>
      </w:r>
      <w:r w:rsidRPr="00F55305" w:rsidR="006610E0">
        <w:rPr>
          <w:snapToGrid w:val="0"/>
          <w:szCs w:val="24"/>
          <w:lang w:val="en-GB"/>
        </w:rPr>
        <w:t xml:space="preserve">was in accordance with </w:t>
      </w:r>
      <w:r w:rsidRPr="00F55305" w:rsidR="008C1A2E">
        <w:rPr>
          <w:snapToGrid w:val="0"/>
          <w:szCs w:val="24"/>
          <w:lang w:val="en-GB"/>
        </w:rPr>
        <w:t>Article 5 § 1 (d)</w:t>
      </w:r>
      <w:r w:rsidRPr="00F55305">
        <w:rPr>
          <w:snapToGrid w:val="0"/>
          <w:szCs w:val="24"/>
          <w:lang w:val="en-GB"/>
        </w:rPr>
        <w:t>.</w:t>
      </w:r>
      <w:bookmarkEnd w:id="164"/>
    </w:p>
    <w:p w:rsidRPr="00F55305" w:rsidR="00711D81" w:rsidP="00F55305" w:rsidRDefault="00711D81">
      <w:pPr>
        <w:pStyle w:val="ECHRPara"/>
        <w:rPr>
          <w:i/>
          <w:lang w:val="en-GB"/>
        </w:rPr>
      </w:pPr>
      <w:r w:rsidRPr="00F55305">
        <w:rPr>
          <w:snapToGrid w:val="0"/>
          <w:szCs w:val="24"/>
          <w:lang w:val="en-GB"/>
        </w:rPr>
        <w:fldChar w:fldCharType="begin"/>
      </w:r>
      <w:r w:rsidRPr="00F55305">
        <w:rPr>
          <w:snapToGrid w:val="0"/>
          <w:szCs w:val="24"/>
          <w:lang w:val="en-GB"/>
        </w:rPr>
        <w:instrText xml:space="preserve"> SEQ level0 \*arabic </w:instrText>
      </w:r>
      <w:r w:rsidRPr="00F55305">
        <w:rPr>
          <w:snapToGrid w:val="0"/>
          <w:szCs w:val="24"/>
          <w:lang w:val="en-GB"/>
        </w:rPr>
        <w:fldChar w:fldCharType="separate"/>
      </w:r>
      <w:r w:rsidR="00F55305">
        <w:rPr>
          <w:noProof/>
          <w:snapToGrid w:val="0"/>
          <w:szCs w:val="24"/>
          <w:lang w:val="en-GB"/>
        </w:rPr>
        <w:t>71</w:t>
      </w:r>
      <w:r w:rsidRPr="00F55305">
        <w:rPr>
          <w:snapToGrid w:val="0"/>
          <w:szCs w:val="24"/>
          <w:lang w:val="en-GB"/>
        </w:rPr>
        <w:fldChar w:fldCharType="end"/>
      </w:r>
      <w:r w:rsidRPr="00F55305">
        <w:rPr>
          <w:snapToGrid w:val="0"/>
          <w:szCs w:val="24"/>
          <w:lang w:val="en-GB"/>
        </w:rPr>
        <w:t>.  </w:t>
      </w:r>
      <w:bookmarkStart w:name="lt_pId239" w:id="165"/>
      <w:r w:rsidRPr="00F55305" w:rsidR="007C45F3">
        <w:rPr>
          <w:lang w:val="en-GB"/>
        </w:rPr>
        <w:t>It observes in this connection that the first part of</w:t>
      </w:r>
      <w:r w:rsidRPr="00F55305">
        <w:rPr>
          <w:lang w:val="en-GB"/>
        </w:rPr>
        <w:t xml:space="preserve"> </w:t>
      </w:r>
      <w:r w:rsidRPr="00F55305" w:rsidR="008C1A2E">
        <w:rPr>
          <w:lang w:val="en-GB"/>
        </w:rPr>
        <w:t>Article 5 § 1 (d)</w:t>
      </w:r>
      <w:r w:rsidRPr="00F55305">
        <w:rPr>
          <w:lang w:val="en-GB"/>
        </w:rPr>
        <w:t xml:space="preserve"> </w:t>
      </w:r>
      <w:r w:rsidRPr="00F55305" w:rsidR="007C45F3">
        <w:rPr>
          <w:lang w:val="en-GB"/>
        </w:rPr>
        <w:t>provides for de</w:t>
      </w:r>
      <w:r w:rsidRPr="00F55305">
        <w:rPr>
          <w:lang w:val="en-GB"/>
        </w:rPr>
        <w:t xml:space="preserve">privation </w:t>
      </w:r>
      <w:r w:rsidRPr="00F55305" w:rsidR="007C45F3">
        <w:rPr>
          <w:lang w:val="en-GB"/>
        </w:rPr>
        <w:t>of liberty in a minor</w:t>
      </w:r>
      <w:r w:rsidRPr="00F55305" w:rsidR="00F55305">
        <w:rPr>
          <w:lang w:val="en-GB"/>
        </w:rPr>
        <w:t>’</w:t>
      </w:r>
      <w:r w:rsidRPr="00F55305" w:rsidR="007C45F3">
        <w:rPr>
          <w:lang w:val="en-GB"/>
        </w:rPr>
        <w:t xml:space="preserve">s own interests regardless of whether the minor is suspected of having committed a criminal offence or is simply a child </w:t>
      </w:r>
      <w:r w:rsidRPr="00F55305" w:rsidR="00142AD9">
        <w:rPr>
          <w:lang w:val="en-GB"/>
        </w:rPr>
        <w:t>“</w:t>
      </w:r>
      <w:r w:rsidRPr="00F55305" w:rsidR="007C45F3">
        <w:rPr>
          <w:lang w:val="en-GB"/>
        </w:rPr>
        <w:t>at risk</w:t>
      </w:r>
      <w:r w:rsidRPr="00F55305" w:rsidR="00142AD9">
        <w:rPr>
          <w:lang w:val="en-GB"/>
        </w:rPr>
        <w:t>”</w:t>
      </w:r>
      <w:r w:rsidRPr="00F55305">
        <w:rPr>
          <w:lang w:val="en-GB"/>
        </w:rPr>
        <w:t>.</w:t>
      </w:r>
      <w:bookmarkEnd w:id="165"/>
      <w:r w:rsidRPr="00F55305">
        <w:rPr>
          <w:lang w:val="en-GB"/>
        </w:rPr>
        <w:t xml:space="preserve"> </w:t>
      </w:r>
      <w:bookmarkStart w:name="lt_pId240" w:id="166"/>
      <w:r w:rsidRPr="00F55305" w:rsidR="007C45F3">
        <w:rPr>
          <w:lang w:val="en-GB"/>
        </w:rPr>
        <w:t xml:space="preserve">It allows for the detention of a minor where this has been ordered for the purpose of educational supervision </w:t>
      </w:r>
      <w:r w:rsidRPr="00F55305">
        <w:rPr>
          <w:lang w:val="en-GB"/>
        </w:rPr>
        <w:t>(</w:t>
      </w:r>
      <w:r w:rsidRPr="00F55305" w:rsidR="007C45F3">
        <w:rPr>
          <w:lang w:val="en-GB"/>
        </w:rPr>
        <w:t xml:space="preserve">see </w:t>
      </w:r>
      <w:r w:rsidRPr="00F55305">
        <w:rPr>
          <w:i/>
          <w:snapToGrid w:val="0"/>
          <w:szCs w:val="24"/>
          <w:lang w:val="en-GB"/>
        </w:rPr>
        <w:t xml:space="preserve">A. </w:t>
      </w:r>
      <w:r w:rsidRPr="00F55305" w:rsidR="008C1A2E">
        <w:rPr>
          <w:i/>
          <w:snapToGrid w:val="0"/>
          <w:szCs w:val="24"/>
          <w:lang w:val="en-GB"/>
        </w:rPr>
        <w:t>and Others</w:t>
      </w:r>
      <w:r w:rsidRPr="00F55305" w:rsidR="007C46B5">
        <w:rPr>
          <w:i/>
          <w:snapToGrid w:val="0"/>
          <w:szCs w:val="24"/>
          <w:lang w:val="en-GB"/>
        </w:rPr>
        <w:t xml:space="preserve"> v. Bulgaria</w:t>
      </w:r>
      <w:r w:rsidRPr="00F55305">
        <w:rPr>
          <w:snapToGrid w:val="0"/>
          <w:szCs w:val="24"/>
          <w:lang w:val="en-GB"/>
        </w:rPr>
        <w:t xml:space="preserve">, </w:t>
      </w:r>
      <w:r w:rsidRPr="00F55305" w:rsidR="00BD277E">
        <w:rPr>
          <w:snapToGrid w:val="0"/>
          <w:szCs w:val="24"/>
          <w:lang w:val="en-GB"/>
        </w:rPr>
        <w:t>cited above</w:t>
      </w:r>
      <w:r w:rsidRPr="00F55305">
        <w:rPr>
          <w:snapToGrid w:val="0"/>
          <w:szCs w:val="24"/>
          <w:lang w:val="en-GB"/>
        </w:rPr>
        <w:t>, § 66)</w:t>
      </w:r>
      <w:r w:rsidRPr="00F55305">
        <w:rPr>
          <w:lang w:val="en-GB"/>
        </w:rPr>
        <w:t>.</w:t>
      </w:r>
      <w:bookmarkEnd w:id="166"/>
      <w:r w:rsidRPr="00F55305">
        <w:rPr>
          <w:lang w:val="en-GB"/>
        </w:rPr>
        <w:t xml:space="preserve"> </w:t>
      </w:r>
      <w:bookmarkStart w:name="lt_pId241" w:id="167"/>
      <w:r w:rsidRPr="00F55305" w:rsidR="007C45F3">
        <w:rPr>
          <w:lang w:val="en-GB"/>
        </w:rPr>
        <w:t>Since t</w:t>
      </w:r>
      <w:r w:rsidRPr="00F55305" w:rsidR="000F2B78">
        <w:rPr>
          <w:lang w:val="en-GB"/>
        </w:rPr>
        <w:t>he applicant</w:t>
      </w:r>
      <w:r w:rsidRPr="00F55305">
        <w:rPr>
          <w:lang w:val="en-GB"/>
        </w:rPr>
        <w:t xml:space="preserve"> </w:t>
      </w:r>
      <w:r w:rsidRPr="00F55305" w:rsidR="007C45F3">
        <w:rPr>
          <w:lang w:val="en-GB"/>
        </w:rPr>
        <w:t xml:space="preserve">did not reach the age of majority during the </w:t>
      </w:r>
      <w:r w:rsidRPr="00F55305" w:rsidR="002B2FDF">
        <w:rPr>
          <w:lang w:val="en-GB"/>
        </w:rPr>
        <w:t>application</w:t>
      </w:r>
      <w:r w:rsidRPr="00F55305" w:rsidR="007C45F3">
        <w:rPr>
          <w:lang w:val="en-GB"/>
        </w:rPr>
        <w:t xml:space="preserve"> of the measure in issue, the only question for the Court is whether her detention was lawful and</w:t>
      </w:r>
      <w:r w:rsidRPr="00F55305" w:rsidR="002B2FDF">
        <w:rPr>
          <w:lang w:val="en-GB"/>
        </w:rPr>
        <w:t xml:space="preserve"> was</w:t>
      </w:r>
      <w:r w:rsidRPr="00F55305" w:rsidR="007C45F3">
        <w:rPr>
          <w:lang w:val="en-GB"/>
        </w:rPr>
        <w:t xml:space="preserve"> ordered </w:t>
      </w:r>
      <w:r w:rsidRPr="00F55305" w:rsidR="00142AD9">
        <w:rPr>
          <w:lang w:val="en-GB"/>
        </w:rPr>
        <w:t>“</w:t>
      </w:r>
      <w:r w:rsidRPr="00F55305" w:rsidR="007C45F3">
        <w:rPr>
          <w:lang w:val="en-GB"/>
        </w:rPr>
        <w:t>for the purpose</w:t>
      </w:r>
      <w:r w:rsidRPr="00F55305" w:rsidR="00142AD9">
        <w:rPr>
          <w:lang w:val="en-GB"/>
        </w:rPr>
        <w:t>”</w:t>
      </w:r>
      <w:r w:rsidRPr="00F55305" w:rsidR="007C45F3">
        <w:rPr>
          <w:lang w:val="en-GB"/>
        </w:rPr>
        <w:t xml:space="preserve"> of her educational supervision </w:t>
      </w:r>
      <w:r w:rsidRPr="00F55305">
        <w:rPr>
          <w:lang w:val="en-GB"/>
        </w:rPr>
        <w:t>(</w:t>
      </w:r>
      <w:r w:rsidRPr="00F55305" w:rsidR="007C45F3">
        <w:rPr>
          <w:lang w:val="en-GB"/>
        </w:rPr>
        <w:t xml:space="preserve">see </w:t>
      </w:r>
      <w:r w:rsidRPr="00F55305">
        <w:rPr>
          <w:i/>
          <w:lang w:val="en-GB"/>
        </w:rPr>
        <w:t xml:space="preserve">Bouamar </w:t>
      </w:r>
      <w:r w:rsidRPr="00F55305" w:rsidR="008C1A2E">
        <w:rPr>
          <w:i/>
          <w:lang w:val="en-GB"/>
        </w:rPr>
        <w:t>v. Belgium</w:t>
      </w:r>
      <w:r w:rsidRPr="00F55305" w:rsidR="002B2FDF">
        <w:rPr>
          <w:lang w:val="en-GB"/>
        </w:rPr>
        <w:t>, 29 </w:t>
      </w:r>
      <w:r w:rsidRPr="00F55305" w:rsidR="001A00CB">
        <w:rPr>
          <w:lang w:val="en-GB"/>
        </w:rPr>
        <w:t>February</w:t>
      </w:r>
      <w:r w:rsidRPr="00F55305" w:rsidR="007C45F3">
        <w:rPr>
          <w:lang w:val="en-GB"/>
        </w:rPr>
        <w:t xml:space="preserve"> 1988, § </w:t>
      </w:r>
      <w:r w:rsidRPr="00F55305">
        <w:rPr>
          <w:lang w:val="en-GB"/>
        </w:rPr>
        <w:t xml:space="preserve">50, </w:t>
      </w:r>
      <w:r w:rsidRPr="00F55305" w:rsidR="00BD277E">
        <w:rPr>
          <w:lang w:val="en-GB"/>
        </w:rPr>
        <w:t xml:space="preserve">Series </w:t>
      </w:r>
      <w:r w:rsidRPr="00F55305" w:rsidR="00911608">
        <w:rPr>
          <w:lang w:val="en-GB"/>
        </w:rPr>
        <w:t>A no</w:t>
      </w:r>
      <w:r w:rsidRPr="00F55305" w:rsidR="007C45F3">
        <w:rPr>
          <w:lang w:val="en-GB"/>
        </w:rPr>
        <w:t>. 129;</w:t>
      </w:r>
      <w:r w:rsidRPr="00F55305">
        <w:rPr>
          <w:i/>
          <w:lang w:val="en-GB"/>
        </w:rPr>
        <w:t xml:space="preserve"> D.G. </w:t>
      </w:r>
      <w:r w:rsidRPr="00F55305" w:rsidR="00BD277E">
        <w:rPr>
          <w:i/>
          <w:lang w:val="en-GB"/>
        </w:rPr>
        <w:t>v. Ireland</w:t>
      </w:r>
      <w:r w:rsidRPr="00F55305">
        <w:rPr>
          <w:lang w:val="en-GB"/>
        </w:rPr>
        <w:t>, n</w:t>
      </w:r>
      <w:r w:rsidRPr="00F55305" w:rsidR="007C45F3">
        <w:rPr>
          <w:lang w:val="en-GB"/>
        </w:rPr>
        <w:t>o.</w:t>
      </w:r>
      <w:r w:rsidRPr="00F55305" w:rsidR="002B2FDF">
        <w:rPr>
          <w:lang w:val="en-GB"/>
        </w:rPr>
        <w:t xml:space="preserve"> 39474/98, § </w:t>
      </w:r>
      <w:r w:rsidRPr="00F55305">
        <w:rPr>
          <w:lang w:val="en-GB"/>
        </w:rPr>
        <w:t xml:space="preserve">76, </w:t>
      </w:r>
      <w:r w:rsidRPr="00F55305" w:rsidR="008C1A2E">
        <w:rPr>
          <w:lang w:val="en-GB"/>
        </w:rPr>
        <w:t>ECHR</w:t>
      </w:r>
      <w:r w:rsidRPr="00F55305">
        <w:rPr>
          <w:lang w:val="en-GB"/>
        </w:rPr>
        <w:t> 2002</w:t>
      </w:r>
      <w:r w:rsidRPr="00F55305">
        <w:rPr>
          <w:rFonts w:ascii="Normal" w:hAnsi="Normal" w:eastAsia="Normal" w:cs="Normal"/>
          <w:lang w:val="en-GB"/>
        </w:rPr>
        <w:t>-</w:t>
      </w:r>
      <w:r w:rsidRPr="00F55305">
        <w:rPr>
          <w:lang w:val="en-GB"/>
        </w:rPr>
        <w:t>III</w:t>
      </w:r>
      <w:r w:rsidRPr="00F55305" w:rsidR="007C45F3">
        <w:rPr>
          <w:lang w:val="en-GB"/>
        </w:rPr>
        <w:t>;</w:t>
      </w:r>
      <w:r w:rsidRPr="00F55305">
        <w:rPr>
          <w:lang w:val="en-GB"/>
        </w:rPr>
        <w:t xml:space="preserve"> </w:t>
      </w:r>
      <w:r w:rsidRPr="00F55305" w:rsidR="008C1A2E">
        <w:rPr>
          <w:lang w:val="en-GB"/>
        </w:rPr>
        <w:t>and</w:t>
      </w:r>
      <w:r w:rsidRPr="00F55305" w:rsidR="007C45F3">
        <w:rPr>
          <w:lang w:val="en-GB"/>
        </w:rPr>
        <w:t xml:space="preserve">, more recently, </w:t>
      </w:r>
      <w:r w:rsidRPr="00F55305">
        <w:rPr>
          <w:i/>
          <w:lang w:val="en-GB"/>
        </w:rPr>
        <w:t xml:space="preserve">Blokhin </w:t>
      </w:r>
      <w:r w:rsidRPr="00F55305" w:rsidR="008C1A2E">
        <w:rPr>
          <w:i/>
          <w:lang w:val="en-GB"/>
        </w:rPr>
        <w:t>v. Russia</w:t>
      </w:r>
      <w:r w:rsidRPr="00F55305">
        <w:rPr>
          <w:i/>
          <w:lang w:val="en-GB"/>
        </w:rPr>
        <w:t xml:space="preserve"> </w:t>
      </w:r>
      <w:r w:rsidRPr="00F55305">
        <w:rPr>
          <w:lang w:val="en-GB"/>
        </w:rPr>
        <w:t>[GC], n</w:t>
      </w:r>
      <w:r w:rsidRPr="00F55305" w:rsidR="002B2FDF">
        <w:rPr>
          <w:lang w:val="en-GB"/>
        </w:rPr>
        <w:t>o. </w:t>
      </w:r>
      <w:r w:rsidRPr="00F55305" w:rsidR="007C45F3">
        <w:rPr>
          <w:lang w:val="en-GB"/>
        </w:rPr>
        <w:t>47152/06, §§ 166-</w:t>
      </w:r>
      <w:r w:rsidRPr="00F55305">
        <w:rPr>
          <w:lang w:val="en-GB"/>
        </w:rPr>
        <w:t xml:space="preserve">67, </w:t>
      </w:r>
      <w:r w:rsidRPr="00F55305" w:rsidR="00D071D5">
        <w:rPr>
          <w:lang w:val="en-GB"/>
        </w:rPr>
        <w:t>ECHR</w:t>
      </w:r>
      <w:r w:rsidRPr="00F55305">
        <w:rPr>
          <w:lang w:val="en-GB"/>
        </w:rPr>
        <w:t xml:space="preserve"> 2016).</w:t>
      </w:r>
      <w:bookmarkEnd w:id="167"/>
      <w:r w:rsidRPr="00F55305">
        <w:rPr>
          <w:lang w:val="en-GB"/>
        </w:rPr>
        <w:t xml:space="preserve"> </w:t>
      </w:r>
      <w:bookmarkStart w:name="lt_pId242" w:id="168"/>
      <w:r w:rsidRPr="00F55305">
        <w:rPr>
          <w:lang w:val="en-GB"/>
        </w:rPr>
        <w:t xml:space="preserve">The Convention here refers essentially to national law and lays down the obligation to conform to </w:t>
      </w:r>
      <w:r w:rsidRPr="00F55305" w:rsidR="00D071D5">
        <w:rPr>
          <w:lang w:val="en-GB"/>
        </w:rPr>
        <w:t>its</w:t>
      </w:r>
      <w:r w:rsidRPr="00F55305">
        <w:rPr>
          <w:lang w:val="en-GB"/>
        </w:rPr>
        <w:t xml:space="preserve"> substantive and procedural rules, but it </w:t>
      </w:r>
      <w:r w:rsidRPr="00F55305" w:rsidR="00D071D5">
        <w:rPr>
          <w:lang w:val="en-GB"/>
        </w:rPr>
        <w:t xml:space="preserve">also </w:t>
      </w:r>
      <w:r w:rsidRPr="00F55305">
        <w:rPr>
          <w:lang w:val="en-GB"/>
        </w:rPr>
        <w:t>requires that any deprivation of liberty should be in keeping with the purpose of Article 5</w:t>
      </w:r>
      <w:r w:rsidRPr="00F55305" w:rsidR="00D071D5">
        <w:rPr>
          <w:lang w:val="en-GB"/>
        </w:rPr>
        <w:t>,</w:t>
      </w:r>
      <w:r w:rsidRPr="00F55305">
        <w:rPr>
          <w:lang w:val="en-GB"/>
        </w:rPr>
        <w:t xml:space="preserve"> namely to protect the individual from arbitrariness</w:t>
      </w:r>
      <w:bookmarkEnd w:id="168"/>
      <w:r w:rsidRPr="00F55305">
        <w:rPr>
          <w:lang w:val="en-GB"/>
        </w:rPr>
        <w:t xml:space="preserve"> </w:t>
      </w:r>
      <w:bookmarkStart w:name="lt_pId243" w:id="169"/>
      <w:r w:rsidRPr="00F55305">
        <w:rPr>
          <w:lang w:val="en-GB"/>
        </w:rPr>
        <w:t>(</w:t>
      </w:r>
      <w:r w:rsidRPr="00F55305" w:rsidR="00D071D5">
        <w:rPr>
          <w:lang w:val="en-GB"/>
        </w:rPr>
        <w:t xml:space="preserve">see </w:t>
      </w:r>
      <w:r w:rsidRPr="00F55305">
        <w:rPr>
          <w:i/>
          <w:lang w:val="en-GB"/>
        </w:rPr>
        <w:t>Bouamar</w:t>
      </w:r>
      <w:r w:rsidRPr="00F55305">
        <w:rPr>
          <w:lang w:val="en-GB"/>
        </w:rPr>
        <w:t xml:space="preserve">, </w:t>
      </w:r>
      <w:r w:rsidRPr="00F55305" w:rsidR="00BD277E">
        <w:rPr>
          <w:lang w:val="en-GB"/>
        </w:rPr>
        <w:t>cited above</w:t>
      </w:r>
      <w:r w:rsidRPr="00F55305">
        <w:rPr>
          <w:lang w:val="en-GB"/>
        </w:rPr>
        <w:t xml:space="preserve">, § 47, </w:t>
      </w:r>
      <w:r w:rsidRPr="00F55305" w:rsidR="008C1A2E">
        <w:rPr>
          <w:lang w:val="en-GB"/>
        </w:rPr>
        <w:t>and</w:t>
      </w:r>
      <w:r w:rsidRPr="00F55305">
        <w:rPr>
          <w:lang w:val="en-GB"/>
        </w:rPr>
        <w:t xml:space="preserve"> </w:t>
      </w:r>
      <w:r w:rsidRPr="00F55305">
        <w:rPr>
          <w:i/>
          <w:lang w:val="en-GB"/>
        </w:rPr>
        <w:t xml:space="preserve">D.G. </w:t>
      </w:r>
      <w:r w:rsidRPr="00F55305" w:rsidR="00BD277E">
        <w:rPr>
          <w:i/>
          <w:lang w:val="en-GB"/>
        </w:rPr>
        <w:t>v. Ireland</w:t>
      </w:r>
      <w:r w:rsidRPr="00F55305">
        <w:rPr>
          <w:lang w:val="en-GB"/>
        </w:rPr>
        <w:t xml:space="preserve">, </w:t>
      </w:r>
      <w:r w:rsidRPr="00F55305" w:rsidR="00BD277E">
        <w:rPr>
          <w:lang w:val="en-GB"/>
        </w:rPr>
        <w:t>cited above</w:t>
      </w:r>
      <w:r w:rsidRPr="00F55305">
        <w:rPr>
          <w:lang w:val="en-GB"/>
        </w:rPr>
        <w:t>, § 75).</w:t>
      </w:r>
      <w:bookmarkEnd w:id="169"/>
      <w:r w:rsidRPr="00F55305">
        <w:rPr>
          <w:lang w:val="en-GB"/>
        </w:rPr>
        <w:t xml:space="preserve"> </w:t>
      </w:r>
      <w:bookmarkStart w:name="lt_pId244" w:id="170"/>
      <w:r w:rsidRPr="00F55305">
        <w:rPr>
          <w:lang w:val="en-GB"/>
        </w:rPr>
        <w:t xml:space="preserve">In addition, there must be a relationship between the ground of permitted deprivation of liberty relied on and the place and conditions of detention (see </w:t>
      </w:r>
      <w:r w:rsidRPr="00F55305">
        <w:rPr>
          <w:i/>
          <w:lang w:val="en-GB"/>
        </w:rPr>
        <w:t>D.G. v. Ireland</w:t>
      </w:r>
      <w:r w:rsidRPr="00F55305">
        <w:rPr>
          <w:lang w:val="en-GB"/>
        </w:rPr>
        <w:t xml:space="preserve">, cited above, § 75, and </w:t>
      </w:r>
      <w:r w:rsidRPr="00F55305">
        <w:rPr>
          <w:i/>
          <w:lang w:val="en-GB"/>
        </w:rPr>
        <w:t>Aerts v. Belgium</w:t>
      </w:r>
      <w:r w:rsidRPr="00F55305">
        <w:rPr>
          <w:lang w:val="en-GB"/>
        </w:rPr>
        <w:t xml:space="preserve">, 30 July 1998, § 46, </w:t>
      </w:r>
      <w:r w:rsidRPr="00F55305">
        <w:rPr>
          <w:i/>
          <w:lang w:val="en-GB"/>
        </w:rPr>
        <w:t xml:space="preserve">Reports of Judgments and Decisions </w:t>
      </w:r>
      <w:r w:rsidRPr="00F55305">
        <w:rPr>
          <w:lang w:val="en-GB"/>
        </w:rPr>
        <w:t>1998-V, with further references).</w:t>
      </w:r>
      <w:bookmarkEnd w:id="17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72</w:t>
      </w:r>
      <w:r w:rsidRPr="00F55305">
        <w:rPr>
          <w:lang w:val="en-GB"/>
        </w:rPr>
        <w:fldChar w:fldCharType="end"/>
      </w:r>
      <w:r w:rsidRPr="00F55305">
        <w:rPr>
          <w:lang w:val="en-GB"/>
        </w:rPr>
        <w:t>.  </w:t>
      </w:r>
      <w:bookmarkStart w:name="lt_pId246" w:id="171"/>
      <w:r w:rsidRPr="00F55305">
        <w:rPr>
          <w:lang w:val="en-GB"/>
        </w:rPr>
        <w:t>I</w:t>
      </w:r>
      <w:r w:rsidRPr="00F55305" w:rsidR="00801209">
        <w:rPr>
          <w:lang w:val="en-GB"/>
        </w:rPr>
        <w:t xml:space="preserve">t appears that the decision in the present case to admit the applicant to the school was taken in accordance with the </w:t>
      </w:r>
      <w:r w:rsidRPr="00F55305" w:rsidR="008251A4">
        <w:rPr>
          <w:lang w:val="en-GB"/>
        </w:rPr>
        <w:t>Juvenile</w:t>
      </w:r>
      <w:r w:rsidRPr="00F55305" w:rsidR="00264BDF">
        <w:rPr>
          <w:lang w:val="en-GB"/>
        </w:rPr>
        <w:t xml:space="preserve"> Antisocial Behaviour Act</w:t>
      </w:r>
      <w:r w:rsidRPr="00F55305">
        <w:rPr>
          <w:lang w:val="en-GB"/>
        </w:rPr>
        <w:t>.</w:t>
      </w:r>
      <w:bookmarkEnd w:id="171"/>
      <w:r w:rsidRPr="00F55305">
        <w:rPr>
          <w:lang w:val="en-GB"/>
        </w:rPr>
        <w:t xml:space="preserve"> </w:t>
      </w:r>
      <w:bookmarkStart w:name="lt_pId247" w:id="172"/>
      <w:r w:rsidRPr="00F55305" w:rsidR="00264BDF">
        <w:rPr>
          <w:lang w:val="en-GB"/>
        </w:rPr>
        <w:t xml:space="preserve">The applicant argued in that connection that the concept of </w:t>
      </w:r>
      <w:r w:rsidRPr="00F55305" w:rsidR="00142AD9">
        <w:rPr>
          <w:lang w:val="en-GB"/>
        </w:rPr>
        <w:t>“</w:t>
      </w:r>
      <w:r w:rsidRPr="00F55305" w:rsidR="00264BDF">
        <w:rPr>
          <w:lang w:val="en-GB"/>
        </w:rPr>
        <w:t>antisocial behaviour</w:t>
      </w:r>
      <w:r w:rsidRPr="00F55305" w:rsidR="00142AD9">
        <w:rPr>
          <w:lang w:val="en-GB"/>
        </w:rPr>
        <w:t>”</w:t>
      </w:r>
      <w:r w:rsidRPr="00F55305" w:rsidR="00264BDF">
        <w:rPr>
          <w:lang w:val="en-GB"/>
        </w:rPr>
        <w:t xml:space="preserve"> was not sufficiently clear to meet the </w:t>
      </w:r>
      <w:r w:rsidRPr="00F55305" w:rsidR="00E35C54">
        <w:rPr>
          <w:lang w:val="en-GB"/>
        </w:rPr>
        <w:t xml:space="preserve">Convention </w:t>
      </w:r>
      <w:r w:rsidRPr="00F55305" w:rsidR="00264BDF">
        <w:rPr>
          <w:lang w:val="en-GB"/>
        </w:rPr>
        <w:t>requiremen</w:t>
      </w:r>
      <w:r w:rsidRPr="00F55305" w:rsidR="00E35C54">
        <w:rPr>
          <w:lang w:val="en-GB"/>
        </w:rPr>
        <w:t xml:space="preserve">t of </w:t>
      </w:r>
      <w:r w:rsidRPr="00F55305" w:rsidR="00142AD9">
        <w:rPr>
          <w:lang w:val="en-GB"/>
        </w:rPr>
        <w:t>“</w:t>
      </w:r>
      <w:r w:rsidRPr="00F55305" w:rsidR="00E35C54">
        <w:rPr>
          <w:lang w:val="en-GB"/>
        </w:rPr>
        <w:t>quality</w:t>
      </w:r>
      <w:r w:rsidRPr="00F55305" w:rsidR="00142AD9">
        <w:rPr>
          <w:lang w:val="en-GB"/>
        </w:rPr>
        <w:t>”</w:t>
      </w:r>
      <w:r w:rsidRPr="00F55305" w:rsidR="00E35C54">
        <w:rPr>
          <w:lang w:val="en-GB"/>
        </w:rPr>
        <w:t xml:space="preserve"> of the law</w:t>
      </w:r>
      <w:r w:rsidRPr="00F55305" w:rsidR="00264BDF">
        <w:rPr>
          <w:lang w:val="en-GB"/>
        </w:rPr>
        <w:t>, thus preventing her from being able to foresee the precise grounds on which she might be placed in a secure facility against her will. The Court</w:t>
      </w:r>
      <w:r w:rsidRPr="00F55305" w:rsidR="00F55305">
        <w:rPr>
          <w:lang w:val="en-GB"/>
        </w:rPr>
        <w:t>’</w:t>
      </w:r>
      <w:r w:rsidRPr="00F55305" w:rsidR="00264BDF">
        <w:rPr>
          <w:lang w:val="en-GB"/>
        </w:rPr>
        <w:t xml:space="preserve">s task is therefore to determine whether the domestic legal provisions in question were sufficiently accessible and precise in order to avoid all risk of arbitrariness </w:t>
      </w:r>
      <w:bookmarkStart w:name="lt_pId248" w:id="173"/>
      <w:bookmarkEnd w:id="172"/>
      <w:r w:rsidRPr="00F55305" w:rsidR="00264BDF">
        <w:rPr>
          <w:lang w:val="en-GB"/>
        </w:rPr>
        <w:t xml:space="preserve">in relation to deprivation of liberty </w:t>
      </w:r>
      <w:r w:rsidRPr="00F55305">
        <w:rPr>
          <w:lang w:val="en-GB"/>
        </w:rPr>
        <w:t>(</w:t>
      </w:r>
      <w:r w:rsidRPr="00F55305" w:rsidR="00264BDF">
        <w:rPr>
          <w:lang w:val="en-GB"/>
        </w:rPr>
        <w:t xml:space="preserve">see </w:t>
      </w:r>
      <w:r w:rsidRPr="00F55305">
        <w:rPr>
          <w:i/>
          <w:lang w:val="en-GB"/>
        </w:rPr>
        <w:t xml:space="preserve">Mubilanzila Mayeka </w:t>
      </w:r>
      <w:r w:rsidRPr="00F55305" w:rsidR="008C1A2E">
        <w:rPr>
          <w:i/>
          <w:lang w:val="en-GB"/>
        </w:rPr>
        <w:t>and</w:t>
      </w:r>
      <w:r w:rsidRPr="00F55305">
        <w:rPr>
          <w:i/>
          <w:lang w:val="en-GB"/>
        </w:rPr>
        <w:t xml:space="preserve"> Kaniki Mitunga </w:t>
      </w:r>
      <w:r w:rsidRPr="00F55305" w:rsidR="008C1A2E">
        <w:rPr>
          <w:i/>
          <w:lang w:val="en-GB"/>
        </w:rPr>
        <w:t>v. Belgium</w:t>
      </w:r>
      <w:r w:rsidRPr="00F55305">
        <w:rPr>
          <w:lang w:val="en-GB"/>
        </w:rPr>
        <w:t>, n</w:t>
      </w:r>
      <w:r w:rsidRPr="00F55305" w:rsidR="00264BDF">
        <w:rPr>
          <w:lang w:val="en-GB"/>
        </w:rPr>
        <w:t>o.</w:t>
      </w:r>
      <w:r w:rsidRPr="00F55305">
        <w:rPr>
          <w:lang w:val="en-GB"/>
        </w:rPr>
        <w:t xml:space="preserve"> 13178/03, § 97, </w:t>
      </w:r>
      <w:r w:rsidRPr="00F55305" w:rsidR="008C1A2E">
        <w:rPr>
          <w:lang w:val="en-GB"/>
        </w:rPr>
        <w:t>ECHR</w:t>
      </w:r>
      <w:r w:rsidRPr="00F55305">
        <w:rPr>
          <w:lang w:val="en-GB"/>
        </w:rPr>
        <w:t xml:space="preserve"> 2006-XI, </w:t>
      </w:r>
      <w:r w:rsidRPr="00F55305" w:rsidR="008C1A2E">
        <w:rPr>
          <w:lang w:val="en-GB"/>
        </w:rPr>
        <w:t>and</w:t>
      </w:r>
      <w:r w:rsidRPr="00F55305">
        <w:rPr>
          <w:lang w:val="en-GB"/>
        </w:rPr>
        <w:t xml:space="preserve"> </w:t>
      </w:r>
      <w:r w:rsidRPr="00F55305">
        <w:rPr>
          <w:i/>
          <w:snapToGrid w:val="0"/>
          <w:szCs w:val="24"/>
          <w:lang w:val="en-GB"/>
        </w:rPr>
        <w:t xml:space="preserve">A. </w:t>
      </w:r>
      <w:r w:rsidRPr="00F55305" w:rsidR="008C1A2E">
        <w:rPr>
          <w:i/>
          <w:snapToGrid w:val="0"/>
          <w:szCs w:val="24"/>
          <w:lang w:val="en-GB"/>
        </w:rPr>
        <w:t>and Others</w:t>
      </w:r>
      <w:r w:rsidRPr="00F55305" w:rsidR="00264BDF">
        <w:rPr>
          <w:i/>
          <w:snapToGrid w:val="0"/>
          <w:szCs w:val="24"/>
          <w:lang w:val="en-GB"/>
        </w:rPr>
        <w:t xml:space="preserve"> v. Bulgaria</w:t>
      </w:r>
      <w:r w:rsidRPr="00F55305">
        <w:rPr>
          <w:snapToGrid w:val="0"/>
          <w:szCs w:val="24"/>
          <w:lang w:val="en-GB"/>
        </w:rPr>
        <w:t xml:space="preserve">, </w:t>
      </w:r>
      <w:r w:rsidRPr="00F55305" w:rsidR="00BD277E">
        <w:rPr>
          <w:snapToGrid w:val="0"/>
          <w:szCs w:val="24"/>
          <w:lang w:val="en-GB"/>
        </w:rPr>
        <w:t>cited above</w:t>
      </w:r>
      <w:r w:rsidRPr="00F55305">
        <w:rPr>
          <w:snapToGrid w:val="0"/>
          <w:szCs w:val="24"/>
          <w:lang w:val="en-GB"/>
        </w:rPr>
        <w:t>, § 67</w:t>
      </w:r>
      <w:r w:rsidRPr="00F55305">
        <w:rPr>
          <w:lang w:val="en-GB"/>
        </w:rPr>
        <w:t>).</w:t>
      </w:r>
      <w:bookmarkEnd w:id="17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73</w:t>
      </w:r>
      <w:r w:rsidRPr="00F55305">
        <w:rPr>
          <w:lang w:val="en-GB"/>
        </w:rPr>
        <w:fldChar w:fldCharType="end"/>
      </w:r>
      <w:r w:rsidRPr="00F55305">
        <w:rPr>
          <w:lang w:val="en-GB"/>
        </w:rPr>
        <w:t>.  </w:t>
      </w:r>
      <w:bookmarkStart w:name="lt_pId250" w:id="174"/>
      <w:r w:rsidRPr="00F55305" w:rsidR="008C1A2E">
        <w:rPr>
          <w:lang w:val="en-GB"/>
        </w:rPr>
        <w:t>The Court</w:t>
      </w:r>
      <w:r w:rsidRPr="00F55305">
        <w:rPr>
          <w:lang w:val="en-GB"/>
        </w:rPr>
        <w:t xml:space="preserve"> </w:t>
      </w:r>
      <w:r w:rsidRPr="00F55305" w:rsidR="00691005">
        <w:rPr>
          <w:lang w:val="en-GB"/>
        </w:rPr>
        <w:t xml:space="preserve">is able to </w:t>
      </w:r>
      <w:r w:rsidRPr="00F55305" w:rsidR="00DD696A">
        <w:rPr>
          <w:lang w:val="en-GB"/>
        </w:rPr>
        <w:t xml:space="preserve">observe from the evidence before it that the domestic authorities </w:t>
      </w:r>
      <w:r w:rsidRPr="00F55305">
        <w:rPr>
          <w:lang w:val="en-GB"/>
        </w:rPr>
        <w:t>justifi</w:t>
      </w:r>
      <w:r w:rsidRPr="00F55305" w:rsidR="00DD696A">
        <w:rPr>
          <w:lang w:val="en-GB"/>
        </w:rPr>
        <w:t xml:space="preserve">ed the need to </w:t>
      </w:r>
      <w:r w:rsidRPr="00F55305">
        <w:rPr>
          <w:lang w:val="en-GB"/>
        </w:rPr>
        <w:t xml:space="preserve">place </w:t>
      </w:r>
      <w:r w:rsidRPr="00F55305" w:rsidR="000F2B78">
        <w:rPr>
          <w:lang w:val="en-GB"/>
        </w:rPr>
        <w:t>the applicant</w:t>
      </w:r>
      <w:r w:rsidRPr="00F55305">
        <w:rPr>
          <w:lang w:val="en-GB"/>
        </w:rPr>
        <w:t xml:space="preserve"> </w:t>
      </w:r>
      <w:r w:rsidRPr="00F55305" w:rsidR="00DD696A">
        <w:rPr>
          <w:lang w:val="en-GB"/>
        </w:rPr>
        <w:t xml:space="preserve">in the school by </w:t>
      </w:r>
      <w:r w:rsidRPr="00F55305" w:rsidR="00E35C54">
        <w:rPr>
          <w:lang w:val="en-GB"/>
        </w:rPr>
        <w:t xml:space="preserve">referring to </w:t>
      </w:r>
      <w:r w:rsidRPr="00F55305" w:rsidR="00DD696A">
        <w:rPr>
          <w:lang w:val="en-GB"/>
        </w:rPr>
        <w:t xml:space="preserve">the risk of her being driven into </w:t>
      </w:r>
      <w:r w:rsidRPr="00F55305">
        <w:rPr>
          <w:lang w:val="en-GB"/>
        </w:rPr>
        <w:t>prostitution</w:t>
      </w:r>
      <w:r w:rsidRPr="00F55305" w:rsidR="00DD696A">
        <w:rPr>
          <w:lang w:val="en-GB"/>
        </w:rPr>
        <w:t xml:space="preserve">, as she had been incited to perform </w:t>
      </w:r>
      <w:r w:rsidRPr="00F55305" w:rsidR="00142AD9">
        <w:rPr>
          <w:lang w:val="en-GB"/>
        </w:rPr>
        <w:t>“</w:t>
      </w:r>
      <w:r w:rsidRPr="00F55305" w:rsidR="00DD696A">
        <w:rPr>
          <w:lang w:val="en-GB"/>
        </w:rPr>
        <w:t>sexual services</w:t>
      </w:r>
      <w:r w:rsidRPr="00F55305" w:rsidR="00142AD9">
        <w:rPr>
          <w:lang w:val="en-GB"/>
        </w:rPr>
        <w:t>”</w:t>
      </w:r>
      <w:r w:rsidRPr="00F55305">
        <w:rPr>
          <w:lang w:val="en-GB"/>
        </w:rPr>
        <w:t xml:space="preserve">, </w:t>
      </w:r>
      <w:r w:rsidRPr="00F55305" w:rsidR="00DD696A">
        <w:rPr>
          <w:lang w:val="en-GB"/>
        </w:rPr>
        <w:t xml:space="preserve">and </w:t>
      </w:r>
      <w:r w:rsidRPr="00F55305" w:rsidR="00426A97">
        <w:rPr>
          <w:lang w:val="en-GB"/>
        </w:rPr>
        <w:t>also to</w:t>
      </w:r>
      <w:r w:rsidRPr="00F55305" w:rsidR="00DD696A">
        <w:rPr>
          <w:lang w:val="en-GB"/>
        </w:rPr>
        <w:t xml:space="preserve"> her lack of </w:t>
      </w:r>
      <w:r w:rsidRPr="00F55305">
        <w:rPr>
          <w:lang w:val="en-GB"/>
        </w:rPr>
        <w:t>coop</w:t>
      </w:r>
      <w:r w:rsidRPr="00F55305" w:rsidR="00DD696A">
        <w:rPr>
          <w:lang w:val="en-GB"/>
        </w:rPr>
        <w:t>e</w:t>
      </w:r>
      <w:r w:rsidRPr="00F55305">
        <w:rPr>
          <w:lang w:val="en-GB"/>
        </w:rPr>
        <w:t xml:space="preserve">ration, </w:t>
      </w:r>
      <w:r w:rsidRPr="00F55305" w:rsidR="00DD696A">
        <w:rPr>
          <w:lang w:val="en-GB"/>
        </w:rPr>
        <w:t>her aggressive behaviour and her</w:t>
      </w:r>
      <w:r w:rsidRPr="00F55305">
        <w:rPr>
          <w:lang w:val="en-GB"/>
        </w:rPr>
        <w:t xml:space="preserve"> </w:t>
      </w:r>
      <w:r w:rsidRPr="00F55305" w:rsidR="00AD4725">
        <w:rPr>
          <w:lang w:val="en-GB"/>
        </w:rPr>
        <w:t xml:space="preserve">repeated attempts to </w:t>
      </w:r>
      <w:r w:rsidRPr="00F55305" w:rsidR="00DD696A">
        <w:rPr>
          <w:lang w:val="en-GB"/>
        </w:rPr>
        <w:t xml:space="preserve">run away </w:t>
      </w:r>
      <w:r w:rsidRPr="00F55305">
        <w:rPr>
          <w:lang w:val="en-GB"/>
        </w:rPr>
        <w:t>(</w:t>
      </w:r>
      <w:r w:rsidRPr="00F55305" w:rsidR="008C1A2E">
        <w:rPr>
          <w:lang w:val="en-GB"/>
        </w:rPr>
        <w:t>see paragraph</w:t>
      </w:r>
      <w:r w:rsidRPr="00F55305">
        <w:rPr>
          <w:lang w:val="en-GB"/>
        </w:rPr>
        <w:t xml:space="preserve">s 10-13 </w:t>
      </w:r>
      <w:r w:rsidRPr="00F55305" w:rsidR="008C1A2E">
        <w:rPr>
          <w:lang w:val="en-GB"/>
        </w:rPr>
        <w:t>above</w:t>
      </w:r>
      <w:r w:rsidRPr="00F55305">
        <w:rPr>
          <w:lang w:val="en-GB"/>
        </w:rPr>
        <w:t>).</w:t>
      </w:r>
      <w:bookmarkEnd w:id="174"/>
      <w:r w:rsidRPr="00F55305">
        <w:rPr>
          <w:lang w:val="en-GB"/>
        </w:rPr>
        <w:t xml:space="preserve"> </w:t>
      </w:r>
      <w:bookmarkStart w:name="lt_pId251" w:id="175"/>
      <w:r w:rsidRPr="00F55305">
        <w:rPr>
          <w:lang w:val="en-GB"/>
        </w:rPr>
        <w:t>I</w:t>
      </w:r>
      <w:r w:rsidRPr="00F55305" w:rsidR="00DD696A">
        <w:rPr>
          <w:lang w:val="en-GB"/>
        </w:rPr>
        <w:t>t is undeniab</w:t>
      </w:r>
      <w:r w:rsidRPr="00F55305">
        <w:rPr>
          <w:lang w:val="en-GB"/>
        </w:rPr>
        <w:t>l</w:t>
      </w:r>
      <w:r w:rsidRPr="00F55305" w:rsidR="004B0BBE">
        <w:rPr>
          <w:lang w:val="en-GB"/>
        </w:rPr>
        <w:t xml:space="preserve">e that the </w:t>
      </w:r>
      <w:r w:rsidRPr="00F55305" w:rsidR="008251A4">
        <w:rPr>
          <w:lang w:val="en-GB"/>
        </w:rPr>
        <w:t>Juvenile</w:t>
      </w:r>
      <w:r w:rsidRPr="00F55305" w:rsidR="004B0BBE">
        <w:rPr>
          <w:lang w:val="en-GB"/>
        </w:rPr>
        <w:t xml:space="preserve"> Antisocial Behaviour Act appears </w:t>
      </w:r>
      <w:r w:rsidRPr="00F55305" w:rsidR="00426A97">
        <w:rPr>
          <w:lang w:val="en-GB"/>
        </w:rPr>
        <w:t>somewhat</w:t>
      </w:r>
      <w:r w:rsidRPr="00F55305">
        <w:rPr>
          <w:lang w:val="en-GB"/>
        </w:rPr>
        <w:t xml:space="preserve"> obsol</w:t>
      </w:r>
      <w:r w:rsidRPr="00F55305" w:rsidR="004B0BBE">
        <w:rPr>
          <w:lang w:val="en-GB"/>
        </w:rPr>
        <w:t>e</w:t>
      </w:r>
      <w:r w:rsidRPr="00F55305">
        <w:rPr>
          <w:lang w:val="en-GB"/>
        </w:rPr>
        <w:t>te (</w:t>
      </w:r>
      <w:r w:rsidRPr="00F55305" w:rsidR="008C1A2E">
        <w:rPr>
          <w:lang w:val="en-GB"/>
        </w:rPr>
        <w:t>see paragraph</w:t>
      </w:r>
      <w:r w:rsidRPr="00F55305">
        <w:rPr>
          <w:lang w:val="en-GB"/>
        </w:rPr>
        <w:t xml:space="preserve"> 76 </w:t>
      </w:r>
      <w:r w:rsidRPr="00F55305" w:rsidR="004B0BBE">
        <w:rPr>
          <w:lang w:val="en-GB"/>
        </w:rPr>
        <w:t>below</w:t>
      </w:r>
      <w:r w:rsidRPr="00F55305">
        <w:rPr>
          <w:lang w:val="en-GB"/>
        </w:rPr>
        <w:t xml:space="preserve">) </w:t>
      </w:r>
      <w:r w:rsidRPr="00F55305" w:rsidR="008C1A2E">
        <w:rPr>
          <w:lang w:val="en-GB"/>
        </w:rPr>
        <w:t>and</w:t>
      </w:r>
      <w:r w:rsidRPr="00F55305">
        <w:rPr>
          <w:lang w:val="en-GB"/>
        </w:rPr>
        <w:t xml:space="preserve"> </w:t>
      </w:r>
      <w:r w:rsidRPr="00F55305" w:rsidR="004B0BBE">
        <w:rPr>
          <w:lang w:val="en-GB"/>
        </w:rPr>
        <w:t>does not include an exhaustive list</w:t>
      </w:r>
      <w:r w:rsidRPr="00F55305">
        <w:rPr>
          <w:lang w:val="en-GB"/>
        </w:rPr>
        <w:t xml:space="preserve"> </w:t>
      </w:r>
      <w:r w:rsidRPr="00F55305" w:rsidR="004B0BBE">
        <w:rPr>
          <w:lang w:val="en-GB"/>
        </w:rPr>
        <w:t xml:space="preserve">of the acts deemed to be </w:t>
      </w:r>
      <w:r w:rsidRPr="00F55305" w:rsidR="00142AD9">
        <w:rPr>
          <w:lang w:val="en-GB"/>
        </w:rPr>
        <w:t>“</w:t>
      </w:r>
      <w:r w:rsidRPr="00F55305">
        <w:rPr>
          <w:lang w:val="en-GB"/>
        </w:rPr>
        <w:t>antisocia</w:t>
      </w:r>
      <w:r w:rsidRPr="00F55305" w:rsidR="004B0BBE">
        <w:rPr>
          <w:lang w:val="en-GB"/>
        </w:rPr>
        <w:t>l</w:t>
      </w:r>
      <w:r w:rsidRPr="00F55305" w:rsidR="00142AD9">
        <w:rPr>
          <w:lang w:val="en-GB"/>
        </w:rPr>
        <w:t>”</w:t>
      </w:r>
      <w:r w:rsidRPr="00F55305" w:rsidR="004B5584">
        <w:rPr>
          <w:lang w:val="en-GB"/>
        </w:rPr>
        <w:t xml:space="preserve">, which is why it does not explicitly refer to the acts which the </w:t>
      </w:r>
      <w:r w:rsidRPr="00F55305" w:rsidR="000F2B78">
        <w:rPr>
          <w:lang w:val="en-GB"/>
        </w:rPr>
        <w:t>applicant</w:t>
      </w:r>
      <w:r w:rsidRPr="00F55305">
        <w:rPr>
          <w:lang w:val="en-GB"/>
        </w:rPr>
        <w:t xml:space="preserve"> </w:t>
      </w:r>
      <w:r w:rsidRPr="00F55305" w:rsidR="004B5584">
        <w:rPr>
          <w:lang w:val="en-GB"/>
        </w:rPr>
        <w:t>was said to have committed</w:t>
      </w:r>
      <w:r w:rsidRPr="00F55305">
        <w:rPr>
          <w:lang w:val="en-GB"/>
        </w:rPr>
        <w:t>.</w:t>
      </w:r>
      <w:bookmarkEnd w:id="175"/>
      <w:r w:rsidRPr="00F55305">
        <w:rPr>
          <w:lang w:val="en-GB"/>
        </w:rPr>
        <w:t xml:space="preserve"> </w:t>
      </w:r>
      <w:bookmarkStart w:name="lt_pId252" w:id="176"/>
      <w:r w:rsidRPr="00F55305" w:rsidR="004B5584">
        <w:rPr>
          <w:lang w:val="en-GB"/>
        </w:rPr>
        <w:t>The Act in question simply</w:t>
      </w:r>
      <w:r w:rsidRPr="00F55305">
        <w:rPr>
          <w:lang w:val="en-GB"/>
        </w:rPr>
        <w:t xml:space="preserve"> </w:t>
      </w:r>
      <w:r w:rsidRPr="00F55305" w:rsidR="004B5584">
        <w:rPr>
          <w:lang w:val="en-GB"/>
        </w:rPr>
        <w:t xml:space="preserve">provides a general definition of the concept of </w:t>
      </w:r>
      <w:r w:rsidRPr="00F55305" w:rsidR="00142AD9">
        <w:rPr>
          <w:lang w:val="en-GB"/>
        </w:rPr>
        <w:t>“</w:t>
      </w:r>
      <w:r w:rsidRPr="00F55305" w:rsidR="004B5584">
        <w:rPr>
          <w:lang w:val="en-GB"/>
        </w:rPr>
        <w:t>antisocial behaviour</w:t>
      </w:r>
      <w:r w:rsidRPr="00F55305" w:rsidR="00142AD9">
        <w:rPr>
          <w:lang w:val="en-GB"/>
        </w:rPr>
        <w:t>”</w:t>
      </w:r>
      <w:r w:rsidRPr="00F55305">
        <w:rPr>
          <w:lang w:val="en-GB"/>
        </w:rPr>
        <w:t xml:space="preserve"> </w:t>
      </w:r>
      <w:r w:rsidRPr="00F55305" w:rsidR="00531D9C">
        <w:rPr>
          <w:lang w:val="en-GB"/>
        </w:rPr>
        <w:t>..</w:t>
      </w:r>
      <w:r w:rsidRPr="00F55305">
        <w:rPr>
          <w:lang w:val="en-GB"/>
        </w:rPr>
        <w:t>.</w:t>
      </w:r>
      <w:bookmarkEnd w:id="176"/>
      <w:r w:rsidRPr="00F55305">
        <w:rPr>
          <w:lang w:val="en-GB"/>
        </w:rPr>
        <w:t xml:space="preserve"> </w:t>
      </w:r>
      <w:bookmarkStart w:name="lt_pId253" w:id="177"/>
      <w:r w:rsidRPr="00F55305" w:rsidR="004B5584">
        <w:rPr>
          <w:lang w:val="en-GB"/>
        </w:rPr>
        <w:t>However</w:t>
      </w:r>
      <w:r w:rsidRPr="00F55305">
        <w:rPr>
          <w:lang w:val="en-GB"/>
        </w:rPr>
        <w:t xml:space="preserve">, </w:t>
      </w:r>
      <w:r w:rsidRPr="00F55305" w:rsidR="008C1A2E">
        <w:rPr>
          <w:lang w:val="en-GB"/>
        </w:rPr>
        <w:t>the Court</w:t>
      </w:r>
      <w:r w:rsidRPr="00F55305">
        <w:rPr>
          <w:lang w:val="en-GB"/>
        </w:rPr>
        <w:t xml:space="preserve"> </w:t>
      </w:r>
      <w:r w:rsidRPr="00F55305" w:rsidR="004B5584">
        <w:rPr>
          <w:lang w:val="en-GB"/>
        </w:rPr>
        <w:t>refers to its finding in</w:t>
      </w:r>
      <w:r w:rsidRPr="00F55305">
        <w:rPr>
          <w:lang w:val="en-GB"/>
        </w:rPr>
        <w:t xml:space="preserve"> </w:t>
      </w:r>
      <w:r w:rsidRPr="00F55305">
        <w:rPr>
          <w:i/>
          <w:lang w:val="en-GB"/>
        </w:rPr>
        <w:t xml:space="preserve">A. </w:t>
      </w:r>
      <w:r w:rsidRPr="00F55305" w:rsidR="008C1A2E">
        <w:rPr>
          <w:i/>
          <w:lang w:val="en-GB"/>
        </w:rPr>
        <w:t>and Others</w:t>
      </w:r>
      <w:r w:rsidRPr="00F55305" w:rsidR="004B5584">
        <w:rPr>
          <w:i/>
          <w:lang w:val="en-GB"/>
        </w:rPr>
        <w:t xml:space="preserve"> v. Bulgaria</w:t>
      </w:r>
      <w:r w:rsidRPr="00F55305">
        <w:rPr>
          <w:lang w:val="en-GB"/>
        </w:rPr>
        <w:t xml:space="preserve"> (</w:t>
      </w:r>
      <w:r w:rsidRPr="00F55305" w:rsidR="00BD277E">
        <w:rPr>
          <w:lang w:val="en-GB"/>
        </w:rPr>
        <w:t>cited above</w:t>
      </w:r>
      <w:r w:rsidRPr="00F55305">
        <w:rPr>
          <w:lang w:val="en-GB"/>
        </w:rPr>
        <w:t xml:space="preserve">) </w:t>
      </w:r>
      <w:r w:rsidRPr="00F55305" w:rsidR="003A3BD0">
        <w:rPr>
          <w:lang w:val="en-GB"/>
        </w:rPr>
        <w:t xml:space="preserve">that, according to established judicial practice, </w:t>
      </w:r>
      <w:r w:rsidRPr="00F55305">
        <w:rPr>
          <w:lang w:val="en-GB"/>
        </w:rPr>
        <w:t xml:space="preserve">prostitution </w:t>
      </w:r>
      <w:r w:rsidRPr="00F55305" w:rsidR="008C1A2E">
        <w:rPr>
          <w:lang w:val="en-GB"/>
        </w:rPr>
        <w:t>and</w:t>
      </w:r>
      <w:r w:rsidRPr="00F55305">
        <w:rPr>
          <w:lang w:val="en-GB"/>
        </w:rPr>
        <w:t xml:space="preserve"> </w:t>
      </w:r>
      <w:r w:rsidRPr="00F55305" w:rsidR="003A3BD0">
        <w:rPr>
          <w:lang w:val="en-GB"/>
        </w:rPr>
        <w:t xml:space="preserve">absconding are regarded as </w:t>
      </w:r>
      <w:r w:rsidRPr="00F55305">
        <w:rPr>
          <w:lang w:val="en-GB"/>
        </w:rPr>
        <w:t>antisocia</w:t>
      </w:r>
      <w:r w:rsidRPr="00F55305" w:rsidR="003A3BD0">
        <w:rPr>
          <w:lang w:val="en-GB"/>
        </w:rPr>
        <w:t xml:space="preserve">l acts that may give rise to educational measures, including </w:t>
      </w:r>
      <w:r w:rsidRPr="00F55305">
        <w:rPr>
          <w:lang w:val="en-GB"/>
        </w:rPr>
        <w:t xml:space="preserve">placement </w:t>
      </w:r>
      <w:r w:rsidRPr="00F55305" w:rsidR="003A3BD0">
        <w:rPr>
          <w:lang w:val="en-GB"/>
        </w:rPr>
        <w:t>in a</w:t>
      </w:r>
      <w:r w:rsidRPr="00F55305">
        <w:rPr>
          <w:lang w:val="en-GB"/>
        </w:rPr>
        <w:t xml:space="preserve"> </w:t>
      </w:r>
      <w:r w:rsidRPr="00F55305" w:rsidR="003A3BD0">
        <w:rPr>
          <w:lang w:val="en-GB"/>
        </w:rPr>
        <w:t xml:space="preserve">specialist institution </w:t>
      </w:r>
      <w:r w:rsidRPr="00F55305">
        <w:rPr>
          <w:lang w:val="en-GB"/>
        </w:rPr>
        <w:t>(</w:t>
      </w:r>
      <w:r w:rsidRPr="00F55305" w:rsidR="003A3BD0">
        <w:rPr>
          <w:lang w:val="en-GB"/>
        </w:rPr>
        <w:t>ibid.</w:t>
      </w:r>
      <w:r w:rsidRPr="00F55305" w:rsidR="00531D9C">
        <w:rPr>
          <w:lang w:val="en-GB"/>
        </w:rPr>
        <w:t>, § 68 ...</w:t>
      </w:r>
      <w:r w:rsidRPr="00F55305">
        <w:rPr>
          <w:lang w:val="en-GB"/>
        </w:rPr>
        <w:t>).</w:t>
      </w:r>
      <w:bookmarkEnd w:id="177"/>
      <w:r w:rsidRPr="00F55305">
        <w:rPr>
          <w:lang w:val="en-GB"/>
        </w:rPr>
        <w:t xml:space="preserve"> </w:t>
      </w:r>
      <w:bookmarkStart w:name="lt_pId254" w:id="178"/>
      <w:r w:rsidRPr="00F55305" w:rsidR="003A3BD0">
        <w:rPr>
          <w:lang w:val="en-GB"/>
        </w:rPr>
        <w:t xml:space="preserve">It therefore considers that the </w:t>
      </w:r>
      <w:r w:rsidRPr="00F55305" w:rsidR="000F2B78">
        <w:rPr>
          <w:lang w:val="en-GB"/>
        </w:rPr>
        <w:t>applicant</w:t>
      </w:r>
      <w:r w:rsidRPr="00F55305">
        <w:rPr>
          <w:lang w:val="en-GB"/>
        </w:rPr>
        <w:t xml:space="preserve"> </w:t>
      </w:r>
      <w:r w:rsidRPr="00F55305" w:rsidR="003A3BD0">
        <w:rPr>
          <w:lang w:val="en-GB"/>
        </w:rPr>
        <w:t>could reasonably have foreseen the</w:t>
      </w:r>
      <w:r w:rsidRPr="00F55305">
        <w:rPr>
          <w:lang w:val="en-GB"/>
        </w:rPr>
        <w:t xml:space="preserve"> </w:t>
      </w:r>
      <w:r w:rsidRPr="00F55305" w:rsidR="003A3BD0">
        <w:rPr>
          <w:lang w:val="en-GB"/>
        </w:rPr>
        <w:t xml:space="preserve">consequences of her actions, and that in the circumstances of the case, a </w:t>
      </w:r>
      <w:r w:rsidRPr="00F55305" w:rsidR="00142AD9">
        <w:rPr>
          <w:lang w:val="en-GB"/>
        </w:rPr>
        <w:t>“</w:t>
      </w:r>
      <w:r w:rsidRPr="00F55305" w:rsidR="003A3BD0">
        <w:rPr>
          <w:lang w:val="en-GB"/>
        </w:rPr>
        <w:t>procedure prescribed by law</w:t>
      </w:r>
      <w:r w:rsidRPr="00F55305" w:rsidR="00142AD9">
        <w:rPr>
          <w:lang w:val="en-GB"/>
        </w:rPr>
        <w:t>”</w:t>
      </w:r>
      <w:r w:rsidRPr="00F55305" w:rsidR="003A3BD0">
        <w:rPr>
          <w:lang w:val="en-GB"/>
        </w:rPr>
        <w:t xml:space="preserve"> was observed.</w:t>
      </w:r>
      <w:bookmarkEnd w:id="178"/>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74</w:t>
      </w:r>
      <w:r w:rsidRPr="00F55305">
        <w:rPr>
          <w:lang w:val="en-GB"/>
        </w:rPr>
        <w:fldChar w:fldCharType="end"/>
      </w:r>
      <w:r w:rsidRPr="00F55305">
        <w:rPr>
          <w:lang w:val="en-GB"/>
        </w:rPr>
        <w:t>.  </w:t>
      </w:r>
      <w:bookmarkStart w:name="lt_pId256" w:id="179"/>
      <w:r w:rsidRPr="00F55305" w:rsidR="00142AD9">
        <w:rPr>
          <w:lang w:val="en-GB"/>
        </w:rPr>
        <w:t>”</w:t>
      </w:r>
      <w:r w:rsidRPr="00F55305">
        <w:rPr>
          <w:lang w:val="en-GB"/>
        </w:rPr>
        <w:t>Lawfulness</w:t>
      </w:r>
      <w:r w:rsidRPr="00F55305" w:rsidR="00142AD9">
        <w:rPr>
          <w:lang w:val="en-GB"/>
        </w:rPr>
        <w:t>”</w:t>
      </w:r>
      <w:r w:rsidRPr="00F55305">
        <w:rPr>
          <w:lang w:val="en-GB"/>
        </w:rPr>
        <w:t xml:space="preserve"> also implies that the deprivation of liberty is in keeping with the purpose of the restrictions permitted by Article 5 § 1 (d).</w:t>
      </w:r>
      <w:bookmarkEnd w:id="179"/>
      <w:r w:rsidRPr="00F55305">
        <w:rPr>
          <w:lang w:val="en-GB"/>
        </w:rPr>
        <w:t xml:space="preserve"> </w:t>
      </w:r>
      <w:bookmarkStart w:name="lt_pId257" w:id="180"/>
      <w:r w:rsidRPr="00F55305" w:rsidR="00C32963">
        <w:rPr>
          <w:lang w:val="en-GB"/>
        </w:rPr>
        <w:t xml:space="preserve">It is </w:t>
      </w:r>
      <w:r w:rsidRPr="00F55305" w:rsidR="008C1A2E">
        <w:rPr>
          <w:lang w:val="en-GB"/>
        </w:rPr>
        <w:t xml:space="preserve">the </w:t>
      </w:r>
      <w:r w:rsidRPr="00F55305" w:rsidR="00C32963">
        <w:rPr>
          <w:lang w:val="en-GB"/>
        </w:rPr>
        <w:t>Court</w:t>
      </w:r>
      <w:r w:rsidRPr="00F55305" w:rsidR="00F55305">
        <w:rPr>
          <w:lang w:val="en-GB"/>
        </w:rPr>
        <w:t>’</w:t>
      </w:r>
      <w:r w:rsidRPr="00F55305" w:rsidR="00C32963">
        <w:rPr>
          <w:lang w:val="en-GB"/>
        </w:rPr>
        <w:t xml:space="preserve">s task to ascertain whether </w:t>
      </w:r>
      <w:r w:rsidRPr="00F55305" w:rsidR="000F2B78">
        <w:rPr>
          <w:lang w:val="en-GB"/>
        </w:rPr>
        <w:t>the applicant</w:t>
      </w:r>
      <w:r w:rsidRPr="00F55305" w:rsidR="00F55305">
        <w:rPr>
          <w:lang w:val="en-GB"/>
        </w:rPr>
        <w:t>’</w:t>
      </w:r>
      <w:r w:rsidRPr="00F55305" w:rsidR="00C32963">
        <w:rPr>
          <w:lang w:val="en-GB"/>
        </w:rPr>
        <w:t>s</w:t>
      </w:r>
      <w:r w:rsidRPr="00F55305">
        <w:rPr>
          <w:lang w:val="en-GB"/>
        </w:rPr>
        <w:t xml:space="preserve"> </w:t>
      </w:r>
      <w:r w:rsidRPr="00F55305" w:rsidR="00C32963">
        <w:rPr>
          <w:lang w:val="en-GB"/>
        </w:rPr>
        <w:t xml:space="preserve">placement was </w:t>
      </w:r>
      <w:r w:rsidRPr="00F55305" w:rsidR="00454048">
        <w:rPr>
          <w:lang w:val="en-GB"/>
        </w:rPr>
        <w:t xml:space="preserve">such as to provide for her </w:t>
      </w:r>
      <w:r w:rsidRPr="00F55305" w:rsidR="00142AD9">
        <w:rPr>
          <w:lang w:val="en-GB"/>
        </w:rPr>
        <w:t>“</w:t>
      </w:r>
      <w:r w:rsidRPr="00F55305" w:rsidR="00454048">
        <w:rPr>
          <w:lang w:val="en-GB"/>
        </w:rPr>
        <w:t>e</w:t>
      </w:r>
      <w:r w:rsidRPr="00F55305">
        <w:rPr>
          <w:lang w:val="en-GB"/>
        </w:rPr>
        <w:t>ducation</w:t>
      </w:r>
      <w:r w:rsidRPr="00F55305" w:rsidR="00E127E6">
        <w:rPr>
          <w:lang w:val="en-GB"/>
        </w:rPr>
        <w:t>al supervision</w:t>
      </w:r>
      <w:r w:rsidRPr="00F55305" w:rsidR="00142AD9">
        <w:rPr>
          <w:lang w:val="en-GB"/>
        </w:rPr>
        <w:t>”</w:t>
      </w:r>
      <w:r w:rsidRPr="00F55305">
        <w:rPr>
          <w:lang w:val="en-GB"/>
        </w:rPr>
        <w:t xml:space="preserve"> (</w:t>
      </w:r>
      <w:r w:rsidRPr="00F55305" w:rsidR="003A3BD0">
        <w:rPr>
          <w:lang w:val="en-GB"/>
        </w:rPr>
        <w:t xml:space="preserve">see </w:t>
      </w:r>
      <w:r w:rsidRPr="00F55305">
        <w:rPr>
          <w:i/>
          <w:lang w:val="en-GB"/>
        </w:rPr>
        <w:t>Bouamar</w:t>
      </w:r>
      <w:r w:rsidRPr="00F55305">
        <w:rPr>
          <w:lang w:val="en-GB"/>
        </w:rPr>
        <w:t xml:space="preserve">, </w:t>
      </w:r>
      <w:r w:rsidRPr="00F55305" w:rsidR="00BD277E">
        <w:rPr>
          <w:lang w:val="en-GB"/>
        </w:rPr>
        <w:t>cited above</w:t>
      </w:r>
      <w:r w:rsidRPr="00F55305" w:rsidR="00454048">
        <w:rPr>
          <w:lang w:val="en-GB"/>
        </w:rPr>
        <w:t>, § </w:t>
      </w:r>
      <w:r w:rsidRPr="00F55305">
        <w:rPr>
          <w:lang w:val="en-GB"/>
        </w:rPr>
        <w:t xml:space="preserve">50, </w:t>
      </w:r>
      <w:r w:rsidRPr="00F55305" w:rsidR="008C1A2E">
        <w:rPr>
          <w:lang w:val="en-GB"/>
        </w:rPr>
        <w:t>and</w:t>
      </w:r>
      <w:r w:rsidRPr="00F55305">
        <w:rPr>
          <w:lang w:val="en-GB"/>
        </w:rPr>
        <w:t xml:space="preserve"> </w:t>
      </w:r>
      <w:r w:rsidRPr="00F55305">
        <w:rPr>
          <w:i/>
          <w:lang w:val="en-GB"/>
        </w:rPr>
        <w:t>Blokhin</w:t>
      </w:r>
      <w:r w:rsidRPr="00F55305">
        <w:rPr>
          <w:lang w:val="en-GB"/>
        </w:rPr>
        <w:t xml:space="preserve">, </w:t>
      </w:r>
      <w:r w:rsidRPr="00F55305" w:rsidR="00BD277E">
        <w:rPr>
          <w:lang w:val="en-GB"/>
        </w:rPr>
        <w:t>cited above</w:t>
      </w:r>
      <w:r w:rsidRPr="00F55305" w:rsidR="000C53FB">
        <w:rPr>
          <w:lang w:val="en-GB"/>
        </w:rPr>
        <w:t>, §§ 166-</w:t>
      </w:r>
      <w:r w:rsidRPr="00F55305">
        <w:rPr>
          <w:lang w:val="en-GB"/>
        </w:rPr>
        <w:t>67).</w:t>
      </w:r>
      <w:bookmarkEnd w:id="180"/>
      <w:r w:rsidRPr="00F55305">
        <w:rPr>
          <w:lang w:val="en-GB"/>
        </w:rPr>
        <w:t xml:space="preserve"> </w:t>
      </w:r>
      <w:bookmarkStart w:name="lt_pId258" w:id="181"/>
      <w:r w:rsidRPr="00F55305" w:rsidR="00E127E6">
        <w:rPr>
          <w:lang w:val="en-GB"/>
        </w:rPr>
        <w:t>Once</w:t>
      </w:r>
      <w:r w:rsidRPr="00F55305" w:rsidR="008108E2">
        <w:rPr>
          <w:lang w:val="en-GB"/>
        </w:rPr>
        <w:t xml:space="preserve"> the State had chosen to introduce a system of educational supervision involving deprivation of liberty, </w:t>
      </w:r>
      <w:r w:rsidRPr="00F55305">
        <w:rPr>
          <w:lang w:val="en-GB"/>
        </w:rPr>
        <w:t>it was under an obligation to put in place appropriate institutional facilities which met the demands of security and the relevant educational objectives, in order to be able to satisfy the requirements of Article 5 § 1 (d) (</w:t>
      </w:r>
      <w:r w:rsidRPr="00F55305" w:rsidR="00454048">
        <w:rPr>
          <w:lang w:val="en-GB"/>
        </w:rPr>
        <w:t xml:space="preserve">see </w:t>
      </w:r>
      <w:r w:rsidRPr="00F55305" w:rsidR="00454048">
        <w:rPr>
          <w:i/>
          <w:lang w:val="en-GB"/>
        </w:rPr>
        <w:t>Bouamar</w:t>
      </w:r>
      <w:r w:rsidRPr="00F55305" w:rsidR="00454048">
        <w:rPr>
          <w:lang w:val="en-GB"/>
        </w:rPr>
        <w:t xml:space="preserve">, cited above, </w:t>
      </w:r>
      <w:r w:rsidRPr="00F55305">
        <w:rPr>
          <w:lang w:val="en-GB"/>
        </w:rPr>
        <w:t>§ 50;</w:t>
      </w:r>
      <w:r w:rsidRPr="00F55305" w:rsidR="003A3BD0">
        <w:rPr>
          <w:lang w:val="en-GB"/>
        </w:rPr>
        <w:t xml:space="preserve"> </w:t>
      </w:r>
      <w:r w:rsidRPr="00F55305">
        <w:rPr>
          <w:i/>
          <w:lang w:val="en-GB"/>
        </w:rPr>
        <w:t>D.G. v. Ireland</w:t>
      </w:r>
      <w:r w:rsidRPr="00F55305">
        <w:rPr>
          <w:lang w:val="en-GB"/>
        </w:rPr>
        <w:t>, cited above, § 79</w:t>
      </w:r>
      <w:r w:rsidRPr="00F55305" w:rsidR="00454048">
        <w:rPr>
          <w:lang w:val="en-GB"/>
        </w:rPr>
        <w:t>;</w:t>
      </w:r>
      <w:r w:rsidRPr="00F55305">
        <w:rPr>
          <w:lang w:val="en-GB"/>
        </w:rPr>
        <w:t xml:space="preserve"> and </w:t>
      </w:r>
      <w:r w:rsidRPr="00F55305">
        <w:rPr>
          <w:i/>
          <w:lang w:val="en-GB"/>
        </w:rPr>
        <w:t>Blokhin</w:t>
      </w:r>
      <w:r w:rsidRPr="00F55305">
        <w:rPr>
          <w:lang w:val="en-GB"/>
        </w:rPr>
        <w:t>, cited above, §</w:t>
      </w:r>
      <w:r w:rsidRPr="00F55305" w:rsidR="00454048">
        <w:rPr>
          <w:lang w:val="en-GB"/>
        </w:rPr>
        <w:t xml:space="preserve"> </w:t>
      </w:r>
      <w:r w:rsidRPr="00F55305">
        <w:rPr>
          <w:lang w:val="en-GB"/>
        </w:rPr>
        <w:t>167).</w:t>
      </w:r>
      <w:bookmarkEnd w:id="181"/>
      <w:r w:rsidRPr="00F55305">
        <w:rPr>
          <w:lang w:val="en-GB"/>
        </w:rPr>
        <w:t xml:space="preserve"> </w:t>
      </w:r>
      <w:bookmarkStart w:name="lt_pId259" w:id="182"/>
      <w:r w:rsidRPr="00F55305">
        <w:rPr>
          <w:lang w:val="en-GB"/>
        </w:rPr>
        <w:t xml:space="preserve">It is also accepted that, in the context of the detention of minors, the words </w:t>
      </w:r>
      <w:r w:rsidRPr="00F55305" w:rsidR="00142AD9">
        <w:rPr>
          <w:lang w:val="en-GB"/>
        </w:rPr>
        <w:t>“</w:t>
      </w:r>
      <w:r w:rsidRPr="00F55305">
        <w:rPr>
          <w:lang w:val="en-GB"/>
        </w:rPr>
        <w:t>educational supervision</w:t>
      </w:r>
      <w:r w:rsidRPr="00F55305" w:rsidR="00142AD9">
        <w:rPr>
          <w:lang w:val="en-GB"/>
        </w:rPr>
        <w:t>”</w:t>
      </w:r>
      <w:r w:rsidRPr="00F55305">
        <w:rPr>
          <w:lang w:val="en-GB"/>
        </w:rPr>
        <w:t xml:space="preserve"> must not be equated rigidly with notions of classroom teaching:</w:t>
      </w:r>
      <w:bookmarkEnd w:id="182"/>
      <w:r w:rsidRPr="00F55305">
        <w:rPr>
          <w:lang w:val="en-GB"/>
        </w:rPr>
        <w:t xml:space="preserve"> </w:t>
      </w:r>
      <w:bookmarkStart w:name="lt_pId260" w:id="183"/>
      <w:r w:rsidRPr="00F55305">
        <w:rPr>
          <w:lang w:val="en-GB"/>
        </w:rPr>
        <w:t xml:space="preserve">in the context of a young person in local authority care, educational supervision must embrace many aspects of the exercise, by the local authority, of parental rights for the benefit and protection of the person concerned (see </w:t>
      </w:r>
      <w:r w:rsidRPr="00F55305">
        <w:rPr>
          <w:i/>
          <w:lang w:val="en-GB"/>
        </w:rPr>
        <w:t xml:space="preserve">Koniarska v. the United Kingdom </w:t>
      </w:r>
      <w:r w:rsidRPr="00F55305" w:rsidR="00454048">
        <w:rPr>
          <w:lang w:val="en-GB"/>
        </w:rPr>
        <w:t>(dec.), no. 33670/96, 12 </w:t>
      </w:r>
      <w:r w:rsidRPr="00F55305">
        <w:rPr>
          <w:lang w:val="en-GB"/>
        </w:rPr>
        <w:t xml:space="preserve">October 2000; </w:t>
      </w:r>
      <w:r w:rsidRPr="00F55305">
        <w:rPr>
          <w:i/>
          <w:lang w:val="en-GB"/>
        </w:rPr>
        <w:t>D.G. v. Ireland</w:t>
      </w:r>
      <w:r w:rsidRPr="00F55305">
        <w:rPr>
          <w:lang w:val="en-GB"/>
        </w:rPr>
        <w:t xml:space="preserve">, cited above, § 80; </w:t>
      </w:r>
      <w:r w:rsidRPr="00F55305" w:rsidR="00454048">
        <w:rPr>
          <w:i/>
          <w:lang w:val="en-GB"/>
        </w:rPr>
        <w:t>A. and Others v. </w:t>
      </w:r>
      <w:r w:rsidRPr="00F55305">
        <w:rPr>
          <w:i/>
          <w:lang w:val="en-GB"/>
        </w:rPr>
        <w:t>Bulgaria</w:t>
      </w:r>
      <w:r w:rsidRPr="00F55305">
        <w:rPr>
          <w:lang w:val="en-GB"/>
        </w:rPr>
        <w:t xml:space="preserve">, cited above, § 69; and </w:t>
      </w:r>
      <w:r w:rsidRPr="00F55305">
        <w:rPr>
          <w:i/>
          <w:lang w:val="en-GB"/>
        </w:rPr>
        <w:t>P. and S. v. Poland</w:t>
      </w:r>
      <w:r w:rsidRPr="00F55305">
        <w:rPr>
          <w:lang w:val="en-GB"/>
        </w:rPr>
        <w:t>, no. 57375/08, § 147, 30 October 2012).</w:t>
      </w:r>
      <w:bookmarkEnd w:id="183"/>
      <w:r w:rsidRPr="00F55305">
        <w:rPr>
          <w:lang w:val="en-GB"/>
        </w:rPr>
        <w:t xml:space="preserve"> </w:t>
      </w:r>
      <w:bookmarkStart w:name="lt_pId261" w:id="184"/>
      <w:r w:rsidRPr="00F55305">
        <w:rPr>
          <w:lang w:val="en-GB"/>
        </w:rPr>
        <w:t>The Court has recently had the opportunity to point out that schooling in line with the normal school curriculum should be standard practice for all minors deprived of their liberty and placed under the State</w:t>
      </w:r>
      <w:r w:rsidRPr="00F55305" w:rsidR="00F55305">
        <w:rPr>
          <w:lang w:val="en-GB"/>
        </w:rPr>
        <w:t>’</w:t>
      </w:r>
      <w:r w:rsidRPr="00F55305">
        <w:rPr>
          <w:lang w:val="en-GB"/>
        </w:rPr>
        <w:t xml:space="preserve">s responsibility, even when they are placed in a temporary detention centre for a limited period of time, in order to avoid gaps in their education (see </w:t>
      </w:r>
      <w:r w:rsidRPr="00F55305">
        <w:rPr>
          <w:i/>
          <w:lang w:val="en-GB"/>
        </w:rPr>
        <w:t>Blokhin</w:t>
      </w:r>
      <w:r w:rsidRPr="00F55305">
        <w:rPr>
          <w:lang w:val="en-GB"/>
        </w:rPr>
        <w:t>, cited above, § 170).</w:t>
      </w:r>
      <w:bookmarkEnd w:id="184"/>
      <w:r w:rsidRPr="00F55305">
        <w:rPr>
          <w:lang w:val="en-GB"/>
        </w:rPr>
        <w:t xml:space="preserve"> </w:t>
      </w:r>
      <w:bookmarkStart w:name="lt_pId262" w:id="185"/>
      <w:r w:rsidRPr="00F55305" w:rsidR="008C1A2E">
        <w:rPr>
          <w:lang w:val="en-GB"/>
        </w:rPr>
        <w:t>The Court</w:t>
      </w:r>
      <w:r w:rsidRPr="00F55305">
        <w:rPr>
          <w:lang w:val="en-GB"/>
        </w:rPr>
        <w:t xml:space="preserve"> </w:t>
      </w:r>
      <w:r w:rsidRPr="00F55305" w:rsidR="00454048">
        <w:rPr>
          <w:lang w:val="en-GB"/>
        </w:rPr>
        <w:t xml:space="preserve">finds it </w:t>
      </w:r>
      <w:r w:rsidRPr="00F55305">
        <w:rPr>
          <w:lang w:val="en-GB"/>
        </w:rPr>
        <w:t>n</w:t>
      </w:r>
      <w:r w:rsidRPr="00F55305" w:rsidR="00454048">
        <w:rPr>
          <w:lang w:val="en-GB"/>
        </w:rPr>
        <w:t>e</w:t>
      </w:r>
      <w:r w:rsidRPr="00F55305">
        <w:rPr>
          <w:lang w:val="en-GB"/>
        </w:rPr>
        <w:t>cessa</w:t>
      </w:r>
      <w:r w:rsidRPr="00F55305" w:rsidR="00454048">
        <w:rPr>
          <w:lang w:val="en-GB"/>
        </w:rPr>
        <w:t xml:space="preserve">ry to add in the present case that, as with the cases of detention provided for in </w:t>
      </w:r>
      <w:r w:rsidRPr="00F55305" w:rsidR="008F4E10">
        <w:rPr>
          <w:lang w:val="en-GB"/>
        </w:rPr>
        <w:t>Article 5</w:t>
      </w:r>
      <w:r w:rsidRPr="00F55305">
        <w:rPr>
          <w:lang w:val="en-GB"/>
        </w:rPr>
        <w:t xml:space="preserve"> § 1 </w:t>
      </w:r>
      <w:r w:rsidRPr="00F55305" w:rsidR="00454048">
        <w:rPr>
          <w:lang w:val="en-GB"/>
        </w:rPr>
        <w:t>(</w:t>
      </w:r>
      <w:r w:rsidRPr="00F55305">
        <w:rPr>
          <w:lang w:val="en-GB"/>
        </w:rPr>
        <w:t xml:space="preserve">b) </w:t>
      </w:r>
      <w:r w:rsidRPr="00F55305" w:rsidR="008C1A2E">
        <w:rPr>
          <w:lang w:val="en-GB"/>
        </w:rPr>
        <w:t>and</w:t>
      </w:r>
      <w:r w:rsidRPr="00F55305">
        <w:rPr>
          <w:lang w:val="en-GB"/>
        </w:rPr>
        <w:t xml:space="preserve"> </w:t>
      </w:r>
      <w:r w:rsidRPr="00F55305" w:rsidR="00454048">
        <w:rPr>
          <w:lang w:val="en-GB"/>
        </w:rPr>
        <w:t>(</w:t>
      </w:r>
      <w:r w:rsidRPr="00F55305">
        <w:rPr>
          <w:lang w:val="en-GB"/>
        </w:rPr>
        <w:t>e)</w:t>
      </w:r>
      <w:r w:rsidRPr="00F55305" w:rsidR="00454048">
        <w:rPr>
          <w:lang w:val="en-GB"/>
        </w:rPr>
        <w:t xml:space="preserve">, the requirement of </w:t>
      </w:r>
      <w:r w:rsidRPr="00F55305" w:rsidR="00142AD9">
        <w:rPr>
          <w:lang w:val="en-GB"/>
        </w:rPr>
        <w:t>“</w:t>
      </w:r>
      <w:r w:rsidRPr="00F55305" w:rsidR="00454048">
        <w:rPr>
          <w:lang w:val="en-GB"/>
        </w:rPr>
        <w:t>lawfulness</w:t>
      </w:r>
      <w:r w:rsidRPr="00F55305" w:rsidR="00142AD9">
        <w:rPr>
          <w:lang w:val="en-GB"/>
        </w:rPr>
        <w:t>”</w:t>
      </w:r>
      <w:r w:rsidRPr="00F55305" w:rsidR="00454048">
        <w:rPr>
          <w:lang w:val="en-GB"/>
        </w:rPr>
        <w:t xml:space="preserve"> in the </w:t>
      </w:r>
      <w:r w:rsidRPr="00F55305">
        <w:rPr>
          <w:lang w:val="en-GB"/>
        </w:rPr>
        <w:t xml:space="preserve">context </w:t>
      </w:r>
      <w:r w:rsidRPr="00F55305" w:rsidR="00454048">
        <w:rPr>
          <w:lang w:val="en-GB"/>
        </w:rPr>
        <w:t xml:space="preserve">of </w:t>
      </w:r>
      <w:r w:rsidRPr="00F55305">
        <w:rPr>
          <w:lang w:val="en-GB"/>
        </w:rPr>
        <w:t>d</w:t>
      </w:r>
      <w:r w:rsidRPr="00F55305" w:rsidR="00454048">
        <w:rPr>
          <w:lang w:val="en-GB"/>
        </w:rPr>
        <w:t>e</w:t>
      </w:r>
      <w:r w:rsidRPr="00F55305">
        <w:rPr>
          <w:lang w:val="en-GB"/>
        </w:rPr>
        <w:t xml:space="preserve">tention </w:t>
      </w:r>
      <w:r w:rsidRPr="00F55305" w:rsidR="00142AD9">
        <w:rPr>
          <w:lang w:val="en-GB"/>
        </w:rPr>
        <w:t>“</w:t>
      </w:r>
      <w:r w:rsidRPr="00F55305" w:rsidR="00454048">
        <w:rPr>
          <w:lang w:val="en-GB"/>
        </w:rPr>
        <w:t>for the purpose of educational supervision</w:t>
      </w:r>
      <w:r w:rsidRPr="00F55305" w:rsidR="00142AD9">
        <w:rPr>
          <w:lang w:val="en-GB"/>
        </w:rPr>
        <w:t>”</w:t>
      </w:r>
      <w:r w:rsidRPr="00F55305" w:rsidR="00454048">
        <w:rPr>
          <w:lang w:val="en-GB"/>
        </w:rPr>
        <w:t xml:space="preserve"> also implies the duty to ensure that the measure taken was p</w:t>
      </w:r>
      <w:r w:rsidRPr="00F55305">
        <w:rPr>
          <w:lang w:val="en-GB"/>
        </w:rPr>
        <w:t>roportion</w:t>
      </w:r>
      <w:r w:rsidRPr="00F55305" w:rsidR="00454048">
        <w:rPr>
          <w:lang w:val="en-GB"/>
        </w:rPr>
        <w:t>at</w:t>
      </w:r>
      <w:r w:rsidRPr="00F55305">
        <w:rPr>
          <w:lang w:val="en-GB"/>
        </w:rPr>
        <w:t xml:space="preserve">e </w:t>
      </w:r>
      <w:r w:rsidRPr="00F55305" w:rsidR="00454048">
        <w:rPr>
          <w:lang w:val="en-GB"/>
        </w:rPr>
        <w:t>to those aims</w:t>
      </w:r>
      <w:r w:rsidRPr="00F55305">
        <w:rPr>
          <w:lang w:val="en-GB"/>
        </w:rPr>
        <w:t xml:space="preserve"> (</w:t>
      </w:r>
      <w:r w:rsidRPr="00F55305" w:rsidR="00BD277E">
        <w:rPr>
          <w:lang w:val="en-GB"/>
        </w:rPr>
        <w:t>see</w:t>
      </w:r>
      <w:r w:rsidRPr="00F55305">
        <w:rPr>
          <w:lang w:val="en-GB"/>
        </w:rPr>
        <w:t xml:space="preserve">, </w:t>
      </w:r>
      <w:r w:rsidRPr="00F55305">
        <w:rPr>
          <w:i/>
          <w:lang w:val="en-GB"/>
        </w:rPr>
        <w:t>mutatis mutandis</w:t>
      </w:r>
      <w:r w:rsidRPr="00F55305">
        <w:rPr>
          <w:lang w:val="en-GB"/>
        </w:rPr>
        <w:t xml:space="preserve">, </w:t>
      </w:r>
      <w:r w:rsidRPr="00F55305" w:rsidR="00BD277E">
        <w:rPr>
          <w:i/>
          <w:lang w:val="en-GB"/>
        </w:rPr>
        <w:t>Vasileva v. Den</w:t>
      </w:r>
      <w:r w:rsidRPr="00F55305">
        <w:rPr>
          <w:i/>
          <w:lang w:val="en-GB"/>
        </w:rPr>
        <w:t>mark</w:t>
      </w:r>
      <w:r w:rsidRPr="00F55305">
        <w:rPr>
          <w:lang w:val="en-GB"/>
        </w:rPr>
        <w:t>, n</w:t>
      </w:r>
      <w:r w:rsidRPr="00F55305" w:rsidR="00BD277E">
        <w:rPr>
          <w:lang w:val="en-GB"/>
        </w:rPr>
        <w:t>o.</w:t>
      </w:r>
      <w:r w:rsidRPr="00F55305">
        <w:rPr>
          <w:lang w:val="en-GB"/>
        </w:rPr>
        <w:t xml:space="preserve"> 52792/99, §§ 37-42, 25 </w:t>
      </w:r>
      <w:r w:rsidRPr="00F55305" w:rsidR="00BD277E">
        <w:rPr>
          <w:lang w:val="en-GB"/>
        </w:rPr>
        <w:t>S</w:t>
      </w:r>
      <w:r w:rsidRPr="00F55305">
        <w:rPr>
          <w:lang w:val="en-GB"/>
        </w:rPr>
        <w:t>eptemb</w:t>
      </w:r>
      <w:r w:rsidRPr="00F55305" w:rsidR="00BD277E">
        <w:rPr>
          <w:lang w:val="en-GB"/>
        </w:rPr>
        <w:t>e</w:t>
      </w:r>
      <w:r w:rsidRPr="00F55305">
        <w:rPr>
          <w:lang w:val="en-GB"/>
        </w:rPr>
        <w:t xml:space="preserve">r 2003, </w:t>
      </w:r>
      <w:r w:rsidRPr="00F55305" w:rsidR="008C1A2E">
        <w:rPr>
          <w:lang w:val="en-GB"/>
        </w:rPr>
        <w:t>and</w:t>
      </w:r>
      <w:r w:rsidRPr="00F55305">
        <w:rPr>
          <w:lang w:val="en-GB"/>
        </w:rPr>
        <w:t xml:space="preserve"> </w:t>
      </w:r>
      <w:r w:rsidRPr="00F55305">
        <w:rPr>
          <w:i/>
          <w:lang w:val="en-GB"/>
        </w:rPr>
        <w:t xml:space="preserve">Enhorn </w:t>
      </w:r>
      <w:r w:rsidRPr="00F55305" w:rsidR="00BD277E">
        <w:rPr>
          <w:i/>
          <w:lang w:val="en-GB"/>
        </w:rPr>
        <w:t>v. Sweden</w:t>
      </w:r>
      <w:r w:rsidRPr="00F55305">
        <w:rPr>
          <w:lang w:val="en-GB"/>
        </w:rPr>
        <w:t>, n</w:t>
      </w:r>
      <w:r w:rsidRPr="00F55305" w:rsidR="00BD277E">
        <w:rPr>
          <w:lang w:val="en-GB"/>
        </w:rPr>
        <w:t>o.</w:t>
      </w:r>
      <w:r w:rsidRPr="00F55305">
        <w:rPr>
          <w:lang w:val="en-GB"/>
        </w:rPr>
        <w:t xml:space="preserve"> 56529/00, §§ 41 </w:t>
      </w:r>
      <w:r w:rsidRPr="00F55305" w:rsidR="00BD277E">
        <w:rPr>
          <w:lang w:val="en-GB"/>
        </w:rPr>
        <w:t>et seq.</w:t>
      </w:r>
      <w:r w:rsidRPr="00F55305">
        <w:rPr>
          <w:lang w:val="en-GB"/>
        </w:rPr>
        <w:t xml:space="preserve">, </w:t>
      </w:r>
      <w:r w:rsidRPr="00F55305" w:rsidR="008C1A2E">
        <w:rPr>
          <w:lang w:val="en-GB"/>
        </w:rPr>
        <w:t>ECHR</w:t>
      </w:r>
      <w:r w:rsidRPr="00F55305">
        <w:rPr>
          <w:lang w:val="en-GB"/>
        </w:rPr>
        <w:t xml:space="preserve"> 2005-I).</w:t>
      </w:r>
      <w:bookmarkEnd w:id="185"/>
      <w:r w:rsidRPr="00F55305">
        <w:rPr>
          <w:lang w:val="en-GB"/>
        </w:rPr>
        <w:t xml:space="preserve"> </w:t>
      </w:r>
      <w:bookmarkStart w:name="lt_pId263" w:id="186"/>
      <w:r w:rsidRPr="00F55305" w:rsidR="009B038B">
        <w:rPr>
          <w:lang w:val="en-GB"/>
        </w:rPr>
        <w:t>Wher</w:t>
      </w:r>
      <w:r w:rsidRPr="00F55305" w:rsidR="00172556">
        <w:rPr>
          <w:lang w:val="en-GB"/>
        </w:rPr>
        <w:t xml:space="preserve">e the </w:t>
      </w:r>
      <w:r w:rsidRPr="00F55305">
        <w:rPr>
          <w:lang w:val="en-GB"/>
        </w:rPr>
        <w:t>d</w:t>
      </w:r>
      <w:r w:rsidRPr="00F55305" w:rsidR="00172556">
        <w:rPr>
          <w:lang w:val="en-GB"/>
        </w:rPr>
        <w:t>e</w:t>
      </w:r>
      <w:r w:rsidRPr="00F55305">
        <w:rPr>
          <w:lang w:val="en-GB"/>
        </w:rPr>
        <w:t xml:space="preserve">tention </w:t>
      </w:r>
      <w:r w:rsidRPr="00F55305" w:rsidR="009B038B">
        <w:rPr>
          <w:lang w:val="en-GB"/>
        </w:rPr>
        <w:t>concerns a minor, as in the present case, the Court con</w:t>
      </w:r>
      <w:r w:rsidRPr="00F55305" w:rsidR="008D17F9">
        <w:rPr>
          <w:lang w:val="en-GB"/>
        </w:rPr>
        <w:t>siders, in the light of the rele</w:t>
      </w:r>
      <w:r w:rsidRPr="00F55305" w:rsidR="009B038B">
        <w:rPr>
          <w:lang w:val="en-GB"/>
        </w:rPr>
        <w:t xml:space="preserve">vant international standards, that </w:t>
      </w:r>
      <w:r w:rsidRPr="00F55305" w:rsidR="008D17F9">
        <w:rPr>
          <w:lang w:val="en-GB"/>
        </w:rPr>
        <w:t xml:space="preserve">an essential criterion for the assessment of </w:t>
      </w:r>
      <w:r w:rsidRPr="00F55305">
        <w:rPr>
          <w:lang w:val="en-GB"/>
        </w:rPr>
        <w:t>proportionalit</w:t>
      </w:r>
      <w:r w:rsidRPr="00F55305" w:rsidR="008D17F9">
        <w:rPr>
          <w:lang w:val="en-GB"/>
        </w:rPr>
        <w:t>y is whether the detention was ordered as a last resort, in the child</w:t>
      </w:r>
      <w:r w:rsidRPr="00F55305" w:rsidR="00F55305">
        <w:rPr>
          <w:lang w:val="en-GB"/>
        </w:rPr>
        <w:t>’</w:t>
      </w:r>
      <w:r w:rsidRPr="00F55305" w:rsidR="008D17F9">
        <w:rPr>
          <w:lang w:val="en-GB"/>
        </w:rPr>
        <w:t>s best interests, and was aimed at preventing serious risks for the child</w:t>
      </w:r>
      <w:r w:rsidRPr="00F55305" w:rsidR="00F55305">
        <w:rPr>
          <w:lang w:val="en-GB"/>
        </w:rPr>
        <w:t>’</w:t>
      </w:r>
      <w:r w:rsidRPr="00F55305" w:rsidR="008D17F9">
        <w:rPr>
          <w:lang w:val="en-GB"/>
        </w:rPr>
        <w:t>s development</w:t>
      </w:r>
      <w:r w:rsidRPr="00F55305">
        <w:rPr>
          <w:lang w:val="en-GB"/>
        </w:rPr>
        <w:t>.</w:t>
      </w:r>
      <w:bookmarkEnd w:id="186"/>
      <w:r w:rsidRPr="00F55305">
        <w:rPr>
          <w:lang w:val="en-GB"/>
        </w:rPr>
        <w:t xml:space="preserve"> </w:t>
      </w:r>
      <w:bookmarkStart w:name="lt_pId264" w:id="187"/>
      <w:r w:rsidRPr="00F55305">
        <w:rPr>
          <w:lang w:val="en-GB"/>
        </w:rPr>
        <w:t>When this criterion is no longer fulfilled, the basis for the deprivatio</w:t>
      </w:r>
      <w:r w:rsidRPr="00F55305" w:rsidR="00104A77">
        <w:rPr>
          <w:lang w:val="en-GB"/>
        </w:rPr>
        <w:t>n</w:t>
      </w:r>
      <w:r w:rsidRPr="00F55305">
        <w:rPr>
          <w:lang w:val="en-GB"/>
        </w:rPr>
        <w:t xml:space="preserve"> of liberty ceases to exist.</w:t>
      </w:r>
      <w:bookmarkEnd w:id="18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75</w:t>
      </w:r>
      <w:r w:rsidRPr="00F55305">
        <w:rPr>
          <w:lang w:val="en-GB"/>
        </w:rPr>
        <w:fldChar w:fldCharType="end"/>
      </w:r>
      <w:r w:rsidRPr="00F55305">
        <w:rPr>
          <w:lang w:val="en-GB"/>
        </w:rPr>
        <w:t>.  </w:t>
      </w:r>
      <w:bookmarkStart w:name="lt_pId266" w:id="188"/>
      <w:r w:rsidRPr="00F55305" w:rsidR="00454048">
        <w:rPr>
          <w:lang w:val="en-GB"/>
        </w:rPr>
        <w:t>In the</w:t>
      </w:r>
      <w:r w:rsidRPr="00F55305">
        <w:rPr>
          <w:lang w:val="en-GB"/>
        </w:rPr>
        <w:t xml:space="preserve"> pr</w:t>
      </w:r>
      <w:r w:rsidRPr="00F55305" w:rsidR="00454048">
        <w:rPr>
          <w:lang w:val="en-GB"/>
        </w:rPr>
        <w:t>e</w:t>
      </w:r>
      <w:r w:rsidRPr="00F55305">
        <w:rPr>
          <w:lang w:val="en-GB"/>
        </w:rPr>
        <w:t>sent</w:t>
      </w:r>
      <w:r w:rsidRPr="00F55305" w:rsidR="00454048">
        <w:rPr>
          <w:lang w:val="en-GB"/>
        </w:rPr>
        <w:t xml:space="preserve"> case</w:t>
      </w:r>
      <w:r w:rsidRPr="00F55305">
        <w:rPr>
          <w:lang w:val="en-GB"/>
        </w:rPr>
        <w:t xml:space="preserve">, </w:t>
      </w:r>
      <w:r w:rsidRPr="00F55305" w:rsidR="000F2B78">
        <w:rPr>
          <w:lang w:val="en-GB"/>
        </w:rPr>
        <w:t>the applicant</w:t>
      </w:r>
      <w:r w:rsidRPr="00F55305">
        <w:rPr>
          <w:lang w:val="en-GB"/>
        </w:rPr>
        <w:t xml:space="preserve"> </w:t>
      </w:r>
      <w:r w:rsidRPr="00F55305" w:rsidR="008D17F9">
        <w:rPr>
          <w:lang w:val="en-GB"/>
        </w:rPr>
        <w:t>alleged that the authorities</w:t>
      </w:r>
      <w:r w:rsidRPr="00F55305" w:rsidR="00F55305">
        <w:rPr>
          <w:lang w:val="en-GB"/>
        </w:rPr>
        <w:t>’</w:t>
      </w:r>
      <w:r w:rsidRPr="00F55305" w:rsidR="008D17F9">
        <w:rPr>
          <w:lang w:val="en-GB"/>
        </w:rPr>
        <w:t xml:space="preserve"> decision to place her in the school had not been taken for educational purposes but as a punishment, that the</w:t>
      </w:r>
      <w:r w:rsidRPr="00F55305" w:rsidR="00104A77">
        <w:rPr>
          <w:lang w:val="en-GB"/>
        </w:rPr>
        <w:t xml:space="preserve"> </w:t>
      </w:r>
      <w:r w:rsidRPr="00F55305" w:rsidR="00E127E6">
        <w:rPr>
          <w:lang w:val="en-GB"/>
        </w:rPr>
        <w:t xml:space="preserve">system for </w:t>
      </w:r>
      <w:r w:rsidRPr="00F55305" w:rsidR="00104A77">
        <w:rPr>
          <w:lang w:val="en-GB"/>
        </w:rPr>
        <w:t>teaching and support at</w:t>
      </w:r>
      <w:r w:rsidRPr="00F55305">
        <w:rPr>
          <w:lang w:val="en-GB"/>
        </w:rPr>
        <w:t xml:space="preserve"> </w:t>
      </w:r>
      <w:r w:rsidRPr="00F55305" w:rsidR="003B5A4F">
        <w:rPr>
          <w:lang w:val="en-GB"/>
        </w:rPr>
        <w:t>the Podem school</w:t>
      </w:r>
      <w:r w:rsidRPr="00F55305">
        <w:rPr>
          <w:lang w:val="en-GB"/>
        </w:rPr>
        <w:t xml:space="preserve"> </w:t>
      </w:r>
      <w:r w:rsidRPr="00F55305" w:rsidR="00E127E6">
        <w:rPr>
          <w:lang w:val="en-GB"/>
        </w:rPr>
        <w:t>did not comply</w:t>
      </w:r>
      <w:r w:rsidRPr="00F55305" w:rsidR="00104A77">
        <w:rPr>
          <w:lang w:val="en-GB"/>
        </w:rPr>
        <w:t xml:space="preserve"> with the requirements of</w:t>
      </w:r>
      <w:r w:rsidRPr="00F55305">
        <w:rPr>
          <w:lang w:val="en-GB"/>
        </w:rPr>
        <w:t xml:space="preserve"> </w:t>
      </w:r>
      <w:r w:rsidRPr="00F55305" w:rsidR="008C1A2E">
        <w:rPr>
          <w:lang w:val="en-GB"/>
        </w:rPr>
        <w:t>Article 5 § 1 (d)</w:t>
      </w:r>
      <w:r w:rsidRPr="00F55305">
        <w:rPr>
          <w:lang w:val="en-GB"/>
        </w:rPr>
        <w:t xml:space="preserve"> </w:t>
      </w:r>
      <w:r w:rsidRPr="00F55305" w:rsidR="008F4E10">
        <w:rPr>
          <w:lang w:val="en-GB"/>
        </w:rPr>
        <w:t>of the Convention</w:t>
      </w:r>
      <w:r w:rsidRPr="00F55305">
        <w:rPr>
          <w:lang w:val="en-GB"/>
        </w:rPr>
        <w:t xml:space="preserve"> </w:t>
      </w:r>
      <w:r w:rsidRPr="00F55305" w:rsidR="008C1A2E">
        <w:rPr>
          <w:lang w:val="en-GB"/>
        </w:rPr>
        <w:t>and</w:t>
      </w:r>
      <w:r w:rsidRPr="00F55305">
        <w:rPr>
          <w:lang w:val="en-GB"/>
        </w:rPr>
        <w:t xml:space="preserve"> </w:t>
      </w:r>
      <w:r w:rsidRPr="00F55305" w:rsidR="00104A77">
        <w:rPr>
          <w:lang w:val="en-GB"/>
        </w:rPr>
        <w:t>that the choice of the</w:t>
      </w:r>
      <w:r w:rsidRPr="00F55305">
        <w:rPr>
          <w:lang w:val="en-GB"/>
        </w:rPr>
        <w:t xml:space="preserve"> </w:t>
      </w:r>
      <w:r w:rsidRPr="00F55305" w:rsidR="006A75A6">
        <w:rPr>
          <w:lang w:val="en-GB"/>
        </w:rPr>
        <w:t>measure</w:t>
      </w:r>
      <w:r w:rsidRPr="00F55305">
        <w:rPr>
          <w:lang w:val="en-GB"/>
        </w:rPr>
        <w:t xml:space="preserve"> </w:t>
      </w:r>
      <w:r w:rsidRPr="00F55305" w:rsidR="00104A77">
        <w:rPr>
          <w:lang w:val="en-GB"/>
        </w:rPr>
        <w:t>had been</w:t>
      </w:r>
      <w:r w:rsidRPr="00F55305">
        <w:rPr>
          <w:lang w:val="en-GB"/>
        </w:rPr>
        <w:t xml:space="preserve"> arbitrar</w:t>
      </w:r>
      <w:r w:rsidRPr="00F55305" w:rsidR="00104A77">
        <w:rPr>
          <w:lang w:val="en-GB"/>
        </w:rPr>
        <w:t>y</w:t>
      </w:r>
      <w:r w:rsidRPr="00F55305">
        <w:rPr>
          <w:lang w:val="en-GB"/>
        </w:rPr>
        <w:t>.</w:t>
      </w:r>
      <w:bookmarkEnd w:id="188"/>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76</w:t>
      </w:r>
      <w:r w:rsidRPr="00F55305">
        <w:rPr>
          <w:lang w:val="en-GB"/>
        </w:rPr>
        <w:fldChar w:fldCharType="end"/>
      </w:r>
      <w:r w:rsidRPr="00F55305">
        <w:rPr>
          <w:lang w:val="en-GB"/>
        </w:rPr>
        <w:t>.  </w:t>
      </w:r>
      <w:bookmarkStart w:name="lt_pId268" w:id="189"/>
      <w:r w:rsidRPr="00F55305" w:rsidR="0069106B">
        <w:rPr>
          <w:lang w:val="en-GB"/>
        </w:rPr>
        <w:t>T</w:t>
      </w:r>
      <w:r w:rsidRPr="00F55305" w:rsidR="008C1A2E">
        <w:rPr>
          <w:lang w:val="en-GB"/>
        </w:rPr>
        <w:t>he Court</w:t>
      </w:r>
      <w:r w:rsidRPr="00F55305">
        <w:rPr>
          <w:lang w:val="en-GB"/>
        </w:rPr>
        <w:t xml:space="preserve"> </w:t>
      </w:r>
      <w:r w:rsidRPr="00F55305" w:rsidR="00104A77">
        <w:rPr>
          <w:lang w:val="en-GB"/>
        </w:rPr>
        <w:t>observes</w:t>
      </w:r>
      <w:r w:rsidRPr="00F55305" w:rsidR="0069106B">
        <w:rPr>
          <w:lang w:val="en-GB"/>
        </w:rPr>
        <w:t>, moreover, that</w:t>
      </w:r>
      <w:r w:rsidRPr="00F55305">
        <w:rPr>
          <w:lang w:val="en-GB"/>
        </w:rPr>
        <w:t xml:space="preserve"> </w:t>
      </w:r>
      <w:r w:rsidRPr="00F55305" w:rsidR="0069106B">
        <w:rPr>
          <w:lang w:val="en-GB"/>
        </w:rPr>
        <w:t xml:space="preserve">the material before it </w:t>
      </w:r>
      <w:r w:rsidRPr="00F55305" w:rsidR="00AF34DE">
        <w:rPr>
          <w:lang w:val="en-GB"/>
        </w:rPr>
        <w:t>includes</w:t>
      </w:r>
      <w:r w:rsidRPr="00F55305" w:rsidR="0069106B">
        <w:rPr>
          <w:lang w:val="en-GB"/>
        </w:rPr>
        <w:t xml:space="preserve"> criticism</w:t>
      </w:r>
      <w:r w:rsidRPr="00F55305" w:rsidR="00AF34DE">
        <w:rPr>
          <w:lang w:val="en-GB"/>
        </w:rPr>
        <w:t>s</w:t>
      </w:r>
      <w:r w:rsidRPr="00F55305" w:rsidR="0069106B">
        <w:rPr>
          <w:lang w:val="en-GB"/>
        </w:rPr>
        <w:t xml:space="preserve"> of various aspects of the Bulgarian system for accommodating children in </w:t>
      </w:r>
      <w:r w:rsidRPr="00F55305" w:rsidR="00AF34DE">
        <w:rPr>
          <w:lang w:val="en-GB"/>
        </w:rPr>
        <w:t xml:space="preserve">difficulty within the network of social </w:t>
      </w:r>
      <w:r w:rsidRPr="00F55305">
        <w:rPr>
          <w:lang w:val="en-GB"/>
        </w:rPr>
        <w:t>institutions.</w:t>
      </w:r>
      <w:bookmarkEnd w:id="189"/>
      <w:r w:rsidRPr="00F55305">
        <w:rPr>
          <w:lang w:val="en-GB"/>
        </w:rPr>
        <w:t xml:space="preserve"> </w:t>
      </w:r>
      <w:bookmarkStart w:name="lt_pId269" w:id="190"/>
      <w:r w:rsidRPr="00F55305" w:rsidR="000015E1">
        <w:rPr>
          <w:lang w:val="en-GB"/>
        </w:rPr>
        <w:t>It</w:t>
      </w:r>
      <w:r w:rsidRPr="00F55305">
        <w:rPr>
          <w:lang w:val="en-GB"/>
        </w:rPr>
        <w:t xml:space="preserve"> note</w:t>
      </w:r>
      <w:r w:rsidRPr="00F55305" w:rsidR="000015E1">
        <w:rPr>
          <w:lang w:val="en-GB"/>
        </w:rPr>
        <w:t>s</w:t>
      </w:r>
      <w:r w:rsidRPr="00F55305">
        <w:rPr>
          <w:lang w:val="en-GB"/>
        </w:rPr>
        <w:t xml:space="preserve"> </w:t>
      </w:r>
      <w:r w:rsidRPr="00F55305" w:rsidR="00AF34DE">
        <w:rPr>
          <w:lang w:val="en-GB"/>
        </w:rPr>
        <w:t xml:space="preserve">firstly that the </w:t>
      </w:r>
      <w:r w:rsidRPr="00F55305" w:rsidR="008251A4">
        <w:rPr>
          <w:lang w:val="en-GB"/>
        </w:rPr>
        <w:t>Juvenile</w:t>
      </w:r>
      <w:r w:rsidRPr="00F55305" w:rsidR="00AF34DE">
        <w:rPr>
          <w:lang w:val="en-GB"/>
        </w:rPr>
        <w:t xml:space="preserve"> Antisocial Behaviour Act is undeniably obsolete and that, for historical reasons, it is based </w:t>
      </w:r>
      <w:r w:rsidRPr="00F55305" w:rsidR="00B05092">
        <w:rPr>
          <w:lang w:val="en-GB"/>
        </w:rPr>
        <w:t xml:space="preserve">more </w:t>
      </w:r>
      <w:r w:rsidRPr="00F55305" w:rsidR="00AF34DE">
        <w:rPr>
          <w:lang w:val="en-GB"/>
        </w:rPr>
        <w:t xml:space="preserve">on a </w:t>
      </w:r>
      <w:r w:rsidRPr="00F55305" w:rsidR="00B05092">
        <w:rPr>
          <w:lang w:val="en-GB"/>
        </w:rPr>
        <w:t xml:space="preserve">philosophy of </w:t>
      </w:r>
      <w:r w:rsidRPr="00F55305" w:rsidR="00142AD9">
        <w:rPr>
          <w:lang w:val="en-GB"/>
        </w:rPr>
        <w:t>“</w:t>
      </w:r>
      <w:r w:rsidRPr="00F55305" w:rsidR="00AF34DE">
        <w:rPr>
          <w:lang w:val="en-GB"/>
        </w:rPr>
        <w:t>puni</w:t>
      </w:r>
      <w:r w:rsidRPr="00F55305" w:rsidR="00B05092">
        <w:rPr>
          <w:lang w:val="en-GB"/>
        </w:rPr>
        <w:t>shing</w:t>
      </w:r>
      <w:r w:rsidRPr="00F55305" w:rsidR="00142AD9">
        <w:rPr>
          <w:lang w:val="en-GB"/>
        </w:rPr>
        <w:t>”</w:t>
      </w:r>
      <w:r w:rsidRPr="00F55305" w:rsidR="00AF34DE">
        <w:rPr>
          <w:lang w:val="en-GB"/>
        </w:rPr>
        <w:t xml:space="preserve"> than </w:t>
      </w:r>
      <w:r w:rsidRPr="00F55305" w:rsidR="00142AD9">
        <w:rPr>
          <w:lang w:val="en-GB"/>
        </w:rPr>
        <w:t>“</w:t>
      </w:r>
      <w:r w:rsidRPr="00F55305" w:rsidR="00AF34DE">
        <w:rPr>
          <w:lang w:val="en-GB"/>
        </w:rPr>
        <w:t>protecti</w:t>
      </w:r>
      <w:r w:rsidRPr="00F55305" w:rsidR="00B05092">
        <w:rPr>
          <w:lang w:val="en-GB"/>
        </w:rPr>
        <w:t>ng</w:t>
      </w:r>
      <w:r w:rsidRPr="00F55305" w:rsidR="00142AD9">
        <w:rPr>
          <w:lang w:val="en-GB"/>
        </w:rPr>
        <w:t>”</w:t>
      </w:r>
      <w:r w:rsidRPr="00F55305" w:rsidR="00AF34DE">
        <w:rPr>
          <w:lang w:val="en-GB"/>
        </w:rPr>
        <w:t xml:space="preserve"> </w:t>
      </w:r>
      <w:r w:rsidRPr="00F55305" w:rsidR="00B05092">
        <w:rPr>
          <w:lang w:val="en-GB"/>
        </w:rPr>
        <w:t xml:space="preserve">children, </w:t>
      </w:r>
      <w:r w:rsidRPr="00F55305" w:rsidR="00AF34DE">
        <w:rPr>
          <w:lang w:val="en-GB"/>
        </w:rPr>
        <w:t xml:space="preserve">a fact that has attracted criticism from international and </w:t>
      </w:r>
      <w:r w:rsidRPr="00F55305">
        <w:rPr>
          <w:lang w:val="en-GB"/>
        </w:rPr>
        <w:t xml:space="preserve">national </w:t>
      </w:r>
      <w:r w:rsidRPr="00F55305" w:rsidR="00AF34DE">
        <w:rPr>
          <w:lang w:val="en-GB"/>
        </w:rPr>
        <w:t xml:space="preserve">organisations </w:t>
      </w:r>
      <w:r w:rsidRPr="00F55305">
        <w:rPr>
          <w:lang w:val="en-GB"/>
        </w:rPr>
        <w:t>(</w:t>
      </w:r>
      <w:r w:rsidRPr="00F55305" w:rsidR="008C1A2E">
        <w:rPr>
          <w:lang w:val="en-GB"/>
        </w:rPr>
        <w:t>see paragraph</w:t>
      </w:r>
      <w:r w:rsidRPr="00F55305">
        <w:rPr>
          <w:lang w:val="en-GB"/>
        </w:rPr>
        <w:t>s 39</w:t>
      </w:r>
      <w:r w:rsidRPr="00F55305" w:rsidR="00531D9C">
        <w:rPr>
          <w:lang w:val="en-GB"/>
        </w:rPr>
        <w:t xml:space="preserve"> ...</w:t>
      </w:r>
      <w:r w:rsidRPr="00F55305">
        <w:rPr>
          <w:lang w:val="en-GB"/>
        </w:rPr>
        <w:t xml:space="preserve"> </w:t>
      </w:r>
      <w:r w:rsidRPr="00F55305" w:rsidR="008C1A2E">
        <w:rPr>
          <w:lang w:val="en-GB"/>
        </w:rPr>
        <w:t>above</w:t>
      </w:r>
      <w:r w:rsidRPr="00F55305">
        <w:rPr>
          <w:lang w:val="en-GB"/>
        </w:rPr>
        <w:t>).</w:t>
      </w:r>
      <w:bookmarkEnd w:id="190"/>
      <w:r w:rsidRPr="00F55305">
        <w:rPr>
          <w:lang w:val="en-GB"/>
        </w:rPr>
        <w:t xml:space="preserve"> </w:t>
      </w:r>
      <w:bookmarkStart w:name="lt_pId270" w:id="191"/>
      <w:r w:rsidRPr="00F55305" w:rsidR="00AF34DE">
        <w:rPr>
          <w:lang w:val="en-GB"/>
        </w:rPr>
        <w:t xml:space="preserve">Furthermore, when examining the first application by the </w:t>
      </w:r>
      <w:r w:rsidRPr="00F55305" w:rsidR="00C634DC">
        <w:rPr>
          <w:lang w:val="en-GB"/>
        </w:rPr>
        <w:t>local committee</w:t>
      </w:r>
      <w:r w:rsidRPr="00F55305" w:rsidR="00AF34DE">
        <w:rPr>
          <w:lang w:val="en-GB"/>
        </w:rPr>
        <w:t xml:space="preserve"> for the applicant</w:t>
      </w:r>
      <w:r w:rsidRPr="00F55305" w:rsidR="00F55305">
        <w:rPr>
          <w:lang w:val="en-GB"/>
        </w:rPr>
        <w:t>’</w:t>
      </w:r>
      <w:r w:rsidRPr="00F55305" w:rsidR="00AF34DE">
        <w:rPr>
          <w:lang w:val="en-GB"/>
        </w:rPr>
        <w:t xml:space="preserve">s placement, the </w:t>
      </w:r>
      <w:r w:rsidRPr="00F55305" w:rsidR="00FB7819">
        <w:rPr>
          <w:lang w:val="en-GB"/>
        </w:rPr>
        <w:t>court</w:t>
      </w:r>
      <w:r w:rsidRPr="00F55305" w:rsidR="00AF34DE">
        <w:rPr>
          <w:lang w:val="en-GB"/>
        </w:rPr>
        <w:t xml:space="preserve"> found that </w:t>
      </w:r>
      <w:r w:rsidRPr="00F55305" w:rsidR="003B5A4F">
        <w:rPr>
          <w:lang w:val="en-GB"/>
        </w:rPr>
        <w:t>the Podem school</w:t>
      </w:r>
      <w:r w:rsidRPr="00F55305">
        <w:rPr>
          <w:lang w:val="en-GB"/>
        </w:rPr>
        <w:t xml:space="preserve"> </w:t>
      </w:r>
      <w:r w:rsidRPr="00F55305" w:rsidR="00AF34DE">
        <w:rPr>
          <w:lang w:val="en-GB"/>
        </w:rPr>
        <w:t xml:space="preserve">was an </w:t>
      </w:r>
      <w:r w:rsidRPr="00F55305" w:rsidR="00142AD9">
        <w:rPr>
          <w:lang w:val="en-GB"/>
        </w:rPr>
        <w:t>“</w:t>
      </w:r>
      <w:r w:rsidRPr="00F55305" w:rsidR="00AF34DE">
        <w:rPr>
          <w:lang w:val="en-GB"/>
        </w:rPr>
        <w:t>unfavourable environment</w:t>
      </w:r>
      <w:r w:rsidRPr="00F55305" w:rsidR="00142AD9">
        <w:rPr>
          <w:lang w:val="en-GB"/>
        </w:rPr>
        <w:t>”</w:t>
      </w:r>
      <w:r w:rsidRPr="00F55305" w:rsidR="00AF34DE">
        <w:rPr>
          <w:lang w:val="en-GB"/>
        </w:rPr>
        <w:t xml:space="preserve"> </w:t>
      </w:r>
      <w:r w:rsidRPr="00F55305">
        <w:rPr>
          <w:lang w:val="en-GB"/>
        </w:rPr>
        <w:t>(</w:t>
      </w:r>
      <w:r w:rsidRPr="00F55305" w:rsidR="008C1A2E">
        <w:rPr>
          <w:lang w:val="en-GB"/>
        </w:rPr>
        <w:t>see paragraph</w:t>
      </w:r>
      <w:r w:rsidRPr="00F55305">
        <w:rPr>
          <w:lang w:val="en-GB"/>
        </w:rPr>
        <w:t xml:space="preserve"> 9 </w:t>
      </w:r>
      <w:r w:rsidRPr="00F55305" w:rsidR="008C1A2E">
        <w:rPr>
          <w:lang w:val="en-GB"/>
        </w:rPr>
        <w:t>above</w:t>
      </w:r>
      <w:r w:rsidRPr="00F55305">
        <w:rPr>
          <w:lang w:val="en-GB"/>
        </w:rPr>
        <w:t>).</w:t>
      </w:r>
      <w:bookmarkEnd w:id="191"/>
      <w:r w:rsidRPr="00F55305">
        <w:rPr>
          <w:lang w:val="en-GB"/>
        </w:rPr>
        <w:t xml:space="preserve"> </w:t>
      </w:r>
      <w:bookmarkStart w:name="lt_pId271" w:id="192"/>
      <w:r w:rsidRPr="00F55305" w:rsidR="00AF34DE">
        <w:rPr>
          <w:lang w:val="en-GB"/>
        </w:rPr>
        <w:t xml:space="preserve">Subsequently, the </w:t>
      </w:r>
      <w:r w:rsidRPr="00F55305" w:rsidR="009D3A50">
        <w:rPr>
          <w:lang w:val="en-GB"/>
        </w:rPr>
        <w:t xml:space="preserve">State Agency for Child Protection and the Ombudsman both indicated their concerns as to the </w:t>
      </w:r>
      <w:r w:rsidRPr="00F55305" w:rsidR="00EA46F0">
        <w:rPr>
          <w:lang w:val="en-GB"/>
        </w:rPr>
        <w:t>appropriateness</w:t>
      </w:r>
      <w:r w:rsidRPr="00F55305" w:rsidR="009D3A50">
        <w:rPr>
          <w:lang w:val="en-GB"/>
        </w:rPr>
        <w:t xml:space="preserve"> of judicial proceedings concerning minors, the implementation of </w:t>
      </w:r>
      <w:r w:rsidRPr="00F55305" w:rsidR="00475583">
        <w:rPr>
          <w:lang w:val="en-GB"/>
        </w:rPr>
        <w:t>educational and support</w:t>
      </w:r>
      <w:r w:rsidRPr="00F55305" w:rsidR="009D3A50">
        <w:rPr>
          <w:lang w:val="en-GB"/>
        </w:rPr>
        <w:t xml:space="preserve"> </w:t>
      </w:r>
      <w:r w:rsidRPr="00F55305">
        <w:rPr>
          <w:lang w:val="en-GB"/>
        </w:rPr>
        <w:t>programmes</w:t>
      </w:r>
      <w:r w:rsidRPr="00F55305" w:rsidR="009D3A50">
        <w:rPr>
          <w:lang w:val="en-GB"/>
        </w:rPr>
        <w:t xml:space="preserve">, </w:t>
      </w:r>
      <w:r w:rsidRPr="00F55305" w:rsidR="009617B6">
        <w:rPr>
          <w:lang w:val="en-GB"/>
        </w:rPr>
        <w:t>and the physic</w:t>
      </w:r>
      <w:r w:rsidRPr="00F55305" w:rsidR="009D3A50">
        <w:rPr>
          <w:lang w:val="en-GB"/>
        </w:rPr>
        <w:t xml:space="preserve">al living conditions in the secure institutions for </w:t>
      </w:r>
      <w:r w:rsidRPr="00F55305" w:rsidR="00EA46F0">
        <w:rPr>
          <w:lang w:val="en-GB"/>
        </w:rPr>
        <w:t>juveniles</w:t>
      </w:r>
      <w:r w:rsidRPr="00F55305">
        <w:rPr>
          <w:lang w:val="en-GB"/>
        </w:rPr>
        <w:t xml:space="preserve"> (</w:t>
      </w:r>
      <w:r w:rsidRPr="00F55305" w:rsidR="008C1A2E">
        <w:rPr>
          <w:lang w:val="en-GB"/>
        </w:rPr>
        <w:t>see paragraph</w:t>
      </w:r>
      <w:r w:rsidRPr="00F55305">
        <w:rPr>
          <w:lang w:val="en-GB"/>
        </w:rPr>
        <w:t xml:space="preserve">s 31-38 </w:t>
      </w:r>
      <w:r w:rsidRPr="00F55305" w:rsidR="00531D9C">
        <w:rPr>
          <w:lang w:val="en-GB"/>
        </w:rPr>
        <w:t>...</w:t>
      </w:r>
      <w:r w:rsidRPr="00F55305">
        <w:rPr>
          <w:lang w:val="en-GB"/>
        </w:rPr>
        <w:t xml:space="preserve"> </w:t>
      </w:r>
      <w:r w:rsidRPr="00F55305" w:rsidR="008C1A2E">
        <w:rPr>
          <w:lang w:val="en-GB"/>
        </w:rPr>
        <w:t>above</w:t>
      </w:r>
      <w:r w:rsidRPr="00F55305">
        <w:rPr>
          <w:lang w:val="en-GB"/>
        </w:rPr>
        <w:t>).</w:t>
      </w:r>
      <w:bookmarkEnd w:id="192"/>
      <w:r w:rsidRPr="00F55305">
        <w:rPr>
          <w:lang w:val="en-GB"/>
        </w:rPr>
        <w:t xml:space="preserve"> </w:t>
      </w:r>
      <w:bookmarkStart w:name="lt_pId272" w:id="193"/>
      <w:r w:rsidRPr="00F55305" w:rsidR="00C7115B">
        <w:rPr>
          <w:lang w:val="en-GB"/>
        </w:rPr>
        <w:t xml:space="preserve">On this </w:t>
      </w:r>
      <w:r w:rsidRPr="00F55305">
        <w:rPr>
          <w:lang w:val="en-GB"/>
        </w:rPr>
        <w:t xml:space="preserve">point, </w:t>
      </w:r>
      <w:r w:rsidRPr="00F55305" w:rsidR="008C1A2E">
        <w:rPr>
          <w:lang w:val="en-GB"/>
        </w:rPr>
        <w:t>the Court</w:t>
      </w:r>
      <w:r w:rsidRPr="00F55305" w:rsidR="009617B6">
        <w:rPr>
          <w:lang w:val="en-GB"/>
        </w:rPr>
        <w:t xml:space="preserve"> is </w:t>
      </w:r>
      <w:r w:rsidRPr="00F55305" w:rsidR="009073BE">
        <w:rPr>
          <w:lang w:val="en-GB"/>
        </w:rPr>
        <w:t>compelled</w:t>
      </w:r>
      <w:r w:rsidRPr="00F55305" w:rsidR="009617B6">
        <w:rPr>
          <w:lang w:val="en-GB"/>
        </w:rPr>
        <w:t xml:space="preserve"> to note that a national reform, encompassing wide-ranging legislative </w:t>
      </w:r>
      <w:r w:rsidRPr="00F55305" w:rsidR="008C1A2E">
        <w:rPr>
          <w:lang w:val="en-GB"/>
        </w:rPr>
        <w:t>and</w:t>
      </w:r>
      <w:r w:rsidRPr="00F55305">
        <w:rPr>
          <w:lang w:val="en-GB"/>
        </w:rPr>
        <w:t xml:space="preserve"> administrative</w:t>
      </w:r>
      <w:r w:rsidRPr="00F55305" w:rsidR="009617B6">
        <w:rPr>
          <w:lang w:val="en-GB"/>
        </w:rPr>
        <w:t xml:space="preserve"> measures and </w:t>
      </w:r>
      <w:r w:rsidRPr="00F55305">
        <w:rPr>
          <w:lang w:val="en-GB"/>
        </w:rPr>
        <w:t>encourage</w:t>
      </w:r>
      <w:r w:rsidRPr="00F55305" w:rsidR="009617B6">
        <w:rPr>
          <w:lang w:val="en-GB"/>
        </w:rPr>
        <w:t>d by the</w:t>
      </w:r>
      <w:r w:rsidRPr="00F55305">
        <w:rPr>
          <w:lang w:val="en-GB"/>
        </w:rPr>
        <w:t xml:space="preserve"> </w:t>
      </w:r>
      <w:r w:rsidRPr="00F55305" w:rsidR="009617B6">
        <w:rPr>
          <w:lang w:val="en-GB"/>
        </w:rPr>
        <w:t>United Nations</w:t>
      </w:r>
      <w:r w:rsidRPr="00F55305">
        <w:rPr>
          <w:lang w:val="en-GB"/>
        </w:rPr>
        <w:t xml:space="preserve"> </w:t>
      </w:r>
      <w:r w:rsidRPr="00F55305" w:rsidR="009617B6">
        <w:rPr>
          <w:lang w:val="en-GB"/>
        </w:rPr>
        <w:t>Committee on the Rights of the Child</w:t>
      </w:r>
      <w:r w:rsidRPr="00F55305">
        <w:rPr>
          <w:lang w:val="en-GB"/>
        </w:rPr>
        <w:t xml:space="preserve">, </w:t>
      </w:r>
      <w:r w:rsidRPr="00F55305" w:rsidR="009617B6">
        <w:rPr>
          <w:lang w:val="en-GB"/>
        </w:rPr>
        <w:t xml:space="preserve">is currently being </w:t>
      </w:r>
      <w:r w:rsidRPr="00F55305" w:rsidR="009073BE">
        <w:rPr>
          <w:lang w:val="en-GB"/>
        </w:rPr>
        <w:t>planned</w:t>
      </w:r>
      <w:r w:rsidRPr="00F55305" w:rsidR="009617B6">
        <w:rPr>
          <w:lang w:val="en-GB"/>
        </w:rPr>
        <w:t xml:space="preserve"> </w:t>
      </w:r>
      <w:r w:rsidRPr="00F55305">
        <w:rPr>
          <w:lang w:val="en-GB"/>
        </w:rPr>
        <w:t>(</w:t>
      </w:r>
      <w:r w:rsidRPr="00F55305" w:rsidR="008C1A2E">
        <w:rPr>
          <w:lang w:val="en-GB"/>
        </w:rPr>
        <w:t>see paragraph</w:t>
      </w:r>
      <w:r w:rsidRPr="00F55305" w:rsidR="00F67EE0">
        <w:rPr>
          <w:lang w:val="en-GB"/>
        </w:rPr>
        <w:t xml:space="preserve">s </w:t>
      </w:r>
      <w:r w:rsidRPr="00F55305">
        <w:rPr>
          <w:lang w:val="en-GB"/>
        </w:rPr>
        <w:t xml:space="preserve">39 </w:t>
      </w:r>
      <w:r w:rsidRPr="00F55305" w:rsidR="00531D9C">
        <w:rPr>
          <w:lang w:val="en-GB"/>
        </w:rPr>
        <w:t>...</w:t>
      </w:r>
      <w:r w:rsidRPr="00F55305">
        <w:rPr>
          <w:lang w:val="en-GB"/>
        </w:rPr>
        <w:t xml:space="preserve"> </w:t>
      </w:r>
      <w:r w:rsidRPr="00F55305" w:rsidR="008C1A2E">
        <w:rPr>
          <w:lang w:val="en-GB"/>
        </w:rPr>
        <w:t>above</w:t>
      </w:r>
      <w:r w:rsidRPr="00F55305">
        <w:rPr>
          <w:lang w:val="en-GB"/>
        </w:rPr>
        <w:t>).</w:t>
      </w:r>
      <w:bookmarkEnd w:id="193"/>
      <w:r w:rsidRPr="00F55305" w:rsidR="009617B6">
        <w:rPr>
          <w:lang w:val="en-GB"/>
        </w:rPr>
        <w:t xml:space="preserve"> It also takes the view that its task is not to </w:t>
      </w:r>
      <w:bookmarkStart w:name="lt_pId273" w:id="194"/>
      <w:r w:rsidRPr="00F55305" w:rsidR="009073BE">
        <w:rPr>
          <w:lang w:val="en-GB"/>
        </w:rPr>
        <w:t xml:space="preserve">conduct an abstract examination, from the standpoint of the Convention, of </w:t>
      </w:r>
      <w:r w:rsidRPr="00F55305" w:rsidR="009617B6">
        <w:rPr>
          <w:lang w:val="en-GB"/>
        </w:rPr>
        <w:t>the Bulgarian system of educational measures for minors, but to review the manner in which the existing system was applied in this specific case</w:t>
      </w:r>
      <w:r w:rsidRPr="00F55305">
        <w:rPr>
          <w:lang w:val="en-GB"/>
        </w:rPr>
        <w:t xml:space="preserve"> (</w:t>
      </w:r>
      <w:r w:rsidRPr="00F55305" w:rsidR="00DE1A13">
        <w:rPr>
          <w:lang w:val="en-GB"/>
        </w:rPr>
        <w:t xml:space="preserve">see </w:t>
      </w:r>
      <w:r w:rsidRPr="00F55305">
        <w:rPr>
          <w:i/>
          <w:lang w:val="en-GB"/>
        </w:rPr>
        <w:t xml:space="preserve">Deweer </w:t>
      </w:r>
      <w:r w:rsidRPr="00F55305" w:rsidR="000015E1">
        <w:rPr>
          <w:i/>
          <w:lang w:val="en-GB"/>
        </w:rPr>
        <w:t>v. </w:t>
      </w:r>
      <w:r w:rsidRPr="00F55305" w:rsidR="008C1A2E">
        <w:rPr>
          <w:i/>
          <w:lang w:val="en-GB"/>
        </w:rPr>
        <w:t>Belgium</w:t>
      </w:r>
      <w:r w:rsidRPr="00F55305">
        <w:rPr>
          <w:lang w:val="en-GB"/>
        </w:rPr>
        <w:t xml:space="preserve">, 27 </w:t>
      </w:r>
      <w:r w:rsidRPr="00F55305" w:rsidR="001A00CB">
        <w:rPr>
          <w:lang w:val="en-GB"/>
        </w:rPr>
        <w:t>February</w:t>
      </w:r>
      <w:r w:rsidRPr="00F55305" w:rsidR="00A42553">
        <w:rPr>
          <w:lang w:val="en-GB"/>
        </w:rPr>
        <w:t xml:space="preserve"> 1980, § </w:t>
      </w:r>
      <w:r w:rsidRPr="00F55305">
        <w:rPr>
          <w:lang w:val="en-GB"/>
        </w:rPr>
        <w:t xml:space="preserve">40, </w:t>
      </w:r>
      <w:r w:rsidRPr="00F55305" w:rsidR="00BD277E">
        <w:rPr>
          <w:lang w:val="en-GB"/>
        </w:rPr>
        <w:t xml:space="preserve">Series </w:t>
      </w:r>
      <w:r w:rsidRPr="00F55305" w:rsidR="00911608">
        <w:rPr>
          <w:lang w:val="en-GB"/>
        </w:rPr>
        <w:t>A no.</w:t>
      </w:r>
      <w:r w:rsidRPr="00F55305" w:rsidR="00A42553">
        <w:rPr>
          <w:lang w:val="en-GB"/>
        </w:rPr>
        <w:t xml:space="preserve"> 35;</w:t>
      </w:r>
      <w:r w:rsidRPr="00F55305">
        <w:rPr>
          <w:lang w:val="en-GB"/>
        </w:rPr>
        <w:t xml:space="preserve"> </w:t>
      </w:r>
      <w:r w:rsidRPr="00F55305">
        <w:rPr>
          <w:i/>
          <w:lang w:val="en-GB"/>
        </w:rPr>
        <w:t xml:space="preserve">Schiesser </w:t>
      </w:r>
      <w:r w:rsidRPr="00F55305" w:rsidR="000015E1">
        <w:rPr>
          <w:i/>
          <w:lang w:val="en-GB"/>
        </w:rPr>
        <w:t>v. Switzerland</w:t>
      </w:r>
      <w:r w:rsidRPr="00F55305">
        <w:rPr>
          <w:lang w:val="en-GB"/>
        </w:rPr>
        <w:t>, 4 </w:t>
      </w:r>
      <w:r w:rsidRPr="00F55305" w:rsidR="000015E1">
        <w:rPr>
          <w:lang w:val="en-GB"/>
        </w:rPr>
        <w:t>Decemb</w:t>
      </w:r>
      <w:r w:rsidRPr="00F55305">
        <w:rPr>
          <w:lang w:val="en-GB"/>
        </w:rPr>
        <w:t>e</w:t>
      </w:r>
      <w:r w:rsidRPr="00F55305" w:rsidR="000015E1">
        <w:rPr>
          <w:lang w:val="en-GB"/>
        </w:rPr>
        <w:t>r</w:t>
      </w:r>
      <w:r w:rsidRPr="00F55305">
        <w:rPr>
          <w:lang w:val="en-GB"/>
        </w:rPr>
        <w:t xml:space="preserve"> 1979, § 32, </w:t>
      </w:r>
      <w:r w:rsidRPr="00F55305" w:rsidR="00BD277E">
        <w:rPr>
          <w:lang w:val="en-GB"/>
        </w:rPr>
        <w:t xml:space="preserve">Series </w:t>
      </w:r>
      <w:r w:rsidRPr="00F55305" w:rsidR="00911608">
        <w:rPr>
          <w:lang w:val="en-GB"/>
        </w:rPr>
        <w:t>A no</w:t>
      </w:r>
      <w:r w:rsidRPr="00F55305" w:rsidR="00BD277E">
        <w:rPr>
          <w:lang w:val="en-GB"/>
        </w:rPr>
        <w:t>.</w:t>
      </w:r>
      <w:r w:rsidRPr="00F55305">
        <w:rPr>
          <w:lang w:val="en-GB"/>
        </w:rPr>
        <w:t xml:space="preserve"> 34</w:t>
      </w:r>
      <w:r w:rsidRPr="00F55305" w:rsidR="000015E1">
        <w:rPr>
          <w:lang w:val="en-GB"/>
        </w:rPr>
        <w:t>;</w:t>
      </w:r>
      <w:r w:rsidRPr="00F55305">
        <w:rPr>
          <w:lang w:val="en-GB"/>
        </w:rPr>
        <w:t xml:space="preserve"> </w:t>
      </w:r>
      <w:r w:rsidRPr="00F55305" w:rsidR="008C1A2E">
        <w:rPr>
          <w:lang w:val="en-GB"/>
        </w:rPr>
        <w:t>and</w:t>
      </w:r>
      <w:r w:rsidRPr="00F55305">
        <w:rPr>
          <w:lang w:val="en-GB"/>
        </w:rPr>
        <w:t xml:space="preserve"> </w:t>
      </w:r>
      <w:r w:rsidRPr="00F55305">
        <w:rPr>
          <w:i/>
          <w:lang w:val="en-GB"/>
        </w:rPr>
        <w:t xml:space="preserve">A. </w:t>
      </w:r>
      <w:r w:rsidRPr="00F55305" w:rsidR="008C1A2E">
        <w:rPr>
          <w:i/>
          <w:lang w:val="en-GB"/>
        </w:rPr>
        <w:t>and Others</w:t>
      </w:r>
      <w:r w:rsidRPr="00F55305" w:rsidR="000015E1">
        <w:rPr>
          <w:i/>
          <w:lang w:val="en-GB"/>
        </w:rPr>
        <w:t xml:space="preserve"> v. Bulgaria</w:t>
      </w:r>
      <w:r w:rsidRPr="00F55305">
        <w:rPr>
          <w:lang w:val="en-GB"/>
        </w:rPr>
        <w:t xml:space="preserve">, </w:t>
      </w:r>
      <w:r w:rsidRPr="00F55305" w:rsidR="00BD277E">
        <w:rPr>
          <w:lang w:val="en-GB"/>
        </w:rPr>
        <w:t>cited above</w:t>
      </w:r>
      <w:r w:rsidRPr="00F55305" w:rsidR="00531D9C">
        <w:rPr>
          <w:lang w:val="en-GB"/>
        </w:rPr>
        <w:t>, § </w:t>
      </w:r>
      <w:r w:rsidRPr="00F55305">
        <w:rPr>
          <w:lang w:val="en-GB"/>
        </w:rPr>
        <w:t>70).</w:t>
      </w:r>
      <w:bookmarkEnd w:id="194"/>
    </w:p>
    <w:p w:rsidRPr="00F55305" w:rsidR="00711D81" w:rsidP="00F55305" w:rsidRDefault="00711D81">
      <w:pPr>
        <w:pStyle w:val="ECHRPara"/>
        <w:rPr>
          <w:i/>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77</w:t>
      </w:r>
      <w:r w:rsidRPr="00F55305">
        <w:rPr>
          <w:lang w:val="en-GB"/>
        </w:rPr>
        <w:fldChar w:fldCharType="end"/>
      </w:r>
      <w:r w:rsidRPr="00F55305">
        <w:rPr>
          <w:lang w:val="en-GB"/>
        </w:rPr>
        <w:t>.  </w:t>
      </w:r>
      <w:bookmarkStart w:name="lt_pId275" w:id="195"/>
      <w:r w:rsidRPr="00F55305" w:rsidR="00475583">
        <w:rPr>
          <w:lang w:val="en-GB"/>
        </w:rPr>
        <w:t xml:space="preserve">As to the aim of the measure and the operation of the educational and support system, </w:t>
      </w:r>
      <w:r w:rsidRPr="00F55305" w:rsidR="008C1A2E">
        <w:rPr>
          <w:lang w:val="en-GB"/>
        </w:rPr>
        <w:t>the Court</w:t>
      </w:r>
      <w:r w:rsidRPr="00F55305">
        <w:rPr>
          <w:lang w:val="en-GB"/>
        </w:rPr>
        <w:t xml:space="preserve"> </w:t>
      </w:r>
      <w:r w:rsidRPr="00F55305" w:rsidR="00475583">
        <w:rPr>
          <w:lang w:val="en-GB"/>
        </w:rPr>
        <w:t>considers that the State should be afforded a certain</w:t>
      </w:r>
      <w:r w:rsidRPr="00F55305">
        <w:rPr>
          <w:lang w:val="en-GB"/>
        </w:rPr>
        <w:t xml:space="preserve"> marg</w:t>
      </w:r>
      <w:r w:rsidRPr="00F55305" w:rsidR="00475583">
        <w:rPr>
          <w:lang w:val="en-GB"/>
        </w:rPr>
        <w:t>in of</w:t>
      </w:r>
      <w:r w:rsidRPr="00F55305">
        <w:rPr>
          <w:lang w:val="en-GB"/>
        </w:rPr>
        <w:t xml:space="preserve"> </w:t>
      </w:r>
      <w:r w:rsidRPr="00F55305" w:rsidR="00475583">
        <w:rPr>
          <w:lang w:val="en-GB"/>
        </w:rPr>
        <w:t>a</w:t>
      </w:r>
      <w:r w:rsidRPr="00F55305">
        <w:rPr>
          <w:lang w:val="en-GB"/>
        </w:rPr>
        <w:t>ppr</w:t>
      </w:r>
      <w:r w:rsidRPr="00F55305" w:rsidR="00475583">
        <w:rPr>
          <w:lang w:val="en-GB"/>
        </w:rPr>
        <w:t>e</w:t>
      </w:r>
      <w:r w:rsidRPr="00F55305">
        <w:rPr>
          <w:lang w:val="en-GB"/>
        </w:rPr>
        <w:t xml:space="preserve">ciation </w:t>
      </w:r>
      <w:r w:rsidRPr="00F55305" w:rsidR="00475583">
        <w:rPr>
          <w:lang w:val="en-GB"/>
        </w:rPr>
        <w:t>in organising the system in such a way as to make it effective</w:t>
      </w:r>
      <w:r w:rsidRPr="00F55305">
        <w:rPr>
          <w:lang w:val="en-GB"/>
        </w:rPr>
        <w:t>.</w:t>
      </w:r>
      <w:bookmarkEnd w:id="195"/>
      <w:r w:rsidRPr="00F55305">
        <w:rPr>
          <w:lang w:val="en-GB"/>
        </w:rPr>
        <w:t xml:space="preserve"> </w:t>
      </w:r>
      <w:bookmarkStart w:name="lt_pId276" w:id="196"/>
      <w:r w:rsidRPr="00F55305" w:rsidR="00475583">
        <w:rPr>
          <w:lang w:val="en-GB"/>
        </w:rPr>
        <w:t>In the present case</w:t>
      </w:r>
      <w:r w:rsidRPr="00F55305">
        <w:rPr>
          <w:lang w:val="en-GB"/>
        </w:rPr>
        <w:t xml:space="preserve"> </w:t>
      </w:r>
      <w:r w:rsidRPr="00F55305" w:rsidR="00475583">
        <w:rPr>
          <w:lang w:val="en-GB"/>
        </w:rPr>
        <w:t xml:space="preserve">it observes, despite the criticisms levelled in general </w:t>
      </w:r>
      <w:r w:rsidRPr="00F55305">
        <w:rPr>
          <w:lang w:val="en-GB"/>
        </w:rPr>
        <w:t>(</w:t>
      </w:r>
      <w:r w:rsidRPr="00F55305" w:rsidR="008C1A2E">
        <w:rPr>
          <w:lang w:val="en-GB"/>
        </w:rPr>
        <w:t>see paragraph</w:t>
      </w:r>
      <w:r w:rsidRPr="00F55305">
        <w:rPr>
          <w:lang w:val="en-GB"/>
        </w:rPr>
        <w:t xml:space="preserve"> 76 </w:t>
      </w:r>
      <w:r w:rsidRPr="00F55305" w:rsidR="008C1A2E">
        <w:rPr>
          <w:lang w:val="en-GB"/>
        </w:rPr>
        <w:t>above</w:t>
      </w:r>
      <w:r w:rsidRPr="00F55305">
        <w:rPr>
          <w:lang w:val="en-GB"/>
        </w:rPr>
        <w:t xml:space="preserve">), </w:t>
      </w:r>
      <w:r w:rsidRPr="00F55305" w:rsidR="00475583">
        <w:rPr>
          <w:lang w:val="en-GB"/>
        </w:rPr>
        <w:t>that</w:t>
      </w:r>
      <w:r w:rsidRPr="00F55305">
        <w:rPr>
          <w:lang w:val="en-GB"/>
        </w:rPr>
        <w:t xml:space="preserve"> </w:t>
      </w:r>
      <w:r w:rsidRPr="00F55305" w:rsidR="000F2B78">
        <w:rPr>
          <w:lang w:val="en-GB"/>
        </w:rPr>
        <w:t>the applicant</w:t>
      </w:r>
      <w:r w:rsidRPr="00F55305">
        <w:rPr>
          <w:lang w:val="en-GB"/>
        </w:rPr>
        <w:t xml:space="preserve"> </w:t>
      </w:r>
      <w:r w:rsidRPr="00F55305" w:rsidR="00566A4B">
        <w:rPr>
          <w:lang w:val="en-GB"/>
        </w:rPr>
        <w:t xml:space="preserve">was able to follow </w:t>
      </w:r>
      <w:r w:rsidRPr="00F55305" w:rsidR="00D77270">
        <w:rPr>
          <w:lang w:val="en-GB"/>
        </w:rPr>
        <w:t xml:space="preserve">a school curriculum, that individual efforts were made to </w:t>
      </w:r>
      <w:r w:rsidRPr="00F55305" w:rsidR="00A42553">
        <w:rPr>
          <w:lang w:val="en-GB"/>
        </w:rPr>
        <w:t>alleviate</w:t>
      </w:r>
      <w:r w:rsidRPr="00F55305" w:rsidR="00D77270">
        <w:rPr>
          <w:lang w:val="en-GB"/>
        </w:rPr>
        <w:t xml:space="preserve"> her </w:t>
      </w:r>
      <w:r w:rsidRPr="00F55305" w:rsidR="00A42553">
        <w:rPr>
          <w:lang w:val="en-GB"/>
        </w:rPr>
        <w:t>learning</w:t>
      </w:r>
      <w:r w:rsidRPr="00F55305" w:rsidR="00D77270">
        <w:rPr>
          <w:lang w:val="en-GB"/>
        </w:rPr>
        <w:t xml:space="preserve"> difficulties, that she </w:t>
      </w:r>
      <w:r w:rsidRPr="00F55305" w:rsidR="0017351E">
        <w:rPr>
          <w:lang w:val="en-GB"/>
        </w:rPr>
        <w:t>achieved</w:t>
      </w:r>
      <w:r w:rsidRPr="00F55305" w:rsidR="00D77270">
        <w:rPr>
          <w:lang w:val="en-GB"/>
        </w:rPr>
        <w:t xml:space="preserve"> a mark allowing her to </w:t>
      </w:r>
      <w:r w:rsidRPr="00F55305" w:rsidR="0017351E">
        <w:rPr>
          <w:lang w:val="en-GB"/>
        </w:rPr>
        <w:t xml:space="preserve">move up to the next class, </w:t>
      </w:r>
      <w:r w:rsidRPr="00F55305" w:rsidR="00D77270">
        <w:rPr>
          <w:lang w:val="en-GB"/>
        </w:rPr>
        <w:t xml:space="preserve">and that she </w:t>
      </w:r>
      <w:r w:rsidRPr="00F55305" w:rsidR="0017351E">
        <w:rPr>
          <w:lang w:val="en-GB"/>
        </w:rPr>
        <w:t>was eventually awarded</w:t>
      </w:r>
      <w:r w:rsidRPr="00F55305" w:rsidR="00D77270">
        <w:rPr>
          <w:lang w:val="en-GB"/>
        </w:rPr>
        <w:t xml:space="preserve"> a professional qualification </w:t>
      </w:r>
      <w:r w:rsidRPr="00F55305" w:rsidR="00A42553">
        <w:rPr>
          <w:lang w:val="en-GB"/>
        </w:rPr>
        <w:t xml:space="preserve">offering her prospects of </w:t>
      </w:r>
      <w:r w:rsidRPr="00F55305" w:rsidR="0017351E">
        <w:rPr>
          <w:lang w:val="en-GB"/>
        </w:rPr>
        <w:t>reintegrati</w:t>
      </w:r>
      <w:r w:rsidRPr="00F55305" w:rsidR="00D77270">
        <w:rPr>
          <w:lang w:val="en-GB"/>
        </w:rPr>
        <w:t>n</w:t>
      </w:r>
      <w:r w:rsidRPr="00F55305" w:rsidR="0017351E">
        <w:rPr>
          <w:lang w:val="en-GB"/>
        </w:rPr>
        <w:t>g</w:t>
      </w:r>
      <w:r w:rsidRPr="00F55305" w:rsidR="00D77270">
        <w:rPr>
          <w:lang w:val="en-GB"/>
        </w:rPr>
        <w:t xml:space="preserve"> into </w:t>
      </w:r>
      <w:r w:rsidRPr="00F55305" w:rsidR="00A42553">
        <w:rPr>
          <w:lang w:val="en-GB"/>
        </w:rPr>
        <w:t>the community</w:t>
      </w:r>
      <w:r w:rsidRPr="00F55305" w:rsidR="0017351E">
        <w:rPr>
          <w:lang w:val="en-GB"/>
        </w:rPr>
        <w:t xml:space="preserve"> at a later </w:t>
      </w:r>
      <w:r w:rsidRPr="00F55305" w:rsidR="00A42553">
        <w:rPr>
          <w:lang w:val="en-GB"/>
        </w:rPr>
        <w:t>stage</w:t>
      </w:r>
      <w:r w:rsidRPr="00F55305" w:rsidR="0017351E">
        <w:rPr>
          <w:lang w:val="en-GB"/>
        </w:rPr>
        <w:t xml:space="preserve"> </w:t>
      </w:r>
      <w:r w:rsidRPr="00F55305">
        <w:rPr>
          <w:lang w:val="en-GB"/>
        </w:rPr>
        <w:t>(</w:t>
      </w:r>
      <w:r w:rsidRPr="00F55305" w:rsidR="008C1A2E">
        <w:rPr>
          <w:lang w:val="en-GB"/>
        </w:rPr>
        <w:t>see paragraph</w:t>
      </w:r>
      <w:r w:rsidRPr="00F55305">
        <w:rPr>
          <w:lang w:val="en-GB"/>
        </w:rPr>
        <w:t xml:space="preserve">s 24 </w:t>
      </w:r>
      <w:r w:rsidRPr="00F55305" w:rsidR="008C1A2E">
        <w:rPr>
          <w:lang w:val="en-GB"/>
        </w:rPr>
        <w:t>and</w:t>
      </w:r>
      <w:r w:rsidRPr="00F55305">
        <w:rPr>
          <w:lang w:val="en-GB"/>
        </w:rPr>
        <w:t xml:space="preserve"> 26-27 </w:t>
      </w:r>
      <w:r w:rsidRPr="00F55305" w:rsidR="008C1A2E">
        <w:rPr>
          <w:lang w:val="en-GB"/>
        </w:rPr>
        <w:t>above</w:t>
      </w:r>
      <w:r w:rsidRPr="00F55305">
        <w:rPr>
          <w:lang w:val="en-GB"/>
        </w:rPr>
        <w:t>).</w:t>
      </w:r>
      <w:bookmarkEnd w:id="196"/>
      <w:r w:rsidRPr="00F55305">
        <w:rPr>
          <w:lang w:val="en-GB"/>
        </w:rPr>
        <w:t xml:space="preserve"> </w:t>
      </w:r>
      <w:bookmarkStart w:name="lt_pId277" w:id="197"/>
      <w:r w:rsidRPr="00F55305" w:rsidR="0017351E">
        <w:rPr>
          <w:lang w:val="en-GB"/>
        </w:rPr>
        <w:t xml:space="preserve">Those factors are sufficient for the Court to conclude that the State cannot be accused of having failed to comply with its obligation </w:t>
      </w:r>
      <w:r w:rsidRPr="00F55305" w:rsidR="00A42553">
        <w:rPr>
          <w:lang w:val="en-GB"/>
        </w:rPr>
        <w:t xml:space="preserve">under </w:t>
      </w:r>
      <w:r w:rsidRPr="00F55305" w:rsidR="007154E6">
        <w:rPr>
          <w:lang w:val="en-GB"/>
        </w:rPr>
        <w:t xml:space="preserve">Article 5 § 1 (d) </w:t>
      </w:r>
      <w:r w:rsidRPr="00F55305" w:rsidR="0017351E">
        <w:rPr>
          <w:lang w:val="en-GB"/>
        </w:rPr>
        <w:t xml:space="preserve">to </w:t>
      </w:r>
      <w:r w:rsidRPr="00F55305" w:rsidR="007154E6">
        <w:rPr>
          <w:lang w:val="en-GB"/>
        </w:rPr>
        <w:t>ensure that</w:t>
      </w:r>
      <w:r w:rsidRPr="00F55305" w:rsidR="0017351E">
        <w:rPr>
          <w:lang w:val="en-GB"/>
        </w:rPr>
        <w:t xml:space="preserve"> the placement </w:t>
      </w:r>
      <w:r w:rsidRPr="00F55305" w:rsidR="007154E6">
        <w:rPr>
          <w:lang w:val="en-GB"/>
        </w:rPr>
        <w:t>pursued</w:t>
      </w:r>
      <w:r w:rsidRPr="00F55305" w:rsidR="0017351E">
        <w:rPr>
          <w:lang w:val="en-GB"/>
        </w:rPr>
        <w:t xml:space="preserve"> an educational objective</w:t>
      </w:r>
      <w:r w:rsidRPr="00F55305">
        <w:rPr>
          <w:lang w:val="en-GB"/>
        </w:rPr>
        <w:t xml:space="preserve"> (</w:t>
      </w:r>
      <w:r w:rsidRPr="00F55305" w:rsidR="007154E6">
        <w:rPr>
          <w:lang w:val="en-GB"/>
        </w:rPr>
        <w:t>contrast</w:t>
      </w:r>
      <w:r w:rsidRPr="00F55305">
        <w:rPr>
          <w:lang w:val="en-GB"/>
        </w:rPr>
        <w:t xml:space="preserve"> </w:t>
      </w:r>
      <w:r w:rsidRPr="00F55305">
        <w:rPr>
          <w:i/>
          <w:lang w:val="en-GB"/>
        </w:rPr>
        <w:t>Bouamar</w:t>
      </w:r>
      <w:r w:rsidRPr="00F55305">
        <w:rPr>
          <w:lang w:val="en-GB"/>
        </w:rPr>
        <w:t xml:space="preserve">, </w:t>
      </w:r>
      <w:r w:rsidRPr="00F55305" w:rsidR="00BD277E">
        <w:rPr>
          <w:lang w:val="en-GB"/>
        </w:rPr>
        <w:t>cited above</w:t>
      </w:r>
      <w:r w:rsidRPr="00F55305">
        <w:rPr>
          <w:lang w:val="en-GB"/>
        </w:rPr>
        <w:t>, § 52</w:t>
      </w:r>
      <w:r w:rsidRPr="00F55305" w:rsidR="007154E6">
        <w:rPr>
          <w:lang w:val="en-GB"/>
        </w:rPr>
        <w:t>;</w:t>
      </w:r>
      <w:r w:rsidRPr="00F55305">
        <w:rPr>
          <w:lang w:val="en-GB"/>
        </w:rPr>
        <w:t xml:space="preserve"> </w:t>
      </w:r>
      <w:r w:rsidRPr="00F55305">
        <w:rPr>
          <w:i/>
          <w:lang w:val="en-GB"/>
        </w:rPr>
        <w:t>D.G.</w:t>
      </w:r>
      <w:r w:rsidRPr="00F55305" w:rsidR="007154E6">
        <w:rPr>
          <w:i/>
          <w:lang w:val="en-GB"/>
        </w:rPr>
        <w:t xml:space="preserve"> v. Ireland</w:t>
      </w:r>
      <w:r w:rsidRPr="00F55305">
        <w:rPr>
          <w:lang w:val="en-GB"/>
        </w:rPr>
        <w:t xml:space="preserve">, </w:t>
      </w:r>
      <w:r w:rsidRPr="00F55305" w:rsidR="00BD277E">
        <w:rPr>
          <w:lang w:val="en-GB"/>
        </w:rPr>
        <w:t>cited above</w:t>
      </w:r>
      <w:r w:rsidRPr="00F55305">
        <w:rPr>
          <w:lang w:val="en-GB"/>
        </w:rPr>
        <w:t>, §§ 83-85</w:t>
      </w:r>
      <w:r w:rsidRPr="00F55305" w:rsidR="007154E6">
        <w:rPr>
          <w:lang w:val="en-GB"/>
        </w:rPr>
        <w:t>;</w:t>
      </w:r>
      <w:r w:rsidRPr="00F55305">
        <w:rPr>
          <w:lang w:val="en-GB"/>
        </w:rPr>
        <w:t xml:space="preserve"> </w:t>
      </w:r>
      <w:r w:rsidRPr="00F55305" w:rsidR="008C1A2E">
        <w:rPr>
          <w:lang w:val="en-GB"/>
        </w:rPr>
        <w:t>and</w:t>
      </w:r>
      <w:r w:rsidRPr="00F55305">
        <w:rPr>
          <w:lang w:val="en-GB"/>
        </w:rPr>
        <w:t xml:space="preserve"> </w:t>
      </w:r>
      <w:bookmarkStart w:name="File3" w:id="198"/>
      <w:r w:rsidRPr="00F55305">
        <w:rPr>
          <w:i/>
          <w:lang w:val="en-GB"/>
        </w:rPr>
        <w:t>Ichin</w:t>
      </w:r>
      <w:bookmarkEnd w:id="198"/>
      <w:r w:rsidRPr="00F55305">
        <w:rPr>
          <w:i/>
          <w:lang w:val="en-GB"/>
        </w:rPr>
        <w:t xml:space="preserve"> </w:t>
      </w:r>
      <w:r w:rsidRPr="00F55305" w:rsidR="008C1A2E">
        <w:rPr>
          <w:i/>
          <w:lang w:val="en-GB"/>
        </w:rPr>
        <w:t>and Others</w:t>
      </w:r>
      <w:r w:rsidRPr="00F55305">
        <w:rPr>
          <w:i/>
          <w:lang w:val="en-GB"/>
        </w:rPr>
        <w:t xml:space="preserve"> </w:t>
      </w:r>
      <w:r w:rsidRPr="00F55305" w:rsidR="007154E6">
        <w:rPr>
          <w:i/>
          <w:lang w:val="en-GB"/>
        </w:rPr>
        <w:t>v</w:t>
      </w:r>
      <w:r w:rsidRPr="00F55305">
        <w:rPr>
          <w:i/>
          <w:lang w:val="en-GB"/>
        </w:rPr>
        <w:t>. Ukraine</w:t>
      </w:r>
      <w:r w:rsidRPr="00F55305">
        <w:rPr>
          <w:lang w:val="en-GB"/>
        </w:rPr>
        <w:t>, n</w:t>
      </w:r>
      <w:r w:rsidRPr="00F55305" w:rsidR="007154E6">
        <w:rPr>
          <w:lang w:val="en-GB"/>
        </w:rPr>
        <w:t>os.</w:t>
      </w:r>
      <w:r w:rsidRPr="00F55305">
        <w:rPr>
          <w:lang w:val="en-GB"/>
        </w:rPr>
        <w:t xml:space="preserve"> 28189/04 </w:t>
      </w:r>
      <w:r w:rsidRPr="00F55305" w:rsidR="008C1A2E">
        <w:rPr>
          <w:lang w:val="en-GB"/>
        </w:rPr>
        <w:t>and</w:t>
      </w:r>
      <w:r w:rsidRPr="00F55305">
        <w:rPr>
          <w:lang w:val="en-GB"/>
        </w:rPr>
        <w:t xml:space="preserve"> 28192/04, §§ 39-40, 21 </w:t>
      </w:r>
      <w:r w:rsidRPr="00F55305" w:rsidR="007154E6">
        <w:rPr>
          <w:lang w:val="en-GB"/>
        </w:rPr>
        <w:t>De</w:t>
      </w:r>
      <w:r w:rsidRPr="00F55305">
        <w:rPr>
          <w:lang w:val="en-GB"/>
        </w:rPr>
        <w:t>cemb</w:t>
      </w:r>
      <w:r w:rsidRPr="00F55305" w:rsidR="007154E6">
        <w:rPr>
          <w:lang w:val="en-GB"/>
        </w:rPr>
        <w:t>e</w:t>
      </w:r>
      <w:r w:rsidRPr="00F55305">
        <w:rPr>
          <w:lang w:val="en-GB"/>
        </w:rPr>
        <w:t>r 2010).</w:t>
      </w:r>
      <w:bookmarkEnd w:id="197"/>
      <w:r w:rsidRPr="00F55305">
        <w:rPr>
          <w:lang w:val="en-GB"/>
        </w:rPr>
        <w:t xml:space="preserve"> </w:t>
      </w:r>
      <w:bookmarkStart w:name="lt_pId278" w:id="199"/>
      <w:r w:rsidRPr="00F55305" w:rsidR="008C1A2E">
        <w:rPr>
          <w:lang w:val="en-GB"/>
        </w:rPr>
        <w:t>The Court</w:t>
      </w:r>
      <w:r w:rsidRPr="00F55305">
        <w:rPr>
          <w:lang w:val="en-GB"/>
        </w:rPr>
        <w:t xml:space="preserve"> </w:t>
      </w:r>
      <w:r w:rsidRPr="00F55305" w:rsidR="007154E6">
        <w:rPr>
          <w:lang w:val="en-GB"/>
        </w:rPr>
        <w:t>reiterates that it</w:t>
      </w:r>
      <w:r w:rsidRPr="00F55305">
        <w:rPr>
          <w:lang w:val="en-GB"/>
        </w:rPr>
        <w:t xml:space="preserve"> </w:t>
      </w:r>
      <w:r w:rsidRPr="00F55305" w:rsidR="003A2BD3">
        <w:rPr>
          <w:lang w:val="en-GB"/>
        </w:rPr>
        <w:t xml:space="preserve">does not consider itself to have jurisdiction to examine </w:t>
      </w:r>
      <w:r w:rsidRPr="00F55305" w:rsidR="00C60439">
        <w:rPr>
          <w:lang w:val="en-GB"/>
        </w:rPr>
        <w:t>the possible failings of the national system any further, seeing that it has been able to establish from the evidence before it that the</w:t>
      </w:r>
      <w:r w:rsidRPr="00F55305">
        <w:rPr>
          <w:lang w:val="en-GB"/>
        </w:rPr>
        <w:t xml:space="preserve"> me</w:t>
      </w:r>
      <w:r w:rsidRPr="00F55305" w:rsidR="00C60439">
        <w:rPr>
          <w:lang w:val="en-GB"/>
        </w:rPr>
        <w:t>a</w:t>
      </w:r>
      <w:r w:rsidRPr="00F55305">
        <w:rPr>
          <w:lang w:val="en-GB"/>
        </w:rPr>
        <w:t xml:space="preserve">sure </w:t>
      </w:r>
      <w:r w:rsidRPr="00F55305" w:rsidR="00C60439">
        <w:rPr>
          <w:lang w:val="en-GB"/>
        </w:rPr>
        <w:t xml:space="preserve">to which </w:t>
      </w:r>
      <w:r w:rsidRPr="00F55305" w:rsidR="000F2B78">
        <w:rPr>
          <w:lang w:val="en-GB"/>
        </w:rPr>
        <w:t>the applicant</w:t>
      </w:r>
      <w:r w:rsidRPr="00F55305">
        <w:rPr>
          <w:lang w:val="en-GB"/>
        </w:rPr>
        <w:t xml:space="preserve"> </w:t>
      </w:r>
      <w:r w:rsidRPr="00F55305" w:rsidR="00C60439">
        <w:rPr>
          <w:lang w:val="en-GB"/>
        </w:rPr>
        <w:t xml:space="preserve">was subjected pursued an educational purpose </w:t>
      </w:r>
      <w:r w:rsidRPr="00F55305" w:rsidR="00DE1A13">
        <w:rPr>
          <w:lang w:val="en-GB"/>
        </w:rPr>
        <w:t>on a</w:t>
      </w:r>
      <w:r w:rsidRPr="00F55305" w:rsidR="00A42553">
        <w:rPr>
          <w:lang w:val="en-GB"/>
        </w:rPr>
        <w:t xml:space="preserve"> sufficient sc</w:t>
      </w:r>
      <w:r w:rsidRPr="00F55305" w:rsidR="00DE1A13">
        <w:rPr>
          <w:lang w:val="en-GB"/>
        </w:rPr>
        <w:t>al</w:t>
      </w:r>
      <w:r w:rsidRPr="00F55305" w:rsidR="00A42553">
        <w:rPr>
          <w:lang w:val="en-GB"/>
        </w:rPr>
        <w:t xml:space="preserve">e to fall </w:t>
      </w:r>
      <w:r w:rsidRPr="00F55305" w:rsidR="00007CC6">
        <w:rPr>
          <w:lang w:val="en-GB"/>
        </w:rPr>
        <w:t xml:space="preserve">within </w:t>
      </w:r>
      <w:r w:rsidRPr="00F55305" w:rsidR="008C1A2E">
        <w:rPr>
          <w:lang w:val="en-GB"/>
        </w:rPr>
        <w:t>Article 5 § 1 (d)</w:t>
      </w:r>
      <w:r w:rsidRPr="00F55305">
        <w:rPr>
          <w:lang w:val="en-GB"/>
        </w:rPr>
        <w:t xml:space="preserve"> </w:t>
      </w:r>
      <w:r w:rsidRPr="00F55305" w:rsidR="008F4E10">
        <w:rPr>
          <w:lang w:val="en-GB"/>
        </w:rPr>
        <w:t>of the Convention</w:t>
      </w:r>
      <w:r w:rsidRPr="00F55305">
        <w:rPr>
          <w:lang w:val="en-GB"/>
        </w:rPr>
        <w:t>.</w:t>
      </w:r>
      <w:bookmarkEnd w:id="19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78</w:t>
      </w:r>
      <w:r w:rsidRPr="00F55305">
        <w:rPr>
          <w:lang w:val="en-GB"/>
        </w:rPr>
        <w:fldChar w:fldCharType="end"/>
      </w:r>
      <w:r w:rsidRPr="00F55305">
        <w:rPr>
          <w:lang w:val="en-GB"/>
        </w:rPr>
        <w:t>.  </w:t>
      </w:r>
      <w:bookmarkStart w:name="lt_pId280" w:id="200"/>
      <w:r w:rsidRPr="00F55305">
        <w:rPr>
          <w:lang w:val="en-GB"/>
        </w:rPr>
        <w:t>Concern</w:t>
      </w:r>
      <w:r w:rsidRPr="00F55305" w:rsidR="00B4130A">
        <w:rPr>
          <w:lang w:val="en-GB"/>
        </w:rPr>
        <w:t>ing the</w:t>
      </w:r>
      <w:r w:rsidRPr="00F55305">
        <w:rPr>
          <w:lang w:val="en-GB"/>
        </w:rPr>
        <w:t xml:space="preserve"> </w:t>
      </w:r>
      <w:r w:rsidRPr="00F55305" w:rsidR="00B4130A">
        <w:rPr>
          <w:lang w:val="en-GB"/>
        </w:rPr>
        <w:t>alleg</w:t>
      </w:r>
      <w:r w:rsidRPr="00F55305" w:rsidR="00147FD4">
        <w:rPr>
          <w:lang w:val="en-GB"/>
        </w:rPr>
        <w:t>edly arb</w:t>
      </w:r>
      <w:r w:rsidRPr="00F55305" w:rsidR="00B4130A">
        <w:rPr>
          <w:lang w:val="en-GB"/>
        </w:rPr>
        <w:t xml:space="preserve">itrary </w:t>
      </w:r>
      <w:r w:rsidRPr="00F55305" w:rsidR="00147FD4">
        <w:rPr>
          <w:lang w:val="en-GB"/>
        </w:rPr>
        <w:t>nature of the measure</w:t>
      </w:r>
      <w:r w:rsidRPr="00F55305" w:rsidR="00B4130A">
        <w:rPr>
          <w:lang w:val="en-GB"/>
        </w:rPr>
        <w:t xml:space="preserve">, </w:t>
      </w:r>
      <w:r w:rsidRPr="00F55305" w:rsidR="00147FD4">
        <w:rPr>
          <w:lang w:val="en-GB"/>
        </w:rPr>
        <w:t>its</w:t>
      </w:r>
      <w:r w:rsidRPr="00F55305" w:rsidR="00B4130A">
        <w:rPr>
          <w:lang w:val="en-GB"/>
        </w:rPr>
        <w:t xml:space="preserve"> proportionality and whether it was taken as a last resort, </w:t>
      </w:r>
      <w:r w:rsidRPr="00F55305" w:rsidR="008C1A2E">
        <w:rPr>
          <w:lang w:val="en-GB"/>
        </w:rPr>
        <w:t>the Court</w:t>
      </w:r>
      <w:r w:rsidRPr="00F55305">
        <w:rPr>
          <w:lang w:val="en-GB"/>
        </w:rPr>
        <w:t xml:space="preserve"> note</w:t>
      </w:r>
      <w:r w:rsidRPr="00F55305" w:rsidR="00B4130A">
        <w:rPr>
          <w:lang w:val="en-GB"/>
        </w:rPr>
        <w:t>s that the impugned decision to place the applicant in the school was taken by the judicial authorities</w:t>
      </w:r>
      <w:r w:rsidRPr="00F55305">
        <w:rPr>
          <w:lang w:val="en-GB"/>
        </w:rPr>
        <w:t xml:space="preserve"> </w:t>
      </w:r>
      <w:r w:rsidRPr="00F55305" w:rsidR="006E53BE">
        <w:rPr>
          <w:lang w:val="en-GB"/>
        </w:rPr>
        <w:t>following public hearings at which the applicant, the two social workers directly responsible for her, the representative of the local committee, the representative of the municipal child protection department and the inspector from the child protection team had given evidence</w:t>
      </w:r>
      <w:r w:rsidRPr="00F55305">
        <w:rPr>
          <w:lang w:val="en-GB"/>
        </w:rPr>
        <w:t>.</w:t>
      </w:r>
      <w:bookmarkEnd w:id="200"/>
      <w:r w:rsidRPr="00F55305">
        <w:rPr>
          <w:lang w:val="en-GB"/>
        </w:rPr>
        <w:t xml:space="preserve"> </w:t>
      </w:r>
      <w:bookmarkStart w:name="lt_pId281" w:id="201"/>
      <w:r w:rsidRPr="00F55305" w:rsidR="006E53BE">
        <w:rPr>
          <w:lang w:val="en-GB"/>
        </w:rPr>
        <w:t>The applicant</w:t>
      </w:r>
      <w:r w:rsidRPr="00F55305" w:rsidR="00F55305">
        <w:rPr>
          <w:lang w:val="en-GB"/>
        </w:rPr>
        <w:t>’</w:t>
      </w:r>
      <w:r w:rsidRPr="00F55305" w:rsidR="006E53BE">
        <w:rPr>
          <w:lang w:val="en-GB"/>
        </w:rPr>
        <w:t>s mother was also present and a lawyer was officially appointed at her request</w:t>
      </w:r>
      <w:r w:rsidRPr="00F55305">
        <w:rPr>
          <w:lang w:val="en-GB"/>
        </w:rPr>
        <w:t>.</w:t>
      </w:r>
      <w:bookmarkEnd w:id="201"/>
      <w:r w:rsidRPr="00F55305">
        <w:rPr>
          <w:lang w:val="en-GB"/>
        </w:rPr>
        <w:t xml:space="preserve"> </w:t>
      </w:r>
      <w:bookmarkStart w:name="lt_pId282" w:id="202"/>
      <w:r w:rsidRPr="00F55305" w:rsidR="006E53BE">
        <w:rPr>
          <w:lang w:val="en-GB"/>
        </w:rPr>
        <w:t xml:space="preserve">The courts examined the evidence in detail and held that, bearing in mind the environment in which the applicant had been living at the relevant time, there was no real alternative to her </w:t>
      </w:r>
      <w:r w:rsidRPr="00F55305">
        <w:rPr>
          <w:lang w:val="en-GB"/>
        </w:rPr>
        <w:t xml:space="preserve">placement </w:t>
      </w:r>
      <w:r w:rsidRPr="00F55305" w:rsidR="006E53BE">
        <w:rPr>
          <w:lang w:val="en-GB"/>
        </w:rPr>
        <w:t>in a</w:t>
      </w:r>
      <w:r w:rsidRPr="00F55305">
        <w:rPr>
          <w:lang w:val="en-GB"/>
        </w:rPr>
        <w:t xml:space="preserve"> </w:t>
      </w:r>
      <w:r w:rsidRPr="00F55305" w:rsidR="00035D6A">
        <w:rPr>
          <w:lang w:val="en-GB"/>
        </w:rPr>
        <w:t>correctional boarding school</w:t>
      </w:r>
      <w:r w:rsidRPr="00F55305">
        <w:rPr>
          <w:lang w:val="en-GB"/>
        </w:rPr>
        <w:t>.</w:t>
      </w:r>
      <w:bookmarkEnd w:id="20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79</w:t>
      </w:r>
      <w:r w:rsidRPr="00F55305">
        <w:rPr>
          <w:lang w:val="en-GB"/>
        </w:rPr>
        <w:fldChar w:fldCharType="end"/>
      </w:r>
      <w:r w:rsidRPr="00F55305">
        <w:rPr>
          <w:lang w:val="en-GB"/>
        </w:rPr>
        <w:t>.  </w:t>
      </w:r>
      <w:bookmarkStart w:name="lt_pId284" w:id="203"/>
      <w:r w:rsidRPr="00F55305" w:rsidR="005B428D">
        <w:rPr>
          <w:lang w:val="en-GB"/>
        </w:rPr>
        <w:t>In that connection it should be noted that Bulgarian leg</w:t>
      </w:r>
      <w:r w:rsidRPr="00F55305">
        <w:rPr>
          <w:lang w:val="en-GB"/>
        </w:rPr>
        <w:t xml:space="preserve">islation </w:t>
      </w:r>
      <w:r w:rsidRPr="00F55305" w:rsidR="005B428D">
        <w:rPr>
          <w:lang w:val="en-GB"/>
        </w:rPr>
        <w:t xml:space="preserve">provides for a wide range of educational measures in response to </w:t>
      </w:r>
      <w:r w:rsidRPr="00F55305" w:rsidR="00147FD4">
        <w:rPr>
          <w:lang w:val="en-GB"/>
        </w:rPr>
        <w:t xml:space="preserve">juvenile </w:t>
      </w:r>
      <w:r w:rsidRPr="00F55305" w:rsidR="006A75A6">
        <w:rPr>
          <w:lang w:val="en-GB"/>
        </w:rPr>
        <w:t>antisocial</w:t>
      </w:r>
      <w:r w:rsidRPr="00F55305" w:rsidR="005B428D">
        <w:rPr>
          <w:lang w:val="en-GB"/>
        </w:rPr>
        <w:t xml:space="preserve"> behaviour. The most stringent of these measures – placement in a</w:t>
      </w:r>
      <w:r w:rsidRPr="00F55305">
        <w:rPr>
          <w:lang w:val="en-GB"/>
        </w:rPr>
        <w:t xml:space="preserve"> </w:t>
      </w:r>
      <w:bookmarkStart w:name="lt_pId285" w:id="204"/>
      <w:bookmarkEnd w:id="203"/>
      <w:r w:rsidRPr="00F55305" w:rsidR="00035D6A">
        <w:rPr>
          <w:lang w:val="en-GB"/>
        </w:rPr>
        <w:t>correctional boarding school</w:t>
      </w:r>
      <w:r w:rsidRPr="00F55305" w:rsidR="005B428D">
        <w:rPr>
          <w:lang w:val="en-GB"/>
        </w:rPr>
        <w:t xml:space="preserve"> –</w:t>
      </w:r>
      <w:r w:rsidRPr="00F55305">
        <w:rPr>
          <w:lang w:val="en-GB"/>
        </w:rPr>
        <w:t xml:space="preserve"> </w:t>
      </w:r>
      <w:r w:rsidRPr="00F55305" w:rsidR="005B428D">
        <w:rPr>
          <w:lang w:val="en-GB"/>
        </w:rPr>
        <w:t xml:space="preserve">can only be applied where the other, less severe measures have had no effect </w:t>
      </w:r>
      <w:r w:rsidRPr="00F55305" w:rsidR="00531D9C">
        <w:rPr>
          <w:lang w:val="en-GB"/>
        </w:rPr>
        <w:t>..</w:t>
      </w:r>
      <w:r w:rsidRPr="00F55305">
        <w:rPr>
          <w:lang w:val="en-GB"/>
        </w:rPr>
        <w:t>.</w:t>
      </w:r>
      <w:bookmarkEnd w:id="204"/>
      <w:r w:rsidRPr="00F55305">
        <w:rPr>
          <w:lang w:val="en-GB"/>
        </w:rPr>
        <w:t xml:space="preserve"> </w:t>
      </w:r>
      <w:bookmarkStart w:name="lt_pId286" w:id="205"/>
      <w:r w:rsidRPr="00F55305" w:rsidR="00147FD4">
        <w:rPr>
          <w:lang w:val="en-GB"/>
        </w:rPr>
        <w:t>As far as t</w:t>
      </w:r>
      <w:r w:rsidRPr="00F55305" w:rsidR="005B428D">
        <w:rPr>
          <w:lang w:val="en-GB"/>
        </w:rPr>
        <w:t xml:space="preserve">he </w:t>
      </w:r>
      <w:r w:rsidRPr="00F55305" w:rsidR="00147FD4">
        <w:rPr>
          <w:lang w:val="en-GB"/>
        </w:rPr>
        <w:t>Court is able to establish,</w:t>
      </w:r>
      <w:r w:rsidRPr="00F55305" w:rsidR="005B428D">
        <w:rPr>
          <w:lang w:val="en-GB"/>
        </w:rPr>
        <w:t xml:space="preserve"> the</w:t>
      </w:r>
      <w:r w:rsidRPr="00F55305">
        <w:rPr>
          <w:lang w:val="en-GB"/>
        </w:rPr>
        <w:t xml:space="preserve"> applicable </w:t>
      </w:r>
      <w:r w:rsidRPr="00F55305" w:rsidR="005B428D">
        <w:rPr>
          <w:lang w:val="en-GB"/>
        </w:rPr>
        <w:t xml:space="preserve">procedure </w:t>
      </w:r>
      <w:r w:rsidRPr="00F55305" w:rsidR="00147FD4">
        <w:rPr>
          <w:lang w:val="en-GB"/>
        </w:rPr>
        <w:t xml:space="preserve">does not </w:t>
      </w:r>
      <w:r w:rsidRPr="00F55305" w:rsidR="005B428D">
        <w:rPr>
          <w:lang w:val="en-GB"/>
        </w:rPr>
        <w:t xml:space="preserve">require the authorities ordering such a measure to draw up an </w:t>
      </w:r>
      <w:r w:rsidRPr="00F55305">
        <w:rPr>
          <w:lang w:val="en-GB"/>
        </w:rPr>
        <w:t>individu</w:t>
      </w:r>
      <w:r w:rsidRPr="00F55305" w:rsidR="005B428D">
        <w:rPr>
          <w:lang w:val="en-GB"/>
        </w:rPr>
        <w:t>a</w:t>
      </w:r>
      <w:r w:rsidRPr="00F55305">
        <w:rPr>
          <w:lang w:val="en-GB"/>
        </w:rPr>
        <w:t xml:space="preserve">l </w:t>
      </w:r>
      <w:r w:rsidRPr="00F55305" w:rsidR="005B428D">
        <w:rPr>
          <w:lang w:val="en-GB"/>
        </w:rPr>
        <w:t xml:space="preserve">plan </w:t>
      </w:r>
      <w:r w:rsidRPr="00F55305" w:rsidR="00147FD4">
        <w:rPr>
          <w:lang w:val="en-GB"/>
        </w:rPr>
        <w:t>setting out</w:t>
      </w:r>
      <w:r w:rsidRPr="00F55305" w:rsidR="005B428D">
        <w:rPr>
          <w:lang w:val="en-GB"/>
        </w:rPr>
        <w:t xml:space="preserve"> the practical </w:t>
      </w:r>
      <w:r w:rsidRPr="00F55305" w:rsidR="00147FD4">
        <w:rPr>
          <w:lang w:val="en-GB"/>
        </w:rPr>
        <w:t xml:space="preserve">educational </w:t>
      </w:r>
      <w:r w:rsidRPr="00F55305" w:rsidR="005B428D">
        <w:rPr>
          <w:lang w:val="en-GB"/>
        </w:rPr>
        <w:t>objective</w:t>
      </w:r>
      <w:r w:rsidRPr="00F55305">
        <w:rPr>
          <w:lang w:val="en-GB"/>
        </w:rPr>
        <w:t>s</w:t>
      </w:r>
      <w:r w:rsidRPr="00F55305" w:rsidR="005B428D">
        <w:rPr>
          <w:lang w:val="en-GB"/>
        </w:rPr>
        <w:t xml:space="preserve"> to be achieved by the children concerned</w:t>
      </w:r>
      <w:bookmarkStart w:name="lt_pId287" w:id="206"/>
      <w:bookmarkEnd w:id="205"/>
      <w:r w:rsidRPr="00F55305" w:rsidR="00147FD4">
        <w:rPr>
          <w:lang w:val="en-GB"/>
        </w:rPr>
        <w:t xml:space="preserve">. </w:t>
      </w:r>
      <w:r w:rsidRPr="00F55305" w:rsidR="005B428D">
        <w:rPr>
          <w:lang w:val="en-GB"/>
        </w:rPr>
        <w:t xml:space="preserve">Similarly, although the statutory maximum duration of such a placement is set at three years </w:t>
      </w:r>
      <w:r w:rsidRPr="00F55305" w:rsidR="00531D9C">
        <w:rPr>
          <w:lang w:val="en-GB"/>
        </w:rPr>
        <w:t>...</w:t>
      </w:r>
      <w:r w:rsidRPr="00F55305" w:rsidR="005B428D">
        <w:rPr>
          <w:lang w:val="en-GB"/>
        </w:rPr>
        <w:t>, there does not appear to be any requirement for the courts to determine the length of the placement at the time of their initial decision.</w:t>
      </w:r>
      <w:r w:rsidRPr="00F55305">
        <w:rPr>
          <w:lang w:val="en-GB"/>
        </w:rPr>
        <w:t xml:space="preserve"> </w:t>
      </w:r>
      <w:bookmarkEnd w:id="206"/>
      <w:r w:rsidRPr="00F55305" w:rsidR="005B428D">
        <w:rPr>
          <w:lang w:val="en-GB"/>
        </w:rPr>
        <w:t xml:space="preserve">In the present case, those </w:t>
      </w:r>
      <w:bookmarkStart w:name="lt_pId288" w:id="207"/>
      <w:r w:rsidRPr="00F55305" w:rsidR="00147FD4">
        <w:rPr>
          <w:lang w:val="en-GB"/>
        </w:rPr>
        <w:t>matters</w:t>
      </w:r>
      <w:r w:rsidRPr="00F55305">
        <w:rPr>
          <w:lang w:val="en-GB"/>
        </w:rPr>
        <w:t xml:space="preserve">, </w:t>
      </w:r>
      <w:r w:rsidRPr="00F55305" w:rsidR="00801A93">
        <w:rPr>
          <w:lang w:val="en-GB"/>
        </w:rPr>
        <w:t xml:space="preserve">and </w:t>
      </w:r>
      <w:r w:rsidRPr="00F55305" w:rsidR="00147FD4">
        <w:rPr>
          <w:lang w:val="en-GB"/>
        </w:rPr>
        <w:t>the question</w:t>
      </w:r>
      <w:r w:rsidRPr="00F55305" w:rsidR="00801A93">
        <w:rPr>
          <w:lang w:val="en-GB"/>
        </w:rPr>
        <w:t xml:space="preserve"> whether </w:t>
      </w:r>
      <w:r w:rsidRPr="00F55305" w:rsidR="003B5A4F">
        <w:rPr>
          <w:lang w:val="en-GB"/>
        </w:rPr>
        <w:t>the Podem school</w:t>
      </w:r>
      <w:r w:rsidRPr="00F55305">
        <w:rPr>
          <w:lang w:val="en-GB"/>
        </w:rPr>
        <w:t xml:space="preserve"> </w:t>
      </w:r>
      <w:r w:rsidRPr="00F55305" w:rsidR="00801A93">
        <w:rPr>
          <w:lang w:val="en-GB"/>
        </w:rPr>
        <w:t>was an</w:t>
      </w:r>
      <w:r w:rsidRPr="00F55305">
        <w:rPr>
          <w:lang w:val="en-GB"/>
        </w:rPr>
        <w:t xml:space="preserve"> </w:t>
      </w:r>
      <w:r w:rsidRPr="00F55305" w:rsidR="00801A93">
        <w:rPr>
          <w:lang w:val="en-GB"/>
        </w:rPr>
        <w:t xml:space="preserve">appropriate </w:t>
      </w:r>
      <w:r w:rsidRPr="00F55305">
        <w:rPr>
          <w:lang w:val="en-GB"/>
        </w:rPr>
        <w:t xml:space="preserve">institution </w:t>
      </w:r>
      <w:r w:rsidRPr="00F55305" w:rsidR="00801A93">
        <w:rPr>
          <w:lang w:val="en-GB"/>
        </w:rPr>
        <w:t>in view of</w:t>
      </w:r>
      <w:r w:rsidRPr="00F55305">
        <w:rPr>
          <w:lang w:val="en-GB"/>
        </w:rPr>
        <w:t xml:space="preserve"> </w:t>
      </w:r>
      <w:r w:rsidRPr="00F55305" w:rsidR="000F2B78">
        <w:rPr>
          <w:lang w:val="en-GB"/>
        </w:rPr>
        <w:t>the applicant</w:t>
      </w:r>
      <w:r w:rsidRPr="00F55305" w:rsidR="00F55305">
        <w:rPr>
          <w:lang w:val="en-GB"/>
        </w:rPr>
        <w:t>’</w:t>
      </w:r>
      <w:r w:rsidRPr="00F55305" w:rsidR="00801A93">
        <w:rPr>
          <w:lang w:val="en-GB"/>
        </w:rPr>
        <w:t xml:space="preserve">s </w:t>
      </w:r>
      <w:r w:rsidRPr="00F55305" w:rsidR="00147FD4">
        <w:rPr>
          <w:lang w:val="en-GB"/>
        </w:rPr>
        <w:t>circumstances</w:t>
      </w:r>
      <w:r w:rsidRPr="00F55305" w:rsidR="00801A93">
        <w:rPr>
          <w:lang w:val="en-GB"/>
        </w:rPr>
        <w:t xml:space="preserve">, were not discussed </w:t>
      </w:r>
      <w:r w:rsidRPr="00F55305" w:rsidR="006A75A6">
        <w:rPr>
          <w:lang w:val="en-GB"/>
        </w:rPr>
        <w:t>during</w:t>
      </w:r>
      <w:r w:rsidRPr="00F55305" w:rsidR="00801A93">
        <w:rPr>
          <w:lang w:val="en-GB"/>
        </w:rPr>
        <w:t xml:space="preserve"> the judicial proceedings. </w:t>
      </w:r>
      <w:bookmarkStart w:name="lt_pId289" w:id="208"/>
      <w:bookmarkEnd w:id="207"/>
      <w:r w:rsidRPr="00F55305" w:rsidR="008C1A2E">
        <w:rPr>
          <w:lang w:val="en-GB"/>
        </w:rPr>
        <w:t>The Court</w:t>
      </w:r>
      <w:r w:rsidRPr="00F55305">
        <w:rPr>
          <w:lang w:val="en-GB"/>
        </w:rPr>
        <w:t xml:space="preserve"> note</w:t>
      </w:r>
      <w:r w:rsidRPr="00F55305" w:rsidR="00801A93">
        <w:rPr>
          <w:lang w:val="en-GB"/>
        </w:rPr>
        <w:t>s, despite those failings in the system,</w:t>
      </w:r>
      <w:r w:rsidRPr="00F55305" w:rsidR="00147FD4">
        <w:rPr>
          <w:lang w:val="en-GB"/>
        </w:rPr>
        <w:t xml:space="preserve"> that</w:t>
      </w:r>
      <w:r w:rsidRPr="00F55305">
        <w:rPr>
          <w:lang w:val="en-GB"/>
        </w:rPr>
        <w:t xml:space="preserve"> </w:t>
      </w:r>
      <w:r w:rsidRPr="00F55305" w:rsidR="00801A93">
        <w:rPr>
          <w:lang w:val="en-GB"/>
        </w:rPr>
        <w:t>the authorities had first established that the applicant was not living in a suitable family environment for her own development, and this had already been the reason for her admission to another institution as a protective measure in August</w:t>
      </w:r>
      <w:r w:rsidRPr="00F55305">
        <w:rPr>
          <w:lang w:val="en-GB"/>
        </w:rPr>
        <w:t xml:space="preserve"> 2012, </w:t>
      </w:r>
      <w:r w:rsidRPr="00F55305" w:rsidR="00801A93">
        <w:rPr>
          <w:lang w:val="en-GB"/>
        </w:rPr>
        <w:t>under the Child Protection Act</w:t>
      </w:r>
      <w:r w:rsidRPr="00F55305">
        <w:rPr>
          <w:lang w:val="en-GB"/>
        </w:rPr>
        <w:t>.</w:t>
      </w:r>
      <w:bookmarkEnd w:id="208"/>
      <w:r w:rsidRPr="00F55305">
        <w:rPr>
          <w:lang w:val="en-GB"/>
        </w:rPr>
        <w:t xml:space="preserve"> </w:t>
      </w:r>
      <w:bookmarkStart w:name="lt_pId290" w:id="209"/>
      <w:r w:rsidRPr="00F55305" w:rsidR="00801A93">
        <w:rPr>
          <w:lang w:val="en-GB"/>
        </w:rPr>
        <w:t>Furthermore</w:t>
      </w:r>
      <w:r w:rsidRPr="00F55305">
        <w:rPr>
          <w:lang w:val="en-GB"/>
        </w:rPr>
        <w:t xml:space="preserve">, </w:t>
      </w:r>
      <w:r w:rsidRPr="00F55305" w:rsidR="00801A93">
        <w:rPr>
          <w:lang w:val="en-GB"/>
        </w:rPr>
        <w:t xml:space="preserve">in the course of the judicial proceedings the </w:t>
      </w:r>
      <w:r w:rsidRPr="00F55305" w:rsidR="000F2B78">
        <w:rPr>
          <w:lang w:val="en-GB"/>
        </w:rPr>
        <w:t>applicant</w:t>
      </w:r>
      <w:r w:rsidRPr="00F55305" w:rsidR="00F55305">
        <w:rPr>
          <w:lang w:val="en-GB"/>
        </w:rPr>
        <w:t>’</w:t>
      </w:r>
      <w:r w:rsidRPr="00F55305" w:rsidR="00801A93">
        <w:rPr>
          <w:lang w:val="en-GB"/>
        </w:rPr>
        <w:t>s situation</w:t>
      </w:r>
      <w:r w:rsidRPr="00F55305">
        <w:rPr>
          <w:lang w:val="en-GB"/>
        </w:rPr>
        <w:t>,</w:t>
      </w:r>
      <w:r w:rsidRPr="00F55305" w:rsidR="00801A93">
        <w:rPr>
          <w:lang w:val="en-GB"/>
        </w:rPr>
        <w:t xml:space="preserve"> her lifestyle and the risks </w:t>
      </w:r>
      <w:r w:rsidRPr="00F55305" w:rsidR="00147FD4">
        <w:rPr>
          <w:lang w:val="en-GB"/>
        </w:rPr>
        <w:t xml:space="preserve">to which she was exposed </w:t>
      </w:r>
      <w:r w:rsidRPr="00F55305" w:rsidR="00801A93">
        <w:rPr>
          <w:lang w:val="en-GB"/>
        </w:rPr>
        <w:t xml:space="preserve">were </w:t>
      </w:r>
      <w:r w:rsidRPr="00F55305" w:rsidR="00147FD4">
        <w:rPr>
          <w:lang w:val="en-GB"/>
        </w:rPr>
        <w:t>highlighted</w:t>
      </w:r>
      <w:r w:rsidRPr="00F55305" w:rsidR="00801A93">
        <w:rPr>
          <w:lang w:val="en-GB"/>
        </w:rPr>
        <w:t xml:space="preserve"> </w:t>
      </w:r>
      <w:r w:rsidRPr="00F55305" w:rsidR="00147FD4">
        <w:rPr>
          <w:lang w:val="en-GB"/>
        </w:rPr>
        <w:t>in particular</w:t>
      </w:r>
      <w:r w:rsidRPr="00F55305" w:rsidR="00801A93">
        <w:rPr>
          <w:lang w:val="en-GB"/>
        </w:rPr>
        <w:t xml:space="preserve"> in the statements by the two social workers</w:t>
      </w:r>
      <w:r w:rsidRPr="00F55305" w:rsidR="002A1E7F">
        <w:rPr>
          <w:lang w:val="en-GB"/>
        </w:rPr>
        <w:t xml:space="preserve"> at the crisis centre</w:t>
      </w:r>
      <w:r w:rsidRPr="00F55305" w:rsidR="00801A93">
        <w:rPr>
          <w:lang w:val="en-GB"/>
        </w:rPr>
        <w:t>, who had</w:t>
      </w:r>
      <w:r w:rsidRPr="00F55305" w:rsidR="002A1E7F">
        <w:rPr>
          <w:lang w:val="en-GB"/>
        </w:rPr>
        <w:t xml:space="preserve"> the closest contact with her.</w:t>
      </w:r>
      <w:r w:rsidRPr="00F55305" w:rsidR="00801A93">
        <w:rPr>
          <w:lang w:val="en-GB"/>
        </w:rPr>
        <w:t xml:space="preserve"> </w:t>
      </w:r>
      <w:r w:rsidRPr="00F55305" w:rsidR="002A1E7F">
        <w:rPr>
          <w:lang w:val="en-GB"/>
        </w:rPr>
        <w:t xml:space="preserve">Their evidence indicated in particular that she still had dealings with the individuals who had initially incited her to engage in prostitution, </w:t>
      </w:r>
      <w:r w:rsidRPr="00F55305" w:rsidR="00801A93">
        <w:rPr>
          <w:lang w:val="en-GB"/>
        </w:rPr>
        <w:t xml:space="preserve">that </w:t>
      </w:r>
      <w:r w:rsidRPr="00F55305" w:rsidR="002A1E7F">
        <w:rPr>
          <w:lang w:val="en-GB"/>
        </w:rPr>
        <w:t>she</w:t>
      </w:r>
      <w:r w:rsidRPr="00F55305" w:rsidR="00801A93">
        <w:rPr>
          <w:lang w:val="en-GB"/>
        </w:rPr>
        <w:t xml:space="preserve"> was the victim of </w:t>
      </w:r>
      <w:r w:rsidRPr="00F55305" w:rsidR="00147FD4">
        <w:rPr>
          <w:lang w:val="en-GB"/>
        </w:rPr>
        <w:t xml:space="preserve">a </w:t>
      </w:r>
      <w:r w:rsidRPr="00F55305" w:rsidR="00142AD9">
        <w:rPr>
          <w:lang w:val="en-GB"/>
        </w:rPr>
        <w:t>“</w:t>
      </w:r>
      <w:r w:rsidRPr="00F55305" w:rsidR="00801A93">
        <w:rPr>
          <w:iCs/>
          <w:lang w:val="en-GB"/>
        </w:rPr>
        <w:t>lover</w:t>
      </w:r>
      <w:r w:rsidRPr="00F55305" w:rsidR="000B5540">
        <w:rPr>
          <w:iCs/>
          <w:lang w:val="en-GB"/>
        </w:rPr>
        <w:t xml:space="preserve"> </w:t>
      </w:r>
      <w:r w:rsidRPr="00F55305" w:rsidR="00801A93">
        <w:rPr>
          <w:iCs/>
          <w:lang w:val="en-GB"/>
        </w:rPr>
        <w:t>boy</w:t>
      </w:r>
      <w:r w:rsidRPr="00F55305" w:rsidR="00142AD9">
        <w:rPr>
          <w:iCs/>
          <w:lang w:val="en-GB"/>
        </w:rPr>
        <w:t>”</w:t>
      </w:r>
      <w:r w:rsidRPr="00F55305" w:rsidR="000B5540">
        <w:rPr>
          <w:iCs/>
          <w:lang w:val="en-GB"/>
        </w:rPr>
        <w:t>-</w:t>
      </w:r>
      <w:r w:rsidRPr="00F55305" w:rsidR="00801A93">
        <w:rPr>
          <w:lang w:val="en-GB"/>
        </w:rPr>
        <w:t>type trafficking</w:t>
      </w:r>
      <w:r w:rsidRPr="00F55305" w:rsidR="00147FD4">
        <w:rPr>
          <w:lang w:val="en-GB"/>
        </w:rPr>
        <w:t xml:space="preserve"> scheme</w:t>
      </w:r>
      <w:r w:rsidRPr="00F55305" w:rsidR="00801A93">
        <w:rPr>
          <w:lang w:val="en-GB"/>
        </w:rPr>
        <w:t xml:space="preserve"> but refused to admit it</w:t>
      </w:r>
      <w:r w:rsidRPr="00F55305" w:rsidR="000B5540">
        <w:rPr>
          <w:lang w:val="en-GB"/>
        </w:rPr>
        <w:t xml:space="preserve"> and protect herself</w:t>
      </w:r>
      <w:r w:rsidRPr="00F55305" w:rsidR="00801A93">
        <w:rPr>
          <w:lang w:val="en-GB"/>
        </w:rPr>
        <w:t xml:space="preserve">, that she </w:t>
      </w:r>
      <w:r w:rsidRPr="00F55305" w:rsidR="000B5540">
        <w:rPr>
          <w:lang w:val="en-GB"/>
        </w:rPr>
        <w:t xml:space="preserve">behaved aggressively towards the staff at the centre and that she </w:t>
      </w:r>
      <w:r w:rsidRPr="00F55305" w:rsidR="00D64A7C">
        <w:rPr>
          <w:lang w:val="en-GB"/>
        </w:rPr>
        <w:t>did not</w:t>
      </w:r>
      <w:r w:rsidRPr="00F55305" w:rsidR="00801A93">
        <w:rPr>
          <w:lang w:val="en-GB"/>
        </w:rPr>
        <w:t xml:space="preserve"> </w:t>
      </w:r>
      <w:r w:rsidRPr="00F55305" w:rsidR="00D64A7C">
        <w:rPr>
          <w:lang w:val="en-GB"/>
        </w:rPr>
        <w:t xml:space="preserve">go straight back </w:t>
      </w:r>
      <w:r w:rsidRPr="00F55305" w:rsidR="00801A93">
        <w:rPr>
          <w:lang w:val="en-GB"/>
        </w:rPr>
        <w:t>to the centre in the evenings after school</w:t>
      </w:r>
      <w:r w:rsidRPr="00F55305" w:rsidR="000B5540">
        <w:rPr>
          <w:lang w:val="en-GB"/>
        </w:rPr>
        <w:t>. The two social workers</w:t>
      </w:r>
      <w:r w:rsidRPr="00F55305" w:rsidR="00801A93">
        <w:rPr>
          <w:lang w:val="en-GB"/>
        </w:rPr>
        <w:t xml:space="preserve"> </w:t>
      </w:r>
      <w:r w:rsidRPr="00F55305" w:rsidR="000B5540">
        <w:rPr>
          <w:lang w:val="en-GB"/>
        </w:rPr>
        <w:t>confirmed that the applicant</w:t>
      </w:r>
      <w:r w:rsidRPr="00F55305" w:rsidR="00F55305">
        <w:rPr>
          <w:lang w:val="en-GB"/>
        </w:rPr>
        <w:t>’</w:t>
      </w:r>
      <w:r w:rsidRPr="00F55305" w:rsidR="000B5540">
        <w:rPr>
          <w:lang w:val="en-GB"/>
        </w:rPr>
        <w:t xml:space="preserve">s family environment was not favourable to her as there were indications that </w:t>
      </w:r>
      <w:r w:rsidRPr="00F55305" w:rsidR="00801A93">
        <w:rPr>
          <w:lang w:val="en-GB"/>
        </w:rPr>
        <w:t>her mother had</w:t>
      </w:r>
      <w:r w:rsidRPr="00F55305" w:rsidR="000B5540">
        <w:rPr>
          <w:lang w:val="en-GB"/>
        </w:rPr>
        <w:t xml:space="preserve"> </w:t>
      </w:r>
      <w:r w:rsidRPr="00F55305" w:rsidR="00801A93">
        <w:rPr>
          <w:lang w:val="en-GB"/>
        </w:rPr>
        <w:t xml:space="preserve">herself </w:t>
      </w:r>
      <w:r w:rsidRPr="00F55305" w:rsidR="000B5540">
        <w:rPr>
          <w:lang w:val="en-GB"/>
        </w:rPr>
        <w:t>been a</w:t>
      </w:r>
      <w:r w:rsidRPr="00F55305" w:rsidR="00801A93">
        <w:rPr>
          <w:lang w:val="en-GB"/>
        </w:rPr>
        <w:t xml:space="preserve"> victim </w:t>
      </w:r>
      <w:r w:rsidRPr="00F55305" w:rsidR="000B5540">
        <w:rPr>
          <w:lang w:val="en-GB"/>
        </w:rPr>
        <w:t>of</w:t>
      </w:r>
      <w:r w:rsidRPr="00F55305" w:rsidR="00801A93">
        <w:rPr>
          <w:lang w:val="en-GB"/>
        </w:rPr>
        <w:t xml:space="preserve"> violence and needed protection</w:t>
      </w:r>
      <w:r w:rsidRPr="00F55305">
        <w:rPr>
          <w:lang w:val="en-GB"/>
        </w:rPr>
        <w:t xml:space="preserve"> </w:t>
      </w:r>
      <w:bookmarkStart w:name="lt_pId292" w:id="210"/>
      <w:bookmarkEnd w:id="209"/>
      <w:r w:rsidRPr="00F55305">
        <w:rPr>
          <w:lang w:val="en-GB"/>
        </w:rPr>
        <w:t>(</w:t>
      </w:r>
      <w:r w:rsidRPr="00F55305" w:rsidR="008C1A2E">
        <w:rPr>
          <w:lang w:val="en-GB"/>
        </w:rPr>
        <w:t>see paragraph</w:t>
      </w:r>
      <w:r w:rsidRPr="00F55305">
        <w:rPr>
          <w:lang w:val="en-GB"/>
        </w:rPr>
        <w:t xml:space="preserve"> 11 </w:t>
      </w:r>
      <w:r w:rsidRPr="00F55305" w:rsidR="008C1A2E">
        <w:rPr>
          <w:lang w:val="en-GB"/>
        </w:rPr>
        <w:t>above</w:t>
      </w:r>
      <w:r w:rsidRPr="00F55305">
        <w:rPr>
          <w:lang w:val="en-GB"/>
        </w:rPr>
        <w:t>).</w:t>
      </w:r>
      <w:bookmarkEnd w:id="210"/>
      <w:r w:rsidRPr="00F55305">
        <w:rPr>
          <w:lang w:val="en-GB"/>
        </w:rPr>
        <w:t xml:space="preserve"> </w:t>
      </w:r>
      <w:bookmarkStart w:name="lt_pId293" w:id="211"/>
      <w:r w:rsidRPr="00F55305" w:rsidR="008C1A2E">
        <w:rPr>
          <w:lang w:val="en-GB"/>
        </w:rPr>
        <w:t>The Court</w:t>
      </w:r>
      <w:r w:rsidRPr="00F55305">
        <w:rPr>
          <w:lang w:val="en-GB"/>
        </w:rPr>
        <w:t xml:space="preserve"> observe</w:t>
      </w:r>
      <w:r w:rsidRPr="00F55305" w:rsidR="000B5540">
        <w:rPr>
          <w:lang w:val="en-GB"/>
        </w:rPr>
        <w:t>s, moreover, that the mother</w:t>
      </w:r>
      <w:r w:rsidRPr="00F55305">
        <w:rPr>
          <w:lang w:val="en-GB"/>
        </w:rPr>
        <w:t xml:space="preserve"> </w:t>
      </w:r>
      <w:r w:rsidRPr="00F55305" w:rsidR="000B5540">
        <w:rPr>
          <w:lang w:val="en-GB"/>
        </w:rPr>
        <w:t xml:space="preserve">had the </w:t>
      </w:r>
      <w:r w:rsidRPr="00F55305" w:rsidR="00D64A7C">
        <w:rPr>
          <w:lang w:val="en-GB"/>
        </w:rPr>
        <w:t>option of</w:t>
      </w:r>
      <w:r w:rsidRPr="00F55305" w:rsidR="000B5540">
        <w:rPr>
          <w:lang w:val="en-GB"/>
        </w:rPr>
        <w:t xml:space="preserve"> address</w:t>
      </w:r>
      <w:r w:rsidRPr="00F55305" w:rsidR="00D64A7C">
        <w:rPr>
          <w:lang w:val="en-GB"/>
        </w:rPr>
        <w:t>ing</w:t>
      </w:r>
      <w:r w:rsidRPr="00F55305" w:rsidR="000B5540">
        <w:rPr>
          <w:lang w:val="en-GB"/>
        </w:rPr>
        <w:t xml:space="preserve"> the court</w:t>
      </w:r>
      <w:r w:rsidRPr="00F55305" w:rsidR="00D64A7C">
        <w:rPr>
          <w:lang w:val="en-GB"/>
        </w:rPr>
        <w:t xml:space="preserve"> at the hearing</w:t>
      </w:r>
      <w:r w:rsidRPr="00F55305" w:rsidR="006044FE">
        <w:rPr>
          <w:lang w:val="en-GB"/>
        </w:rPr>
        <w:t>,</w:t>
      </w:r>
      <w:r w:rsidRPr="00F55305" w:rsidR="000B5540">
        <w:rPr>
          <w:lang w:val="en-GB"/>
        </w:rPr>
        <w:t xml:space="preserve"> but</w:t>
      </w:r>
      <w:r w:rsidRPr="00F55305" w:rsidR="006044FE">
        <w:rPr>
          <w:lang w:val="en-GB"/>
        </w:rPr>
        <w:t xml:space="preserve"> it does not appear from</w:t>
      </w:r>
      <w:r w:rsidRPr="00F55305" w:rsidR="00D64A7C">
        <w:rPr>
          <w:lang w:val="en-GB"/>
        </w:rPr>
        <w:t xml:space="preserve"> </w:t>
      </w:r>
      <w:r w:rsidRPr="00F55305" w:rsidR="000B5540">
        <w:rPr>
          <w:lang w:val="en-GB"/>
        </w:rPr>
        <w:t xml:space="preserve">the </w:t>
      </w:r>
      <w:r w:rsidRPr="00F55305" w:rsidR="006044FE">
        <w:rPr>
          <w:lang w:val="en-GB"/>
        </w:rPr>
        <w:t>case</w:t>
      </w:r>
      <w:r w:rsidRPr="00F55305" w:rsidR="000B5540">
        <w:rPr>
          <w:lang w:val="en-GB"/>
        </w:rPr>
        <w:t xml:space="preserve"> file</w:t>
      </w:r>
      <w:r w:rsidRPr="00F55305" w:rsidR="006044FE">
        <w:rPr>
          <w:lang w:val="en-GB"/>
        </w:rPr>
        <w:t xml:space="preserve"> that she ever requested to </w:t>
      </w:r>
      <w:r w:rsidRPr="00F55305" w:rsidR="000B5540">
        <w:rPr>
          <w:lang w:val="en-GB"/>
        </w:rPr>
        <w:t xml:space="preserve">do so </w:t>
      </w:r>
      <w:r w:rsidRPr="00F55305" w:rsidR="00531D9C">
        <w:rPr>
          <w:lang w:val="en-GB"/>
        </w:rPr>
        <w:t>...</w:t>
      </w:r>
      <w:bookmarkEnd w:id="211"/>
      <w:r w:rsidRPr="00F55305">
        <w:rPr>
          <w:lang w:val="en-GB"/>
        </w:rPr>
        <w:t xml:space="preserve"> </w:t>
      </w:r>
      <w:bookmarkStart w:name="lt_pId294" w:id="212"/>
      <w:r w:rsidRPr="00F55305" w:rsidR="000B5540">
        <w:rPr>
          <w:lang w:val="en-GB"/>
        </w:rPr>
        <w:t xml:space="preserve">The Court also notes that </w:t>
      </w:r>
      <w:r w:rsidRPr="00F55305" w:rsidR="000F2B78">
        <w:rPr>
          <w:lang w:val="en-GB"/>
        </w:rPr>
        <w:t>the applicant</w:t>
      </w:r>
      <w:r w:rsidRPr="00F55305" w:rsidR="000B5540">
        <w:rPr>
          <w:lang w:val="en-GB"/>
        </w:rPr>
        <w:t xml:space="preserve"> had clearly received educational support in the past, including less stringent educational measures than placement in the school </w:t>
      </w:r>
      <w:r w:rsidRPr="00F55305">
        <w:rPr>
          <w:lang w:val="en-GB"/>
        </w:rPr>
        <w:t>(</w:t>
      </w:r>
      <w:r w:rsidRPr="00F55305" w:rsidR="008C1A2E">
        <w:rPr>
          <w:lang w:val="en-GB"/>
        </w:rPr>
        <w:t>see paragraph</w:t>
      </w:r>
      <w:r w:rsidRPr="00F55305">
        <w:rPr>
          <w:lang w:val="en-GB"/>
        </w:rPr>
        <w:t xml:space="preserve">s 11 </w:t>
      </w:r>
      <w:r w:rsidRPr="00F55305" w:rsidR="008C1A2E">
        <w:rPr>
          <w:lang w:val="en-GB"/>
        </w:rPr>
        <w:t>and</w:t>
      </w:r>
      <w:r w:rsidRPr="00F55305">
        <w:rPr>
          <w:lang w:val="en-GB"/>
        </w:rPr>
        <w:t xml:space="preserve"> 13 </w:t>
      </w:r>
      <w:r w:rsidRPr="00F55305" w:rsidR="008C1A2E">
        <w:rPr>
          <w:lang w:val="en-GB"/>
        </w:rPr>
        <w:t>above</w:t>
      </w:r>
      <w:r w:rsidRPr="00F55305">
        <w:rPr>
          <w:lang w:val="en-GB"/>
        </w:rPr>
        <w:t>).</w:t>
      </w:r>
      <w:bookmarkEnd w:id="212"/>
      <w:r w:rsidRPr="00F55305">
        <w:rPr>
          <w:lang w:val="en-GB"/>
        </w:rPr>
        <w:t xml:space="preserve"> </w:t>
      </w:r>
      <w:bookmarkStart w:name="lt_pId295" w:id="213"/>
      <w:r w:rsidRPr="00F55305" w:rsidR="000B5540">
        <w:rPr>
          <w:lang w:val="en-GB"/>
        </w:rPr>
        <w:t>It does not find it</w:t>
      </w:r>
      <w:r w:rsidRPr="00F55305">
        <w:rPr>
          <w:lang w:val="en-GB"/>
        </w:rPr>
        <w:t xml:space="preserve"> </w:t>
      </w:r>
      <w:r w:rsidRPr="00F55305" w:rsidR="000B5540">
        <w:rPr>
          <w:lang w:val="en-GB"/>
        </w:rPr>
        <w:t>arbitrary that</w:t>
      </w:r>
      <w:r w:rsidRPr="00F55305">
        <w:rPr>
          <w:lang w:val="en-GB"/>
        </w:rPr>
        <w:t xml:space="preserve"> </w:t>
      </w:r>
      <w:r w:rsidRPr="00F55305" w:rsidR="000B5540">
        <w:rPr>
          <w:lang w:val="en-GB"/>
        </w:rPr>
        <w:t xml:space="preserve">the measures taken in her case were deemed insufficient by the authorities on account of the factors set out </w:t>
      </w:r>
      <w:r w:rsidRPr="00F55305" w:rsidR="008C1A2E">
        <w:rPr>
          <w:lang w:val="en-GB"/>
        </w:rPr>
        <w:t>above</w:t>
      </w:r>
      <w:r w:rsidRPr="00F55305">
        <w:rPr>
          <w:lang w:val="en-GB"/>
        </w:rPr>
        <w:t>.</w:t>
      </w:r>
      <w:bookmarkEnd w:id="21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80</w:t>
      </w:r>
      <w:r w:rsidRPr="00F55305">
        <w:rPr>
          <w:lang w:val="en-GB"/>
        </w:rPr>
        <w:fldChar w:fldCharType="end"/>
      </w:r>
      <w:r w:rsidRPr="00F55305">
        <w:rPr>
          <w:lang w:val="en-GB"/>
        </w:rPr>
        <w:t>.  </w:t>
      </w:r>
      <w:bookmarkStart w:name="lt_pId297" w:id="214"/>
      <w:r w:rsidRPr="00F55305" w:rsidR="00037AAD">
        <w:rPr>
          <w:lang w:val="en-GB"/>
        </w:rPr>
        <w:t>Having regard to th</w:t>
      </w:r>
      <w:r w:rsidRPr="00F55305" w:rsidR="00911608">
        <w:rPr>
          <w:lang w:val="en-GB"/>
        </w:rPr>
        <w:t>o</w:t>
      </w:r>
      <w:r w:rsidRPr="00F55305" w:rsidR="00037AAD">
        <w:rPr>
          <w:lang w:val="en-GB"/>
        </w:rPr>
        <w:t xml:space="preserve">se </w:t>
      </w:r>
      <w:r w:rsidRPr="00F55305" w:rsidR="00911608">
        <w:rPr>
          <w:lang w:val="en-GB"/>
        </w:rPr>
        <w:t>factors</w:t>
      </w:r>
      <w:r w:rsidRPr="00F55305" w:rsidR="00037AAD">
        <w:rPr>
          <w:lang w:val="en-GB"/>
        </w:rPr>
        <w:t>, the Court cannot accept the applicant</w:t>
      </w:r>
      <w:r w:rsidRPr="00F55305" w:rsidR="00F55305">
        <w:rPr>
          <w:lang w:val="en-GB"/>
        </w:rPr>
        <w:t>’</w:t>
      </w:r>
      <w:r w:rsidRPr="00F55305" w:rsidR="00037AAD">
        <w:rPr>
          <w:lang w:val="en-GB"/>
        </w:rPr>
        <w:t xml:space="preserve">s argument that her </w:t>
      </w:r>
      <w:r w:rsidRPr="00F55305" w:rsidR="003F4DE0">
        <w:rPr>
          <w:lang w:val="en-GB"/>
        </w:rPr>
        <w:t>placement in the school</w:t>
      </w:r>
      <w:r w:rsidRPr="00F55305" w:rsidR="00037AAD">
        <w:rPr>
          <w:lang w:val="en-GB"/>
        </w:rPr>
        <w:t xml:space="preserve"> was an arbitrary measure and that the courts did not take her interests into account. </w:t>
      </w:r>
      <w:bookmarkStart w:name="lt_pId298" w:id="215"/>
      <w:bookmarkEnd w:id="214"/>
      <w:r w:rsidRPr="00F55305" w:rsidR="00037AAD">
        <w:rPr>
          <w:lang w:val="en-GB"/>
        </w:rPr>
        <w:t>Admittedly, the courts</w:t>
      </w:r>
      <w:r w:rsidRPr="00F55305" w:rsidR="00F55305">
        <w:rPr>
          <w:lang w:val="en-GB"/>
        </w:rPr>
        <w:t>’</w:t>
      </w:r>
      <w:r w:rsidRPr="00F55305" w:rsidR="00037AAD">
        <w:rPr>
          <w:lang w:val="en-GB"/>
        </w:rPr>
        <w:t xml:space="preserve"> reasoning may appear somewhat brief </w:t>
      </w:r>
      <w:r w:rsidRPr="00F55305" w:rsidR="003B0060">
        <w:rPr>
          <w:lang w:val="en-GB"/>
        </w:rPr>
        <w:t xml:space="preserve">and did not mention all the </w:t>
      </w:r>
      <w:r w:rsidRPr="00F55305" w:rsidR="006A75A6">
        <w:rPr>
          <w:lang w:val="en-GB"/>
        </w:rPr>
        <w:t>relevant</w:t>
      </w:r>
      <w:r w:rsidRPr="00F55305" w:rsidR="003B0060">
        <w:rPr>
          <w:lang w:val="en-GB"/>
        </w:rPr>
        <w:t xml:space="preserve"> circumstances. </w:t>
      </w:r>
      <w:bookmarkStart w:name="lt_pId299" w:id="216"/>
      <w:bookmarkEnd w:id="215"/>
      <w:r w:rsidRPr="00F55305" w:rsidR="003B0060">
        <w:rPr>
          <w:lang w:val="en-GB"/>
        </w:rPr>
        <w:t xml:space="preserve">A particular cause for concern in this regard is that </w:t>
      </w:r>
      <w:r w:rsidRPr="00F55305" w:rsidR="003F4DE0">
        <w:rPr>
          <w:lang w:val="en-GB"/>
        </w:rPr>
        <w:t>the courts</w:t>
      </w:r>
      <w:r w:rsidRPr="00F55305" w:rsidR="003B0060">
        <w:rPr>
          <w:lang w:val="en-GB"/>
        </w:rPr>
        <w:t xml:space="preserve"> did not address the issues </w:t>
      </w:r>
      <w:r w:rsidRPr="00F55305" w:rsidR="00510229">
        <w:rPr>
          <w:lang w:val="en-GB"/>
        </w:rPr>
        <w:t>relating to</w:t>
      </w:r>
      <w:r w:rsidRPr="00F55305" w:rsidR="003B0060">
        <w:rPr>
          <w:lang w:val="en-GB"/>
        </w:rPr>
        <w:t xml:space="preserve"> the individual plan for the </w:t>
      </w:r>
      <w:r w:rsidRPr="00F55305" w:rsidR="00510229">
        <w:rPr>
          <w:lang w:val="en-GB"/>
        </w:rPr>
        <w:t>applicant or to</w:t>
      </w:r>
      <w:r w:rsidRPr="00F55305" w:rsidR="003B0060">
        <w:rPr>
          <w:lang w:val="en-GB"/>
        </w:rPr>
        <w:t xml:space="preserve"> </w:t>
      </w:r>
      <w:r w:rsidRPr="00F55305" w:rsidR="00510229">
        <w:rPr>
          <w:lang w:val="en-GB"/>
        </w:rPr>
        <w:t>the</w:t>
      </w:r>
      <w:r w:rsidRPr="00F55305" w:rsidR="003B0060">
        <w:rPr>
          <w:lang w:val="en-GB"/>
        </w:rPr>
        <w:t xml:space="preserve"> duration and regular review</w:t>
      </w:r>
      <w:r w:rsidRPr="00F55305" w:rsidR="00510229">
        <w:rPr>
          <w:lang w:val="en-GB"/>
        </w:rPr>
        <w:t xml:space="preserve"> of her placement</w:t>
      </w:r>
      <w:r w:rsidRPr="00F55305" w:rsidR="003B0060">
        <w:rPr>
          <w:lang w:val="en-GB"/>
        </w:rPr>
        <w:t>.</w:t>
      </w:r>
      <w:bookmarkEnd w:id="216"/>
      <w:r w:rsidRPr="00F55305">
        <w:rPr>
          <w:lang w:val="en-GB"/>
        </w:rPr>
        <w:t xml:space="preserve"> </w:t>
      </w:r>
      <w:bookmarkStart w:name="lt_pId300" w:id="217"/>
      <w:r w:rsidRPr="00F55305" w:rsidR="003B0060">
        <w:rPr>
          <w:lang w:val="en-GB"/>
        </w:rPr>
        <w:t>Nevertheless, the courts</w:t>
      </w:r>
      <w:r w:rsidRPr="00F55305" w:rsidR="00F55305">
        <w:rPr>
          <w:lang w:val="en-GB"/>
        </w:rPr>
        <w:t>’</w:t>
      </w:r>
      <w:r w:rsidRPr="00F55305" w:rsidR="003B0060">
        <w:rPr>
          <w:lang w:val="en-GB"/>
        </w:rPr>
        <w:t xml:space="preserve"> decisions clearly reflected the statements by the two social workers who had direct responsibility for the applicant in the crisis centre</w:t>
      </w:r>
      <w:r w:rsidRPr="00F55305">
        <w:rPr>
          <w:lang w:val="en-GB"/>
        </w:rPr>
        <w:t>.</w:t>
      </w:r>
      <w:bookmarkEnd w:id="217"/>
      <w:r w:rsidRPr="00F55305">
        <w:rPr>
          <w:lang w:val="en-GB"/>
        </w:rPr>
        <w:t xml:space="preserve"> </w:t>
      </w:r>
      <w:bookmarkStart w:name="lt_pId301" w:id="218"/>
      <w:r w:rsidRPr="00F55305" w:rsidR="003B0060">
        <w:rPr>
          <w:lang w:val="en-GB"/>
        </w:rPr>
        <w:t>Thus, it appears that following an examination of the applicant</w:t>
      </w:r>
      <w:r w:rsidRPr="00F55305" w:rsidR="00F55305">
        <w:rPr>
          <w:lang w:val="en-GB"/>
        </w:rPr>
        <w:t>’</w:t>
      </w:r>
      <w:r w:rsidRPr="00F55305" w:rsidR="003B0060">
        <w:rPr>
          <w:lang w:val="en-GB"/>
        </w:rPr>
        <w:t xml:space="preserve">s family situation, her social environment, her behaviour and the </w:t>
      </w:r>
      <w:r w:rsidRPr="00F55305">
        <w:rPr>
          <w:lang w:val="en-GB"/>
        </w:rPr>
        <w:t xml:space="preserve">impact </w:t>
      </w:r>
      <w:r w:rsidRPr="00F55305" w:rsidR="003B0060">
        <w:rPr>
          <w:lang w:val="en-GB"/>
        </w:rPr>
        <w:t>of the</w:t>
      </w:r>
      <w:r w:rsidRPr="00F55305">
        <w:rPr>
          <w:lang w:val="en-GB"/>
        </w:rPr>
        <w:t xml:space="preserve"> </w:t>
      </w:r>
      <w:r w:rsidRPr="00F55305" w:rsidR="003B0060">
        <w:rPr>
          <w:lang w:val="en-GB"/>
        </w:rPr>
        <w:t>educational measures already implemented by the social workers</w:t>
      </w:r>
      <w:r w:rsidRPr="00F55305">
        <w:rPr>
          <w:lang w:val="en-GB"/>
        </w:rPr>
        <w:t xml:space="preserve">, </w:t>
      </w:r>
      <w:r w:rsidRPr="00F55305" w:rsidR="003B0060">
        <w:rPr>
          <w:lang w:val="en-GB"/>
        </w:rPr>
        <w:t xml:space="preserve">the judicial </w:t>
      </w:r>
      <w:r w:rsidRPr="00F55305">
        <w:rPr>
          <w:lang w:val="en-GB"/>
        </w:rPr>
        <w:t>aut</w:t>
      </w:r>
      <w:r w:rsidRPr="00F55305" w:rsidR="003B0060">
        <w:rPr>
          <w:lang w:val="en-GB"/>
        </w:rPr>
        <w:t>h</w:t>
      </w:r>
      <w:r w:rsidRPr="00F55305">
        <w:rPr>
          <w:lang w:val="en-GB"/>
        </w:rPr>
        <w:t>orit</w:t>
      </w:r>
      <w:r w:rsidRPr="00F55305" w:rsidR="003B0060">
        <w:rPr>
          <w:lang w:val="en-GB"/>
        </w:rPr>
        <w:t>ie</w:t>
      </w:r>
      <w:r w:rsidRPr="00F55305">
        <w:rPr>
          <w:lang w:val="en-GB"/>
        </w:rPr>
        <w:t xml:space="preserve">s </w:t>
      </w:r>
      <w:r w:rsidRPr="00F55305" w:rsidR="003B0060">
        <w:rPr>
          <w:lang w:val="en-GB"/>
        </w:rPr>
        <w:t xml:space="preserve">reviewed and upheld the welfare </w:t>
      </w:r>
      <w:r w:rsidRPr="00F55305">
        <w:rPr>
          <w:lang w:val="en-GB"/>
        </w:rPr>
        <w:t>institutions</w:t>
      </w:r>
      <w:r w:rsidRPr="00F55305" w:rsidR="00F55305">
        <w:rPr>
          <w:lang w:val="en-GB"/>
        </w:rPr>
        <w:t>’</w:t>
      </w:r>
      <w:r w:rsidRPr="00F55305">
        <w:rPr>
          <w:lang w:val="en-GB"/>
        </w:rPr>
        <w:t xml:space="preserve"> </w:t>
      </w:r>
      <w:r w:rsidRPr="00F55305" w:rsidR="003B0060">
        <w:rPr>
          <w:lang w:val="en-GB"/>
        </w:rPr>
        <w:t>conclusion that the child required heightened educational supervision</w:t>
      </w:r>
      <w:r w:rsidRPr="00F55305">
        <w:rPr>
          <w:lang w:val="en-GB"/>
        </w:rPr>
        <w:t>.</w:t>
      </w:r>
      <w:bookmarkEnd w:id="218"/>
      <w:r w:rsidRPr="00F55305">
        <w:rPr>
          <w:lang w:val="en-GB"/>
        </w:rPr>
        <w:t xml:space="preserve"> </w:t>
      </w:r>
      <w:bookmarkStart w:name="lt_pId302" w:id="219"/>
      <w:r w:rsidRPr="00F55305" w:rsidR="008C1A2E">
        <w:rPr>
          <w:lang w:val="en-GB"/>
        </w:rPr>
        <w:t>The Court</w:t>
      </w:r>
      <w:r w:rsidRPr="00F55305">
        <w:rPr>
          <w:lang w:val="en-GB"/>
        </w:rPr>
        <w:t xml:space="preserve"> </w:t>
      </w:r>
      <w:r w:rsidRPr="00F55305" w:rsidR="003B0060">
        <w:rPr>
          <w:lang w:val="en-GB"/>
        </w:rPr>
        <w:t>observes that the domestic authorities</w:t>
      </w:r>
      <w:r w:rsidRPr="00F55305" w:rsidR="00F55305">
        <w:rPr>
          <w:lang w:val="en-GB"/>
        </w:rPr>
        <w:t>’</w:t>
      </w:r>
      <w:r w:rsidRPr="00F55305" w:rsidR="003B0060">
        <w:rPr>
          <w:lang w:val="en-GB"/>
        </w:rPr>
        <w:t xml:space="preserve"> decision was largely driven by the concern to provide the applicant with an environment where she would be sheltered from specific, clearly identified risks, and hence to protect her interests as an </w:t>
      </w:r>
      <w:r w:rsidRPr="00F55305" w:rsidR="006A75A6">
        <w:rPr>
          <w:lang w:val="en-GB"/>
        </w:rPr>
        <w:t>adolescent</w:t>
      </w:r>
      <w:r w:rsidRPr="00F55305">
        <w:rPr>
          <w:lang w:val="en-GB"/>
        </w:rPr>
        <w:t xml:space="preserve"> </w:t>
      </w:r>
      <w:r w:rsidRPr="00F55305" w:rsidR="003B0060">
        <w:rPr>
          <w:lang w:val="en-GB"/>
        </w:rPr>
        <w:t xml:space="preserve">in the process of psychological and </w:t>
      </w:r>
      <w:r w:rsidRPr="00F55305">
        <w:rPr>
          <w:lang w:val="en-GB"/>
        </w:rPr>
        <w:t>social</w:t>
      </w:r>
      <w:r w:rsidRPr="00F55305" w:rsidR="003B0060">
        <w:rPr>
          <w:lang w:val="en-GB"/>
        </w:rPr>
        <w:t xml:space="preserve"> development. The material in the case file does not</w:t>
      </w:r>
      <w:r w:rsidRPr="00F55305" w:rsidR="00F55305">
        <w:rPr>
          <w:lang w:val="en-GB"/>
        </w:rPr>
        <w:t xml:space="preserve"> </w:t>
      </w:r>
      <w:r w:rsidRPr="00F55305" w:rsidR="00747FF6">
        <w:rPr>
          <w:lang w:val="en-GB"/>
        </w:rPr>
        <w:t>allow</w:t>
      </w:r>
      <w:r w:rsidRPr="00F55305" w:rsidR="00911608">
        <w:rPr>
          <w:lang w:val="en-GB"/>
        </w:rPr>
        <w:t xml:space="preserve"> the </w:t>
      </w:r>
      <w:bookmarkStart w:name="lt_pId303" w:id="220"/>
      <w:bookmarkEnd w:id="219"/>
      <w:r w:rsidRPr="00F55305" w:rsidR="008C1A2E">
        <w:rPr>
          <w:lang w:val="en-GB"/>
        </w:rPr>
        <w:t>Court</w:t>
      </w:r>
      <w:r w:rsidRPr="00F55305">
        <w:rPr>
          <w:lang w:val="en-GB"/>
        </w:rPr>
        <w:t xml:space="preserve"> </w:t>
      </w:r>
      <w:r w:rsidRPr="00F55305" w:rsidR="00911608">
        <w:rPr>
          <w:lang w:val="en-GB"/>
        </w:rPr>
        <w:t>to call into question the authorities</w:t>
      </w:r>
      <w:r w:rsidRPr="00F55305" w:rsidR="00F55305">
        <w:rPr>
          <w:lang w:val="en-GB"/>
        </w:rPr>
        <w:t>’</w:t>
      </w:r>
      <w:r w:rsidRPr="00F55305" w:rsidR="00911608">
        <w:rPr>
          <w:lang w:val="en-GB"/>
        </w:rPr>
        <w:t xml:space="preserve"> </w:t>
      </w:r>
      <w:r w:rsidRPr="00F55305">
        <w:rPr>
          <w:lang w:val="en-GB"/>
        </w:rPr>
        <w:t xml:space="preserve">conclusion </w:t>
      </w:r>
      <w:r w:rsidRPr="00F55305" w:rsidR="00911608">
        <w:rPr>
          <w:lang w:val="en-GB"/>
        </w:rPr>
        <w:t>on the matter</w:t>
      </w:r>
      <w:r w:rsidRPr="00F55305">
        <w:rPr>
          <w:lang w:val="en-GB"/>
        </w:rPr>
        <w:t>.</w:t>
      </w:r>
      <w:bookmarkEnd w:id="22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81</w:t>
      </w:r>
      <w:r w:rsidRPr="00F55305">
        <w:rPr>
          <w:lang w:val="en-GB"/>
        </w:rPr>
        <w:fldChar w:fldCharType="end"/>
      </w:r>
      <w:r w:rsidRPr="00F55305">
        <w:rPr>
          <w:lang w:val="en-GB"/>
        </w:rPr>
        <w:t>.  </w:t>
      </w:r>
      <w:bookmarkStart w:name="lt_pId305" w:id="221"/>
      <w:r w:rsidRPr="00F55305" w:rsidR="00911608">
        <w:rPr>
          <w:lang w:val="en-GB"/>
        </w:rPr>
        <w:t>In the light of all the foregoing considerations</w:t>
      </w:r>
      <w:r w:rsidRPr="00F55305">
        <w:rPr>
          <w:lang w:val="en-GB"/>
        </w:rPr>
        <w:t xml:space="preserve">, </w:t>
      </w:r>
      <w:r w:rsidRPr="00F55305" w:rsidR="008C1A2E">
        <w:rPr>
          <w:lang w:val="en-GB"/>
        </w:rPr>
        <w:t>the Court</w:t>
      </w:r>
      <w:r w:rsidRPr="00F55305">
        <w:rPr>
          <w:lang w:val="en-GB"/>
        </w:rPr>
        <w:t xml:space="preserve"> </w:t>
      </w:r>
      <w:r w:rsidRPr="00F55305" w:rsidR="00911608">
        <w:rPr>
          <w:lang w:val="en-GB"/>
        </w:rPr>
        <w:t>is unable to conclude that the applicant</w:t>
      </w:r>
      <w:r w:rsidRPr="00F55305" w:rsidR="00F55305">
        <w:rPr>
          <w:lang w:val="en-GB"/>
        </w:rPr>
        <w:t>’</w:t>
      </w:r>
      <w:r w:rsidRPr="00F55305" w:rsidR="00911608">
        <w:rPr>
          <w:lang w:val="en-GB"/>
        </w:rPr>
        <w:t>s placement had a punitive purpose</w:t>
      </w:r>
      <w:r w:rsidRPr="00F55305" w:rsidR="00A459A7">
        <w:rPr>
          <w:lang w:val="en-GB"/>
        </w:rPr>
        <w:t>,</w:t>
      </w:r>
      <w:r w:rsidRPr="00F55305" w:rsidR="00911608">
        <w:rPr>
          <w:lang w:val="en-GB"/>
        </w:rPr>
        <w:t xml:space="preserve"> </w:t>
      </w:r>
      <w:r w:rsidRPr="00F55305" w:rsidR="008C1A2E">
        <w:rPr>
          <w:lang w:val="en-GB"/>
        </w:rPr>
        <w:t>and</w:t>
      </w:r>
      <w:r w:rsidRPr="00F55305">
        <w:rPr>
          <w:lang w:val="en-GB"/>
        </w:rPr>
        <w:t xml:space="preserve"> </w:t>
      </w:r>
      <w:r w:rsidRPr="00F55305" w:rsidR="00A459A7">
        <w:rPr>
          <w:lang w:val="en-GB"/>
        </w:rPr>
        <w:t>it considers</w:t>
      </w:r>
      <w:r w:rsidRPr="00F55305" w:rsidR="00911608">
        <w:rPr>
          <w:lang w:val="en-GB"/>
        </w:rPr>
        <w:t xml:space="preserve"> that the authorities</w:t>
      </w:r>
      <w:r w:rsidRPr="00F55305" w:rsidR="00F55305">
        <w:rPr>
          <w:lang w:val="en-GB"/>
        </w:rPr>
        <w:t>’</w:t>
      </w:r>
      <w:r w:rsidRPr="00F55305" w:rsidR="00911608">
        <w:rPr>
          <w:lang w:val="en-GB"/>
        </w:rPr>
        <w:t xml:space="preserve"> decision formed part of a </w:t>
      </w:r>
      <w:r w:rsidRPr="00F55305" w:rsidR="00727CA3">
        <w:rPr>
          <w:lang w:val="en-GB"/>
        </w:rPr>
        <w:t>sustained</w:t>
      </w:r>
      <w:r w:rsidRPr="00F55305" w:rsidR="00911608">
        <w:rPr>
          <w:lang w:val="en-GB"/>
        </w:rPr>
        <w:t xml:space="preserve"> effort to place </w:t>
      </w:r>
      <w:r w:rsidRPr="00F55305" w:rsidR="00A459A7">
        <w:rPr>
          <w:lang w:val="en-GB"/>
        </w:rPr>
        <w:t>her</w:t>
      </w:r>
      <w:r w:rsidRPr="00F55305" w:rsidR="00911608">
        <w:rPr>
          <w:lang w:val="en-GB"/>
        </w:rPr>
        <w:t xml:space="preserve"> in a</w:t>
      </w:r>
      <w:r w:rsidRPr="00F55305" w:rsidR="00727CA3">
        <w:rPr>
          <w:lang w:val="en-GB"/>
        </w:rPr>
        <w:t>n</w:t>
      </w:r>
      <w:r w:rsidRPr="00F55305" w:rsidR="00911608">
        <w:rPr>
          <w:lang w:val="en-GB"/>
        </w:rPr>
        <w:t xml:space="preserve"> environment </w:t>
      </w:r>
      <w:r w:rsidRPr="00F55305" w:rsidR="00727CA3">
        <w:rPr>
          <w:lang w:val="en-GB"/>
        </w:rPr>
        <w:t>offering</w:t>
      </w:r>
      <w:r w:rsidRPr="00F55305" w:rsidR="00911608">
        <w:rPr>
          <w:lang w:val="en-GB"/>
        </w:rPr>
        <w:t xml:space="preserve"> </w:t>
      </w:r>
      <w:r w:rsidRPr="00F55305" w:rsidR="00E127E6">
        <w:rPr>
          <w:lang w:val="en-GB"/>
        </w:rPr>
        <w:t xml:space="preserve">educational </w:t>
      </w:r>
      <w:r w:rsidRPr="00F55305" w:rsidR="00911608">
        <w:rPr>
          <w:lang w:val="en-GB"/>
        </w:rPr>
        <w:t>supervis</w:t>
      </w:r>
      <w:r w:rsidRPr="00F55305" w:rsidR="00E127E6">
        <w:rPr>
          <w:lang w:val="en-GB"/>
        </w:rPr>
        <w:t>ion</w:t>
      </w:r>
      <w:r w:rsidRPr="00F55305" w:rsidR="00911608">
        <w:rPr>
          <w:lang w:val="en-GB"/>
        </w:rPr>
        <w:t xml:space="preserve"> and the </w:t>
      </w:r>
      <w:r w:rsidRPr="00F55305" w:rsidR="00A459A7">
        <w:rPr>
          <w:lang w:val="en-GB"/>
        </w:rPr>
        <w:t>opportunity</w:t>
      </w:r>
      <w:r w:rsidRPr="00F55305" w:rsidR="00911608">
        <w:rPr>
          <w:lang w:val="en-GB"/>
        </w:rPr>
        <w:t xml:space="preserve"> </w:t>
      </w:r>
      <w:r w:rsidRPr="00F55305" w:rsidR="00A459A7">
        <w:rPr>
          <w:lang w:val="en-GB"/>
        </w:rPr>
        <w:t>to</w:t>
      </w:r>
      <w:r w:rsidRPr="00F55305" w:rsidR="00911608">
        <w:rPr>
          <w:lang w:val="en-GB"/>
        </w:rPr>
        <w:t xml:space="preserve"> continu</w:t>
      </w:r>
      <w:r w:rsidRPr="00F55305" w:rsidR="00A459A7">
        <w:rPr>
          <w:lang w:val="en-GB"/>
        </w:rPr>
        <w:t>e</w:t>
      </w:r>
      <w:r w:rsidRPr="00F55305" w:rsidR="00911608">
        <w:rPr>
          <w:lang w:val="en-GB"/>
        </w:rPr>
        <w:t xml:space="preserve"> her school</w:t>
      </w:r>
      <w:r w:rsidRPr="00F55305" w:rsidR="00A459A7">
        <w:rPr>
          <w:lang w:val="en-GB"/>
        </w:rPr>
        <w:t xml:space="preserve"> studies.</w:t>
      </w:r>
      <w:r w:rsidRPr="00F55305" w:rsidR="00911608">
        <w:rPr>
          <w:lang w:val="en-GB"/>
        </w:rPr>
        <w:t xml:space="preserve"> </w:t>
      </w:r>
      <w:bookmarkStart w:name="lt_pId306" w:id="222"/>
      <w:bookmarkEnd w:id="221"/>
      <w:r w:rsidRPr="00F55305" w:rsidR="00727CA3">
        <w:rPr>
          <w:lang w:val="en-GB"/>
        </w:rPr>
        <w:t xml:space="preserve">It reiterates in this connection that the State has positive obligations to protect minors and, where applicable, remove them from an unfavourable environment </w:t>
      </w:r>
      <w:r w:rsidRPr="00F55305">
        <w:rPr>
          <w:lang w:val="en-GB"/>
        </w:rPr>
        <w:t>(</w:t>
      </w:r>
      <w:r w:rsidRPr="00F55305" w:rsidR="00727CA3">
        <w:rPr>
          <w:lang w:val="en-GB"/>
        </w:rPr>
        <w:t>see</w:t>
      </w:r>
      <w:r w:rsidRPr="00F55305">
        <w:rPr>
          <w:lang w:val="en-GB"/>
        </w:rPr>
        <w:t xml:space="preserve">, </w:t>
      </w:r>
      <w:r w:rsidRPr="00F55305">
        <w:rPr>
          <w:i/>
          <w:lang w:val="en-GB"/>
        </w:rPr>
        <w:t>mutatis mutandis</w:t>
      </w:r>
      <w:r w:rsidRPr="00F55305">
        <w:rPr>
          <w:lang w:val="en-GB"/>
        </w:rPr>
        <w:t xml:space="preserve">, </w:t>
      </w:r>
      <w:r w:rsidRPr="00F55305" w:rsidR="00A459A7">
        <w:rPr>
          <w:i/>
          <w:lang w:val="en-GB"/>
        </w:rPr>
        <w:t>X</w:t>
      </w:r>
      <w:r w:rsidRPr="00F55305">
        <w:rPr>
          <w:i/>
          <w:lang w:val="en-GB"/>
        </w:rPr>
        <w:t xml:space="preserve"> </w:t>
      </w:r>
      <w:r w:rsidRPr="00F55305" w:rsidR="008C1A2E">
        <w:rPr>
          <w:i/>
          <w:lang w:val="en-GB"/>
        </w:rPr>
        <w:t>and</w:t>
      </w:r>
      <w:r w:rsidRPr="00F55305" w:rsidR="00A459A7">
        <w:rPr>
          <w:i/>
          <w:lang w:val="en-GB"/>
        </w:rPr>
        <w:t xml:space="preserve"> Y</w:t>
      </w:r>
      <w:r w:rsidRPr="00F55305">
        <w:rPr>
          <w:i/>
          <w:lang w:val="en-GB"/>
        </w:rPr>
        <w:t xml:space="preserve"> </w:t>
      </w:r>
      <w:r w:rsidRPr="00F55305" w:rsidR="00727CA3">
        <w:rPr>
          <w:i/>
          <w:lang w:val="en-GB"/>
        </w:rPr>
        <w:t>v. the Netherlands</w:t>
      </w:r>
      <w:r w:rsidRPr="00F55305">
        <w:rPr>
          <w:lang w:val="en-GB"/>
        </w:rPr>
        <w:t xml:space="preserve">, 26 </w:t>
      </w:r>
      <w:r w:rsidRPr="00F55305" w:rsidR="00911608">
        <w:rPr>
          <w:lang w:val="en-GB"/>
        </w:rPr>
        <w:t>March</w:t>
      </w:r>
      <w:r w:rsidRPr="00F55305">
        <w:rPr>
          <w:lang w:val="en-GB"/>
        </w:rPr>
        <w:t xml:space="preserve"> 1985, §§ 21-27, </w:t>
      </w:r>
      <w:r w:rsidRPr="00F55305" w:rsidR="00BD277E">
        <w:rPr>
          <w:lang w:val="en-GB"/>
        </w:rPr>
        <w:t xml:space="preserve">Series </w:t>
      </w:r>
      <w:r w:rsidRPr="00F55305" w:rsidR="00911608">
        <w:rPr>
          <w:lang w:val="en-GB"/>
        </w:rPr>
        <w:t>A no.</w:t>
      </w:r>
      <w:r w:rsidRPr="00F55305" w:rsidR="00727CA3">
        <w:rPr>
          <w:lang w:val="en-GB"/>
        </w:rPr>
        <w:t> 91;</w:t>
      </w:r>
      <w:r w:rsidRPr="00F55305">
        <w:rPr>
          <w:lang w:val="en-GB"/>
        </w:rPr>
        <w:t xml:space="preserve"> </w:t>
      </w:r>
      <w:r w:rsidRPr="00F55305">
        <w:rPr>
          <w:i/>
          <w:lang w:val="en-GB"/>
        </w:rPr>
        <w:t xml:space="preserve">Stubbings </w:t>
      </w:r>
      <w:r w:rsidRPr="00F55305" w:rsidR="008C1A2E">
        <w:rPr>
          <w:i/>
          <w:lang w:val="en-GB"/>
        </w:rPr>
        <w:t>and Others</w:t>
      </w:r>
      <w:r w:rsidRPr="00F55305">
        <w:rPr>
          <w:i/>
          <w:lang w:val="en-GB"/>
        </w:rPr>
        <w:t xml:space="preserve"> </w:t>
      </w:r>
      <w:r w:rsidRPr="00F55305" w:rsidR="00911608">
        <w:rPr>
          <w:i/>
          <w:lang w:val="en-GB"/>
        </w:rPr>
        <w:t>v. the United Kingdom</w:t>
      </w:r>
      <w:r w:rsidRPr="00F55305">
        <w:rPr>
          <w:lang w:val="en-GB"/>
        </w:rPr>
        <w:t xml:space="preserve">, 22 </w:t>
      </w:r>
      <w:r w:rsidRPr="00F55305" w:rsidR="000F2B78">
        <w:rPr>
          <w:lang w:val="en-GB"/>
        </w:rPr>
        <w:t>October</w:t>
      </w:r>
      <w:r w:rsidRPr="00F55305" w:rsidR="00A459A7">
        <w:rPr>
          <w:lang w:val="en-GB"/>
        </w:rPr>
        <w:t xml:space="preserve"> 1996, §§ </w:t>
      </w:r>
      <w:r w:rsidRPr="00F55305">
        <w:rPr>
          <w:lang w:val="en-GB"/>
        </w:rPr>
        <w:t xml:space="preserve">62-64, </w:t>
      </w:r>
      <w:r w:rsidRPr="00F55305" w:rsidR="00911608">
        <w:rPr>
          <w:i/>
          <w:lang w:val="en-GB"/>
        </w:rPr>
        <w:t>Reports</w:t>
      </w:r>
      <w:r w:rsidRPr="00F55305">
        <w:rPr>
          <w:i/>
          <w:lang w:val="en-GB"/>
        </w:rPr>
        <w:t xml:space="preserve"> </w:t>
      </w:r>
      <w:r w:rsidRPr="00F55305">
        <w:rPr>
          <w:lang w:val="en-GB"/>
        </w:rPr>
        <w:t>1996-IV</w:t>
      </w:r>
      <w:r w:rsidRPr="00F55305" w:rsidR="007C46B5">
        <w:rPr>
          <w:lang w:val="en-GB"/>
        </w:rPr>
        <w:t>;</w:t>
      </w:r>
      <w:r w:rsidRPr="00F55305">
        <w:rPr>
          <w:lang w:val="en-GB"/>
        </w:rPr>
        <w:t xml:space="preserve"> </w:t>
      </w:r>
      <w:r w:rsidRPr="00F55305">
        <w:rPr>
          <w:i/>
          <w:lang w:val="en-GB"/>
        </w:rPr>
        <w:t xml:space="preserve">A. </w:t>
      </w:r>
      <w:r w:rsidRPr="00F55305" w:rsidR="00911608">
        <w:rPr>
          <w:i/>
          <w:lang w:val="en-GB"/>
        </w:rPr>
        <w:t>v. the United Kingdom</w:t>
      </w:r>
      <w:r w:rsidRPr="00F55305" w:rsidR="007C46B5">
        <w:rPr>
          <w:lang w:val="en-GB"/>
        </w:rPr>
        <w:t>, 23 S</w:t>
      </w:r>
      <w:r w:rsidRPr="00F55305">
        <w:rPr>
          <w:lang w:val="en-GB"/>
        </w:rPr>
        <w:t>ept</w:t>
      </w:r>
      <w:r w:rsidRPr="00F55305" w:rsidR="00911608">
        <w:rPr>
          <w:lang w:val="en-GB"/>
        </w:rPr>
        <w:t>ember</w:t>
      </w:r>
      <w:r w:rsidRPr="00F55305">
        <w:rPr>
          <w:lang w:val="en-GB"/>
        </w:rPr>
        <w:t xml:space="preserve"> 1998, § 22, </w:t>
      </w:r>
      <w:r w:rsidRPr="00F55305" w:rsidR="00911608">
        <w:rPr>
          <w:i/>
          <w:lang w:val="en-GB"/>
        </w:rPr>
        <w:t>Reports</w:t>
      </w:r>
      <w:r w:rsidRPr="00F55305">
        <w:rPr>
          <w:i/>
          <w:lang w:val="en-GB"/>
        </w:rPr>
        <w:t xml:space="preserve"> </w:t>
      </w:r>
      <w:r w:rsidRPr="00F55305" w:rsidR="007C46B5">
        <w:rPr>
          <w:lang w:val="en-GB"/>
        </w:rPr>
        <w:t>1998-VI;</w:t>
      </w:r>
      <w:r w:rsidRPr="00F55305">
        <w:rPr>
          <w:lang w:val="en-GB"/>
        </w:rPr>
        <w:t xml:space="preserve"> </w:t>
      </w:r>
      <w:r w:rsidRPr="00F55305">
        <w:rPr>
          <w:i/>
          <w:lang w:val="en-GB"/>
        </w:rPr>
        <w:t xml:space="preserve">Z. </w:t>
      </w:r>
      <w:r w:rsidRPr="00F55305" w:rsidR="008C1A2E">
        <w:rPr>
          <w:i/>
          <w:lang w:val="en-GB"/>
        </w:rPr>
        <w:t>and Others</w:t>
      </w:r>
      <w:r w:rsidRPr="00F55305">
        <w:rPr>
          <w:i/>
          <w:lang w:val="en-GB"/>
        </w:rPr>
        <w:t xml:space="preserve"> </w:t>
      </w:r>
      <w:r w:rsidRPr="00F55305" w:rsidR="00911608">
        <w:rPr>
          <w:i/>
          <w:lang w:val="en-GB"/>
        </w:rPr>
        <w:t>v. the United Kingdom</w:t>
      </w:r>
      <w:r w:rsidRPr="00F55305">
        <w:rPr>
          <w:i/>
          <w:lang w:val="en-GB"/>
        </w:rPr>
        <w:t xml:space="preserve"> </w:t>
      </w:r>
      <w:r w:rsidRPr="00F55305">
        <w:rPr>
          <w:lang w:val="en-GB"/>
        </w:rPr>
        <w:t>[GC], n</w:t>
      </w:r>
      <w:r w:rsidRPr="00F55305" w:rsidR="007C46B5">
        <w:rPr>
          <w:lang w:val="en-GB"/>
        </w:rPr>
        <w:t>o.</w:t>
      </w:r>
      <w:r w:rsidRPr="00F55305" w:rsidR="00A459A7">
        <w:rPr>
          <w:lang w:val="en-GB"/>
        </w:rPr>
        <w:t> </w:t>
      </w:r>
      <w:r w:rsidRPr="00F55305">
        <w:rPr>
          <w:lang w:val="en-GB"/>
        </w:rPr>
        <w:t xml:space="preserve">29392/95, §§ 73-74, </w:t>
      </w:r>
      <w:r w:rsidRPr="00F55305" w:rsidR="008C1A2E">
        <w:rPr>
          <w:lang w:val="en-GB"/>
        </w:rPr>
        <w:t>ECHR</w:t>
      </w:r>
      <w:r w:rsidRPr="00F55305" w:rsidR="007C46B5">
        <w:rPr>
          <w:lang w:val="en-GB"/>
        </w:rPr>
        <w:t> 2001-V;</w:t>
      </w:r>
      <w:r w:rsidRPr="00F55305">
        <w:rPr>
          <w:lang w:val="en-GB"/>
        </w:rPr>
        <w:t xml:space="preserve"> </w:t>
      </w:r>
      <w:r w:rsidRPr="00F55305" w:rsidR="008C1A2E">
        <w:rPr>
          <w:lang w:val="en-GB"/>
        </w:rPr>
        <w:t>and</w:t>
      </w:r>
      <w:r w:rsidRPr="00F55305">
        <w:rPr>
          <w:lang w:val="en-GB"/>
        </w:rPr>
        <w:t xml:space="preserve"> </w:t>
      </w:r>
      <w:r w:rsidRPr="00F55305">
        <w:rPr>
          <w:i/>
          <w:lang w:val="en-GB"/>
        </w:rPr>
        <w:t xml:space="preserve">A. </w:t>
      </w:r>
      <w:r w:rsidRPr="00F55305" w:rsidR="008C1A2E">
        <w:rPr>
          <w:i/>
          <w:lang w:val="en-GB"/>
        </w:rPr>
        <w:t>and Others</w:t>
      </w:r>
      <w:r w:rsidRPr="00F55305" w:rsidR="007C46B5">
        <w:rPr>
          <w:i/>
          <w:lang w:val="en-GB"/>
        </w:rPr>
        <w:t xml:space="preserve"> v. Bulgaria</w:t>
      </w:r>
      <w:r w:rsidRPr="00F55305">
        <w:rPr>
          <w:lang w:val="en-GB"/>
        </w:rPr>
        <w:t xml:space="preserve">, </w:t>
      </w:r>
      <w:r w:rsidRPr="00F55305" w:rsidR="00BD277E">
        <w:rPr>
          <w:lang w:val="en-GB"/>
        </w:rPr>
        <w:t>cited above</w:t>
      </w:r>
      <w:r w:rsidRPr="00F55305">
        <w:rPr>
          <w:lang w:val="en-GB"/>
        </w:rPr>
        <w:t>, § 73</w:t>
      </w:r>
      <w:r w:rsidRPr="00F55305" w:rsidR="008F4E10">
        <w:rPr>
          <w:lang w:val="en-GB"/>
        </w:rPr>
        <w:t>;</w:t>
      </w:r>
      <w:bookmarkEnd w:id="222"/>
      <w:r w:rsidRPr="00F55305">
        <w:rPr>
          <w:lang w:val="en-GB"/>
        </w:rPr>
        <w:t xml:space="preserve"> </w:t>
      </w:r>
      <w:bookmarkStart w:name="lt_pId307" w:id="223"/>
      <w:r w:rsidRPr="00F55305">
        <w:rPr>
          <w:lang w:val="en-GB"/>
        </w:rPr>
        <w:t>see also Articles 19 and 37 of the United Nations Convention on the Rights of the Child).</w:t>
      </w:r>
      <w:bookmarkEnd w:id="22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82</w:t>
      </w:r>
      <w:r w:rsidRPr="00F55305">
        <w:rPr>
          <w:lang w:val="en-GB"/>
        </w:rPr>
        <w:fldChar w:fldCharType="end"/>
      </w:r>
      <w:r w:rsidRPr="00F55305">
        <w:rPr>
          <w:lang w:val="en-GB"/>
        </w:rPr>
        <w:t>.  </w:t>
      </w:r>
      <w:bookmarkStart w:name="lt_pId309" w:id="224"/>
      <w:r w:rsidRPr="00F55305" w:rsidR="007C46B5">
        <w:rPr>
          <w:lang w:val="en-GB"/>
        </w:rPr>
        <w:t>I</w:t>
      </w:r>
      <w:r w:rsidRPr="00F55305">
        <w:rPr>
          <w:lang w:val="en-GB"/>
        </w:rPr>
        <w:t xml:space="preserve">n conclusion, </w:t>
      </w:r>
      <w:r w:rsidRPr="00F55305" w:rsidR="008C1A2E">
        <w:rPr>
          <w:lang w:val="en-GB"/>
        </w:rPr>
        <w:t>the Court</w:t>
      </w:r>
      <w:r w:rsidRPr="00F55305">
        <w:rPr>
          <w:lang w:val="en-GB"/>
        </w:rPr>
        <w:t xml:space="preserve"> consid</w:t>
      </w:r>
      <w:r w:rsidRPr="00F55305" w:rsidR="007C46B5">
        <w:rPr>
          <w:lang w:val="en-GB"/>
        </w:rPr>
        <w:t>ers that the applicant</w:t>
      </w:r>
      <w:r w:rsidRPr="00F55305" w:rsidR="00F55305">
        <w:rPr>
          <w:lang w:val="en-GB"/>
        </w:rPr>
        <w:t>’</w:t>
      </w:r>
      <w:r w:rsidRPr="00F55305" w:rsidR="007C46B5">
        <w:rPr>
          <w:lang w:val="en-GB"/>
        </w:rPr>
        <w:t>s placement</w:t>
      </w:r>
      <w:r w:rsidRPr="00F55305">
        <w:rPr>
          <w:lang w:val="en-GB"/>
        </w:rPr>
        <w:t xml:space="preserve"> </w:t>
      </w:r>
      <w:r w:rsidRPr="00F55305" w:rsidR="007C46B5">
        <w:rPr>
          <w:lang w:val="en-GB"/>
        </w:rPr>
        <w:t xml:space="preserve">fell within the scope of Article 5 § 1 (d) and was in conformity with the requirements of that provision, including that of being proportionate to the educational </w:t>
      </w:r>
      <w:r w:rsidRPr="00F55305" w:rsidR="00A459A7">
        <w:rPr>
          <w:lang w:val="en-GB"/>
        </w:rPr>
        <w:t>aims</w:t>
      </w:r>
      <w:r w:rsidRPr="00F55305" w:rsidR="007C46B5">
        <w:rPr>
          <w:lang w:val="en-GB"/>
        </w:rPr>
        <w:t xml:space="preserve"> pursued.</w:t>
      </w:r>
      <w:r w:rsidRPr="00F55305" w:rsidR="00A459A7">
        <w:rPr>
          <w:lang w:val="en-GB"/>
        </w:rPr>
        <w:t xml:space="preserve"> Accordingly, i</w:t>
      </w:r>
      <w:r w:rsidRPr="00F55305" w:rsidR="007C46B5">
        <w:rPr>
          <w:lang w:val="en-GB"/>
        </w:rPr>
        <w:t xml:space="preserve">t does not consider it necessary to determine whether sub-paragraph </w:t>
      </w:r>
      <w:bookmarkStart w:name="lt_pId310" w:id="225"/>
      <w:bookmarkEnd w:id="224"/>
      <w:r w:rsidRPr="00F55305" w:rsidR="007C46B5">
        <w:rPr>
          <w:lang w:val="en-GB"/>
        </w:rPr>
        <w:t>(</w:t>
      </w:r>
      <w:r w:rsidRPr="00F55305">
        <w:rPr>
          <w:lang w:val="en-GB"/>
        </w:rPr>
        <w:t xml:space="preserve">a) </w:t>
      </w:r>
      <w:r w:rsidRPr="00F55305" w:rsidR="007C46B5">
        <w:rPr>
          <w:lang w:val="en-GB"/>
        </w:rPr>
        <w:t>of</w:t>
      </w:r>
      <w:r w:rsidRPr="00F55305">
        <w:rPr>
          <w:lang w:val="en-GB"/>
        </w:rPr>
        <w:t xml:space="preserve"> </w:t>
      </w:r>
      <w:r w:rsidRPr="00F55305" w:rsidR="008F4E10">
        <w:rPr>
          <w:lang w:val="en-GB"/>
        </w:rPr>
        <w:t>Article 5</w:t>
      </w:r>
      <w:r w:rsidRPr="00F55305">
        <w:rPr>
          <w:lang w:val="en-GB"/>
        </w:rPr>
        <w:t xml:space="preserve"> § 1 </w:t>
      </w:r>
      <w:r w:rsidRPr="00F55305" w:rsidR="007C46B5">
        <w:rPr>
          <w:lang w:val="en-GB"/>
        </w:rPr>
        <w:t>is also applicable</w:t>
      </w:r>
      <w:r w:rsidRPr="00F55305">
        <w:rPr>
          <w:lang w:val="en-GB"/>
        </w:rPr>
        <w:t>.</w:t>
      </w:r>
      <w:bookmarkEnd w:id="22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83</w:t>
      </w:r>
      <w:r w:rsidRPr="00F55305">
        <w:rPr>
          <w:lang w:val="en-GB"/>
        </w:rPr>
        <w:fldChar w:fldCharType="end"/>
      </w:r>
      <w:r w:rsidRPr="00F55305">
        <w:rPr>
          <w:lang w:val="en-GB"/>
        </w:rPr>
        <w:t>.  </w:t>
      </w:r>
      <w:bookmarkStart w:name="lt_pId312" w:id="226"/>
      <w:r w:rsidRPr="00F55305">
        <w:rPr>
          <w:lang w:val="en-GB"/>
        </w:rPr>
        <w:t>There has therefore been no violation of Article 5 § 1 of the Convention.</w:t>
      </w:r>
      <w:bookmarkEnd w:id="226"/>
    </w:p>
    <w:p w:rsidRPr="00F55305" w:rsidR="00711D81" w:rsidP="00F55305" w:rsidRDefault="00711D81">
      <w:pPr>
        <w:pStyle w:val="ECHRHeading2"/>
        <w:rPr>
          <w:lang w:val="en-GB"/>
        </w:rPr>
      </w:pPr>
      <w:r w:rsidRPr="00F55305">
        <w:rPr>
          <w:lang w:val="en-GB"/>
        </w:rPr>
        <w:t>B.  </w:t>
      </w:r>
      <w:bookmarkStart w:name="lt_pId314" w:id="227"/>
      <w:r w:rsidRPr="00F55305">
        <w:rPr>
          <w:lang w:val="en-GB"/>
        </w:rPr>
        <w:t>Alleged violation of Article 5 § 4 of the Convention</w:t>
      </w:r>
      <w:bookmarkEnd w:id="227"/>
    </w:p>
    <w:p w:rsidRPr="00F55305" w:rsidR="00711D81" w:rsidP="00F55305" w:rsidRDefault="00711D81">
      <w:pPr>
        <w:pStyle w:val="ECHRPara"/>
        <w:rPr>
          <w:szCs w:val="24"/>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84</w:t>
      </w:r>
      <w:r w:rsidRPr="00F55305">
        <w:rPr>
          <w:lang w:val="en-GB"/>
        </w:rPr>
        <w:fldChar w:fldCharType="end"/>
      </w:r>
      <w:r w:rsidRPr="00F55305">
        <w:rPr>
          <w:lang w:val="en-GB"/>
        </w:rPr>
        <w:t>.  </w:t>
      </w:r>
      <w:bookmarkStart w:name="lt_pId316" w:id="228"/>
      <w:r w:rsidRPr="00F55305" w:rsidR="000F2B78">
        <w:rPr>
          <w:lang w:val="en-GB"/>
        </w:rPr>
        <w:t>The applicant</w:t>
      </w:r>
      <w:r w:rsidRPr="00F55305">
        <w:rPr>
          <w:lang w:val="en-GB"/>
        </w:rPr>
        <w:t xml:space="preserve"> </w:t>
      </w:r>
      <w:r w:rsidRPr="00F55305" w:rsidR="00D91216">
        <w:rPr>
          <w:lang w:val="en-GB"/>
        </w:rPr>
        <w:t xml:space="preserve">complained that it was impossible under Bulgarian law to have the lawfulness of her placement in a </w:t>
      </w:r>
      <w:r w:rsidRPr="00F55305" w:rsidR="00035D6A">
        <w:rPr>
          <w:lang w:val="en-GB"/>
        </w:rPr>
        <w:t>correctional boarding school</w:t>
      </w:r>
      <w:r w:rsidRPr="00F55305" w:rsidR="00D91216">
        <w:rPr>
          <w:lang w:val="en-GB"/>
        </w:rPr>
        <w:t xml:space="preserve"> reviewed at regular intervals</w:t>
      </w:r>
      <w:r w:rsidRPr="00F55305">
        <w:rPr>
          <w:lang w:val="en-GB"/>
        </w:rPr>
        <w:t>.</w:t>
      </w:r>
      <w:bookmarkEnd w:id="228"/>
      <w:r w:rsidRPr="00F55305">
        <w:rPr>
          <w:lang w:val="en-GB"/>
        </w:rPr>
        <w:t xml:space="preserve"> </w:t>
      </w:r>
      <w:bookmarkStart w:name="lt_pId317" w:id="229"/>
      <w:r w:rsidRPr="00F55305">
        <w:rPr>
          <w:lang w:val="en-GB"/>
        </w:rPr>
        <w:t>She relied on Article 5 § 4 of the Convention, which provides:</w:t>
      </w:r>
      <w:bookmarkEnd w:id="229"/>
    </w:p>
    <w:p w:rsidRPr="00F55305" w:rsidR="00711D81" w:rsidP="00F55305" w:rsidRDefault="00142AD9">
      <w:pPr>
        <w:pStyle w:val="ECHRParaQuote"/>
        <w:rPr>
          <w:lang w:val="en-GB"/>
        </w:rPr>
      </w:pPr>
      <w:bookmarkStart w:name="lt_pId318" w:id="230"/>
      <w:r w:rsidRPr="00F55305">
        <w:rPr>
          <w:lang w:val="en-GB"/>
        </w:rPr>
        <w:t>“</w:t>
      </w:r>
      <w:r w:rsidRPr="00F55305" w:rsidR="00711D81">
        <w:rPr>
          <w:lang w:val="en-GB"/>
        </w:rPr>
        <w:t>Everyone who is deprived of his liberty by arrest or detention shall be entitled to take proceedings by which the lawfulness of his detention shall be decided speedily by a court and his release ordered if the detention is not lawful.</w:t>
      </w:r>
      <w:r w:rsidRPr="00F55305">
        <w:rPr>
          <w:lang w:val="en-GB"/>
        </w:rPr>
        <w:t>”</w:t>
      </w:r>
      <w:bookmarkEnd w:id="230"/>
    </w:p>
    <w:p w:rsidRPr="00F55305" w:rsidR="00711D81" w:rsidP="00F55305" w:rsidRDefault="00711D81">
      <w:pPr>
        <w:pStyle w:val="ECHRHeading3"/>
        <w:rPr>
          <w:lang w:val="en-GB"/>
        </w:rPr>
      </w:pPr>
      <w:r w:rsidRPr="00F55305">
        <w:rPr>
          <w:lang w:val="en-GB"/>
        </w:rPr>
        <w:t>1.  </w:t>
      </w:r>
      <w:bookmarkStart w:name="lt_pId320" w:id="231"/>
      <w:r w:rsidRPr="00F55305">
        <w:rPr>
          <w:lang w:val="en-GB"/>
        </w:rPr>
        <w:t>The parties</w:t>
      </w:r>
      <w:r w:rsidRPr="00F55305" w:rsidR="00F55305">
        <w:rPr>
          <w:lang w:val="en-GB"/>
        </w:rPr>
        <w:t>’</w:t>
      </w:r>
      <w:r w:rsidRPr="00F55305">
        <w:rPr>
          <w:lang w:val="en-GB"/>
        </w:rPr>
        <w:t xml:space="preserve"> submissions</w:t>
      </w:r>
      <w:bookmarkEnd w:id="23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85</w:t>
      </w:r>
      <w:r w:rsidRPr="00F55305">
        <w:rPr>
          <w:lang w:val="en-GB"/>
        </w:rPr>
        <w:fldChar w:fldCharType="end"/>
      </w:r>
      <w:r w:rsidRPr="00F55305">
        <w:rPr>
          <w:lang w:val="en-GB"/>
        </w:rPr>
        <w:t>.  </w:t>
      </w:r>
      <w:bookmarkStart w:name="lt_pId322" w:id="232"/>
      <w:r w:rsidRPr="00F55305" w:rsidR="000F2B78">
        <w:rPr>
          <w:lang w:val="en-GB"/>
        </w:rPr>
        <w:t>The Government</w:t>
      </w:r>
      <w:r w:rsidRPr="00F55305">
        <w:rPr>
          <w:lang w:val="en-GB"/>
        </w:rPr>
        <w:t xml:space="preserve"> </w:t>
      </w:r>
      <w:r w:rsidRPr="00F55305" w:rsidR="00FC33BC">
        <w:rPr>
          <w:lang w:val="en-GB"/>
        </w:rPr>
        <w:t>submitted that since the responsibility for placing the applicant in a supervised institution rested with the courts, a review of the lawfulness of that measure, as envisaged by</w:t>
      </w:r>
      <w:r w:rsidRPr="00F55305">
        <w:rPr>
          <w:lang w:val="en-GB"/>
        </w:rPr>
        <w:t xml:space="preserve"> </w:t>
      </w:r>
      <w:r w:rsidRPr="00F55305" w:rsidR="008F4E10">
        <w:rPr>
          <w:lang w:val="en-GB"/>
        </w:rPr>
        <w:t>Article 5</w:t>
      </w:r>
      <w:r w:rsidRPr="00F55305">
        <w:rPr>
          <w:lang w:val="en-GB"/>
        </w:rPr>
        <w:t xml:space="preserve"> § 4 </w:t>
      </w:r>
      <w:r w:rsidRPr="00F55305" w:rsidR="008F4E10">
        <w:rPr>
          <w:lang w:val="en-GB"/>
        </w:rPr>
        <w:t>of the Convention</w:t>
      </w:r>
      <w:r w:rsidRPr="00F55305">
        <w:rPr>
          <w:lang w:val="en-GB"/>
        </w:rPr>
        <w:t xml:space="preserve">, </w:t>
      </w:r>
      <w:r w:rsidRPr="00F55305" w:rsidR="00FC33BC">
        <w:rPr>
          <w:lang w:val="en-GB"/>
        </w:rPr>
        <w:t>had been an integral part of their decisions</w:t>
      </w:r>
      <w:r w:rsidRPr="00F55305">
        <w:rPr>
          <w:lang w:val="en-GB"/>
        </w:rPr>
        <w:t>.</w:t>
      </w:r>
      <w:bookmarkEnd w:id="232"/>
      <w:r w:rsidRPr="00F55305">
        <w:rPr>
          <w:lang w:val="en-GB"/>
        </w:rPr>
        <w:t xml:space="preserve"> </w:t>
      </w:r>
      <w:bookmarkStart w:name="lt_pId323" w:id="233"/>
      <w:r w:rsidRPr="00F55305" w:rsidR="00FC33BC">
        <w:rPr>
          <w:lang w:val="en-GB"/>
        </w:rPr>
        <w:t xml:space="preserve">Section </w:t>
      </w:r>
      <w:r w:rsidRPr="00F55305" w:rsidR="000F2B78">
        <w:rPr>
          <w:lang w:val="en-GB"/>
        </w:rPr>
        <w:t>3</w:t>
      </w:r>
      <w:r w:rsidRPr="00F55305" w:rsidR="00FC33BC">
        <w:rPr>
          <w:lang w:val="en-GB"/>
        </w:rPr>
        <w:t xml:space="preserve">1(3) of the </w:t>
      </w:r>
      <w:r w:rsidRPr="00F55305" w:rsidR="008251A4">
        <w:rPr>
          <w:lang w:val="en-GB"/>
        </w:rPr>
        <w:t>Juvenile</w:t>
      </w:r>
      <w:r w:rsidRPr="00F55305" w:rsidR="00FC33BC">
        <w:rPr>
          <w:lang w:val="en-GB"/>
        </w:rPr>
        <w:t xml:space="preserve"> Antisocial Behaviour Act provided f</w:t>
      </w:r>
      <w:r w:rsidRPr="00F55305" w:rsidR="00737CBA">
        <w:rPr>
          <w:lang w:val="en-GB"/>
        </w:rPr>
        <w:t>o</w:t>
      </w:r>
      <w:r w:rsidRPr="00F55305" w:rsidR="00FC33BC">
        <w:rPr>
          <w:lang w:val="en-GB"/>
        </w:rPr>
        <w:t xml:space="preserve">r the possibility of a </w:t>
      </w:r>
      <w:r w:rsidRPr="00F55305" w:rsidR="00737CBA">
        <w:rPr>
          <w:lang w:val="en-GB"/>
        </w:rPr>
        <w:t xml:space="preserve">judicial review of a proposal by </w:t>
      </w:r>
      <w:r w:rsidRPr="00F55305" w:rsidR="00C634DC">
        <w:rPr>
          <w:lang w:val="en-GB"/>
        </w:rPr>
        <w:t>the local committee</w:t>
      </w:r>
      <w:r w:rsidRPr="00F55305">
        <w:rPr>
          <w:lang w:val="en-GB"/>
        </w:rPr>
        <w:t xml:space="preserve"> </w:t>
      </w:r>
      <w:r w:rsidRPr="00F55305" w:rsidR="00737CBA">
        <w:rPr>
          <w:lang w:val="en-GB"/>
        </w:rPr>
        <w:t>to discontinue a</w:t>
      </w:r>
      <w:r w:rsidRPr="00F55305">
        <w:rPr>
          <w:lang w:val="en-GB"/>
        </w:rPr>
        <w:t xml:space="preserve"> placement </w:t>
      </w:r>
      <w:r w:rsidRPr="00F55305" w:rsidR="00737CBA">
        <w:rPr>
          <w:lang w:val="en-GB"/>
        </w:rPr>
        <w:t>without waiting for the end of the school year</w:t>
      </w:r>
      <w:r w:rsidRPr="00F55305">
        <w:rPr>
          <w:lang w:val="en-GB"/>
        </w:rPr>
        <w:t xml:space="preserve"> </w:t>
      </w:r>
      <w:r w:rsidRPr="00F55305" w:rsidR="00531D9C">
        <w:rPr>
          <w:lang w:val="en-GB"/>
        </w:rPr>
        <w:t>..</w:t>
      </w:r>
      <w:r w:rsidRPr="00F55305">
        <w:rPr>
          <w:lang w:val="en-GB"/>
        </w:rPr>
        <w:t>.</w:t>
      </w:r>
      <w:bookmarkEnd w:id="233"/>
      <w:r w:rsidRPr="00F55305">
        <w:rPr>
          <w:lang w:val="en-GB"/>
        </w:rPr>
        <w:t xml:space="preserve"> </w:t>
      </w:r>
      <w:bookmarkStart w:name="lt_pId324" w:id="234"/>
      <w:r w:rsidRPr="00F55305" w:rsidR="00737CBA">
        <w:rPr>
          <w:lang w:val="en-GB"/>
        </w:rPr>
        <w:t>Lastly</w:t>
      </w:r>
      <w:r w:rsidRPr="00F55305">
        <w:rPr>
          <w:lang w:val="en-GB"/>
        </w:rPr>
        <w:t xml:space="preserve">, </w:t>
      </w:r>
      <w:r w:rsidRPr="00F55305" w:rsidR="00737CBA">
        <w:rPr>
          <w:lang w:val="en-GB"/>
        </w:rPr>
        <w:t>in accordance with the applicable legislation</w:t>
      </w:r>
      <w:r w:rsidRPr="00F55305">
        <w:rPr>
          <w:lang w:val="en-GB"/>
        </w:rPr>
        <w:t xml:space="preserve">, </w:t>
      </w:r>
      <w:r w:rsidRPr="00F55305" w:rsidR="00737CBA">
        <w:rPr>
          <w:lang w:val="en-GB"/>
        </w:rPr>
        <w:t>the duration of a placement was limited and could not exceed three years.</w:t>
      </w:r>
      <w:bookmarkEnd w:id="23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86</w:t>
      </w:r>
      <w:r w:rsidRPr="00F55305">
        <w:rPr>
          <w:lang w:val="en-GB"/>
        </w:rPr>
        <w:fldChar w:fldCharType="end"/>
      </w:r>
      <w:r w:rsidRPr="00F55305">
        <w:rPr>
          <w:lang w:val="en-GB"/>
        </w:rPr>
        <w:t>.  </w:t>
      </w:r>
      <w:bookmarkStart w:name="lt_pId326" w:id="235"/>
      <w:r w:rsidRPr="00F55305" w:rsidR="000F2B78">
        <w:rPr>
          <w:lang w:val="en-GB"/>
        </w:rPr>
        <w:t>The applicant</w:t>
      </w:r>
      <w:r w:rsidRPr="00F55305" w:rsidR="00080191">
        <w:rPr>
          <w:lang w:val="en-GB"/>
        </w:rPr>
        <w:t xml:space="preserve"> did not dispute that the courts had reviewed the lawfulness of the initial decision to place her in the institution. However, she had not had the opportunity to ask them for a subsequent review, at regular intervals, of the lawfulness of her placement, such a possibility being open only to the </w:t>
      </w:r>
      <w:bookmarkStart w:name="lt_pId327" w:id="236"/>
      <w:bookmarkEnd w:id="235"/>
      <w:r w:rsidRPr="00F55305" w:rsidR="00C634DC">
        <w:rPr>
          <w:lang w:val="en-GB"/>
        </w:rPr>
        <w:t>local committee</w:t>
      </w:r>
      <w:r w:rsidRPr="00F55305">
        <w:rPr>
          <w:lang w:val="en-GB"/>
        </w:rPr>
        <w:t>.</w:t>
      </w:r>
      <w:bookmarkEnd w:id="236"/>
      <w:r w:rsidRPr="00F55305">
        <w:rPr>
          <w:lang w:val="en-GB"/>
        </w:rPr>
        <w:t xml:space="preserve"> </w:t>
      </w:r>
      <w:bookmarkStart w:name="lt_pId328" w:id="237"/>
      <w:r w:rsidRPr="00F55305" w:rsidR="00080191">
        <w:rPr>
          <w:lang w:val="en-GB"/>
        </w:rPr>
        <w:t>Furthermore, domestic law likewise did not provide for automatic periodic judicial reviews of such a measur</w:t>
      </w:r>
      <w:r w:rsidRPr="00F55305">
        <w:rPr>
          <w:lang w:val="en-GB"/>
        </w:rPr>
        <w:t>e.</w:t>
      </w:r>
      <w:bookmarkEnd w:id="237"/>
    </w:p>
    <w:p w:rsidRPr="00F55305" w:rsidR="00711D81" w:rsidP="00F55305" w:rsidRDefault="00711D81">
      <w:pPr>
        <w:pStyle w:val="ECHRHeading3"/>
        <w:rPr>
          <w:lang w:val="en-GB"/>
        </w:rPr>
      </w:pPr>
      <w:r w:rsidRPr="00F55305">
        <w:rPr>
          <w:lang w:val="en-GB"/>
        </w:rPr>
        <w:t>2.  </w:t>
      </w:r>
      <w:bookmarkStart w:name="lt_pId330" w:id="238"/>
      <w:r w:rsidRPr="00F55305">
        <w:rPr>
          <w:lang w:val="en-GB"/>
        </w:rPr>
        <w:t>The Court</w:t>
      </w:r>
      <w:r w:rsidRPr="00F55305" w:rsidR="00F55305">
        <w:rPr>
          <w:lang w:val="en-GB"/>
        </w:rPr>
        <w:t>’</w:t>
      </w:r>
      <w:r w:rsidRPr="00F55305">
        <w:rPr>
          <w:lang w:val="en-GB"/>
        </w:rPr>
        <w:t>s assessment</w:t>
      </w:r>
      <w:bookmarkEnd w:id="238"/>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87</w:t>
      </w:r>
      <w:r w:rsidRPr="00F55305">
        <w:rPr>
          <w:lang w:val="en-GB"/>
        </w:rPr>
        <w:fldChar w:fldCharType="end"/>
      </w:r>
      <w:r w:rsidRPr="00F55305">
        <w:rPr>
          <w:lang w:val="en-GB"/>
        </w:rPr>
        <w:t>.  </w:t>
      </w:r>
      <w:bookmarkStart w:name="lt_pId332" w:id="239"/>
      <w:r w:rsidRPr="00F55305" w:rsidR="00080191">
        <w:rPr>
          <w:lang w:val="en-GB"/>
        </w:rPr>
        <w:t xml:space="preserve">The </w:t>
      </w:r>
      <w:r w:rsidRPr="00F55305" w:rsidR="00EC2DE4">
        <w:rPr>
          <w:lang w:val="en-GB"/>
        </w:rPr>
        <w:t xml:space="preserve">case-law principles applicable in the present case are summarised in </w:t>
      </w:r>
      <w:r w:rsidRPr="00F55305">
        <w:rPr>
          <w:i/>
          <w:lang w:val="en-GB"/>
        </w:rPr>
        <w:t xml:space="preserve">Stanev </w:t>
      </w:r>
      <w:r w:rsidRPr="00F55305" w:rsidR="00911608">
        <w:rPr>
          <w:i/>
          <w:lang w:val="en-GB"/>
        </w:rPr>
        <w:t>v. Bulgaria</w:t>
      </w:r>
      <w:r w:rsidRPr="00F55305">
        <w:rPr>
          <w:i/>
          <w:lang w:val="en-GB"/>
        </w:rPr>
        <w:t xml:space="preserve"> </w:t>
      </w:r>
      <w:r w:rsidRPr="00F55305">
        <w:rPr>
          <w:lang w:val="en-GB"/>
        </w:rPr>
        <w:t>([GC], n</w:t>
      </w:r>
      <w:r w:rsidRPr="00F55305" w:rsidR="00D91216">
        <w:rPr>
          <w:lang w:val="en-GB"/>
        </w:rPr>
        <w:t>o.</w:t>
      </w:r>
      <w:r w:rsidRPr="00F55305">
        <w:rPr>
          <w:lang w:val="en-GB"/>
        </w:rPr>
        <w:t xml:space="preserve"> 36760/06</w:t>
      </w:r>
      <w:r w:rsidRPr="00F55305">
        <w:rPr>
          <w:snapToGrid w:val="0"/>
          <w:szCs w:val="24"/>
          <w:lang w:val="en-GB"/>
        </w:rPr>
        <w:t>, §§ 168-70, 17 </w:t>
      </w:r>
      <w:r w:rsidRPr="00F55305" w:rsidR="002A199C">
        <w:rPr>
          <w:snapToGrid w:val="0"/>
          <w:szCs w:val="24"/>
          <w:lang w:val="en-GB"/>
        </w:rPr>
        <w:t>January</w:t>
      </w:r>
      <w:r w:rsidRPr="00F55305">
        <w:rPr>
          <w:snapToGrid w:val="0"/>
          <w:szCs w:val="24"/>
          <w:lang w:val="en-GB"/>
        </w:rPr>
        <w:t xml:space="preserve"> 2012).</w:t>
      </w:r>
      <w:bookmarkEnd w:id="239"/>
      <w:r w:rsidRPr="00F55305">
        <w:rPr>
          <w:snapToGrid w:val="0"/>
          <w:szCs w:val="24"/>
          <w:lang w:val="en-GB"/>
        </w:rPr>
        <w:t xml:space="preserve"> </w:t>
      </w:r>
      <w:bookmarkStart w:name="lt_pId333" w:id="240"/>
      <w:r w:rsidRPr="00F55305" w:rsidR="00EC2DE4">
        <w:rPr>
          <w:snapToGrid w:val="0"/>
          <w:szCs w:val="24"/>
          <w:lang w:val="en-GB"/>
        </w:rPr>
        <w:t xml:space="preserve">The Court further reiterates that a judicial review </w:t>
      </w:r>
      <w:r w:rsidRPr="00F55305" w:rsidR="00142AD9">
        <w:rPr>
          <w:snapToGrid w:val="0"/>
          <w:szCs w:val="24"/>
          <w:lang w:val="en-GB"/>
        </w:rPr>
        <w:t>“</w:t>
      </w:r>
      <w:r w:rsidRPr="00F55305" w:rsidR="00EC2DE4">
        <w:rPr>
          <w:snapToGrid w:val="0"/>
          <w:szCs w:val="24"/>
          <w:lang w:val="en-GB"/>
        </w:rPr>
        <w:t>at regular intervals</w:t>
      </w:r>
      <w:r w:rsidRPr="00F55305" w:rsidR="00142AD9">
        <w:rPr>
          <w:snapToGrid w:val="0"/>
          <w:szCs w:val="24"/>
          <w:lang w:val="en-GB"/>
        </w:rPr>
        <w:t>”</w:t>
      </w:r>
      <w:r w:rsidRPr="00F55305" w:rsidR="00EC2DE4">
        <w:rPr>
          <w:snapToGrid w:val="0"/>
          <w:szCs w:val="24"/>
          <w:lang w:val="en-GB"/>
        </w:rPr>
        <w:t xml:space="preserve"> may be required by the very nature of the deprivation of liberty under consideration; </w:t>
      </w:r>
      <w:bookmarkStart w:name="lt_pId334" w:id="241"/>
      <w:bookmarkEnd w:id="240"/>
      <w:r w:rsidRPr="00F55305" w:rsidR="00EC2DE4">
        <w:rPr>
          <w:lang w:val="en-GB"/>
        </w:rPr>
        <w:t>t</w:t>
      </w:r>
      <w:r w:rsidRPr="00F55305">
        <w:rPr>
          <w:lang w:val="en-GB"/>
        </w:rPr>
        <w:t xml:space="preserve">he reasons initially warranting detention may cease to exist (see </w:t>
      </w:r>
      <w:r w:rsidRPr="00F55305">
        <w:rPr>
          <w:i/>
          <w:lang w:val="en-GB"/>
        </w:rPr>
        <w:t>Winterwerp v. the Netherlands</w:t>
      </w:r>
      <w:r w:rsidRPr="00F55305">
        <w:rPr>
          <w:lang w:val="en-GB"/>
        </w:rPr>
        <w:t xml:space="preserve">, 24 October 1979, § 55, Series </w:t>
      </w:r>
      <w:r w:rsidRPr="00F55305" w:rsidR="00911608">
        <w:rPr>
          <w:lang w:val="en-GB"/>
        </w:rPr>
        <w:t>A no.</w:t>
      </w:r>
      <w:r w:rsidRPr="00F55305">
        <w:rPr>
          <w:lang w:val="en-GB"/>
        </w:rPr>
        <w:t xml:space="preserve"> 33).</w:t>
      </w:r>
      <w:bookmarkEnd w:id="241"/>
      <w:r w:rsidRPr="00F55305">
        <w:rPr>
          <w:lang w:val="en-GB"/>
        </w:rPr>
        <w:t xml:space="preserve"> </w:t>
      </w:r>
      <w:bookmarkStart w:name="lt_pId335" w:id="242"/>
      <w:r w:rsidRPr="00F55305" w:rsidR="000A60FB">
        <w:rPr>
          <w:lang w:val="en-GB"/>
        </w:rPr>
        <w:t xml:space="preserve">This applies, for example, to persons charged with a criminal offence who are detained pending trial </w:t>
      </w:r>
      <w:r w:rsidRPr="00F55305">
        <w:rPr>
          <w:lang w:val="en-GB"/>
        </w:rPr>
        <w:t>(</w:t>
      </w:r>
      <w:r w:rsidRPr="00F55305" w:rsidR="000A60FB">
        <w:rPr>
          <w:lang w:val="en-GB"/>
        </w:rPr>
        <w:t xml:space="preserve">see </w:t>
      </w:r>
      <w:r w:rsidRPr="00F55305">
        <w:rPr>
          <w:i/>
          <w:lang w:val="en-GB"/>
        </w:rPr>
        <w:t xml:space="preserve">Bezicheri </w:t>
      </w:r>
      <w:r w:rsidRPr="00F55305" w:rsidR="00D91216">
        <w:rPr>
          <w:i/>
          <w:lang w:val="en-GB"/>
        </w:rPr>
        <w:t>v. Italy</w:t>
      </w:r>
      <w:r w:rsidRPr="00F55305" w:rsidR="00295CAB">
        <w:rPr>
          <w:lang w:val="en-GB"/>
        </w:rPr>
        <w:t>, 25 </w:t>
      </w:r>
      <w:r w:rsidRPr="00F55305" w:rsidR="000F2B78">
        <w:rPr>
          <w:lang w:val="en-GB"/>
        </w:rPr>
        <w:t>October</w:t>
      </w:r>
      <w:r w:rsidRPr="00F55305">
        <w:rPr>
          <w:lang w:val="en-GB"/>
        </w:rPr>
        <w:t xml:space="preserve"> 1989, §§ 20-21, </w:t>
      </w:r>
      <w:r w:rsidRPr="00F55305" w:rsidR="00BD277E">
        <w:rPr>
          <w:lang w:val="en-GB"/>
        </w:rPr>
        <w:t xml:space="preserve">Series </w:t>
      </w:r>
      <w:r w:rsidRPr="00F55305" w:rsidR="00911608">
        <w:rPr>
          <w:lang w:val="en-GB"/>
        </w:rPr>
        <w:t>A no.</w:t>
      </w:r>
      <w:r w:rsidRPr="00F55305">
        <w:rPr>
          <w:lang w:val="en-GB"/>
        </w:rPr>
        <w:t xml:space="preserve"> 164, </w:t>
      </w:r>
      <w:r w:rsidRPr="00F55305" w:rsidR="008C1A2E">
        <w:rPr>
          <w:lang w:val="en-GB"/>
        </w:rPr>
        <w:t>and</w:t>
      </w:r>
      <w:r w:rsidRPr="00F55305">
        <w:rPr>
          <w:lang w:val="en-GB"/>
        </w:rPr>
        <w:t xml:space="preserve"> </w:t>
      </w:r>
      <w:r w:rsidRPr="00F55305">
        <w:rPr>
          <w:i/>
          <w:lang w:val="en-GB"/>
        </w:rPr>
        <w:t xml:space="preserve">Assenov </w:t>
      </w:r>
      <w:r w:rsidRPr="00F55305" w:rsidR="008C1A2E">
        <w:rPr>
          <w:i/>
          <w:lang w:val="en-GB"/>
        </w:rPr>
        <w:t>and Others</w:t>
      </w:r>
      <w:r w:rsidRPr="00F55305">
        <w:rPr>
          <w:i/>
          <w:lang w:val="en-GB"/>
        </w:rPr>
        <w:t xml:space="preserve"> </w:t>
      </w:r>
      <w:r w:rsidRPr="00F55305" w:rsidR="00295CAB">
        <w:rPr>
          <w:i/>
          <w:lang w:val="en-GB"/>
        </w:rPr>
        <w:t>v. </w:t>
      </w:r>
      <w:r w:rsidRPr="00F55305" w:rsidR="00911608">
        <w:rPr>
          <w:i/>
          <w:lang w:val="en-GB"/>
        </w:rPr>
        <w:t>Bulgaria</w:t>
      </w:r>
      <w:r w:rsidRPr="00F55305">
        <w:rPr>
          <w:lang w:val="en-GB"/>
        </w:rPr>
        <w:t xml:space="preserve">, 28 </w:t>
      </w:r>
      <w:r w:rsidRPr="00F55305" w:rsidR="000F2B78">
        <w:rPr>
          <w:lang w:val="en-GB"/>
        </w:rPr>
        <w:t>October</w:t>
      </w:r>
      <w:r w:rsidRPr="00F55305">
        <w:rPr>
          <w:lang w:val="en-GB"/>
        </w:rPr>
        <w:t xml:space="preserve"> 1998, § 162, </w:t>
      </w:r>
      <w:r w:rsidRPr="00F55305" w:rsidR="00911608">
        <w:rPr>
          <w:i/>
          <w:lang w:val="en-GB"/>
        </w:rPr>
        <w:t>Reports</w:t>
      </w:r>
      <w:r w:rsidRPr="00F55305">
        <w:rPr>
          <w:i/>
          <w:lang w:val="en-GB"/>
        </w:rPr>
        <w:t xml:space="preserve"> </w:t>
      </w:r>
      <w:r w:rsidRPr="00F55305">
        <w:rPr>
          <w:lang w:val="en-GB"/>
        </w:rPr>
        <w:t xml:space="preserve">1998-VIII), </w:t>
      </w:r>
      <w:r w:rsidRPr="00F55305" w:rsidR="000A60FB">
        <w:rPr>
          <w:lang w:val="en-GB"/>
        </w:rPr>
        <w:t>person</w:t>
      </w:r>
      <w:r w:rsidRPr="00F55305">
        <w:rPr>
          <w:lang w:val="en-GB"/>
        </w:rPr>
        <w:t xml:space="preserve">s </w:t>
      </w:r>
      <w:r w:rsidRPr="00F55305" w:rsidR="000A60FB">
        <w:rPr>
          <w:lang w:val="en-GB"/>
        </w:rPr>
        <w:t xml:space="preserve">who are detained on </w:t>
      </w:r>
      <w:r w:rsidRPr="00F55305">
        <w:rPr>
          <w:lang w:val="en-GB"/>
        </w:rPr>
        <w:t>psychiatri</w:t>
      </w:r>
      <w:r w:rsidRPr="00F55305" w:rsidR="000A60FB">
        <w:rPr>
          <w:lang w:val="en-GB"/>
        </w:rPr>
        <w:t xml:space="preserve">c grounds </w:t>
      </w:r>
      <w:r w:rsidRPr="00F55305">
        <w:rPr>
          <w:lang w:val="en-GB"/>
        </w:rPr>
        <w:t>(</w:t>
      </w:r>
      <w:r w:rsidRPr="00F55305" w:rsidR="00D91216">
        <w:rPr>
          <w:lang w:val="en-GB"/>
        </w:rPr>
        <w:t>see</w:t>
      </w:r>
      <w:r w:rsidRPr="00F55305">
        <w:rPr>
          <w:lang w:val="en-GB"/>
        </w:rPr>
        <w:t xml:space="preserve">, </w:t>
      </w:r>
      <w:r w:rsidRPr="00F55305" w:rsidR="00D91216">
        <w:rPr>
          <w:lang w:val="en-GB"/>
        </w:rPr>
        <w:t>for</w:t>
      </w:r>
      <w:r w:rsidRPr="00F55305" w:rsidR="000A60FB">
        <w:rPr>
          <w:lang w:val="en-GB"/>
        </w:rPr>
        <w:t xml:space="preserve"> exa</w:t>
      </w:r>
      <w:r w:rsidRPr="00F55305">
        <w:rPr>
          <w:lang w:val="en-GB"/>
        </w:rPr>
        <w:t xml:space="preserve">mple, </w:t>
      </w:r>
      <w:r w:rsidRPr="00F55305">
        <w:rPr>
          <w:i/>
          <w:lang w:val="en-GB"/>
        </w:rPr>
        <w:t>Winterwerp</w:t>
      </w:r>
      <w:r w:rsidRPr="00F55305">
        <w:rPr>
          <w:lang w:val="en-GB"/>
        </w:rPr>
        <w:t xml:space="preserve">, </w:t>
      </w:r>
      <w:r w:rsidRPr="00F55305" w:rsidR="00BD277E">
        <w:rPr>
          <w:lang w:val="en-GB"/>
        </w:rPr>
        <w:t>cited above</w:t>
      </w:r>
      <w:r w:rsidRPr="00F55305" w:rsidR="00D91216">
        <w:rPr>
          <w:lang w:val="en-GB"/>
        </w:rPr>
        <w:t>;</w:t>
      </w:r>
      <w:r w:rsidRPr="00F55305">
        <w:rPr>
          <w:lang w:val="en-GB"/>
        </w:rPr>
        <w:t xml:space="preserve"> </w:t>
      </w:r>
      <w:r w:rsidRPr="00F55305" w:rsidR="00295CAB">
        <w:rPr>
          <w:i/>
          <w:lang w:val="en-GB"/>
        </w:rPr>
        <w:t>X</w:t>
      </w:r>
      <w:r w:rsidRPr="00F55305">
        <w:rPr>
          <w:i/>
          <w:lang w:val="en-GB"/>
        </w:rPr>
        <w:t xml:space="preserve"> </w:t>
      </w:r>
      <w:r w:rsidRPr="00F55305" w:rsidR="00911608">
        <w:rPr>
          <w:i/>
          <w:lang w:val="en-GB"/>
        </w:rPr>
        <w:t>v. the United Kingdom</w:t>
      </w:r>
      <w:r w:rsidRPr="00F55305">
        <w:rPr>
          <w:lang w:val="en-GB"/>
        </w:rPr>
        <w:t xml:space="preserve">, 5 </w:t>
      </w:r>
      <w:r w:rsidRPr="00F55305" w:rsidR="00D91216">
        <w:rPr>
          <w:lang w:val="en-GB"/>
        </w:rPr>
        <w:t>N</w:t>
      </w:r>
      <w:r w:rsidRPr="00F55305">
        <w:rPr>
          <w:lang w:val="en-GB"/>
        </w:rPr>
        <w:t>ov</w:t>
      </w:r>
      <w:r w:rsidRPr="00F55305" w:rsidR="00911608">
        <w:rPr>
          <w:lang w:val="en-GB"/>
        </w:rPr>
        <w:t>ember</w:t>
      </w:r>
      <w:r w:rsidRPr="00F55305">
        <w:rPr>
          <w:lang w:val="en-GB"/>
        </w:rPr>
        <w:t xml:space="preserve"> 1981, </w:t>
      </w:r>
      <w:r w:rsidRPr="00F55305" w:rsidR="00BD277E">
        <w:rPr>
          <w:lang w:val="en-GB"/>
        </w:rPr>
        <w:t xml:space="preserve">Series </w:t>
      </w:r>
      <w:r w:rsidRPr="00F55305" w:rsidR="00911608">
        <w:rPr>
          <w:lang w:val="en-GB"/>
        </w:rPr>
        <w:t>A no.</w:t>
      </w:r>
      <w:r w:rsidRPr="00F55305">
        <w:rPr>
          <w:lang w:val="en-GB"/>
        </w:rPr>
        <w:t xml:space="preserve"> 46</w:t>
      </w:r>
      <w:r w:rsidRPr="00F55305" w:rsidR="00D91216">
        <w:rPr>
          <w:lang w:val="en-GB"/>
        </w:rPr>
        <w:t>;</w:t>
      </w:r>
      <w:r w:rsidRPr="00F55305">
        <w:rPr>
          <w:i/>
          <w:lang w:val="en-GB"/>
        </w:rPr>
        <w:t xml:space="preserve"> </w:t>
      </w:r>
      <w:r w:rsidRPr="00F55305" w:rsidR="008C1A2E">
        <w:rPr>
          <w:lang w:val="en-GB"/>
        </w:rPr>
        <w:t>and</w:t>
      </w:r>
      <w:r w:rsidRPr="00F55305">
        <w:rPr>
          <w:lang w:val="en-GB"/>
        </w:rPr>
        <w:t xml:space="preserve"> </w:t>
      </w:r>
      <w:r w:rsidRPr="00F55305">
        <w:rPr>
          <w:i/>
          <w:lang w:val="en-GB"/>
        </w:rPr>
        <w:t>Stanev</w:t>
      </w:r>
      <w:r w:rsidRPr="00F55305">
        <w:rPr>
          <w:lang w:val="en-GB"/>
        </w:rPr>
        <w:t xml:space="preserve">, </w:t>
      </w:r>
      <w:r w:rsidRPr="00F55305" w:rsidR="00BD277E">
        <w:rPr>
          <w:lang w:val="en-GB"/>
        </w:rPr>
        <w:t>cited above</w:t>
      </w:r>
      <w:r w:rsidRPr="00F55305">
        <w:rPr>
          <w:lang w:val="en-GB"/>
        </w:rPr>
        <w:t xml:space="preserve">), certain prisoners </w:t>
      </w:r>
      <w:r w:rsidRPr="00F55305" w:rsidR="000A60FB">
        <w:rPr>
          <w:lang w:val="en-GB"/>
        </w:rPr>
        <w:t>serving a life sentence where, following the expiry of the minimum term, their continued detention depends on elements of dangerousness and risk</w:t>
      </w:r>
      <w:r w:rsidRPr="00F55305">
        <w:rPr>
          <w:lang w:val="en-GB"/>
        </w:rPr>
        <w:t xml:space="preserve"> </w:t>
      </w:r>
      <w:r w:rsidRPr="00F55305" w:rsidR="000A60FB">
        <w:rPr>
          <w:lang w:val="en-GB"/>
        </w:rPr>
        <w:t>that may change with the course of time</w:t>
      </w:r>
      <w:r w:rsidRPr="00F55305">
        <w:rPr>
          <w:lang w:val="en-GB"/>
        </w:rPr>
        <w:t xml:space="preserve"> </w:t>
      </w:r>
      <w:r w:rsidRPr="00F55305" w:rsidR="000A60FB">
        <w:rPr>
          <w:lang w:val="en-GB"/>
        </w:rPr>
        <w:t xml:space="preserve">(see </w:t>
      </w:r>
      <w:r w:rsidRPr="00F55305">
        <w:rPr>
          <w:i/>
          <w:lang w:val="en-GB"/>
        </w:rPr>
        <w:t xml:space="preserve">Stafford </w:t>
      </w:r>
      <w:r w:rsidRPr="00F55305" w:rsidR="00911608">
        <w:rPr>
          <w:i/>
          <w:lang w:val="en-GB"/>
        </w:rPr>
        <w:t>v. the United Kingdom</w:t>
      </w:r>
      <w:r w:rsidRPr="00F55305">
        <w:rPr>
          <w:lang w:val="en-GB"/>
        </w:rPr>
        <w:t xml:space="preserve"> [GC],</w:t>
      </w:r>
      <w:r w:rsidRPr="00F55305">
        <w:rPr>
          <w:i/>
          <w:lang w:val="en-GB"/>
        </w:rPr>
        <w:t xml:space="preserve"> </w:t>
      </w:r>
      <w:r w:rsidRPr="00F55305">
        <w:rPr>
          <w:lang w:val="en-GB"/>
        </w:rPr>
        <w:t>n</w:t>
      </w:r>
      <w:r w:rsidRPr="00F55305" w:rsidR="000A60FB">
        <w:rPr>
          <w:lang w:val="en-GB"/>
        </w:rPr>
        <w:t>o.</w:t>
      </w:r>
      <w:r w:rsidRPr="00F55305">
        <w:rPr>
          <w:vertAlign w:val="superscript"/>
          <w:lang w:val="en-GB"/>
        </w:rPr>
        <w:t xml:space="preserve"> </w:t>
      </w:r>
      <w:r w:rsidRPr="00F55305">
        <w:rPr>
          <w:lang w:val="en-GB"/>
        </w:rPr>
        <w:t xml:space="preserve">46295/99, § 87, </w:t>
      </w:r>
      <w:r w:rsidRPr="00F55305" w:rsidR="008C1A2E">
        <w:rPr>
          <w:lang w:val="en-GB"/>
        </w:rPr>
        <w:t>ECHR</w:t>
      </w:r>
      <w:r w:rsidRPr="00F55305">
        <w:rPr>
          <w:lang w:val="en-GB"/>
        </w:rPr>
        <w:t xml:space="preserve"> 2002-IV)</w:t>
      </w:r>
      <w:r w:rsidRPr="00F55305" w:rsidR="00B94935">
        <w:rPr>
          <w:lang w:val="en-GB"/>
        </w:rPr>
        <w:t>,</w:t>
      </w:r>
      <w:r w:rsidRPr="00F55305">
        <w:rPr>
          <w:lang w:val="en-GB"/>
        </w:rPr>
        <w:t xml:space="preserve"> </w:t>
      </w:r>
      <w:r w:rsidRPr="00F55305" w:rsidR="008C1A2E">
        <w:rPr>
          <w:lang w:val="en-GB"/>
        </w:rPr>
        <w:t>and</w:t>
      </w:r>
      <w:r w:rsidRPr="00F55305">
        <w:rPr>
          <w:lang w:val="en-GB"/>
        </w:rPr>
        <w:t xml:space="preserve"> </w:t>
      </w:r>
      <w:r w:rsidRPr="00F55305" w:rsidR="00B94935">
        <w:rPr>
          <w:lang w:val="en-GB"/>
        </w:rPr>
        <w:t xml:space="preserve">recidivists whose preventive detention is ordered following the expiry of the principal sentence </w:t>
      </w:r>
      <w:r w:rsidRPr="00F55305">
        <w:rPr>
          <w:lang w:val="en-GB"/>
        </w:rPr>
        <w:t>(</w:t>
      </w:r>
      <w:r w:rsidRPr="00F55305" w:rsidR="00B94935">
        <w:rPr>
          <w:lang w:val="en-GB"/>
        </w:rPr>
        <w:t xml:space="preserve">see </w:t>
      </w:r>
      <w:r w:rsidRPr="00F55305">
        <w:rPr>
          <w:i/>
          <w:lang w:val="en-GB"/>
        </w:rPr>
        <w:t xml:space="preserve">Van Droogenbroeck </w:t>
      </w:r>
      <w:r w:rsidRPr="00F55305" w:rsidR="008C1A2E">
        <w:rPr>
          <w:i/>
          <w:lang w:val="en-GB"/>
        </w:rPr>
        <w:t>v. Belgium</w:t>
      </w:r>
      <w:r w:rsidRPr="00F55305">
        <w:rPr>
          <w:lang w:val="en-GB"/>
        </w:rPr>
        <w:t xml:space="preserve">, 24 </w:t>
      </w:r>
      <w:r w:rsidRPr="00F55305" w:rsidR="00035D6A">
        <w:rPr>
          <w:lang w:val="en-GB"/>
        </w:rPr>
        <w:t>June</w:t>
      </w:r>
      <w:r w:rsidRPr="00F55305">
        <w:rPr>
          <w:lang w:val="en-GB"/>
        </w:rPr>
        <w:t xml:space="preserve"> 1982, §§ 47-49, </w:t>
      </w:r>
      <w:r w:rsidRPr="00F55305" w:rsidR="00BD277E">
        <w:rPr>
          <w:lang w:val="en-GB"/>
        </w:rPr>
        <w:t xml:space="preserve">Series </w:t>
      </w:r>
      <w:r w:rsidRPr="00F55305" w:rsidR="00911608">
        <w:rPr>
          <w:lang w:val="en-GB"/>
        </w:rPr>
        <w:t>A no.</w:t>
      </w:r>
      <w:r w:rsidRPr="00F55305">
        <w:rPr>
          <w:lang w:val="en-GB"/>
        </w:rPr>
        <w:t xml:space="preserve"> 50).</w:t>
      </w:r>
      <w:bookmarkEnd w:id="242"/>
      <w:r w:rsidRPr="00F55305">
        <w:rPr>
          <w:lang w:val="en-GB"/>
        </w:rPr>
        <w:t xml:space="preserve"> </w:t>
      </w:r>
      <w:bookmarkStart w:name="lt_pId336" w:id="243"/>
      <w:r w:rsidRPr="00F55305" w:rsidR="00B94935">
        <w:rPr>
          <w:lang w:val="en-GB"/>
        </w:rPr>
        <w:t>Th</w:t>
      </w:r>
      <w:r w:rsidRPr="00F55305">
        <w:rPr>
          <w:lang w:val="en-GB"/>
        </w:rPr>
        <w:t xml:space="preserve">e </w:t>
      </w:r>
      <w:r w:rsidRPr="00F55305" w:rsidR="00B94935">
        <w:rPr>
          <w:lang w:val="en-GB"/>
        </w:rPr>
        <w:t xml:space="preserve">right to a judicial remedy in the case of a minor who has been deprived of his or her liberty was also acknowledged by </w:t>
      </w:r>
      <w:r w:rsidRPr="00F55305" w:rsidR="008C1A2E">
        <w:rPr>
          <w:lang w:val="en-GB"/>
        </w:rPr>
        <w:t>the Court</w:t>
      </w:r>
      <w:r w:rsidRPr="00F55305">
        <w:rPr>
          <w:lang w:val="en-GB"/>
        </w:rPr>
        <w:t xml:space="preserve"> </w:t>
      </w:r>
      <w:r w:rsidRPr="00F55305" w:rsidR="00B94935">
        <w:rPr>
          <w:lang w:val="en-GB"/>
        </w:rPr>
        <w:t>in the</w:t>
      </w:r>
      <w:r w:rsidRPr="00F55305">
        <w:rPr>
          <w:lang w:val="en-GB"/>
        </w:rPr>
        <w:t xml:space="preserve"> </w:t>
      </w:r>
      <w:r w:rsidRPr="00F55305">
        <w:rPr>
          <w:i/>
          <w:lang w:val="en-GB"/>
        </w:rPr>
        <w:t>Bouamar</w:t>
      </w:r>
      <w:r w:rsidRPr="00F55305" w:rsidR="00B94935">
        <w:rPr>
          <w:i/>
          <w:lang w:val="en-GB"/>
        </w:rPr>
        <w:t xml:space="preserve"> </w:t>
      </w:r>
      <w:r w:rsidRPr="00F55305" w:rsidR="00B94935">
        <w:rPr>
          <w:lang w:val="en-GB"/>
        </w:rPr>
        <w:t>judgment</w:t>
      </w:r>
      <w:r w:rsidRPr="00F55305">
        <w:rPr>
          <w:lang w:val="en-GB"/>
        </w:rPr>
        <w:t xml:space="preserve"> (</w:t>
      </w:r>
      <w:r w:rsidRPr="00F55305" w:rsidR="00BD277E">
        <w:rPr>
          <w:lang w:val="en-GB"/>
        </w:rPr>
        <w:t>cited above</w:t>
      </w:r>
      <w:r w:rsidRPr="00F55305">
        <w:rPr>
          <w:lang w:val="en-GB"/>
        </w:rPr>
        <w:t>, §§ 60-64).</w:t>
      </w:r>
      <w:bookmarkEnd w:id="24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88</w:t>
      </w:r>
      <w:r w:rsidRPr="00F55305">
        <w:rPr>
          <w:lang w:val="en-GB"/>
        </w:rPr>
        <w:fldChar w:fldCharType="end"/>
      </w:r>
      <w:r w:rsidRPr="00F55305">
        <w:rPr>
          <w:lang w:val="en-GB"/>
        </w:rPr>
        <w:t>.  </w:t>
      </w:r>
      <w:bookmarkStart w:name="lt_pId338" w:id="244"/>
      <w:r w:rsidRPr="00F55305" w:rsidR="008C1A2E">
        <w:rPr>
          <w:lang w:val="en-GB"/>
        </w:rPr>
        <w:t>The Court</w:t>
      </w:r>
      <w:r w:rsidRPr="00F55305">
        <w:rPr>
          <w:lang w:val="en-GB"/>
        </w:rPr>
        <w:t xml:space="preserve"> note</w:t>
      </w:r>
      <w:r w:rsidRPr="00F55305" w:rsidR="00F04923">
        <w:rPr>
          <w:lang w:val="en-GB"/>
        </w:rPr>
        <w:t xml:space="preserve">s that the </w:t>
      </w:r>
      <w:r w:rsidRPr="00F55305">
        <w:rPr>
          <w:lang w:val="en-GB"/>
        </w:rPr>
        <w:t xml:space="preserve">parties </w:t>
      </w:r>
      <w:r w:rsidRPr="00F55305" w:rsidR="00F04923">
        <w:rPr>
          <w:lang w:val="en-GB"/>
        </w:rPr>
        <w:t xml:space="preserve">agreed that in the present case a judicial review had been included in the placement order made by the Regional Court on </w:t>
      </w:r>
      <w:r w:rsidRPr="00F55305" w:rsidR="000F2B78">
        <w:rPr>
          <w:lang w:val="en-GB"/>
        </w:rPr>
        <w:t>1</w:t>
      </w:r>
      <w:r w:rsidRPr="00F55305">
        <w:rPr>
          <w:lang w:val="en-GB"/>
        </w:rPr>
        <w:t xml:space="preserve">6 </w:t>
      </w:r>
      <w:r w:rsidRPr="00F55305" w:rsidR="003B5A4F">
        <w:rPr>
          <w:lang w:val="en-GB"/>
        </w:rPr>
        <w:t>July</w:t>
      </w:r>
      <w:r w:rsidRPr="00F55305">
        <w:rPr>
          <w:lang w:val="en-GB"/>
        </w:rPr>
        <w:t xml:space="preserve"> 2013.</w:t>
      </w:r>
      <w:bookmarkEnd w:id="244"/>
      <w:r w:rsidRPr="00F55305">
        <w:rPr>
          <w:lang w:val="en-GB"/>
        </w:rPr>
        <w:t xml:space="preserve"> </w:t>
      </w:r>
      <w:bookmarkStart w:name="lt_pId339" w:id="245"/>
      <w:r w:rsidRPr="00F55305" w:rsidR="00F04923">
        <w:rPr>
          <w:lang w:val="en-GB"/>
        </w:rPr>
        <w:t>However, the</w:t>
      </w:r>
      <w:r w:rsidRPr="00F55305">
        <w:rPr>
          <w:lang w:val="en-GB"/>
        </w:rPr>
        <w:t xml:space="preserve"> question </w:t>
      </w:r>
      <w:r w:rsidRPr="00F55305" w:rsidR="00F04923">
        <w:rPr>
          <w:lang w:val="en-GB"/>
        </w:rPr>
        <w:t>arising is</w:t>
      </w:r>
      <w:r w:rsidRPr="00F55305">
        <w:rPr>
          <w:lang w:val="en-GB"/>
        </w:rPr>
        <w:t xml:space="preserve"> </w:t>
      </w:r>
      <w:r w:rsidRPr="00F55305" w:rsidR="00F04923">
        <w:rPr>
          <w:lang w:val="en-GB"/>
        </w:rPr>
        <w:t>whether</w:t>
      </w:r>
      <w:r w:rsidRPr="00F55305">
        <w:rPr>
          <w:lang w:val="en-GB"/>
        </w:rPr>
        <w:t xml:space="preserve"> </w:t>
      </w:r>
      <w:r w:rsidRPr="00F55305" w:rsidR="000F2B78">
        <w:rPr>
          <w:lang w:val="en-GB"/>
        </w:rPr>
        <w:t>the applicant</w:t>
      </w:r>
      <w:r w:rsidRPr="00F55305">
        <w:rPr>
          <w:lang w:val="en-GB"/>
        </w:rPr>
        <w:t xml:space="preserve"> </w:t>
      </w:r>
      <w:r w:rsidRPr="00F55305" w:rsidR="00F04923">
        <w:rPr>
          <w:lang w:val="en-GB"/>
        </w:rPr>
        <w:t>was entitled to request a subsequent review of</w:t>
      </w:r>
      <w:r w:rsidRPr="00F55305">
        <w:rPr>
          <w:lang w:val="en-GB"/>
        </w:rPr>
        <w:t xml:space="preserve"> </w:t>
      </w:r>
      <w:r w:rsidRPr="00F55305" w:rsidR="00F04923">
        <w:rPr>
          <w:lang w:val="en-GB"/>
        </w:rPr>
        <w:t xml:space="preserve">her </w:t>
      </w:r>
      <w:r w:rsidRPr="00F55305">
        <w:rPr>
          <w:lang w:val="en-GB"/>
        </w:rPr>
        <w:t>d</w:t>
      </w:r>
      <w:r w:rsidRPr="00F55305" w:rsidR="00F04923">
        <w:rPr>
          <w:lang w:val="en-GB"/>
        </w:rPr>
        <w:t>e</w:t>
      </w:r>
      <w:r w:rsidRPr="00F55305">
        <w:rPr>
          <w:lang w:val="en-GB"/>
        </w:rPr>
        <w:t xml:space="preserve">tention </w:t>
      </w:r>
      <w:r w:rsidRPr="00F55305" w:rsidR="008C1A2E">
        <w:rPr>
          <w:lang w:val="en-GB"/>
        </w:rPr>
        <w:t>and</w:t>
      </w:r>
      <w:r w:rsidRPr="00F55305">
        <w:rPr>
          <w:lang w:val="en-GB"/>
        </w:rPr>
        <w:t xml:space="preserve">, </w:t>
      </w:r>
      <w:r w:rsidRPr="00F55305" w:rsidR="00F04923">
        <w:rPr>
          <w:lang w:val="en-GB"/>
        </w:rPr>
        <w:t>if so</w:t>
      </w:r>
      <w:r w:rsidRPr="00F55305">
        <w:rPr>
          <w:lang w:val="en-GB"/>
        </w:rPr>
        <w:t xml:space="preserve">, </w:t>
      </w:r>
      <w:r w:rsidRPr="00F55305" w:rsidR="00F04923">
        <w:rPr>
          <w:lang w:val="en-GB"/>
        </w:rPr>
        <w:t>whether she was afforded such an opportunity.</w:t>
      </w:r>
      <w:bookmarkEnd w:id="245"/>
    </w:p>
    <w:p w:rsidRPr="00F55305" w:rsidR="00711D81" w:rsidP="00F55305" w:rsidRDefault="00711D81">
      <w:pPr>
        <w:pStyle w:val="ECHRPara"/>
        <w:rPr>
          <w:i/>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89</w:t>
      </w:r>
      <w:r w:rsidRPr="00F55305">
        <w:rPr>
          <w:lang w:val="en-GB"/>
        </w:rPr>
        <w:fldChar w:fldCharType="end"/>
      </w:r>
      <w:r w:rsidRPr="00F55305">
        <w:rPr>
          <w:lang w:val="en-GB"/>
        </w:rPr>
        <w:t>.  </w:t>
      </w:r>
      <w:bookmarkStart w:name="lt_pId341" w:id="246"/>
      <w:r w:rsidRPr="00F55305" w:rsidR="00E42B68">
        <w:rPr>
          <w:lang w:val="en-GB"/>
        </w:rPr>
        <w:t>As has already been noted, the applicant</w:t>
      </w:r>
      <w:r w:rsidRPr="00F55305" w:rsidR="00F55305">
        <w:rPr>
          <w:lang w:val="en-GB"/>
        </w:rPr>
        <w:t>’</w:t>
      </w:r>
      <w:r w:rsidRPr="00F55305" w:rsidR="00E42B68">
        <w:rPr>
          <w:lang w:val="en-GB"/>
        </w:rPr>
        <w:t>s</w:t>
      </w:r>
      <w:r w:rsidRPr="00F55305">
        <w:rPr>
          <w:lang w:val="en-GB"/>
        </w:rPr>
        <w:t xml:space="preserve"> d</w:t>
      </w:r>
      <w:r w:rsidRPr="00F55305" w:rsidR="00E42B68">
        <w:rPr>
          <w:lang w:val="en-GB"/>
        </w:rPr>
        <w:t>e</w:t>
      </w:r>
      <w:r w:rsidRPr="00F55305">
        <w:rPr>
          <w:lang w:val="en-GB"/>
        </w:rPr>
        <w:t xml:space="preserve">tention </w:t>
      </w:r>
      <w:r w:rsidRPr="00F55305" w:rsidR="00E42B68">
        <w:rPr>
          <w:lang w:val="en-GB"/>
        </w:rPr>
        <w:t xml:space="preserve">was </w:t>
      </w:r>
      <w:r w:rsidRPr="00F55305">
        <w:rPr>
          <w:lang w:val="en-GB"/>
        </w:rPr>
        <w:t>ord</w:t>
      </w:r>
      <w:r w:rsidRPr="00F55305" w:rsidR="00E42B68">
        <w:rPr>
          <w:lang w:val="en-GB"/>
        </w:rPr>
        <w:t xml:space="preserve">ered for the purpose of educational supervision </w:t>
      </w:r>
      <w:r w:rsidRPr="00F55305" w:rsidR="004E0B74">
        <w:rPr>
          <w:lang w:val="en-GB"/>
        </w:rPr>
        <w:t xml:space="preserve">in order to correct her behaviour, which was deemed contrary to social norms </w:t>
      </w:r>
      <w:r w:rsidRPr="00F55305">
        <w:rPr>
          <w:lang w:val="en-GB"/>
        </w:rPr>
        <w:t>(</w:t>
      </w:r>
      <w:r w:rsidRPr="00F55305" w:rsidR="008C1A2E">
        <w:rPr>
          <w:lang w:val="en-GB"/>
        </w:rPr>
        <w:t>see paragraph</w:t>
      </w:r>
      <w:r w:rsidRPr="00F55305">
        <w:rPr>
          <w:lang w:val="en-GB"/>
        </w:rPr>
        <w:t xml:space="preserve"> 82 </w:t>
      </w:r>
      <w:r w:rsidRPr="00F55305" w:rsidR="008C1A2E">
        <w:rPr>
          <w:lang w:val="en-GB"/>
        </w:rPr>
        <w:t>above</w:t>
      </w:r>
      <w:r w:rsidRPr="00F55305">
        <w:rPr>
          <w:lang w:val="en-GB"/>
        </w:rPr>
        <w:t>).</w:t>
      </w:r>
      <w:bookmarkEnd w:id="246"/>
      <w:r w:rsidRPr="00F55305">
        <w:rPr>
          <w:lang w:val="en-GB"/>
        </w:rPr>
        <w:t xml:space="preserve"> </w:t>
      </w:r>
      <w:bookmarkStart w:name="lt_pId342" w:id="247"/>
      <w:r w:rsidRPr="00F55305">
        <w:rPr>
          <w:lang w:val="en-GB"/>
        </w:rPr>
        <w:t>I</w:t>
      </w:r>
      <w:r w:rsidRPr="00F55305" w:rsidR="004E0B74">
        <w:rPr>
          <w:lang w:val="en-GB"/>
        </w:rPr>
        <w:t>t amounted to a deprivation of</w:t>
      </w:r>
      <w:r w:rsidRPr="00F55305">
        <w:rPr>
          <w:lang w:val="en-GB"/>
        </w:rPr>
        <w:t xml:space="preserve"> </w:t>
      </w:r>
      <w:r w:rsidRPr="00F55305" w:rsidR="004E0B74">
        <w:rPr>
          <w:lang w:val="en-GB"/>
        </w:rPr>
        <w:t xml:space="preserve">liberty, the need for which was dependent on how her behaviour evolved over time; this was a </w:t>
      </w:r>
      <w:r w:rsidRPr="00F55305">
        <w:rPr>
          <w:lang w:val="en-GB"/>
        </w:rPr>
        <w:t>fact</w:t>
      </w:r>
      <w:r w:rsidRPr="00F55305" w:rsidR="004E0B74">
        <w:rPr>
          <w:lang w:val="en-GB"/>
        </w:rPr>
        <w:t>o</w:t>
      </w:r>
      <w:r w:rsidRPr="00F55305">
        <w:rPr>
          <w:lang w:val="en-GB"/>
        </w:rPr>
        <w:t xml:space="preserve">r </w:t>
      </w:r>
      <w:r w:rsidRPr="00F55305" w:rsidR="004E0B74">
        <w:rPr>
          <w:lang w:val="en-GB"/>
        </w:rPr>
        <w:t xml:space="preserve">to be taken into consideration, as in the cases cited above </w:t>
      </w:r>
      <w:r w:rsidRPr="00F55305">
        <w:rPr>
          <w:lang w:val="en-GB"/>
        </w:rPr>
        <w:t>(</w:t>
      </w:r>
      <w:r w:rsidRPr="00F55305" w:rsidR="008C1A2E">
        <w:rPr>
          <w:lang w:val="en-GB"/>
        </w:rPr>
        <w:t>see paragraph</w:t>
      </w:r>
      <w:r w:rsidRPr="00F55305">
        <w:rPr>
          <w:lang w:val="en-GB"/>
        </w:rPr>
        <w:t xml:space="preserve"> 87).</w:t>
      </w:r>
      <w:bookmarkEnd w:id="247"/>
      <w:r w:rsidRPr="00F55305">
        <w:rPr>
          <w:lang w:val="en-GB"/>
        </w:rPr>
        <w:t xml:space="preserve"> </w:t>
      </w:r>
      <w:bookmarkStart w:name="lt_pId343" w:id="248"/>
      <w:r w:rsidRPr="00F55305" w:rsidR="004E0B74">
        <w:rPr>
          <w:lang w:val="en-GB"/>
        </w:rPr>
        <w:t>T</w:t>
      </w:r>
      <w:r w:rsidRPr="00F55305" w:rsidR="008C1A2E">
        <w:rPr>
          <w:lang w:val="en-GB"/>
        </w:rPr>
        <w:t>he Court</w:t>
      </w:r>
      <w:r w:rsidRPr="00F55305">
        <w:rPr>
          <w:lang w:val="en-GB"/>
        </w:rPr>
        <w:t xml:space="preserve"> </w:t>
      </w:r>
      <w:r w:rsidRPr="00F55305" w:rsidR="004E0B74">
        <w:rPr>
          <w:lang w:val="en-GB"/>
        </w:rPr>
        <w:t xml:space="preserve">further </w:t>
      </w:r>
      <w:r w:rsidRPr="00F55305">
        <w:rPr>
          <w:lang w:val="en-GB"/>
        </w:rPr>
        <w:t>observe</w:t>
      </w:r>
      <w:r w:rsidRPr="00F55305" w:rsidR="004E0B74">
        <w:rPr>
          <w:lang w:val="en-GB"/>
        </w:rPr>
        <w:t>s that</w:t>
      </w:r>
      <w:r w:rsidRPr="00F55305">
        <w:rPr>
          <w:lang w:val="en-GB"/>
        </w:rPr>
        <w:t xml:space="preserve"> </w:t>
      </w:r>
      <w:r w:rsidRPr="00F55305" w:rsidR="000F2B78">
        <w:rPr>
          <w:lang w:val="en-GB"/>
        </w:rPr>
        <w:t>the applicant</w:t>
      </w:r>
      <w:r w:rsidRPr="00F55305">
        <w:rPr>
          <w:lang w:val="en-GB"/>
        </w:rPr>
        <w:t xml:space="preserve"> </w:t>
      </w:r>
      <w:r w:rsidRPr="00F55305" w:rsidR="004E0B74">
        <w:rPr>
          <w:lang w:val="en-GB"/>
        </w:rPr>
        <w:t xml:space="preserve">was admitted to the </w:t>
      </w:r>
      <w:r w:rsidRPr="00F55305" w:rsidR="003B5A4F">
        <w:rPr>
          <w:lang w:val="en-GB"/>
        </w:rPr>
        <w:t>Podem school</w:t>
      </w:r>
      <w:r w:rsidRPr="00F55305">
        <w:rPr>
          <w:lang w:val="en-GB"/>
        </w:rPr>
        <w:t xml:space="preserve"> </w:t>
      </w:r>
      <w:r w:rsidRPr="00F55305" w:rsidR="000F2B78">
        <w:rPr>
          <w:lang w:val="en-GB"/>
        </w:rPr>
        <w:t>on 1</w:t>
      </w:r>
      <w:r w:rsidRPr="00F55305" w:rsidR="00295CAB">
        <w:rPr>
          <w:lang w:val="en-GB"/>
        </w:rPr>
        <w:t>5 </w:t>
      </w:r>
      <w:r w:rsidRPr="00F55305" w:rsidR="00B348D2">
        <w:rPr>
          <w:lang w:val="en-GB"/>
        </w:rPr>
        <w:t>September</w:t>
      </w:r>
      <w:r w:rsidRPr="00F55305">
        <w:rPr>
          <w:lang w:val="en-GB"/>
        </w:rPr>
        <w:t xml:space="preserve"> 2013 </w:t>
      </w:r>
      <w:r w:rsidRPr="00F55305" w:rsidR="004E0B74">
        <w:rPr>
          <w:lang w:val="en-GB"/>
        </w:rPr>
        <w:t>for an unspecified duration</w:t>
      </w:r>
      <w:r w:rsidRPr="00F55305">
        <w:rPr>
          <w:lang w:val="en-GB"/>
        </w:rPr>
        <w:t xml:space="preserve"> (</w:t>
      </w:r>
      <w:r w:rsidRPr="00F55305" w:rsidR="008C1A2E">
        <w:rPr>
          <w:lang w:val="en-GB"/>
        </w:rPr>
        <w:t>see paragraph</w:t>
      </w:r>
      <w:r w:rsidRPr="00F55305">
        <w:rPr>
          <w:lang w:val="en-GB"/>
        </w:rPr>
        <w:t xml:space="preserve"> 17 </w:t>
      </w:r>
      <w:r w:rsidRPr="00F55305" w:rsidR="008C1A2E">
        <w:rPr>
          <w:lang w:val="en-GB"/>
        </w:rPr>
        <w:t>above</w:t>
      </w:r>
      <w:r w:rsidRPr="00F55305">
        <w:rPr>
          <w:lang w:val="en-GB"/>
        </w:rPr>
        <w:t>)</w:t>
      </w:r>
      <w:r w:rsidRPr="00F55305" w:rsidR="004E0B74">
        <w:rPr>
          <w:lang w:val="en-GB"/>
        </w:rPr>
        <w:t xml:space="preserve">, which, in accordance with the </w:t>
      </w:r>
      <w:r w:rsidRPr="00F55305">
        <w:rPr>
          <w:lang w:val="en-GB"/>
        </w:rPr>
        <w:t>applicable</w:t>
      </w:r>
      <w:r w:rsidRPr="00F55305" w:rsidR="004E0B74">
        <w:rPr>
          <w:lang w:val="en-GB"/>
        </w:rPr>
        <w:t xml:space="preserve"> legislation</w:t>
      </w:r>
      <w:r w:rsidRPr="00F55305">
        <w:rPr>
          <w:lang w:val="en-GB"/>
        </w:rPr>
        <w:t xml:space="preserve">, </w:t>
      </w:r>
      <w:r w:rsidRPr="00F55305" w:rsidR="004E0B74">
        <w:rPr>
          <w:lang w:val="en-GB"/>
        </w:rPr>
        <w:t xml:space="preserve">could extend to </w:t>
      </w:r>
      <w:r w:rsidRPr="00F55305" w:rsidR="00B348D2">
        <w:rPr>
          <w:lang w:val="en-GB"/>
        </w:rPr>
        <w:t>three years</w:t>
      </w:r>
      <w:r w:rsidRPr="00F55305">
        <w:rPr>
          <w:lang w:val="en-GB"/>
        </w:rPr>
        <w:t xml:space="preserve"> </w:t>
      </w:r>
      <w:bookmarkEnd w:id="248"/>
      <w:r w:rsidRPr="00F55305" w:rsidR="00531D9C">
        <w:rPr>
          <w:lang w:val="en-GB"/>
        </w:rPr>
        <w:t>...</w:t>
      </w:r>
      <w:r w:rsidRPr="00F55305">
        <w:rPr>
          <w:lang w:val="en-GB"/>
        </w:rPr>
        <w:t xml:space="preserve"> </w:t>
      </w:r>
      <w:bookmarkStart w:name="lt_pId344" w:id="249"/>
      <w:r w:rsidRPr="00F55305" w:rsidR="004E0B74">
        <w:rPr>
          <w:lang w:val="en-GB"/>
        </w:rPr>
        <w:t>Accordingly</w:t>
      </w:r>
      <w:r w:rsidRPr="00F55305">
        <w:rPr>
          <w:lang w:val="en-GB"/>
        </w:rPr>
        <w:t xml:space="preserve">, </w:t>
      </w:r>
      <w:r w:rsidRPr="00F55305" w:rsidR="004E0B74">
        <w:rPr>
          <w:lang w:val="en-GB"/>
        </w:rPr>
        <w:t>in view of the possibility of a change in the applicant</w:t>
      </w:r>
      <w:r w:rsidRPr="00F55305" w:rsidR="00F55305">
        <w:rPr>
          <w:lang w:val="en-GB"/>
        </w:rPr>
        <w:t>’</w:t>
      </w:r>
      <w:r w:rsidRPr="00F55305" w:rsidR="004E0B74">
        <w:rPr>
          <w:lang w:val="en-GB"/>
        </w:rPr>
        <w:t xml:space="preserve">s behaviour during a period of that length, </w:t>
      </w:r>
      <w:r w:rsidRPr="00F55305" w:rsidR="008C1A2E">
        <w:rPr>
          <w:lang w:val="en-GB"/>
        </w:rPr>
        <w:t>the Court</w:t>
      </w:r>
      <w:r w:rsidRPr="00F55305">
        <w:rPr>
          <w:lang w:val="en-GB"/>
        </w:rPr>
        <w:t xml:space="preserve"> </w:t>
      </w:r>
      <w:r w:rsidRPr="00F55305" w:rsidR="004E0B74">
        <w:rPr>
          <w:lang w:val="en-GB"/>
        </w:rPr>
        <w:t xml:space="preserve">considers that she should have </w:t>
      </w:r>
      <w:r w:rsidRPr="00F55305" w:rsidR="007A0DF7">
        <w:rPr>
          <w:lang w:val="en-GB"/>
        </w:rPr>
        <w:t>been entitled to</w:t>
      </w:r>
      <w:r w:rsidRPr="00F55305" w:rsidR="004E0B74">
        <w:rPr>
          <w:lang w:val="en-GB"/>
        </w:rPr>
        <w:t xml:space="preserve"> a</w:t>
      </w:r>
      <w:r w:rsidRPr="00F55305" w:rsidR="00EB6D3D">
        <w:rPr>
          <w:lang w:val="en-GB"/>
        </w:rPr>
        <w:t xml:space="preserve"> periodic judicial review, </w:t>
      </w:r>
      <w:r w:rsidRPr="00F55305" w:rsidR="004E0B74">
        <w:rPr>
          <w:lang w:val="en-GB"/>
        </w:rPr>
        <w:t>carried out automatically at reasonable intervals and at her request</w:t>
      </w:r>
      <w:r w:rsidRPr="00F55305" w:rsidR="00EB6D3D">
        <w:rPr>
          <w:lang w:val="en-GB"/>
        </w:rPr>
        <w:t xml:space="preserve">, of the lawfulness of her continued deprivation of </w:t>
      </w:r>
      <w:r w:rsidRPr="00F55305">
        <w:rPr>
          <w:lang w:val="en-GB"/>
        </w:rPr>
        <w:t>libert</w:t>
      </w:r>
      <w:r w:rsidRPr="00F55305" w:rsidR="00EB6D3D">
        <w:rPr>
          <w:lang w:val="en-GB"/>
        </w:rPr>
        <w:t>y</w:t>
      </w:r>
      <w:r w:rsidRPr="00F55305">
        <w:rPr>
          <w:lang w:val="en-GB"/>
        </w:rPr>
        <w:t xml:space="preserve"> (</w:t>
      </w:r>
      <w:r w:rsidRPr="00F55305" w:rsidR="00F04923">
        <w:rPr>
          <w:lang w:val="en-GB"/>
        </w:rPr>
        <w:t>see</w:t>
      </w:r>
      <w:r w:rsidRPr="00F55305">
        <w:rPr>
          <w:lang w:val="en-GB"/>
        </w:rPr>
        <w:t xml:space="preserve"> </w:t>
      </w:r>
      <w:r w:rsidRPr="00F55305">
        <w:rPr>
          <w:i/>
          <w:lang w:val="en-GB"/>
        </w:rPr>
        <w:t>X</w:t>
      </w:r>
      <w:r w:rsidRPr="00F55305" w:rsidR="00060B40">
        <w:rPr>
          <w:i/>
          <w:lang w:val="en-GB"/>
        </w:rPr>
        <w:t xml:space="preserve"> v.</w:t>
      </w:r>
      <w:r w:rsidRPr="00F55305">
        <w:rPr>
          <w:i/>
          <w:lang w:val="en-GB"/>
        </w:rPr>
        <w:t xml:space="preserve"> Finland</w:t>
      </w:r>
      <w:r w:rsidRPr="00F55305">
        <w:rPr>
          <w:lang w:val="en-GB"/>
        </w:rPr>
        <w:t>, n</w:t>
      </w:r>
      <w:r w:rsidRPr="00F55305" w:rsidR="00F04923">
        <w:rPr>
          <w:lang w:val="en-GB"/>
        </w:rPr>
        <w:t>o.</w:t>
      </w:r>
      <w:r w:rsidRPr="00F55305">
        <w:rPr>
          <w:lang w:val="en-GB"/>
        </w:rPr>
        <w:t xml:space="preserve"> 34806/04</w:t>
      </w:r>
      <w:r w:rsidRPr="00F55305">
        <w:rPr>
          <w:snapToGrid w:val="0"/>
          <w:szCs w:val="24"/>
          <w:lang w:val="en-GB"/>
        </w:rPr>
        <w:t xml:space="preserve">, § 170, </w:t>
      </w:r>
      <w:r w:rsidRPr="00F55305" w:rsidR="008C1A2E">
        <w:rPr>
          <w:snapToGrid w:val="0"/>
          <w:lang w:val="en-GB"/>
        </w:rPr>
        <w:t>ECHR</w:t>
      </w:r>
      <w:r w:rsidRPr="00F55305">
        <w:rPr>
          <w:snapToGrid w:val="0"/>
          <w:lang w:val="en-GB"/>
        </w:rPr>
        <w:t xml:space="preserve"> 2012 (extra</w:t>
      </w:r>
      <w:r w:rsidRPr="00F55305" w:rsidR="00F04923">
        <w:rPr>
          <w:snapToGrid w:val="0"/>
          <w:lang w:val="en-GB"/>
        </w:rPr>
        <w:t>c</w:t>
      </w:r>
      <w:r w:rsidRPr="00F55305">
        <w:rPr>
          <w:snapToGrid w:val="0"/>
          <w:lang w:val="en-GB"/>
        </w:rPr>
        <w:t>ts)</w:t>
      </w:r>
      <w:r w:rsidRPr="00F55305">
        <w:rPr>
          <w:snapToGrid w:val="0"/>
          <w:szCs w:val="24"/>
          <w:lang w:val="en-GB"/>
        </w:rPr>
        <w:t xml:space="preserve"> </w:t>
      </w:r>
      <w:r w:rsidRPr="00F55305" w:rsidR="00EB6D3D">
        <w:rPr>
          <w:snapToGrid w:val="0"/>
          <w:szCs w:val="24"/>
          <w:lang w:val="en-GB"/>
        </w:rPr>
        <w:t xml:space="preserve">and further references, where </w:t>
      </w:r>
      <w:r w:rsidRPr="00F55305" w:rsidR="008C1A2E">
        <w:rPr>
          <w:snapToGrid w:val="0"/>
          <w:szCs w:val="24"/>
          <w:lang w:val="en-GB"/>
        </w:rPr>
        <w:t>the Court</w:t>
      </w:r>
      <w:r w:rsidRPr="00F55305">
        <w:rPr>
          <w:snapToGrid w:val="0"/>
          <w:szCs w:val="24"/>
          <w:lang w:val="en-GB"/>
        </w:rPr>
        <w:t xml:space="preserve"> </w:t>
      </w:r>
      <w:r w:rsidRPr="00F55305" w:rsidR="00BB0921">
        <w:rPr>
          <w:snapToGrid w:val="0"/>
          <w:szCs w:val="24"/>
          <w:lang w:val="en-GB"/>
        </w:rPr>
        <w:t>held that a system of periodic review in which the initiative lay solely with the authorities was not sufficient on its own</w:t>
      </w:r>
      <w:r w:rsidRPr="00F55305">
        <w:rPr>
          <w:snapToGrid w:val="0"/>
          <w:szCs w:val="24"/>
          <w:lang w:val="en-GB"/>
        </w:rPr>
        <w:t>).</w:t>
      </w:r>
      <w:bookmarkEnd w:id="24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90</w:t>
      </w:r>
      <w:r w:rsidRPr="00F55305">
        <w:rPr>
          <w:lang w:val="en-GB"/>
        </w:rPr>
        <w:fldChar w:fldCharType="end"/>
      </w:r>
      <w:r w:rsidRPr="00F55305">
        <w:rPr>
          <w:lang w:val="en-GB"/>
        </w:rPr>
        <w:t>.  </w:t>
      </w:r>
      <w:bookmarkStart w:name="lt_pId346" w:id="250"/>
      <w:r w:rsidRPr="00F55305" w:rsidR="008C1A2E">
        <w:rPr>
          <w:lang w:val="en-GB"/>
        </w:rPr>
        <w:t>The Court</w:t>
      </w:r>
      <w:r w:rsidRPr="00F55305">
        <w:rPr>
          <w:lang w:val="en-GB"/>
        </w:rPr>
        <w:t xml:space="preserve"> </w:t>
      </w:r>
      <w:r w:rsidRPr="00F55305" w:rsidR="00B348D2">
        <w:rPr>
          <w:lang w:val="en-GB"/>
        </w:rPr>
        <w:t>reiterates in this connection that</w:t>
      </w:r>
      <w:r w:rsidRPr="00F55305">
        <w:rPr>
          <w:lang w:val="en-GB"/>
        </w:rPr>
        <w:t xml:space="preserve"> </w:t>
      </w:r>
      <w:r w:rsidRPr="00F55305" w:rsidR="008F4E10">
        <w:rPr>
          <w:lang w:val="en-GB"/>
        </w:rPr>
        <w:t>Article 5</w:t>
      </w:r>
      <w:r w:rsidRPr="00F55305">
        <w:rPr>
          <w:lang w:val="en-GB"/>
        </w:rPr>
        <w:t xml:space="preserve"> § 4 g</w:t>
      </w:r>
      <w:r w:rsidRPr="00F55305" w:rsidR="00B348D2">
        <w:rPr>
          <w:lang w:val="en-GB"/>
        </w:rPr>
        <w:t xml:space="preserve">uarantees </w:t>
      </w:r>
      <w:r w:rsidRPr="00F55305" w:rsidR="00BB0921">
        <w:rPr>
          <w:lang w:val="en-GB"/>
        </w:rPr>
        <w:t xml:space="preserve">a judicial remedy that must be accessible to the person concerned </w:t>
      </w:r>
      <w:r w:rsidRPr="00F55305">
        <w:rPr>
          <w:lang w:val="en-GB"/>
        </w:rPr>
        <w:t>(</w:t>
      </w:r>
      <w:r w:rsidRPr="00F55305" w:rsidR="00F04923">
        <w:rPr>
          <w:lang w:val="en-GB"/>
        </w:rPr>
        <w:t xml:space="preserve">see </w:t>
      </w:r>
      <w:r w:rsidRPr="00F55305">
        <w:rPr>
          <w:i/>
          <w:lang w:val="en-GB"/>
        </w:rPr>
        <w:t xml:space="preserve">Ashingdane </w:t>
      </w:r>
      <w:r w:rsidRPr="00F55305" w:rsidR="00911608">
        <w:rPr>
          <w:i/>
          <w:lang w:val="en-GB"/>
        </w:rPr>
        <w:t>v. the United Kingdom</w:t>
      </w:r>
      <w:r w:rsidRPr="00F55305">
        <w:rPr>
          <w:lang w:val="en-GB"/>
        </w:rPr>
        <w:t xml:space="preserve">, 28 </w:t>
      </w:r>
      <w:r w:rsidRPr="00F55305" w:rsidR="006901CA">
        <w:rPr>
          <w:lang w:val="en-GB"/>
        </w:rPr>
        <w:t>May</w:t>
      </w:r>
      <w:r w:rsidRPr="00F55305">
        <w:rPr>
          <w:lang w:val="en-GB"/>
        </w:rPr>
        <w:t xml:space="preserve"> 1985, § 52, </w:t>
      </w:r>
      <w:r w:rsidRPr="00F55305" w:rsidR="00BD277E">
        <w:rPr>
          <w:lang w:val="en-GB"/>
        </w:rPr>
        <w:t xml:space="preserve">Series </w:t>
      </w:r>
      <w:r w:rsidRPr="00F55305" w:rsidR="00911608">
        <w:rPr>
          <w:lang w:val="en-GB"/>
        </w:rPr>
        <w:t>A no.</w:t>
      </w:r>
      <w:r w:rsidRPr="00F55305">
        <w:rPr>
          <w:lang w:val="en-GB"/>
        </w:rPr>
        <w:t xml:space="preserve"> 93, </w:t>
      </w:r>
      <w:r w:rsidRPr="00F55305" w:rsidR="008C1A2E">
        <w:rPr>
          <w:lang w:val="en-GB"/>
        </w:rPr>
        <w:t>and</w:t>
      </w:r>
      <w:r w:rsidRPr="00F55305">
        <w:rPr>
          <w:lang w:val="en-GB"/>
        </w:rPr>
        <w:t xml:space="preserve"> </w:t>
      </w:r>
      <w:r w:rsidRPr="00F55305">
        <w:rPr>
          <w:i/>
          <w:lang w:val="en-GB"/>
        </w:rPr>
        <w:t>Stanev</w:t>
      </w:r>
      <w:r w:rsidRPr="00F55305">
        <w:rPr>
          <w:lang w:val="en-GB"/>
        </w:rPr>
        <w:t xml:space="preserve">, </w:t>
      </w:r>
      <w:r w:rsidRPr="00F55305" w:rsidR="00BD277E">
        <w:rPr>
          <w:lang w:val="en-GB"/>
        </w:rPr>
        <w:t>cited above</w:t>
      </w:r>
      <w:r w:rsidRPr="00F55305">
        <w:rPr>
          <w:lang w:val="en-GB"/>
        </w:rPr>
        <w:t>, § 170).</w:t>
      </w:r>
      <w:bookmarkEnd w:id="250"/>
      <w:r w:rsidRPr="00F55305">
        <w:rPr>
          <w:lang w:val="en-GB"/>
        </w:rPr>
        <w:t xml:space="preserve"> </w:t>
      </w:r>
      <w:bookmarkStart w:name="lt_pId347" w:id="251"/>
      <w:r w:rsidRPr="00F55305" w:rsidR="00BB0921">
        <w:rPr>
          <w:lang w:val="en-GB"/>
        </w:rPr>
        <w:t>However, it must be observed that the applicable legislation</w:t>
      </w:r>
      <w:r w:rsidRPr="00F55305">
        <w:rPr>
          <w:lang w:val="en-GB"/>
        </w:rPr>
        <w:t xml:space="preserve"> </w:t>
      </w:r>
      <w:r w:rsidRPr="00F55305" w:rsidR="00BB0921">
        <w:rPr>
          <w:lang w:val="en-GB"/>
        </w:rPr>
        <w:t>does not allow minors who have been placed in a</w:t>
      </w:r>
      <w:r w:rsidRPr="00F55305">
        <w:rPr>
          <w:lang w:val="en-GB"/>
        </w:rPr>
        <w:t xml:space="preserve"> </w:t>
      </w:r>
      <w:r w:rsidRPr="00F55305" w:rsidR="00035D6A">
        <w:rPr>
          <w:lang w:val="en-GB"/>
        </w:rPr>
        <w:t>correctional boarding school</w:t>
      </w:r>
      <w:r w:rsidRPr="00F55305">
        <w:rPr>
          <w:lang w:val="en-GB"/>
        </w:rPr>
        <w:t xml:space="preserve"> </w:t>
      </w:r>
      <w:r w:rsidRPr="00F55305" w:rsidR="00BB0921">
        <w:rPr>
          <w:lang w:val="en-GB"/>
        </w:rPr>
        <w:t>to apply to the courts for a review of their</w:t>
      </w:r>
      <w:r w:rsidRPr="00F55305">
        <w:rPr>
          <w:lang w:val="en-GB"/>
        </w:rPr>
        <w:t xml:space="preserve"> </w:t>
      </w:r>
      <w:r w:rsidRPr="00F55305" w:rsidR="00BB0921">
        <w:rPr>
          <w:lang w:val="en-GB"/>
        </w:rPr>
        <w:t>detention</w:t>
      </w:r>
      <w:r w:rsidRPr="00F55305">
        <w:rPr>
          <w:lang w:val="en-GB"/>
        </w:rPr>
        <w:t>.</w:t>
      </w:r>
      <w:bookmarkEnd w:id="251"/>
      <w:r w:rsidRPr="00F55305">
        <w:rPr>
          <w:lang w:val="en-GB"/>
        </w:rPr>
        <w:t xml:space="preserve"> </w:t>
      </w:r>
      <w:bookmarkStart w:name="lt_pId348" w:id="252"/>
      <w:r w:rsidRPr="00F55305" w:rsidR="008C1A2E">
        <w:rPr>
          <w:lang w:val="en-GB"/>
        </w:rPr>
        <w:t>The Court</w:t>
      </w:r>
      <w:r w:rsidRPr="00F55305">
        <w:rPr>
          <w:lang w:val="en-GB"/>
        </w:rPr>
        <w:t xml:space="preserve"> note</w:t>
      </w:r>
      <w:r w:rsidRPr="00F55305" w:rsidR="00BB0921">
        <w:rPr>
          <w:lang w:val="en-GB"/>
        </w:rPr>
        <w:t>s the</w:t>
      </w:r>
      <w:r w:rsidRPr="00F55305">
        <w:rPr>
          <w:lang w:val="en-GB"/>
        </w:rPr>
        <w:t xml:space="preserve"> Go</w:t>
      </w:r>
      <w:r w:rsidRPr="00F55305" w:rsidR="00BB0921">
        <w:rPr>
          <w:lang w:val="en-GB"/>
        </w:rPr>
        <w:t>vern</w:t>
      </w:r>
      <w:r w:rsidRPr="00F55305">
        <w:rPr>
          <w:lang w:val="en-GB"/>
        </w:rPr>
        <w:t>ment</w:t>
      </w:r>
      <w:r w:rsidRPr="00F55305" w:rsidR="00F55305">
        <w:rPr>
          <w:lang w:val="en-GB"/>
        </w:rPr>
        <w:t>’</w:t>
      </w:r>
      <w:r w:rsidRPr="00F55305" w:rsidR="00BB0921">
        <w:rPr>
          <w:lang w:val="en-GB"/>
        </w:rPr>
        <w:t>s argument that domestic law provides for the possibility</w:t>
      </w:r>
      <w:r w:rsidRPr="00F55305">
        <w:rPr>
          <w:lang w:val="en-GB"/>
        </w:rPr>
        <w:t xml:space="preserve"> </w:t>
      </w:r>
      <w:r w:rsidRPr="00F55305" w:rsidR="00BB0921">
        <w:rPr>
          <w:lang w:val="en-GB"/>
        </w:rPr>
        <w:t xml:space="preserve">of having the </w:t>
      </w:r>
      <w:r w:rsidRPr="00F55305">
        <w:rPr>
          <w:lang w:val="en-GB"/>
        </w:rPr>
        <w:t xml:space="preserve">placement </w:t>
      </w:r>
      <w:r w:rsidRPr="00F55305" w:rsidR="00BB0921">
        <w:rPr>
          <w:lang w:val="en-GB"/>
        </w:rPr>
        <w:t>reviewed by the courts</w:t>
      </w:r>
      <w:r w:rsidRPr="00F55305">
        <w:rPr>
          <w:lang w:val="en-GB"/>
        </w:rPr>
        <w:t xml:space="preserve">, </w:t>
      </w:r>
      <w:r w:rsidRPr="00F55305" w:rsidR="00BB0921">
        <w:rPr>
          <w:lang w:val="en-GB"/>
        </w:rPr>
        <w:t xml:space="preserve">further to a proposal by </w:t>
      </w:r>
      <w:r w:rsidRPr="00F55305" w:rsidR="00C634DC">
        <w:rPr>
          <w:lang w:val="en-GB"/>
        </w:rPr>
        <w:t xml:space="preserve">the local </w:t>
      </w:r>
      <w:r w:rsidRPr="00F55305" w:rsidR="00126FC6">
        <w:rPr>
          <w:lang w:val="en-GB"/>
        </w:rPr>
        <w:t xml:space="preserve">committee </w:t>
      </w:r>
      <w:r w:rsidRPr="00F55305">
        <w:rPr>
          <w:lang w:val="en-GB"/>
        </w:rPr>
        <w:t>(</w:t>
      </w:r>
      <w:r w:rsidRPr="00F55305" w:rsidR="008C1A2E">
        <w:rPr>
          <w:lang w:val="en-GB"/>
        </w:rPr>
        <w:t>see paragraph</w:t>
      </w:r>
      <w:r w:rsidRPr="00F55305">
        <w:rPr>
          <w:lang w:val="en-GB"/>
        </w:rPr>
        <w:t xml:space="preserve"> 85 </w:t>
      </w:r>
      <w:r w:rsidRPr="00F55305" w:rsidR="008C1A2E">
        <w:rPr>
          <w:lang w:val="en-GB"/>
        </w:rPr>
        <w:t>above</w:t>
      </w:r>
      <w:r w:rsidRPr="00F55305">
        <w:rPr>
          <w:lang w:val="en-GB"/>
        </w:rPr>
        <w:t>).</w:t>
      </w:r>
      <w:bookmarkEnd w:id="252"/>
      <w:r w:rsidRPr="00F55305">
        <w:rPr>
          <w:lang w:val="en-GB"/>
        </w:rPr>
        <w:t xml:space="preserve"> </w:t>
      </w:r>
      <w:bookmarkStart w:name="lt_pId349" w:id="253"/>
      <w:r w:rsidRPr="00F55305" w:rsidR="00BB0921">
        <w:rPr>
          <w:lang w:val="en-GB"/>
        </w:rPr>
        <w:t>However</w:t>
      </w:r>
      <w:r w:rsidRPr="00F55305">
        <w:rPr>
          <w:lang w:val="en-GB"/>
        </w:rPr>
        <w:t xml:space="preserve">, </w:t>
      </w:r>
      <w:r w:rsidRPr="00F55305" w:rsidR="00126FC6">
        <w:rPr>
          <w:lang w:val="en-GB"/>
        </w:rPr>
        <w:t xml:space="preserve">assuming that the applicant had wished to </w:t>
      </w:r>
      <w:r w:rsidRPr="00F55305" w:rsidR="003E470A">
        <w:rPr>
          <w:lang w:val="en-GB"/>
        </w:rPr>
        <w:t xml:space="preserve">go through the local committee, the Court observes that the committee is an administrative body with </w:t>
      </w:r>
      <w:r w:rsidRPr="00F55305" w:rsidR="00126FC6">
        <w:rPr>
          <w:lang w:val="en-GB"/>
        </w:rPr>
        <w:t>discretion</w:t>
      </w:r>
      <w:r w:rsidRPr="00F55305" w:rsidR="003E470A">
        <w:rPr>
          <w:lang w:val="en-GB"/>
        </w:rPr>
        <w:t xml:space="preserve"> </w:t>
      </w:r>
      <w:r w:rsidRPr="00F55305" w:rsidR="00126FC6">
        <w:rPr>
          <w:lang w:val="en-GB"/>
        </w:rPr>
        <w:t xml:space="preserve">to assess the </w:t>
      </w:r>
      <w:r w:rsidRPr="00F55305" w:rsidR="003E470A">
        <w:rPr>
          <w:lang w:val="en-GB"/>
        </w:rPr>
        <w:t>minor</w:t>
      </w:r>
      <w:r w:rsidRPr="00F55305" w:rsidR="00F55305">
        <w:rPr>
          <w:lang w:val="en-GB"/>
        </w:rPr>
        <w:t>’</w:t>
      </w:r>
      <w:r w:rsidRPr="00F55305" w:rsidR="003E470A">
        <w:rPr>
          <w:lang w:val="en-GB"/>
        </w:rPr>
        <w:t>s</w:t>
      </w:r>
      <w:r w:rsidRPr="00F55305" w:rsidR="00126FC6">
        <w:rPr>
          <w:lang w:val="en-GB"/>
        </w:rPr>
        <w:t xml:space="preserve"> situation before deciding whether or not to </w:t>
      </w:r>
      <w:r w:rsidRPr="00F55305" w:rsidR="007A0DF7">
        <w:rPr>
          <w:lang w:val="en-GB"/>
        </w:rPr>
        <w:t>apply to the courts for</w:t>
      </w:r>
      <w:r w:rsidRPr="00F55305" w:rsidR="00126FC6">
        <w:rPr>
          <w:lang w:val="en-GB"/>
        </w:rPr>
        <w:t xml:space="preserve"> a review </w:t>
      </w:r>
      <w:r w:rsidRPr="00F55305" w:rsidR="003E470A">
        <w:rPr>
          <w:lang w:val="en-GB"/>
        </w:rPr>
        <w:t xml:space="preserve">of the measure </w:t>
      </w:r>
      <w:r w:rsidRPr="00F55305">
        <w:rPr>
          <w:lang w:val="en-GB"/>
        </w:rPr>
        <w:t>(</w:t>
      </w:r>
      <w:r w:rsidRPr="00F55305" w:rsidR="00531D9C">
        <w:rPr>
          <w:lang w:val="en-GB"/>
        </w:rPr>
        <w:t>...</w:t>
      </w:r>
      <w:r w:rsidRPr="00F55305" w:rsidR="008F4E10">
        <w:rPr>
          <w:lang w:val="en-GB"/>
        </w:rPr>
        <w:t>;</w:t>
      </w:r>
      <w:bookmarkEnd w:id="253"/>
      <w:r w:rsidRPr="00F55305">
        <w:rPr>
          <w:lang w:val="en-GB"/>
        </w:rPr>
        <w:t xml:space="preserve"> </w:t>
      </w:r>
      <w:bookmarkStart w:name="lt_pId350" w:id="254"/>
      <w:r w:rsidRPr="00F55305" w:rsidR="003E470A">
        <w:rPr>
          <w:lang w:val="en-GB"/>
        </w:rPr>
        <w:t>contrast</w:t>
      </w:r>
      <w:r w:rsidRPr="00F55305">
        <w:rPr>
          <w:lang w:val="en-GB"/>
        </w:rPr>
        <w:t xml:space="preserve"> </w:t>
      </w:r>
      <w:r w:rsidRPr="00F55305">
        <w:rPr>
          <w:i/>
          <w:lang w:val="en-GB"/>
        </w:rPr>
        <w:t>M.H.</w:t>
      </w:r>
      <w:r w:rsidRPr="00F55305">
        <w:rPr>
          <w:lang w:val="en-GB"/>
        </w:rPr>
        <w:t xml:space="preserve"> </w:t>
      </w:r>
      <w:r w:rsidRPr="00F55305" w:rsidR="007A0DF7">
        <w:rPr>
          <w:i/>
          <w:lang w:val="en-GB"/>
        </w:rPr>
        <w:t>v. </w:t>
      </w:r>
      <w:r w:rsidRPr="00F55305" w:rsidR="00911608">
        <w:rPr>
          <w:i/>
          <w:lang w:val="en-GB"/>
        </w:rPr>
        <w:t>the United Kingdom</w:t>
      </w:r>
      <w:r w:rsidRPr="00F55305">
        <w:rPr>
          <w:lang w:val="en-GB"/>
        </w:rPr>
        <w:t>, n</w:t>
      </w:r>
      <w:r w:rsidRPr="00F55305" w:rsidR="003E470A">
        <w:rPr>
          <w:lang w:val="en-GB"/>
        </w:rPr>
        <w:t>o.</w:t>
      </w:r>
      <w:r w:rsidRPr="00F55305">
        <w:rPr>
          <w:lang w:val="en-GB"/>
        </w:rPr>
        <w:t xml:space="preserve"> 11577/06, § 94, 22 </w:t>
      </w:r>
      <w:r w:rsidRPr="00F55305" w:rsidR="000F2B78">
        <w:rPr>
          <w:lang w:val="en-GB"/>
        </w:rPr>
        <w:t>October</w:t>
      </w:r>
      <w:r w:rsidRPr="00F55305">
        <w:rPr>
          <w:lang w:val="en-GB"/>
        </w:rPr>
        <w:t xml:space="preserve"> 2013, </w:t>
      </w:r>
      <w:r w:rsidRPr="00F55305" w:rsidR="003632B7">
        <w:rPr>
          <w:lang w:val="en-GB"/>
        </w:rPr>
        <w:t>where the relevant a</w:t>
      </w:r>
      <w:r w:rsidRPr="00F55305">
        <w:rPr>
          <w:lang w:val="en-GB"/>
        </w:rPr>
        <w:t>dministrati</w:t>
      </w:r>
      <w:r w:rsidRPr="00F55305" w:rsidR="003632B7">
        <w:rPr>
          <w:lang w:val="en-GB"/>
        </w:rPr>
        <w:t xml:space="preserve">ve body was </w:t>
      </w:r>
      <w:r w:rsidRPr="00F55305" w:rsidR="00F71DFA">
        <w:rPr>
          <w:lang w:val="en-GB"/>
        </w:rPr>
        <w:t xml:space="preserve">under a duty to </w:t>
      </w:r>
      <w:r w:rsidRPr="00F55305" w:rsidR="003632B7">
        <w:rPr>
          <w:lang w:val="en-GB"/>
        </w:rPr>
        <w:t>refer</w:t>
      </w:r>
      <w:r w:rsidRPr="00F55305" w:rsidR="00F71DFA">
        <w:rPr>
          <w:lang w:val="en-GB"/>
        </w:rPr>
        <w:t xml:space="preserve"> an application for release to the judicial authority, and failure to do so would have entailed </w:t>
      </w:r>
      <w:r w:rsidRPr="00F55305" w:rsidR="003632B7">
        <w:rPr>
          <w:lang w:val="en-GB"/>
        </w:rPr>
        <w:t xml:space="preserve">an infringement of the </w:t>
      </w:r>
      <w:r w:rsidRPr="00F55305" w:rsidR="00F71DFA">
        <w:rPr>
          <w:lang w:val="en-GB"/>
        </w:rPr>
        <w:t xml:space="preserve">rights secured by </w:t>
      </w:r>
      <w:r w:rsidRPr="00F55305" w:rsidR="003632B7">
        <w:rPr>
          <w:lang w:val="en-GB"/>
        </w:rPr>
        <w:t>Article 5 § 4</w:t>
      </w:r>
      <w:r w:rsidRPr="00F55305">
        <w:rPr>
          <w:lang w:val="en-GB"/>
        </w:rPr>
        <w:t>).</w:t>
      </w:r>
      <w:bookmarkEnd w:id="254"/>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91</w:t>
      </w:r>
      <w:r w:rsidRPr="00F55305">
        <w:rPr>
          <w:lang w:val="en-GB"/>
        </w:rPr>
        <w:fldChar w:fldCharType="end"/>
      </w:r>
      <w:r w:rsidRPr="00F55305">
        <w:rPr>
          <w:lang w:val="en-GB"/>
        </w:rPr>
        <w:t>.  </w:t>
      </w:r>
      <w:bookmarkStart w:name="lt_pId352" w:id="255"/>
      <w:r w:rsidRPr="00F55305" w:rsidR="00F71DFA">
        <w:rPr>
          <w:lang w:val="en-GB"/>
        </w:rPr>
        <w:t>T</w:t>
      </w:r>
      <w:r w:rsidRPr="00F55305" w:rsidR="008C1A2E">
        <w:rPr>
          <w:lang w:val="en-GB"/>
        </w:rPr>
        <w:t>he Court</w:t>
      </w:r>
      <w:r w:rsidRPr="00F55305">
        <w:rPr>
          <w:lang w:val="en-GB"/>
        </w:rPr>
        <w:t xml:space="preserve"> </w:t>
      </w:r>
      <w:r w:rsidRPr="00F55305" w:rsidR="00F71DFA">
        <w:rPr>
          <w:lang w:val="en-GB"/>
        </w:rPr>
        <w:t xml:space="preserve">therefore </w:t>
      </w:r>
      <w:r w:rsidRPr="00F55305">
        <w:rPr>
          <w:lang w:val="en-GB"/>
        </w:rPr>
        <w:t>conclu</w:t>
      </w:r>
      <w:r w:rsidRPr="00F55305" w:rsidR="00F71DFA">
        <w:rPr>
          <w:lang w:val="en-GB"/>
        </w:rPr>
        <w:t xml:space="preserve">des that the judicial remedy referred to by </w:t>
      </w:r>
      <w:r w:rsidRPr="00F55305" w:rsidR="000F2B78">
        <w:rPr>
          <w:lang w:val="en-GB"/>
        </w:rPr>
        <w:t>the Government</w:t>
      </w:r>
      <w:r w:rsidRPr="00F55305">
        <w:rPr>
          <w:lang w:val="en-GB"/>
        </w:rPr>
        <w:t xml:space="preserve"> </w:t>
      </w:r>
      <w:r w:rsidRPr="00F55305" w:rsidR="00F71DFA">
        <w:rPr>
          <w:lang w:val="en-GB"/>
        </w:rPr>
        <w:t xml:space="preserve">was not </w:t>
      </w:r>
      <w:r w:rsidRPr="00F55305">
        <w:rPr>
          <w:lang w:val="en-GB"/>
        </w:rPr>
        <w:t xml:space="preserve">accessible </w:t>
      </w:r>
      <w:r w:rsidRPr="00F55305" w:rsidR="00F71DFA">
        <w:rPr>
          <w:lang w:val="en-GB"/>
        </w:rPr>
        <w:t>to</w:t>
      </w:r>
      <w:r w:rsidRPr="00F55305">
        <w:rPr>
          <w:lang w:val="en-GB"/>
        </w:rPr>
        <w:t xml:space="preserve"> </w:t>
      </w:r>
      <w:r w:rsidRPr="00F55305" w:rsidR="000F2B78">
        <w:rPr>
          <w:lang w:val="en-GB"/>
        </w:rPr>
        <w:t>the applicant</w:t>
      </w:r>
      <w:r w:rsidRPr="00F55305">
        <w:rPr>
          <w:lang w:val="en-GB"/>
        </w:rPr>
        <w:t>.</w:t>
      </w:r>
      <w:bookmarkEnd w:id="25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92</w:t>
      </w:r>
      <w:r w:rsidRPr="00F55305">
        <w:rPr>
          <w:lang w:val="en-GB"/>
        </w:rPr>
        <w:fldChar w:fldCharType="end"/>
      </w:r>
      <w:r w:rsidRPr="00F55305">
        <w:rPr>
          <w:lang w:val="en-GB"/>
        </w:rPr>
        <w:t>.  </w:t>
      </w:r>
      <w:bookmarkStart w:name="lt_pId354" w:id="256"/>
      <w:r w:rsidRPr="00F55305" w:rsidR="00F71DFA">
        <w:rPr>
          <w:lang w:val="en-GB"/>
        </w:rPr>
        <w:t>T</w:t>
      </w:r>
      <w:r w:rsidRPr="00F55305" w:rsidR="008C1A2E">
        <w:rPr>
          <w:lang w:val="en-GB"/>
        </w:rPr>
        <w:t>he Court</w:t>
      </w:r>
      <w:r w:rsidRPr="00F55305">
        <w:rPr>
          <w:lang w:val="en-GB"/>
        </w:rPr>
        <w:t xml:space="preserve"> </w:t>
      </w:r>
      <w:r w:rsidRPr="00F55305" w:rsidR="00F71DFA">
        <w:rPr>
          <w:lang w:val="en-GB"/>
        </w:rPr>
        <w:t>also observes that domestic law does not provide for automatic periodic judicial review of the detention</w:t>
      </w:r>
      <w:r w:rsidRPr="00F55305">
        <w:rPr>
          <w:lang w:val="en-GB"/>
        </w:rPr>
        <w:t xml:space="preserve"> </w:t>
      </w:r>
      <w:r w:rsidRPr="00F55305" w:rsidR="00F71DFA">
        <w:rPr>
          <w:lang w:val="en-GB"/>
        </w:rPr>
        <w:t>in issue</w:t>
      </w:r>
      <w:r w:rsidRPr="00F55305">
        <w:rPr>
          <w:lang w:val="en-GB"/>
        </w:rPr>
        <w:t>.</w:t>
      </w:r>
      <w:bookmarkEnd w:id="256"/>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93</w:t>
      </w:r>
      <w:r w:rsidRPr="00F55305">
        <w:rPr>
          <w:lang w:val="en-GB"/>
        </w:rPr>
        <w:fldChar w:fldCharType="end"/>
      </w:r>
      <w:r w:rsidRPr="00F55305">
        <w:rPr>
          <w:lang w:val="en-GB"/>
        </w:rPr>
        <w:t>.  </w:t>
      </w:r>
      <w:bookmarkStart w:name="lt_pId356" w:id="257"/>
      <w:r w:rsidRPr="00F55305">
        <w:rPr>
          <w:lang w:val="en-GB"/>
        </w:rPr>
        <w:t>It follows that there has been a violation of Article 5 § 4 of the Convention in the present case.</w:t>
      </w:r>
      <w:bookmarkEnd w:id="257"/>
    </w:p>
    <w:p w:rsidRPr="00F55305" w:rsidR="00711D81" w:rsidP="00F55305" w:rsidRDefault="00711D81">
      <w:pPr>
        <w:pStyle w:val="ECHRHeading2"/>
        <w:rPr>
          <w:lang w:val="en-GB"/>
        </w:rPr>
      </w:pPr>
      <w:r w:rsidRPr="00F55305">
        <w:rPr>
          <w:lang w:val="en-GB"/>
        </w:rPr>
        <w:t>C.  </w:t>
      </w:r>
      <w:bookmarkStart w:name="lt_pId358" w:id="258"/>
      <w:r w:rsidRPr="00F55305">
        <w:rPr>
          <w:lang w:val="en-GB"/>
        </w:rPr>
        <w:t>Alleged violation of Article 8 of the Convention</w:t>
      </w:r>
      <w:bookmarkEnd w:id="258"/>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94</w:t>
      </w:r>
      <w:r w:rsidRPr="00F55305">
        <w:rPr>
          <w:lang w:val="en-GB"/>
        </w:rPr>
        <w:fldChar w:fldCharType="end"/>
      </w:r>
      <w:r w:rsidRPr="00F55305">
        <w:rPr>
          <w:lang w:val="en-GB"/>
        </w:rPr>
        <w:t>.  </w:t>
      </w:r>
      <w:bookmarkStart w:name="lt_pId360" w:id="259"/>
      <w:r w:rsidRPr="00F55305" w:rsidR="0080700F">
        <w:rPr>
          <w:lang w:val="en-GB"/>
        </w:rPr>
        <w:t>Next, th</w:t>
      </w:r>
      <w:r w:rsidRPr="00F55305" w:rsidR="000F2B78">
        <w:rPr>
          <w:lang w:val="en-GB"/>
        </w:rPr>
        <w:t>e applicant</w:t>
      </w:r>
      <w:r w:rsidRPr="00F55305">
        <w:rPr>
          <w:lang w:val="en-GB"/>
        </w:rPr>
        <w:t xml:space="preserve"> </w:t>
      </w:r>
      <w:r w:rsidRPr="00F55305" w:rsidR="0080700F">
        <w:rPr>
          <w:lang w:val="en-GB"/>
        </w:rPr>
        <w:t>complained of the lack of confidentiality</w:t>
      </w:r>
      <w:r w:rsidRPr="00F55305">
        <w:rPr>
          <w:lang w:val="en-GB"/>
        </w:rPr>
        <w:t xml:space="preserve"> </w:t>
      </w:r>
      <w:r w:rsidRPr="00F55305" w:rsidR="0080700F">
        <w:rPr>
          <w:lang w:val="en-GB"/>
        </w:rPr>
        <w:t>of</w:t>
      </w:r>
      <w:r w:rsidRPr="00F55305">
        <w:rPr>
          <w:lang w:val="en-GB"/>
        </w:rPr>
        <w:t xml:space="preserve"> </w:t>
      </w:r>
      <w:r w:rsidRPr="00F55305" w:rsidR="0080700F">
        <w:rPr>
          <w:lang w:val="en-GB"/>
        </w:rPr>
        <w:t>correspondence at</w:t>
      </w:r>
      <w:r w:rsidRPr="00F55305">
        <w:rPr>
          <w:lang w:val="en-GB"/>
        </w:rPr>
        <w:t xml:space="preserve"> </w:t>
      </w:r>
      <w:r w:rsidRPr="00F55305" w:rsidR="003B5A4F">
        <w:rPr>
          <w:lang w:val="en-GB"/>
        </w:rPr>
        <w:t>the Podem school</w:t>
      </w:r>
      <w:r w:rsidRPr="00F55305">
        <w:rPr>
          <w:lang w:val="en-GB"/>
        </w:rPr>
        <w:t>.</w:t>
      </w:r>
      <w:bookmarkEnd w:id="259"/>
      <w:r w:rsidRPr="00F55305">
        <w:rPr>
          <w:lang w:val="en-GB"/>
        </w:rPr>
        <w:t xml:space="preserve"> </w:t>
      </w:r>
      <w:bookmarkStart w:name="lt_pId361" w:id="260"/>
      <w:r w:rsidRPr="00F55305" w:rsidR="0080700F">
        <w:rPr>
          <w:lang w:val="en-GB"/>
        </w:rPr>
        <w:t>She submitted that mail was automatically monitored, including letters sent to non-governmental</w:t>
      </w:r>
      <w:r w:rsidRPr="00F55305">
        <w:rPr>
          <w:lang w:val="en-GB"/>
        </w:rPr>
        <w:t xml:space="preserve"> </w:t>
      </w:r>
      <w:r w:rsidRPr="00F55305" w:rsidR="0080700F">
        <w:rPr>
          <w:lang w:val="en-GB"/>
        </w:rPr>
        <w:t xml:space="preserve">organisations </w:t>
      </w:r>
      <w:r w:rsidRPr="00F55305" w:rsidR="008C1A2E">
        <w:rPr>
          <w:lang w:val="en-GB"/>
        </w:rPr>
        <w:t>and</w:t>
      </w:r>
      <w:r w:rsidRPr="00F55305">
        <w:rPr>
          <w:lang w:val="en-GB"/>
        </w:rPr>
        <w:t xml:space="preserve"> </w:t>
      </w:r>
      <w:r w:rsidRPr="00F55305" w:rsidR="0080700F">
        <w:rPr>
          <w:lang w:val="en-GB"/>
        </w:rPr>
        <w:t>the relevant</w:t>
      </w:r>
      <w:r w:rsidRPr="00F55305">
        <w:rPr>
          <w:lang w:val="en-GB"/>
        </w:rPr>
        <w:t xml:space="preserve"> </w:t>
      </w:r>
      <w:r w:rsidRPr="00F55305" w:rsidR="0080700F">
        <w:rPr>
          <w:lang w:val="en-GB"/>
        </w:rPr>
        <w:t>authorities</w:t>
      </w:r>
      <w:r w:rsidRPr="00F55305">
        <w:rPr>
          <w:lang w:val="en-GB"/>
        </w:rPr>
        <w:t>.</w:t>
      </w:r>
      <w:bookmarkEnd w:id="260"/>
      <w:r w:rsidRPr="00F55305">
        <w:rPr>
          <w:lang w:val="en-GB"/>
        </w:rPr>
        <w:t xml:space="preserve"> </w:t>
      </w:r>
      <w:bookmarkStart w:name="lt_pId362" w:id="261"/>
      <w:r w:rsidRPr="00F55305" w:rsidR="0080700F">
        <w:rPr>
          <w:lang w:val="en-GB"/>
        </w:rPr>
        <w:t xml:space="preserve">She also complained that she had not been allowed to have confidential telephone calls with </w:t>
      </w:r>
      <w:r w:rsidRPr="00F55305" w:rsidR="007A0DF7">
        <w:rPr>
          <w:lang w:val="en-GB"/>
        </w:rPr>
        <w:t>people</w:t>
      </w:r>
      <w:r w:rsidRPr="00F55305" w:rsidR="0080700F">
        <w:rPr>
          <w:lang w:val="en-GB"/>
        </w:rPr>
        <w:t xml:space="preserve"> outside </w:t>
      </w:r>
      <w:r w:rsidRPr="00F55305" w:rsidR="007A0DF7">
        <w:rPr>
          <w:lang w:val="en-GB"/>
        </w:rPr>
        <w:t>the school</w:t>
      </w:r>
      <w:r w:rsidRPr="00F55305">
        <w:rPr>
          <w:lang w:val="en-GB"/>
        </w:rPr>
        <w:t>.</w:t>
      </w:r>
      <w:bookmarkEnd w:id="261"/>
      <w:r w:rsidRPr="00F55305">
        <w:rPr>
          <w:lang w:val="en-GB"/>
        </w:rPr>
        <w:t xml:space="preserve"> </w:t>
      </w:r>
      <w:bookmarkStart w:name="lt_pId363" w:id="262"/>
      <w:r w:rsidRPr="00F55305">
        <w:rPr>
          <w:lang w:val="en-GB"/>
        </w:rPr>
        <w:t>She relied on Article 8 of the Convention, the relevant parts of which provide:</w:t>
      </w:r>
      <w:bookmarkEnd w:id="262"/>
    </w:p>
    <w:p w:rsidRPr="00F55305" w:rsidR="00711D81" w:rsidP="00F55305" w:rsidRDefault="00142AD9">
      <w:pPr>
        <w:pStyle w:val="ECHRParaQuote"/>
        <w:rPr>
          <w:lang w:val="en-GB"/>
        </w:rPr>
      </w:pPr>
      <w:bookmarkStart w:name="lt_pId365" w:id="263"/>
      <w:r w:rsidRPr="00F55305">
        <w:rPr>
          <w:lang w:val="en-GB"/>
        </w:rPr>
        <w:t>“</w:t>
      </w:r>
      <w:r w:rsidRPr="00F55305" w:rsidR="00711D81">
        <w:rPr>
          <w:lang w:val="en-GB"/>
        </w:rPr>
        <w:t>1.</w:t>
      </w:r>
      <w:r w:rsidRPr="00F55305" w:rsidR="006F5BCC">
        <w:rPr>
          <w:lang w:val="en-GB"/>
        </w:rPr>
        <w:t>  </w:t>
      </w:r>
      <w:r w:rsidRPr="00F55305" w:rsidR="00711D81">
        <w:rPr>
          <w:lang w:val="en-GB"/>
        </w:rPr>
        <w:t>Everyone has the right to respect for his private and family life, his home and his correspondence.</w:t>
      </w:r>
      <w:bookmarkEnd w:id="263"/>
    </w:p>
    <w:p w:rsidRPr="00F55305" w:rsidR="00711D81" w:rsidP="00F55305" w:rsidRDefault="00711D81">
      <w:pPr>
        <w:pStyle w:val="ECHRParaQuote"/>
        <w:rPr>
          <w:lang w:val="en-GB"/>
        </w:rPr>
      </w:pPr>
      <w:bookmarkStart w:name="lt_pId367" w:id="264"/>
      <w:r w:rsidRPr="00F55305">
        <w:rPr>
          <w:lang w:val="en-GB"/>
        </w:rPr>
        <w:t>2.</w:t>
      </w:r>
      <w:r w:rsidRPr="00F55305" w:rsidR="006F5BCC">
        <w:rPr>
          <w:lang w:val="en-GB"/>
        </w:rPr>
        <w:t>  </w:t>
      </w:r>
      <w:r w:rsidRPr="00F55305">
        <w:rPr>
          <w:lang w:val="en-GB"/>
        </w:rPr>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r w:rsidRPr="00F55305" w:rsidR="00142AD9">
        <w:rPr>
          <w:lang w:val="en-GB"/>
        </w:rPr>
        <w:t>”</w:t>
      </w:r>
      <w:bookmarkEnd w:id="264"/>
    </w:p>
    <w:p w:rsidRPr="00F55305" w:rsidR="00711D81" w:rsidP="00F55305" w:rsidRDefault="00711D81">
      <w:pPr>
        <w:pStyle w:val="ECHRHeading3"/>
        <w:rPr>
          <w:lang w:val="en-GB"/>
        </w:rPr>
      </w:pPr>
      <w:r w:rsidRPr="00F55305">
        <w:rPr>
          <w:lang w:val="en-GB"/>
        </w:rPr>
        <w:t>1.  </w:t>
      </w:r>
      <w:bookmarkStart w:name="lt_pId369" w:id="265"/>
      <w:r w:rsidRPr="00F55305">
        <w:rPr>
          <w:lang w:val="en-GB"/>
        </w:rPr>
        <w:t>The parties</w:t>
      </w:r>
      <w:r w:rsidRPr="00F55305" w:rsidR="00F55305">
        <w:rPr>
          <w:lang w:val="en-GB"/>
        </w:rPr>
        <w:t>’</w:t>
      </w:r>
      <w:r w:rsidRPr="00F55305">
        <w:rPr>
          <w:lang w:val="en-GB"/>
        </w:rPr>
        <w:t xml:space="preserve"> submissions</w:t>
      </w:r>
      <w:bookmarkEnd w:id="26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95</w:t>
      </w:r>
      <w:r w:rsidRPr="00F55305">
        <w:rPr>
          <w:lang w:val="en-GB"/>
        </w:rPr>
        <w:fldChar w:fldCharType="end"/>
      </w:r>
      <w:r w:rsidRPr="00F55305">
        <w:rPr>
          <w:lang w:val="en-GB"/>
        </w:rPr>
        <w:t>.  </w:t>
      </w:r>
      <w:bookmarkStart w:name="lt_pId371" w:id="266"/>
      <w:r w:rsidRPr="00F55305" w:rsidR="00741B53">
        <w:rPr>
          <w:lang w:val="en-GB"/>
        </w:rPr>
        <w:t>In</w:t>
      </w:r>
      <w:r w:rsidRPr="00F55305">
        <w:rPr>
          <w:lang w:val="en-GB"/>
        </w:rPr>
        <w:t xml:space="preserve"> </w:t>
      </w:r>
      <w:r w:rsidRPr="00F55305" w:rsidR="000F2B78">
        <w:rPr>
          <w:lang w:val="en-GB"/>
        </w:rPr>
        <w:t>the Government</w:t>
      </w:r>
      <w:r w:rsidRPr="00F55305" w:rsidR="00F55305">
        <w:rPr>
          <w:lang w:val="en-GB"/>
        </w:rPr>
        <w:t>’</w:t>
      </w:r>
      <w:r w:rsidRPr="00F55305" w:rsidR="00741B53">
        <w:rPr>
          <w:lang w:val="en-GB"/>
        </w:rPr>
        <w:t>s submission</w:t>
      </w:r>
      <w:r w:rsidRPr="00F55305">
        <w:rPr>
          <w:lang w:val="en-GB"/>
        </w:rPr>
        <w:t xml:space="preserve">, </w:t>
      </w:r>
      <w:r w:rsidRPr="00F55305" w:rsidR="000F2B78">
        <w:rPr>
          <w:lang w:val="en-GB"/>
        </w:rPr>
        <w:t>the applicant</w:t>
      </w:r>
      <w:r w:rsidRPr="00F55305">
        <w:rPr>
          <w:lang w:val="en-GB"/>
        </w:rPr>
        <w:t xml:space="preserve"> </w:t>
      </w:r>
      <w:r w:rsidRPr="00F55305" w:rsidR="00741B53">
        <w:rPr>
          <w:lang w:val="en-GB"/>
        </w:rPr>
        <w:t>had not been</w:t>
      </w:r>
      <w:r w:rsidRPr="00F55305">
        <w:rPr>
          <w:lang w:val="en-GB"/>
        </w:rPr>
        <w:t xml:space="preserve"> person</w:t>
      </w:r>
      <w:r w:rsidRPr="00F55305" w:rsidR="00741B53">
        <w:rPr>
          <w:lang w:val="en-GB"/>
        </w:rPr>
        <w:t xml:space="preserve">ally and </w:t>
      </w:r>
      <w:r w:rsidRPr="00F55305">
        <w:rPr>
          <w:lang w:val="en-GB"/>
        </w:rPr>
        <w:t>direct</w:t>
      </w:r>
      <w:r w:rsidRPr="00F55305" w:rsidR="00741B53">
        <w:rPr>
          <w:lang w:val="en-GB"/>
        </w:rPr>
        <w:t xml:space="preserve">ly </w:t>
      </w:r>
      <w:r w:rsidRPr="00F55305">
        <w:rPr>
          <w:lang w:val="en-GB"/>
        </w:rPr>
        <w:t>affect</w:t>
      </w:r>
      <w:r w:rsidRPr="00F55305" w:rsidR="00741B53">
        <w:rPr>
          <w:lang w:val="en-GB"/>
        </w:rPr>
        <w:t xml:space="preserve">ed by the system </w:t>
      </w:r>
      <w:r w:rsidRPr="00F55305" w:rsidR="00520F09">
        <w:rPr>
          <w:lang w:val="en-GB"/>
        </w:rPr>
        <w:t xml:space="preserve">in place </w:t>
      </w:r>
      <w:r w:rsidRPr="00F55305" w:rsidR="00741B53">
        <w:rPr>
          <w:lang w:val="en-GB"/>
        </w:rPr>
        <w:t>for monitoring correspondence</w:t>
      </w:r>
      <w:r w:rsidRPr="00F55305">
        <w:rPr>
          <w:lang w:val="en-GB"/>
        </w:rPr>
        <w:t>.</w:t>
      </w:r>
      <w:bookmarkEnd w:id="266"/>
      <w:r w:rsidRPr="00F55305">
        <w:rPr>
          <w:lang w:val="en-GB"/>
        </w:rPr>
        <w:t xml:space="preserve"> </w:t>
      </w:r>
      <w:bookmarkStart w:name="lt_pId372" w:id="267"/>
      <w:r w:rsidRPr="00F55305" w:rsidR="002D38E0">
        <w:rPr>
          <w:lang w:val="en-GB"/>
        </w:rPr>
        <w:t xml:space="preserve">She had not been subjected to any </w:t>
      </w:r>
      <w:r w:rsidRPr="00F55305" w:rsidR="00142AD9">
        <w:rPr>
          <w:lang w:val="en-GB"/>
        </w:rPr>
        <w:t>“</w:t>
      </w:r>
      <w:r w:rsidRPr="00F55305" w:rsidR="002D38E0">
        <w:rPr>
          <w:lang w:val="en-GB"/>
        </w:rPr>
        <w:t>interference</w:t>
      </w:r>
      <w:r w:rsidRPr="00F55305" w:rsidR="00142AD9">
        <w:rPr>
          <w:lang w:val="en-GB"/>
        </w:rPr>
        <w:t>”</w:t>
      </w:r>
      <w:r w:rsidRPr="00F55305" w:rsidR="002D38E0">
        <w:rPr>
          <w:lang w:val="en-GB"/>
        </w:rPr>
        <w:t xml:space="preserve"> within the meaning of </w:t>
      </w:r>
      <w:r w:rsidRPr="00F55305" w:rsidR="008F4E10">
        <w:rPr>
          <w:lang w:val="en-GB"/>
        </w:rPr>
        <w:t>Article 8</w:t>
      </w:r>
      <w:r w:rsidRPr="00F55305">
        <w:rPr>
          <w:lang w:val="en-GB"/>
        </w:rPr>
        <w:t xml:space="preserve"> </w:t>
      </w:r>
      <w:r w:rsidRPr="00F55305" w:rsidR="008F4E10">
        <w:rPr>
          <w:lang w:val="en-GB"/>
        </w:rPr>
        <w:t>of the Convention</w:t>
      </w:r>
      <w:r w:rsidRPr="00F55305">
        <w:rPr>
          <w:lang w:val="en-GB"/>
        </w:rPr>
        <w:t xml:space="preserve">, </w:t>
      </w:r>
      <w:r w:rsidRPr="00F55305" w:rsidR="002D38E0">
        <w:rPr>
          <w:lang w:val="en-GB"/>
        </w:rPr>
        <w:t>since she had not referred to any specific fact showing that she had engaged in</w:t>
      </w:r>
      <w:r w:rsidRPr="00F55305">
        <w:rPr>
          <w:lang w:val="en-GB"/>
        </w:rPr>
        <w:t xml:space="preserve"> </w:t>
      </w:r>
      <w:r w:rsidRPr="00F55305" w:rsidR="00741B53">
        <w:rPr>
          <w:lang w:val="en-GB"/>
        </w:rPr>
        <w:t>correspondence</w:t>
      </w:r>
      <w:r w:rsidRPr="00F55305">
        <w:rPr>
          <w:lang w:val="en-GB"/>
        </w:rPr>
        <w:t xml:space="preserve"> </w:t>
      </w:r>
      <w:r w:rsidRPr="00F55305" w:rsidR="00520F09">
        <w:rPr>
          <w:lang w:val="en-GB"/>
        </w:rPr>
        <w:t>from within</w:t>
      </w:r>
      <w:r w:rsidRPr="00F55305" w:rsidR="002D38E0">
        <w:rPr>
          <w:lang w:val="en-GB"/>
        </w:rPr>
        <w:t xml:space="preserve"> th</w:t>
      </w:r>
      <w:r w:rsidRPr="00F55305">
        <w:rPr>
          <w:lang w:val="en-GB"/>
        </w:rPr>
        <w:t xml:space="preserve">e </w:t>
      </w:r>
      <w:r w:rsidRPr="00F55305" w:rsidR="003B5A4F">
        <w:rPr>
          <w:lang w:val="en-GB"/>
        </w:rPr>
        <w:t>Podem school</w:t>
      </w:r>
      <w:r w:rsidRPr="00F55305">
        <w:rPr>
          <w:lang w:val="en-GB"/>
        </w:rPr>
        <w:t xml:space="preserve">, </w:t>
      </w:r>
      <w:r w:rsidRPr="00F55305" w:rsidR="002D38E0">
        <w:rPr>
          <w:lang w:val="en-GB"/>
        </w:rPr>
        <w:t>that the correspondence had been monitored or that members of staff had prevented her from contacting any people outside the school</w:t>
      </w:r>
      <w:r w:rsidRPr="00F55305">
        <w:rPr>
          <w:lang w:val="en-GB"/>
        </w:rPr>
        <w:t xml:space="preserve"> </w:t>
      </w:r>
      <w:r w:rsidRPr="00F55305" w:rsidR="002D38E0">
        <w:rPr>
          <w:lang w:val="en-GB"/>
        </w:rPr>
        <w:t>or any non-governmental organisations</w:t>
      </w:r>
      <w:r w:rsidRPr="00F55305">
        <w:rPr>
          <w:lang w:val="en-GB"/>
        </w:rPr>
        <w:t>.</w:t>
      </w:r>
      <w:bookmarkEnd w:id="26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96</w:t>
      </w:r>
      <w:r w:rsidRPr="00F55305">
        <w:rPr>
          <w:lang w:val="en-GB"/>
        </w:rPr>
        <w:fldChar w:fldCharType="end"/>
      </w:r>
      <w:r w:rsidRPr="00F55305">
        <w:rPr>
          <w:lang w:val="en-GB"/>
        </w:rPr>
        <w:t>.  </w:t>
      </w:r>
      <w:bookmarkStart w:name="lt_pId374" w:id="268"/>
      <w:r w:rsidRPr="00F55305" w:rsidR="00EB029B">
        <w:rPr>
          <w:lang w:val="en-GB"/>
        </w:rPr>
        <w:t xml:space="preserve">As regards the system itself, the </w:t>
      </w:r>
      <w:r w:rsidRPr="00F55305" w:rsidR="000F2B78">
        <w:rPr>
          <w:lang w:val="en-GB"/>
        </w:rPr>
        <w:t>Government</w:t>
      </w:r>
      <w:r w:rsidRPr="00F55305">
        <w:rPr>
          <w:lang w:val="en-GB"/>
        </w:rPr>
        <w:t xml:space="preserve"> </w:t>
      </w:r>
      <w:r w:rsidRPr="00F55305" w:rsidR="00EB029B">
        <w:rPr>
          <w:lang w:val="en-GB"/>
        </w:rPr>
        <w:t>referred to A</w:t>
      </w:r>
      <w:r w:rsidRPr="00F55305" w:rsidR="000F2B78">
        <w:rPr>
          <w:lang w:val="en-GB"/>
        </w:rPr>
        <w:t>rticle 2</w:t>
      </w:r>
      <w:r w:rsidRPr="00F55305">
        <w:rPr>
          <w:lang w:val="en-GB"/>
        </w:rPr>
        <w:t xml:space="preserve">5, point 10, </w:t>
      </w:r>
      <w:r w:rsidRPr="00F55305" w:rsidR="00EB029B">
        <w:rPr>
          <w:lang w:val="en-GB"/>
        </w:rPr>
        <w:t>of</w:t>
      </w:r>
      <w:r w:rsidRPr="00F55305">
        <w:rPr>
          <w:lang w:val="en-GB"/>
        </w:rPr>
        <w:t xml:space="preserve"> </w:t>
      </w:r>
      <w:r w:rsidRPr="00F55305" w:rsidR="003B5A4F">
        <w:rPr>
          <w:lang w:val="en-GB"/>
        </w:rPr>
        <w:t>the Podem school</w:t>
      </w:r>
      <w:r w:rsidRPr="00F55305" w:rsidR="00F55305">
        <w:rPr>
          <w:lang w:val="en-GB"/>
        </w:rPr>
        <w:t>’</w:t>
      </w:r>
      <w:r w:rsidRPr="00F55305" w:rsidR="00EB029B">
        <w:rPr>
          <w:lang w:val="en-GB"/>
        </w:rPr>
        <w:t>s internal regulations</w:t>
      </w:r>
      <w:r w:rsidRPr="00F55305">
        <w:rPr>
          <w:lang w:val="en-GB"/>
        </w:rPr>
        <w:t xml:space="preserve"> </w:t>
      </w:r>
      <w:r w:rsidRPr="00F55305" w:rsidR="008C1A2E">
        <w:rPr>
          <w:lang w:val="en-GB"/>
        </w:rPr>
        <w:t>and</w:t>
      </w:r>
      <w:r w:rsidRPr="00F55305">
        <w:rPr>
          <w:lang w:val="en-GB"/>
        </w:rPr>
        <w:t xml:space="preserve"> argue</w:t>
      </w:r>
      <w:r w:rsidRPr="00F55305" w:rsidR="00EB029B">
        <w:rPr>
          <w:lang w:val="en-GB"/>
        </w:rPr>
        <w:t>d that the monitoring of</w:t>
      </w:r>
      <w:r w:rsidRPr="00F55305">
        <w:rPr>
          <w:lang w:val="en-GB"/>
        </w:rPr>
        <w:t xml:space="preserve"> </w:t>
      </w:r>
      <w:r w:rsidRPr="00F55305" w:rsidR="00EB029B">
        <w:rPr>
          <w:lang w:val="en-GB"/>
        </w:rPr>
        <w:t xml:space="preserve">correspondence was linked to the aims inherent in </w:t>
      </w:r>
      <w:r w:rsidRPr="00F55305" w:rsidR="00394562">
        <w:rPr>
          <w:lang w:val="en-GB"/>
        </w:rPr>
        <w:t>the applicant</w:t>
      </w:r>
      <w:r w:rsidRPr="00F55305" w:rsidR="00F55305">
        <w:rPr>
          <w:lang w:val="en-GB"/>
        </w:rPr>
        <w:t>’</w:t>
      </w:r>
      <w:r w:rsidRPr="00F55305" w:rsidR="00394562">
        <w:rPr>
          <w:lang w:val="en-GB"/>
        </w:rPr>
        <w:t xml:space="preserve">s </w:t>
      </w:r>
      <w:r w:rsidRPr="00F55305">
        <w:rPr>
          <w:lang w:val="en-GB"/>
        </w:rPr>
        <w:t xml:space="preserve">placement, </w:t>
      </w:r>
      <w:r w:rsidRPr="00F55305" w:rsidR="00394562">
        <w:rPr>
          <w:lang w:val="en-GB"/>
        </w:rPr>
        <w:t>namely her e</w:t>
      </w:r>
      <w:r w:rsidRPr="00F55305">
        <w:rPr>
          <w:lang w:val="en-GB"/>
        </w:rPr>
        <w:t xml:space="preserve">ducation </w:t>
      </w:r>
      <w:r w:rsidRPr="00F55305" w:rsidR="008C1A2E">
        <w:rPr>
          <w:lang w:val="en-GB"/>
        </w:rPr>
        <w:t>and</w:t>
      </w:r>
      <w:r w:rsidRPr="00F55305">
        <w:rPr>
          <w:lang w:val="en-GB"/>
        </w:rPr>
        <w:t xml:space="preserve"> </w:t>
      </w:r>
      <w:r w:rsidRPr="00F55305" w:rsidR="00394562">
        <w:rPr>
          <w:lang w:val="en-GB"/>
        </w:rPr>
        <w:t>rehabilitation</w:t>
      </w:r>
      <w:r w:rsidRPr="00F55305">
        <w:rPr>
          <w:lang w:val="en-GB"/>
        </w:rPr>
        <w:t xml:space="preserve">, </w:t>
      </w:r>
      <w:r w:rsidRPr="00F55305" w:rsidR="008C1A2E">
        <w:rPr>
          <w:lang w:val="en-GB"/>
        </w:rPr>
        <w:t>and</w:t>
      </w:r>
      <w:r w:rsidRPr="00F55305">
        <w:rPr>
          <w:lang w:val="en-GB"/>
        </w:rPr>
        <w:t xml:space="preserve"> </w:t>
      </w:r>
      <w:r w:rsidRPr="00F55305" w:rsidR="00394562">
        <w:rPr>
          <w:lang w:val="en-GB"/>
        </w:rPr>
        <w:t xml:space="preserve">that it </w:t>
      </w:r>
      <w:r w:rsidRPr="00F55305" w:rsidR="00520F09">
        <w:rPr>
          <w:lang w:val="en-GB"/>
        </w:rPr>
        <w:t>was also intended</w:t>
      </w:r>
      <w:r w:rsidRPr="00F55305" w:rsidR="00394562">
        <w:rPr>
          <w:lang w:val="en-GB"/>
        </w:rPr>
        <w:t xml:space="preserve"> to </w:t>
      </w:r>
      <w:r w:rsidRPr="00F55305" w:rsidR="00520F09">
        <w:rPr>
          <w:lang w:val="en-GB"/>
        </w:rPr>
        <w:t>maintain</w:t>
      </w:r>
      <w:r w:rsidRPr="00F55305" w:rsidR="00A63BE2">
        <w:rPr>
          <w:lang w:val="en-GB"/>
        </w:rPr>
        <w:t xml:space="preserve"> order and safety in the institution.</w:t>
      </w:r>
      <w:r w:rsidRPr="00F55305">
        <w:rPr>
          <w:lang w:val="en-GB"/>
        </w:rPr>
        <w:t xml:space="preserve"> </w:t>
      </w:r>
      <w:bookmarkStart w:name="lt_pId375" w:id="269"/>
      <w:bookmarkEnd w:id="268"/>
      <w:r w:rsidRPr="00F55305" w:rsidR="00A63BE2">
        <w:rPr>
          <w:lang w:val="en-GB"/>
        </w:rPr>
        <w:t>In that context, the monitoring of</w:t>
      </w:r>
      <w:r w:rsidRPr="00F55305">
        <w:rPr>
          <w:lang w:val="en-GB"/>
        </w:rPr>
        <w:t xml:space="preserve"> </w:t>
      </w:r>
      <w:r w:rsidRPr="00F55305" w:rsidR="00741B53">
        <w:rPr>
          <w:lang w:val="en-GB"/>
        </w:rPr>
        <w:t>correspondence</w:t>
      </w:r>
      <w:r w:rsidRPr="00F55305">
        <w:rPr>
          <w:lang w:val="en-GB"/>
        </w:rPr>
        <w:t xml:space="preserve"> </w:t>
      </w:r>
      <w:r w:rsidRPr="00F55305" w:rsidR="00A63BE2">
        <w:rPr>
          <w:lang w:val="en-GB"/>
        </w:rPr>
        <w:t>was not</w:t>
      </w:r>
      <w:r w:rsidRPr="00F55305">
        <w:rPr>
          <w:lang w:val="en-GB"/>
        </w:rPr>
        <w:t xml:space="preserve"> incompatible </w:t>
      </w:r>
      <w:r w:rsidRPr="00F55305" w:rsidR="00A63BE2">
        <w:rPr>
          <w:lang w:val="en-GB"/>
        </w:rPr>
        <w:t>with the rights of the</w:t>
      </w:r>
      <w:r w:rsidRPr="00F55305">
        <w:rPr>
          <w:lang w:val="en-GB"/>
        </w:rPr>
        <w:t xml:space="preserve"> </w:t>
      </w:r>
      <w:r w:rsidRPr="00F55305" w:rsidR="00A63BE2">
        <w:rPr>
          <w:lang w:val="en-GB"/>
        </w:rPr>
        <w:t>children placed in the school,</w:t>
      </w:r>
      <w:r w:rsidRPr="00F55305">
        <w:rPr>
          <w:lang w:val="en-GB"/>
        </w:rPr>
        <w:t xml:space="preserve"> </w:t>
      </w:r>
      <w:r w:rsidRPr="00F55305" w:rsidR="008C1A2E">
        <w:rPr>
          <w:lang w:val="en-GB"/>
        </w:rPr>
        <w:t>and</w:t>
      </w:r>
      <w:r w:rsidRPr="00F55305">
        <w:rPr>
          <w:lang w:val="en-GB"/>
        </w:rPr>
        <w:t xml:space="preserve"> </w:t>
      </w:r>
      <w:r w:rsidRPr="00F55305" w:rsidR="00A63BE2">
        <w:rPr>
          <w:lang w:val="en-GB"/>
        </w:rPr>
        <w:t>given that the letters were invariably handed over to their addressees after being monitored, a balance was preserved between the interests at stake</w:t>
      </w:r>
      <w:r w:rsidRPr="00F55305">
        <w:rPr>
          <w:lang w:val="en-GB"/>
        </w:rPr>
        <w:t>.</w:t>
      </w:r>
      <w:bookmarkEnd w:id="26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97</w:t>
      </w:r>
      <w:r w:rsidRPr="00F55305">
        <w:rPr>
          <w:lang w:val="en-GB"/>
        </w:rPr>
        <w:fldChar w:fldCharType="end"/>
      </w:r>
      <w:r w:rsidRPr="00F55305">
        <w:rPr>
          <w:lang w:val="en-GB"/>
        </w:rPr>
        <w:t>.  </w:t>
      </w:r>
      <w:bookmarkStart w:name="lt_pId377" w:id="270"/>
      <w:r w:rsidRPr="00F55305" w:rsidR="00A63BE2">
        <w:rPr>
          <w:lang w:val="en-GB"/>
        </w:rPr>
        <w:t>With regard to the applicant</w:t>
      </w:r>
      <w:r w:rsidRPr="00F55305" w:rsidR="00F55305">
        <w:rPr>
          <w:lang w:val="en-GB"/>
        </w:rPr>
        <w:t>’</w:t>
      </w:r>
      <w:r w:rsidRPr="00F55305" w:rsidR="00A63BE2">
        <w:rPr>
          <w:lang w:val="en-GB"/>
        </w:rPr>
        <w:t>s</w:t>
      </w:r>
      <w:r w:rsidRPr="00F55305">
        <w:rPr>
          <w:lang w:val="en-GB"/>
        </w:rPr>
        <w:t xml:space="preserve"> </w:t>
      </w:r>
      <w:r w:rsidRPr="00F55305" w:rsidR="00741B53">
        <w:rPr>
          <w:lang w:val="en-GB"/>
        </w:rPr>
        <w:t>telep</w:t>
      </w:r>
      <w:r w:rsidRPr="00F55305" w:rsidR="00A63BE2">
        <w:rPr>
          <w:lang w:val="en-GB"/>
        </w:rPr>
        <w:t>hone calls</w:t>
      </w:r>
      <w:r w:rsidRPr="00F55305">
        <w:rPr>
          <w:lang w:val="en-GB"/>
        </w:rPr>
        <w:t xml:space="preserve">, </w:t>
      </w:r>
      <w:r w:rsidRPr="00F55305" w:rsidR="000F2B78">
        <w:rPr>
          <w:lang w:val="en-GB"/>
        </w:rPr>
        <w:t>the Government</w:t>
      </w:r>
      <w:r w:rsidRPr="00F55305">
        <w:rPr>
          <w:lang w:val="en-GB"/>
        </w:rPr>
        <w:t xml:space="preserve"> </w:t>
      </w:r>
      <w:r w:rsidRPr="00F55305" w:rsidR="00A63BE2">
        <w:rPr>
          <w:lang w:val="en-GB"/>
        </w:rPr>
        <w:t>asserted that they had taken place under the supervision of the</w:t>
      </w:r>
      <w:r w:rsidRPr="00F55305">
        <w:rPr>
          <w:lang w:val="en-GB"/>
        </w:rPr>
        <w:t xml:space="preserve"> </w:t>
      </w:r>
      <w:r w:rsidRPr="00F55305" w:rsidR="00A63BE2">
        <w:rPr>
          <w:lang w:val="en-GB"/>
        </w:rPr>
        <w:t>main teacher or a member of the support staff, in accordance with the applicable regulations</w:t>
      </w:r>
      <w:r w:rsidRPr="00F55305">
        <w:rPr>
          <w:lang w:val="en-GB"/>
        </w:rPr>
        <w:t xml:space="preserve">, </w:t>
      </w:r>
      <w:r w:rsidRPr="00F55305" w:rsidR="008C1A2E">
        <w:rPr>
          <w:lang w:val="en-GB"/>
        </w:rPr>
        <w:t>and</w:t>
      </w:r>
      <w:r w:rsidRPr="00F55305">
        <w:rPr>
          <w:lang w:val="en-GB"/>
        </w:rPr>
        <w:t xml:space="preserve"> </w:t>
      </w:r>
      <w:r w:rsidRPr="00F55305" w:rsidR="00A63BE2">
        <w:rPr>
          <w:lang w:val="en-GB"/>
        </w:rPr>
        <w:t>that the</w:t>
      </w:r>
      <w:r w:rsidRPr="00F55305">
        <w:rPr>
          <w:lang w:val="en-GB"/>
        </w:rPr>
        <w:t xml:space="preserve"> conversations </w:t>
      </w:r>
      <w:r w:rsidRPr="00F55305" w:rsidR="00A63BE2">
        <w:rPr>
          <w:lang w:val="en-GB"/>
        </w:rPr>
        <w:t>had never been recorded or intercepted</w:t>
      </w:r>
      <w:r w:rsidRPr="00F55305">
        <w:rPr>
          <w:lang w:val="en-GB"/>
        </w:rPr>
        <w:t>.</w:t>
      </w:r>
      <w:bookmarkEnd w:id="270"/>
      <w:r w:rsidRPr="00F55305">
        <w:rPr>
          <w:lang w:val="en-GB"/>
        </w:rPr>
        <w:t xml:space="preserve"> </w:t>
      </w:r>
      <w:bookmarkStart w:name="lt_pId378" w:id="271"/>
      <w:r w:rsidRPr="00F55305" w:rsidR="00A63BE2">
        <w:rPr>
          <w:lang w:val="en-GB"/>
        </w:rPr>
        <w:t xml:space="preserve">Furthermore, </w:t>
      </w:r>
      <w:r w:rsidRPr="00F55305" w:rsidR="000F2B78">
        <w:rPr>
          <w:lang w:val="en-GB"/>
        </w:rPr>
        <w:t>the applicant</w:t>
      </w:r>
      <w:r w:rsidRPr="00F55305">
        <w:rPr>
          <w:lang w:val="en-GB"/>
        </w:rPr>
        <w:t xml:space="preserve"> </w:t>
      </w:r>
      <w:r w:rsidRPr="00F55305" w:rsidR="00A63BE2">
        <w:rPr>
          <w:lang w:val="en-GB"/>
        </w:rPr>
        <w:t xml:space="preserve">had not been deprived of </w:t>
      </w:r>
      <w:r w:rsidRPr="00F55305" w:rsidR="00142AD9">
        <w:rPr>
          <w:lang w:val="en-GB"/>
        </w:rPr>
        <w:t>“</w:t>
      </w:r>
      <w:r w:rsidRPr="00F55305" w:rsidR="00A63BE2">
        <w:rPr>
          <w:lang w:val="en-GB"/>
        </w:rPr>
        <w:t xml:space="preserve">telephone </w:t>
      </w:r>
      <w:r w:rsidRPr="00F55305">
        <w:rPr>
          <w:lang w:val="en-GB"/>
        </w:rPr>
        <w:t xml:space="preserve">contact </w:t>
      </w:r>
      <w:r w:rsidRPr="00F55305" w:rsidR="00A63BE2">
        <w:rPr>
          <w:lang w:val="en-GB"/>
        </w:rPr>
        <w:t>with her mother</w:t>
      </w:r>
      <w:r w:rsidRPr="00F55305" w:rsidR="00142AD9">
        <w:rPr>
          <w:lang w:val="en-GB"/>
        </w:rPr>
        <w:t>”</w:t>
      </w:r>
      <w:r w:rsidRPr="00F55305">
        <w:rPr>
          <w:lang w:val="en-GB"/>
        </w:rPr>
        <w:t>.</w:t>
      </w:r>
      <w:bookmarkEnd w:id="271"/>
      <w:r w:rsidRPr="00F55305">
        <w:rPr>
          <w:lang w:val="en-GB"/>
        </w:rPr>
        <w:t xml:space="preserve"> </w:t>
      </w:r>
      <w:bookmarkStart w:name="lt_pId379" w:id="272"/>
      <w:r w:rsidRPr="00F55305" w:rsidR="00A63BE2">
        <w:rPr>
          <w:lang w:val="en-GB"/>
        </w:rPr>
        <w:t>Accordingly, there had been no interference with her right under</w:t>
      </w:r>
      <w:r w:rsidRPr="00F55305">
        <w:rPr>
          <w:lang w:val="en-GB"/>
        </w:rPr>
        <w:t xml:space="preserve"> </w:t>
      </w:r>
      <w:r w:rsidRPr="00F55305" w:rsidR="008F4E10">
        <w:rPr>
          <w:lang w:val="en-GB"/>
        </w:rPr>
        <w:t>Article 8</w:t>
      </w:r>
      <w:r w:rsidRPr="00F55305">
        <w:rPr>
          <w:lang w:val="en-GB"/>
        </w:rPr>
        <w:t xml:space="preserve"> </w:t>
      </w:r>
      <w:r w:rsidRPr="00F55305" w:rsidR="008F4E10">
        <w:rPr>
          <w:lang w:val="en-GB"/>
        </w:rPr>
        <w:t>of the Convention</w:t>
      </w:r>
      <w:r w:rsidRPr="00F55305">
        <w:rPr>
          <w:lang w:val="en-GB"/>
        </w:rPr>
        <w:t>.</w:t>
      </w:r>
      <w:bookmarkEnd w:id="272"/>
      <w:r w:rsidRPr="00F55305">
        <w:rPr>
          <w:lang w:val="en-GB"/>
        </w:rPr>
        <w:t xml:space="preserve"> </w:t>
      </w:r>
      <w:bookmarkStart w:name="lt_pId380" w:id="273"/>
      <w:r w:rsidRPr="00F55305" w:rsidR="00A63BE2">
        <w:rPr>
          <w:lang w:val="en-GB"/>
        </w:rPr>
        <w:t>In any event</w:t>
      </w:r>
      <w:r w:rsidRPr="00F55305">
        <w:rPr>
          <w:lang w:val="en-GB"/>
        </w:rPr>
        <w:t xml:space="preserve">, </w:t>
      </w:r>
      <w:r w:rsidRPr="00F55305" w:rsidR="00A63BE2">
        <w:rPr>
          <w:lang w:val="en-GB"/>
        </w:rPr>
        <w:t xml:space="preserve">the system of monitoring was intended to avert the risk of the children </w:t>
      </w:r>
      <w:r w:rsidRPr="00F55305" w:rsidR="00BA0140">
        <w:rPr>
          <w:lang w:val="en-GB"/>
        </w:rPr>
        <w:t xml:space="preserve">at </w:t>
      </w:r>
      <w:r w:rsidRPr="00F55305" w:rsidR="00A63BE2">
        <w:rPr>
          <w:lang w:val="en-GB"/>
        </w:rPr>
        <w:t xml:space="preserve">the school committing further antisocial acts, such as those that had formed the basis for their placement, and </w:t>
      </w:r>
      <w:r w:rsidRPr="00F55305" w:rsidR="00BA0140">
        <w:rPr>
          <w:lang w:val="en-GB"/>
        </w:rPr>
        <w:t xml:space="preserve">it </w:t>
      </w:r>
      <w:r w:rsidRPr="00F55305" w:rsidR="00A63BE2">
        <w:rPr>
          <w:lang w:val="en-GB"/>
        </w:rPr>
        <w:t>could not be viewed as contrary to</w:t>
      </w:r>
      <w:r w:rsidRPr="00F55305">
        <w:rPr>
          <w:lang w:val="en-GB"/>
        </w:rPr>
        <w:t xml:space="preserve"> </w:t>
      </w:r>
      <w:r w:rsidRPr="00F55305" w:rsidR="008F4E10">
        <w:rPr>
          <w:lang w:val="en-GB"/>
        </w:rPr>
        <w:t>Article 8</w:t>
      </w:r>
      <w:r w:rsidRPr="00F55305">
        <w:rPr>
          <w:lang w:val="en-GB"/>
        </w:rPr>
        <w:t xml:space="preserve"> § 2 </w:t>
      </w:r>
      <w:r w:rsidRPr="00F55305" w:rsidR="008F4E10">
        <w:rPr>
          <w:lang w:val="en-GB"/>
        </w:rPr>
        <w:t>of the Convention</w:t>
      </w:r>
      <w:r w:rsidRPr="00F55305">
        <w:rPr>
          <w:lang w:val="en-GB"/>
        </w:rPr>
        <w:t>.</w:t>
      </w:r>
      <w:bookmarkEnd w:id="27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98</w:t>
      </w:r>
      <w:r w:rsidRPr="00F55305">
        <w:rPr>
          <w:lang w:val="en-GB"/>
        </w:rPr>
        <w:fldChar w:fldCharType="end"/>
      </w:r>
      <w:r w:rsidRPr="00F55305">
        <w:rPr>
          <w:lang w:val="en-GB"/>
        </w:rPr>
        <w:t>.  </w:t>
      </w:r>
      <w:bookmarkStart w:name="lt_pId382" w:id="274"/>
      <w:r w:rsidRPr="00F55305" w:rsidR="000F2B78">
        <w:rPr>
          <w:lang w:val="en-GB"/>
        </w:rPr>
        <w:t>The applicant</w:t>
      </w:r>
      <w:r w:rsidRPr="00F55305">
        <w:rPr>
          <w:lang w:val="en-GB"/>
        </w:rPr>
        <w:t xml:space="preserve"> </w:t>
      </w:r>
      <w:r w:rsidRPr="00F55305" w:rsidR="00A63BE2">
        <w:rPr>
          <w:lang w:val="en-GB"/>
        </w:rPr>
        <w:t xml:space="preserve">submitted a detailed account of the </w:t>
      </w:r>
      <w:r w:rsidRPr="00F55305">
        <w:rPr>
          <w:lang w:val="en-GB"/>
        </w:rPr>
        <w:t xml:space="preserve">applicable </w:t>
      </w:r>
      <w:r w:rsidRPr="00F55305" w:rsidR="00A63BE2">
        <w:rPr>
          <w:lang w:val="en-GB"/>
        </w:rPr>
        <w:t>regulations governing the monitoring of correspondence and telephone calls and argued that she was not required to provide proof of any particular instance of interference</w:t>
      </w:r>
      <w:r w:rsidRPr="00F55305" w:rsidR="00666486">
        <w:rPr>
          <w:lang w:val="en-GB"/>
        </w:rPr>
        <w:t>, since in her view the interference derived directly from the system complained of</w:t>
      </w:r>
      <w:r w:rsidRPr="00F55305">
        <w:rPr>
          <w:lang w:val="en-GB"/>
        </w:rPr>
        <w:t>.</w:t>
      </w:r>
      <w:bookmarkEnd w:id="274"/>
      <w:r w:rsidRPr="00F55305">
        <w:rPr>
          <w:lang w:val="en-GB"/>
        </w:rPr>
        <w:t xml:space="preserve"> </w:t>
      </w:r>
      <w:bookmarkStart w:name="lt_pId383" w:id="275"/>
      <w:r w:rsidRPr="00F55305" w:rsidR="00666486">
        <w:rPr>
          <w:lang w:val="en-GB"/>
        </w:rPr>
        <w:t>She added that since she could be certain that her</w:t>
      </w:r>
      <w:r w:rsidRPr="00F55305">
        <w:rPr>
          <w:lang w:val="en-GB"/>
        </w:rPr>
        <w:t xml:space="preserve"> </w:t>
      </w:r>
      <w:r w:rsidRPr="00F55305" w:rsidR="00666486">
        <w:rPr>
          <w:lang w:val="en-GB"/>
        </w:rPr>
        <w:t>letters</w:t>
      </w:r>
      <w:r w:rsidRPr="00F55305">
        <w:rPr>
          <w:lang w:val="en-GB"/>
        </w:rPr>
        <w:t xml:space="preserve"> </w:t>
      </w:r>
      <w:r w:rsidRPr="00F55305" w:rsidR="008C1A2E">
        <w:rPr>
          <w:lang w:val="en-GB"/>
        </w:rPr>
        <w:t>and</w:t>
      </w:r>
      <w:r w:rsidRPr="00F55305">
        <w:rPr>
          <w:lang w:val="en-GB"/>
        </w:rPr>
        <w:t xml:space="preserve"> </w:t>
      </w:r>
      <w:r w:rsidRPr="00F55305" w:rsidR="00666486">
        <w:rPr>
          <w:lang w:val="en-GB"/>
        </w:rPr>
        <w:t>calls to</w:t>
      </w:r>
      <w:r w:rsidRPr="00F55305">
        <w:rPr>
          <w:lang w:val="en-GB"/>
        </w:rPr>
        <w:t xml:space="preserve"> </w:t>
      </w:r>
      <w:r w:rsidRPr="00F55305" w:rsidR="00666486">
        <w:rPr>
          <w:lang w:val="en-GB"/>
        </w:rPr>
        <w:t>non-governmental</w:t>
      </w:r>
      <w:r w:rsidRPr="00F55305">
        <w:rPr>
          <w:lang w:val="en-GB"/>
        </w:rPr>
        <w:t xml:space="preserve"> </w:t>
      </w:r>
      <w:r w:rsidRPr="00F55305" w:rsidR="00666486">
        <w:rPr>
          <w:lang w:val="en-GB"/>
        </w:rPr>
        <w:t>organisations were</w:t>
      </w:r>
      <w:r w:rsidRPr="00F55305">
        <w:rPr>
          <w:lang w:val="en-GB"/>
        </w:rPr>
        <w:t xml:space="preserve"> automati</w:t>
      </w:r>
      <w:r w:rsidRPr="00F55305" w:rsidR="00666486">
        <w:rPr>
          <w:lang w:val="en-GB"/>
        </w:rPr>
        <w:t xml:space="preserve">cally monitored, she had been </w:t>
      </w:r>
      <w:r w:rsidRPr="00F55305">
        <w:rPr>
          <w:lang w:val="en-GB"/>
        </w:rPr>
        <w:t>direct</w:t>
      </w:r>
      <w:r w:rsidRPr="00F55305" w:rsidR="00666486">
        <w:rPr>
          <w:lang w:val="en-GB"/>
        </w:rPr>
        <w:t>ly affected by the process</w:t>
      </w:r>
      <w:r w:rsidRPr="00F55305">
        <w:rPr>
          <w:lang w:val="en-GB"/>
        </w:rPr>
        <w:t>.</w:t>
      </w:r>
      <w:bookmarkEnd w:id="275"/>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99</w:t>
      </w:r>
      <w:r w:rsidRPr="00F55305">
        <w:rPr>
          <w:lang w:val="en-GB"/>
        </w:rPr>
        <w:fldChar w:fldCharType="end"/>
      </w:r>
      <w:r w:rsidRPr="00F55305">
        <w:rPr>
          <w:lang w:val="en-GB"/>
        </w:rPr>
        <w:t>.  </w:t>
      </w:r>
      <w:bookmarkStart w:name="lt_pId385" w:id="276"/>
      <w:r w:rsidRPr="00F55305" w:rsidR="00666486">
        <w:rPr>
          <w:lang w:val="en-GB"/>
        </w:rPr>
        <w:t xml:space="preserve">The applicant also contended that the system in place did not meet any pressing need </w:t>
      </w:r>
      <w:r w:rsidRPr="00F55305" w:rsidR="008C1A2E">
        <w:rPr>
          <w:lang w:val="en-GB"/>
        </w:rPr>
        <w:t>and</w:t>
      </w:r>
      <w:r w:rsidRPr="00F55305">
        <w:rPr>
          <w:lang w:val="en-GB"/>
        </w:rPr>
        <w:t xml:space="preserve"> </w:t>
      </w:r>
      <w:r w:rsidRPr="00F55305" w:rsidR="00666486">
        <w:rPr>
          <w:lang w:val="en-GB"/>
        </w:rPr>
        <w:t>that the</w:t>
      </w:r>
      <w:r w:rsidRPr="00F55305">
        <w:rPr>
          <w:lang w:val="en-GB"/>
        </w:rPr>
        <w:t xml:space="preserve"> applicable </w:t>
      </w:r>
      <w:r w:rsidRPr="00F55305" w:rsidR="00666486">
        <w:rPr>
          <w:lang w:val="en-GB"/>
        </w:rPr>
        <w:t xml:space="preserve">domestic legislation did not provide for </w:t>
      </w:r>
      <w:r w:rsidRPr="00F55305">
        <w:rPr>
          <w:lang w:val="en-GB"/>
        </w:rPr>
        <w:t>suffi</w:t>
      </w:r>
      <w:r w:rsidRPr="00F55305" w:rsidR="00666486">
        <w:rPr>
          <w:lang w:val="en-GB"/>
        </w:rPr>
        <w:t xml:space="preserve">cient safeguards against </w:t>
      </w:r>
      <w:r w:rsidRPr="00F55305">
        <w:rPr>
          <w:lang w:val="en-GB"/>
        </w:rPr>
        <w:t>arbitra</w:t>
      </w:r>
      <w:r w:rsidRPr="00F55305" w:rsidR="00666486">
        <w:rPr>
          <w:lang w:val="en-GB"/>
        </w:rPr>
        <w:t xml:space="preserve">ry interference by the </w:t>
      </w:r>
      <w:r w:rsidRPr="00F55305">
        <w:rPr>
          <w:lang w:val="en-GB"/>
        </w:rPr>
        <w:t>aut</w:t>
      </w:r>
      <w:r w:rsidRPr="00F55305" w:rsidR="00666486">
        <w:rPr>
          <w:lang w:val="en-GB"/>
        </w:rPr>
        <w:t>horitie</w:t>
      </w:r>
      <w:r w:rsidRPr="00F55305">
        <w:rPr>
          <w:lang w:val="en-GB"/>
        </w:rPr>
        <w:t>s.</w:t>
      </w:r>
      <w:bookmarkEnd w:id="276"/>
      <w:r w:rsidRPr="00F55305">
        <w:rPr>
          <w:lang w:val="en-GB"/>
        </w:rPr>
        <w:t xml:space="preserve"> </w:t>
      </w:r>
      <w:bookmarkStart w:name="lt_pId386" w:id="277"/>
      <w:r w:rsidRPr="00F55305" w:rsidR="00666486">
        <w:rPr>
          <w:lang w:val="en-GB"/>
        </w:rPr>
        <w:t>She therefore concluded that the interference to which she had been subjected had not been necessary in a democratic society</w:t>
      </w:r>
      <w:r w:rsidRPr="00F55305">
        <w:rPr>
          <w:lang w:val="en-GB"/>
        </w:rPr>
        <w:t>.</w:t>
      </w:r>
      <w:bookmarkEnd w:id="277"/>
    </w:p>
    <w:p w:rsidRPr="00F55305" w:rsidR="00711D81" w:rsidP="00F55305" w:rsidRDefault="00711D81">
      <w:pPr>
        <w:pStyle w:val="ECHRHeading3"/>
        <w:rPr>
          <w:lang w:val="en-GB"/>
        </w:rPr>
      </w:pPr>
      <w:r w:rsidRPr="00F55305">
        <w:rPr>
          <w:lang w:val="en-GB"/>
        </w:rPr>
        <w:t>2.  </w:t>
      </w:r>
      <w:bookmarkStart w:name="lt_pId388" w:id="278"/>
      <w:r w:rsidRPr="00F55305">
        <w:rPr>
          <w:lang w:val="en-GB"/>
        </w:rPr>
        <w:t>The Court</w:t>
      </w:r>
      <w:r w:rsidRPr="00F55305" w:rsidR="00F55305">
        <w:rPr>
          <w:lang w:val="en-GB"/>
        </w:rPr>
        <w:t>’</w:t>
      </w:r>
      <w:r w:rsidRPr="00F55305">
        <w:rPr>
          <w:lang w:val="en-GB"/>
        </w:rPr>
        <w:t>s assessment</w:t>
      </w:r>
      <w:bookmarkEnd w:id="278"/>
    </w:p>
    <w:p w:rsidRPr="00F55305" w:rsidR="00711D81" w:rsidP="00F55305" w:rsidRDefault="00CD388B">
      <w:pPr>
        <w:pStyle w:val="ECHRHeading4"/>
        <w:rPr>
          <w:lang w:val="en-GB"/>
        </w:rPr>
      </w:pPr>
      <w:bookmarkStart w:name="lt_pId389" w:id="279"/>
      <w:r w:rsidRPr="00F55305">
        <w:rPr>
          <w:lang w:val="en-GB"/>
        </w:rPr>
        <w:t>(</w:t>
      </w:r>
      <w:r w:rsidRPr="00F55305" w:rsidR="00711D81">
        <w:rPr>
          <w:lang w:val="en-GB"/>
        </w:rPr>
        <w:t>a)  </w:t>
      </w:r>
      <w:r w:rsidRPr="00F55305" w:rsidR="00DB65B3">
        <w:rPr>
          <w:lang w:val="en-GB"/>
        </w:rPr>
        <w:t xml:space="preserve">System for monitoring </w:t>
      </w:r>
      <w:r w:rsidRPr="00F55305" w:rsidR="00741B53">
        <w:rPr>
          <w:lang w:val="en-GB"/>
        </w:rPr>
        <w:t>correspondence</w:t>
      </w:r>
      <w:bookmarkEnd w:id="27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100</w:t>
      </w:r>
      <w:r w:rsidRPr="00F55305">
        <w:rPr>
          <w:lang w:val="en-GB"/>
        </w:rPr>
        <w:fldChar w:fldCharType="end"/>
      </w:r>
      <w:r w:rsidRPr="00F55305">
        <w:rPr>
          <w:lang w:val="en-GB"/>
        </w:rPr>
        <w:t>.  </w:t>
      </w:r>
      <w:bookmarkStart w:name="lt_pId391" w:id="280"/>
      <w:r w:rsidRPr="00F55305" w:rsidR="00DB65B3">
        <w:rPr>
          <w:lang w:val="en-GB"/>
        </w:rPr>
        <w:t xml:space="preserve">As regards the allegations about </w:t>
      </w:r>
      <w:r w:rsidRPr="00F55305" w:rsidR="00741B53">
        <w:rPr>
          <w:lang w:val="en-GB"/>
        </w:rPr>
        <w:t>correspondence</w:t>
      </w:r>
      <w:r w:rsidRPr="00F55305">
        <w:rPr>
          <w:lang w:val="en-GB"/>
        </w:rPr>
        <w:t xml:space="preserve">, </w:t>
      </w:r>
      <w:r w:rsidRPr="00F55305" w:rsidR="008C1A2E">
        <w:rPr>
          <w:lang w:val="en-GB"/>
        </w:rPr>
        <w:t>the Court</w:t>
      </w:r>
      <w:r w:rsidRPr="00F55305">
        <w:rPr>
          <w:lang w:val="en-GB"/>
        </w:rPr>
        <w:t xml:space="preserve"> note</w:t>
      </w:r>
      <w:r w:rsidRPr="00F55305" w:rsidR="00DB65B3">
        <w:rPr>
          <w:lang w:val="en-GB"/>
        </w:rPr>
        <w:t>s that</w:t>
      </w:r>
      <w:r w:rsidRPr="00F55305">
        <w:rPr>
          <w:lang w:val="en-GB"/>
        </w:rPr>
        <w:t xml:space="preserve"> </w:t>
      </w:r>
      <w:r w:rsidRPr="00F55305" w:rsidR="000F2B78">
        <w:rPr>
          <w:lang w:val="en-GB"/>
        </w:rPr>
        <w:t>the applicant</w:t>
      </w:r>
      <w:r w:rsidRPr="00F55305">
        <w:rPr>
          <w:lang w:val="en-GB"/>
        </w:rPr>
        <w:t xml:space="preserve"> </w:t>
      </w:r>
      <w:r w:rsidRPr="00F55305" w:rsidR="00DB65B3">
        <w:rPr>
          <w:lang w:val="en-GB"/>
        </w:rPr>
        <w:t xml:space="preserve">has not produced any evidence to show that letters she sent or received while at the </w:t>
      </w:r>
      <w:r w:rsidRPr="00F55305" w:rsidR="003B5A4F">
        <w:rPr>
          <w:lang w:val="en-GB"/>
        </w:rPr>
        <w:t>Podem school</w:t>
      </w:r>
      <w:r w:rsidRPr="00F55305">
        <w:rPr>
          <w:lang w:val="en-GB"/>
        </w:rPr>
        <w:t xml:space="preserve"> </w:t>
      </w:r>
      <w:r w:rsidRPr="00F55305" w:rsidR="00DB65B3">
        <w:rPr>
          <w:lang w:val="en-GB"/>
        </w:rPr>
        <w:t>were opened or intercepted</w:t>
      </w:r>
      <w:r w:rsidRPr="00F55305">
        <w:rPr>
          <w:lang w:val="en-GB"/>
        </w:rPr>
        <w:t>.</w:t>
      </w:r>
      <w:bookmarkEnd w:id="280"/>
      <w:r w:rsidRPr="00F55305">
        <w:rPr>
          <w:lang w:val="en-GB"/>
        </w:rPr>
        <w:t xml:space="preserve"> </w:t>
      </w:r>
      <w:bookmarkStart w:name="lt_pId392" w:id="281"/>
      <w:r w:rsidRPr="00F55305" w:rsidR="00DB65B3">
        <w:rPr>
          <w:lang w:val="en-GB"/>
        </w:rPr>
        <w:t>It</w:t>
      </w:r>
      <w:r w:rsidRPr="00F55305">
        <w:rPr>
          <w:lang w:val="en-GB"/>
        </w:rPr>
        <w:t xml:space="preserve"> observe</w:t>
      </w:r>
      <w:r w:rsidRPr="00F55305" w:rsidR="00DB65B3">
        <w:rPr>
          <w:lang w:val="en-GB"/>
        </w:rPr>
        <w:t>s, however, that it is clear from</w:t>
      </w:r>
      <w:r w:rsidRPr="00F55305">
        <w:rPr>
          <w:lang w:val="en-GB"/>
        </w:rPr>
        <w:t xml:space="preserve"> </w:t>
      </w:r>
      <w:r w:rsidRPr="00F55305" w:rsidR="005F2985">
        <w:rPr>
          <w:lang w:val="en-GB"/>
        </w:rPr>
        <w:t>Article 25, point 10, of the school</w:t>
      </w:r>
      <w:r w:rsidRPr="00F55305" w:rsidR="00F55305">
        <w:rPr>
          <w:lang w:val="en-GB"/>
        </w:rPr>
        <w:t>’</w:t>
      </w:r>
      <w:r w:rsidRPr="00F55305" w:rsidR="005F2985">
        <w:rPr>
          <w:lang w:val="en-GB"/>
        </w:rPr>
        <w:t>s internal regulations that all pupils</w:t>
      </w:r>
      <w:r w:rsidRPr="00F55305" w:rsidR="00F55305">
        <w:rPr>
          <w:lang w:val="en-GB"/>
        </w:rPr>
        <w:t>’</w:t>
      </w:r>
      <w:r w:rsidRPr="00F55305" w:rsidR="005F2985">
        <w:rPr>
          <w:lang w:val="en-GB"/>
        </w:rPr>
        <w:t xml:space="preserve"> correspondence is monitored in order to </w:t>
      </w:r>
      <w:r w:rsidRPr="00F55305" w:rsidR="00F93454">
        <w:rPr>
          <w:lang w:val="en-GB"/>
        </w:rPr>
        <w:t>ensure that no</w:t>
      </w:r>
      <w:r w:rsidRPr="00F55305" w:rsidR="005F2985">
        <w:rPr>
          <w:lang w:val="en-GB"/>
        </w:rPr>
        <w:t xml:space="preserve"> prohibited substances or items are enclosed and </w:t>
      </w:r>
      <w:r w:rsidRPr="00F55305" w:rsidR="00450978">
        <w:rPr>
          <w:lang w:val="en-GB"/>
        </w:rPr>
        <w:t xml:space="preserve">also </w:t>
      </w:r>
      <w:r w:rsidRPr="00F55305" w:rsidR="00260472">
        <w:rPr>
          <w:lang w:val="en-GB"/>
        </w:rPr>
        <w:t>to check the</w:t>
      </w:r>
      <w:r w:rsidRPr="00F55305" w:rsidR="00450978">
        <w:rPr>
          <w:lang w:val="en-GB"/>
        </w:rPr>
        <w:t>ir contents</w:t>
      </w:r>
      <w:r w:rsidRPr="00F55305" w:rsidR="00F93454">
        <w:rPr>
          <w:lang w:val="en-GB"/>
        </w:rPr>
        <w:t xml:space="preserve"> </w:t>
      </w:r>
      <w:r w:rsidRPr="00F55305" w:rsidR="00531D9C">
        <w:rPr>
          <w:lang w:val="en-GB"/>
        </w:rPr>
        <w:t>..</w:t>
      </w:r>
      <w:r w:rsidRPr="00F55305">
        <w:rPr>
          <w:lang w:val="en-GB"/>
        </w:rPr>
        <w:t>.</w:t>
      </w:r>
      <w:bookmarkEnd w:id="281"/>
      <w:r w:rsidRPr="00F55305">
        <w:rPr>
          <w:lang w:val="en-GB"/>
        </w:rPr>
        <w:t xml:space="preserve"> </w:t>
      </w:r>
      <w:bookmarkStart w:name="lt_pId393" w:id="282"/>
      <w:r w:rsidRPr="00F55305" w:rsidR="00F93454">
        <w:rPr>
          <w:lang w:val="en-GB"/>
        </w:rPr>
        <w:t>The monitoring is therefore not the result of a decision taken by the authorities in respect of the applicant or any child in particular, but stems from direct application of the relevant domestic law</w:t>
      </w:r>
      <w:r w:rsidRPr="00F55305">
        <w:rPr>
          <w:lang w:val="en-GB"/>
        </w:rPr>
        <w:t>.</w:t>
      </w:r>
      <w:bookmarkEnd w:id="282"/>
      <w:r w:rsidRPr="00F55305">
        <w:rPr>
          <w:lang w:val="en-GB"/>
        </w:rPr>
        <w:t xml:space="preserve"> </w:t>
      </w:r>
      <w:bookmarkStart w:name="lt_pId394" w:id="283"/>
      <w:r w:rsidRPr="00F55305" w:rsidR="00450978">
        <w:rPr>
          <w:lang w:val="en-GB"/>
        </w:rPr>
        <w:t>That being so</w:t>
      </w:r>
      <w:r w:rsidRPr="00F55305">
        <w:rPr>
          <w:lang w:val="en-GB"/>
        </w:rPr>
        <w:t xml:space="preserve">, </w:t>
      </w:r>
      <w:r w:rsidRPr="00F55305" w:rsidR="008C1A2E">
        <w:rPr>
          <w:lang w:val="en-GB"/>
        </w:rPr>
        <w:t>the Court</w:t>
      </w:r>
      <w:r w:rsidRPr="00F55305" w:rsidR="00F93454">
        <w:rPr>
          <w:lang w:val="en-GB"/>
        </w:rPr>
        <w:t xml:space="preserve"> concludes that there has been interference with </w:t>
      </w:r>
      <w:r w:rsidRPr="00F55305" w:rsidR="000F2B78">
        <w:rPr>
          <w:lang w:val="en-GB"/>
        </w:rPr>
        <w:t>the applicant</w:t>
      </w:r>
      <w:r w:rsidRPr="00F55305" w:rsidR="00F55305">
        <w:rPr>
          <w:lang w:val="en-GB"/>
        </w:rPr>
        <w:t>’</w:t>
      </w:r>
      <w:r w:rsidRPr="00F55305" w:rsidR="00F93454">
        <w:rPr>
          <w:lang w:val="en-GB"/>
        </w:rPr>
        <w:t>s right to</w:t>
      </w:r>
      <w:r w:rsidRPr="00F55305">
        <w:rPr>
          <w:lang w:val="en-GB"/>
        </w:rPr>
        <w:t xml:space="preserve"> respect </w:t>
      </w:r>
      <w:r w:rsidRPr="00F55305" w:rsidR="00F93454">
        <w:rPr>
          <w:lang w:val="en-GB"/>
        </w:rPr>
        <w:t>for her</w:t>
      </w:r>
      <w:r w:rsidRPr="00F55305">
        <w:rPr>
          <w:lang w:val="en-GB"/>
        </w:rPr>
        <w:t xml:space="preserve"> </w:t>
      </w:r>
      <w:r w:rsidRPr="00F55305" w:rsidR="00741B53">
        <w:rPr>
          <w:lang w:val="en-GB"/>
        </w:rPr>
        <w:t>correspondence</w:t>
      </w:r>
      <w:r w:rsidRPr="00F55305">
        <w:rPr>
          <w:lang w:val="en-GB"/>
        </w:rPr>
        <w:t xml:space="preserve"> (</w:t>
      </w:r>
      <w:r w:rsidRPr="00F55305" w:rsidR="00F93454">
        <w:rPr>
          <w:lang w:val="en-GB"/>
        </w:rPr>
        <w:t xml:space="preserve">see </w:t>
      </w:r>
      <w:r w:rsidRPr="00F55305">
        <w:rPr>
          <w:i/>
          <w:lang w:val="en-GB"/>
        </w:rPr>
        <w:t xml:space="preserve">Campbell </w:t>
      </w:r>
      <w:r w:rsidRPr="00F55305" w:rsidR="00911608">
        <w:rPr>
          <w:i/>
          <w:lang w:val="en-GB"/>
        </w:rPr>
        <w:t>v. the United Kingdom</w:t>
      </w:r>
      <w:r w:rsidRPr="00F55305">
        <w:rPr>
          <w:lang w:val="en-GB"/>
        </w:rPr>
        <w:t>, 25 </w:t>
      </w:r>
      <w:r w:rsidRPr="00F55305" w:rsidR="00911608">
        <w:rPr>
          <w:lang w:val="en-GB"/>
        </w:rPr>
        <w:t>March</w:t>
      </w:r>
      <w:r w:rsidRPr="00F55305" w:rsidR="005B6937">
        <w:rPr>
          <w:lang w:val="en-GB"/>
        </w:rPr>
        <w:t xml:space="preserve"> 1992, § </w:t>
      </w:r>
      <w:r w:rsidRPr="00F55305">
        <w:rPr>
          <w:lang w:val="en-GB"/>
        </w:rPr>
        <w:t xml:space="preserve">33, </w:t>
      </w:r>
      <w:r w:rsidRPr="00F55305" w:rsidR="00BD277E">
        <w:rPr>
          <w:lang w:val="en-GB"/>
        </w:rPr>
        <w:t xml:space="preserve">Series </w:t>
      </w:r>
      <w:r w:rsidRPr="00F55305" w:rsidR="00911608">
        <w:rPr>
          <w:lang w:val="en-GB"/>
        </w:rPr>
        <w:t>A no.</w:t>
      </w:r>
      <w:r w:rsidRPr="00F55305">
        <w:rPr>
          <w:lang w:val="en-GB"/>
        </w:rPr>
        <w:t xml:space="preserve"> 233, </w:t>
      </w:r>
      <w:r w:rsidRPr="00F55305" w:rsidR="008C1A2E">
        <w:rPr>
          <w:lang w:val="en-GB"/>
        </w:rPr>
        <w:t>and</w:t>
      </w:r>
      <w:r w:rsidRPr="00F55305">
        <w:rPr>
          <w:lang w:val="en-GB"/>
        </w:rPr>
        <w:t xml:space="preserve"> </w:t>
      </w:r>
      <w:r w:rsidRPr="00F55305" w:rsidR="00F04923">
        <w:rPr>
          <w:i/>
          <w:lang w:val="en-GB"/>
        </w:rPr>
        <w:t>Bo</w:t>
      </w:r>
      <w:r w:rsidRPr="00F55305">
        <w:rPr>
          <w:i/>
          <w:lang w:val="en-GB"/>
        </w:rPr>
        <w:t xml:space="preserve">chev </w:t>
      </w:r>
      <w:r w:rsidRPr="00F55305" w:rsidR="00911608">
        <w:rPr>
          <w:i/>
          <w:lang w:val="en-GB"/>
        </w:rPr>
        <w:t>v. Bulgaria</w:t>
      </w:r>
      <w:r w:rsidRPr="00F55305">
        <w:rPr>
          <w:lang w:val="en-GB"/>
        </w:rPr>
        <w:t>, n</w:t>
      </w:r>
      <w:r w:rsidRPr="00F55305" w:rsidR="00F04923">
        <w:rPr>
          <w:lang w:val="en-GB"/>
        </w:rPr>
        <w:t>o.</w:t>
      </w:r>
      <w:r w:rsidRPr="00F55305" w:rsidR="005B6937">
        <w:rPr>
          <w:lang w:val="en-GB"/>
        </w:rPr>
        <w:t xml:space="preserve"> 73481/01, § 94, 13 </w:t>
      </w:r>
      <w:r w:rsidRPr="00F55305" w:rsidR="00F04923">
        <w:rPr>
          <w:lang w:val="en-GB"/>
        </w:rPr>
        <w:t>November</w:t>
      </w:r>
      <w:r w:rsidRPr="00F55305">
        <w:rPr>
          <w:lang w:val="en-GB"/>
        </w:rPr>
        <w:t xml:space="preserve"> 2008).</w:t>
      </w:r>
      <w:bookmarkEnd w:id="283"/>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101</w:t>
      </w:r>
      <w:r w:rsidRPr="00F55305">
        <w:rPr>
          <w:lang w:val="en-GB"/>
        </w:rPr>
        <w:fldChar w:fldCharType="end"/>
      </w:r>
      <w:r w:rsidRPr="00F55305">
        <w:rPr>
          <w:lang w:val="en-GB"/>
        </w:rPr>
        <w:t>.  </w:t>
      </w:r>
      <w:bookmarkStart w:name="lt_pId396" w:id="284"/>
      <w:r w:rsidRPr="00F55305">
        <w:rPr>
          <w:lang w:val="en-GB"/>
        </w:rPr>
        <w:t xml:space="preserve">Such interference will contravene Article 8 § 2 of the Convention unless it is </w:t>
      </w:r>
      <w:r w:rsidRPr="00F55305" w:rsidR="00142AD9">
        <w:rPr>
          <w:lang w:val="en-GB"/>
        </w:rPr>
        <w:t>“</w:t>
      </w:r>
      <w:r w:rsidRPr="00F55305">
        <w:rPr>
          <w:lang w:val="en-GB"/>
        </w:rPr>
        <w:t>in accordance with the law</w:t>
      </w:r>
      <w:r w:rsidRPr="00F55305" w:rsidR="00142AD9">
        <w:rPr>
          <w:lang w:val="en-GB"/>
        </w:rPr>
        <w:t>”</w:t>
      </w:r>
      <w:r w:rsidRPr="00F55305">
        <w:rPr>
          <w:lang w:val="en-GB"/>
        </w:rPr>
        <w:t>, pursues one or more legitimate aims</w:t>
      </w:r>
      <w:r w:rsidRPr="00F55305" w:rsidR="00F55305">
        <w:rPr>
          <w:lang w:val="en-GB"/>
        </w:rPr>
        <w:t xml:space="preserve"> </w:t>
      </w:r>
      <w:r w:rsidRPr="00F55305">
        <w:rPr>
          <w:lang w:val="en-GB"/>
        </w:rPr>
        <w:t xml:space="preserve">and is </w:t>
      </w:r>
      <w:r w:rsidRPr="00F55305" w:rsidR="00142AD9">
        <w:rPr>
          <w:lang w:val="en-GB"/>
        </w:rPr>
        <w:t>“</w:t>
      </w:r>
      <w:r w:rsidRPr="00F55305">
        <w:rPr>
          <w:lang w:val="en-GB"/>
        </w:rPr>
        <w:t>necessary in a democratic society</w:t>
      </w:r>
      <w:r w:rsidRPr="00F55305" w:rsidR="00142AD9">
        <w:rPr>
          <w:lang w:val="en-GB"/>
        </w:rPr>
        <w:t>”</w:t>
      </w:r>
      <w:r w:rsidRPr="00F55305">
        <w:rPr>
          <w:lang w:val="en-GB"/>
        </w:rPr>
        <w:t xml:space="preserve"> in order to achieve them.</w:t>
      </w:r>
      <w:bookmarkEnd w:id="284"/>
    </w:p>
    <w:p w:rsidRPr="00F55305" w:rsidR="00711D81" w:rsidP="00F55305" w:rsidRDefault="00711D81">
      <w:pPr>
        <w:pStyle w:val="ECHRPara"/>
        <w:rPr>
          <w:i/>
          <w:szCs w:val="24"/>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102</w:t>
      </w:r>
      <w:r w:rsidRPr="00F55305">
        <w:rPr>
          <w:lang w:val="en-GB"/>
        </w:rPr>
        <w:fldChar w:fldCharType="end"/>
      </w:r>
      <w:r w:rsidRPr="00F55305">
        <w:rPr>
          <w:lang w:val="en-GB"/>
        </w:rPr>
        <w:t>.  </w:t>
      </w:r>
      <w:bookmarkStart w:name="lt_pId398" w:id="285"/>
      <w:r w:rsidRPr="00F55305" w:rsidR="008C1A2E">
        <w:rPr>
          <w:lang w:val="en-GB"/>
        </w:rPr>
        <w:t>The Court</w:t>
      </w:r>
      <w:r w:rsidRPr="00F55305">
        <w:rPr>
          <w:lang w:val="en-GB"/>
        </w:rPr>
        <w:t xml:space="preserve"> </w:t>
      </w:r>
      <w:r w:rsidRPr="00F55305" w:rsidR="000C6E35">
        <w:rPr>
          <w:lang w:val="en-GB"/>
        </w:rPr>
        <w:t xml:space="preserve">has already noted that the </w:t>
      </w:r>
      <w:r w:rsidRPr="00F55305" w:rsidR="00450978">
        <w:rPr>
          <w:lang w:val="en-GB"/>
        </w:rPr>
        <w:t>impugned</w:t>
      </w:r>
      <w:r w:rsidRPr="00F55305" w:rsidR="000C6E35">
        <w:rPr>
          <w:lang w:val="en-GB"/>
        </w:rPr>
        <w:t xml:space="preserve"> monitoring of </w:t>
      </w:r>
      <w:r w:rsidRPr="00F55305" w:rsidR="00741B53">
        <w:rPr>
          <w:lang w:val="en-GB"/>
        </w:rPr>
        <w:t>correspondence</w:t>
      </w:r>
      <w:r w:rsidRPr="00F55305">
        <w:rPr>
          <w:lang w:val="en-GB"/>
        </w:rPr>
        <w:t xml:space="preserve"> </w:t>
      </w:r>
      <w:r w:rsidRPr="00F55305" w:rsidR="000C6E35">
        <w:rPr>
          <w:lang w:val="en-GB"/>
        </w:rPr>
        <w:t>is provided for by the</w:t>
      </w:r>
      <w:r w:rsidRPr="00F55305">
        <w:rPr>
          <w:lang w:val="en-GB"/>
        </w:rPr>
        <w:t xml:space="preserve"> applicable</w:t>
      </w:r>
      <w:r w:rsidRPr="00F55305" w:rsidR="000C6E35">
        <w:rPr>
          <w:lang w:val="en-GB"/>
        </w:rPr>
        <w:t xml:space="preserve"> regulations</w:t>
      </w:r>
      <w:r w:rsidRPr="00F55305">
        <w:rPr>
          <w:lang w:val="en-GB"/>
        </w:rPr>
        <w:t xml:space="preserve"> (</w:t>
      </w:r>
      <w:r w:rsidRPr="00F55305" w:rsidR="008C1A2E">
        <w:rPr>
          <w:lang w:val="en-GB"/>
        </w:rPr>
        <w:t>see paragraph</w:t>
      </w:r>
      <w:r w:rsidRPr="00F55305">
        <w:rPr>
          <w:lang w:val="en-GB"/>
        </w:rPr>
        <w:t xml:space="preserve">s </w:t>
      </w:r>
      <w:r w:rsidRPr="00F55305" w:rsidR="00531D9C">
        <w:rPr>
          <w:lang w:val="en-GB"/>
        </w:rPr>
        <w:t>... and</w:t>
      </w:r>
      <w:r w:rsidRPr="00F55305">
        <w:rPr>
          <w:lang w:val="en-GB"/>
        </w:rPr>
        <w:t xml:space="preserve"> 100 </w:t>
      </w:r>
      <w:r w:rsidRPr="00F55305" w:rsidR="008C1A2E">
        <w:rPr>
          <w:lang w:val="en-GB"/>
        </w:rPr>
        <w:t>above</w:t>
      </w:r>
      <w:r w:rsidRPr="00F55305">
        <w:rPr>
          <w:lang w:val="en-GB"/>
        </w:rPr>
        <w:t>).</w:t>
      </w:r>
      <w:bookmarkEnd w:id="285"/>
      <w:r w:rsidRPr="00F55305">
        <w:rPr>
          <w:lang w:val="en-GB"/>
        </w:rPr>
        <w:t xml:space="preserve"> </w:t>
      </w:r>
      <w:bookmarkStart w:name="lt_pId399" w:id="286"/>
      <w:r w:rsidRPr="00F55305" w:rsidR="000C6E35">
        <w:rPr>
          <w:lang w:val="en-GB"/>
        </w:rPr>
        <w:t>It also observes that</w:t>
      </w:r>
      <w:r w:rsidRPr="00F55305">
        <w:rPr>
          <w:lang w:val="en-GB"/>
        </w:rPr>
        <w:t xml:space="preserve"> </w:t>
      </w:r>
      <w:r w:rsidRPr="00F55305" w:rsidR="000F2B78">
        <w:rPr>
          <w:lang w:val="en-GB"/>
        </w:rPr>
        <w:t>the applicant</w:t>
      </w:r>
      <w:r w:rsidRPr="00F55305" w:rsidR="000C6E35">
        <w:rPr>
          <w:lang w:val="en-GB"/>
        </w:rPr>
        <w:t xml:space="preserve"> has not disputed that the relevant provision was </w:t>
      </w:r>
      <w:r w:rsidRPr="00F55305">
        <w:rPr>
          <w:lang w:val="en-GB"/>
        </w:rPr>
        <w:t xml:space="preserve">accessible </w:t>
      </w:r>
      <w:r w:rsidRPr="00F55305" w:rsidR="008C1A2E">
        <w:rPr>
          <w:lang w:val="en-GB"/>
        </w:rPr>
        <w:t>and</w:t>
      </w:r>
      <w:r w:rsidRPr="00F55305">
        <w:rPr>
          <w:lang w:val="en-GB"/>
        </w:rPr>
        <w:t xml:space="preserve"> </w:t>
      </w:r>
      <w:r w:rsidRPr="00F55305" w:rsidR="000C6E35">
        <w:rPr>
          <w:lang w:val="en-GB"/>
        </w:rPr>
        <w:t>foreseeable as to its application</w:t>
      </w:r>
      <w:r w:rsidRPr="00F55305">
        <w:rPr>
          <w:lang w:val="en-GB"/>
        </w:rPr>
        <w:t>.</w:t>
      </w:r>
      <w:bookmarkEnd w:id="286"/>
      <w:r w:rsidRPr="00F55305">
        <w:rPr>
          <w:lang w:val="en-GB"/>
        </w:rPr>
        <w:t xml:space="preserve"> </w:t>
      </w:r>
      <w:bookmarkStart w:name="lt_pId400" w:id="287"/>
      <w:r w:rsidRPr="00F55305" w:rsidR="000C6E35">
        <w:rPr>
          <w:lang w:val="en-GB"/>
        </w:rPr>
        <w:t>Moreover, it can accept that the</w:t>
      </w:r>
      <w:r w:rsidRPr="00F55305">
        <w:rPr>
          <w:lang w:val="en-GB"/>
        </w:rPr>
        <w:t xml:space="preserve"> </w:t>
      </w:r>
      <w:r w:rsidRPr="00F55305" w:rsidR="00741B53">
        <w:rPr>
          <w:lang w:val="en-GB"/>
        </w:rPr>
        <w:t>correspondence</w:t>
      </w:r>
      <w:r w:rsidRPr="00F55305">
        <w:rPr>
          <w:lang w:val="en-GB"/>
        </w:rPr>
        <w:t xml:space="preserve"> </w:t>
      </w:r>
      <w:r w:rsidRPr="00F55305" w:rsidR="000C6E35">
        <w:rPr>
          <w:lang w:val="en-GB"/>
        </w:rPr>
        <w:t>of juveniles in a secure educational facility may be monitored in order to prevent</w:t>
      </w:r>
      <w:r w:rsidRPr="00F55305">
        <w:rPr>
          <w:lang w:val="en-GB"/>
        </w:rPr>
        <w:t xml:space="preserve"> </w:t>
      </w:r>
      <w:r w:rsidRPr="00F55305" w:rsidR="000C6E35">
        <w:rPr>
          <w:lang w:val="en-GB"/>
        </w:rPr>
        <w:t>the arrival of</w:t>
      </w:r>
      <w:r w:rsidRPr="00F55305" w:rsidR="00450978">
        <w:rPr>
          <w:lang w:val="en-GB"/>
        </w:rPr>
        <w:t>, among other things,</w:t>
      </w:r>
      <w:r w:rsidRPr="00F55305" w:rsidR="000C6E35">
        <w:rPr>
          <w:lang w:val="en-GB"/>
        </w:rPr>
        <w:t xml:space="preserve"> substances and items that may cause damage to the health and rights of other juveniles, or </w:t>
      </w:r>
      <w:r w:rsidRPr="00F55305" w:rsidR="00E36F07">
        <w:rPr>
          <w:lang w:val="en-GB"/>
        </w:rPr>
        <w:t xml:space="preserve">that </w:t>
      </w:r>
      <w:r w:rsidRPr="00F55305" w:rsidR="000C6E35">
        <w:rPr>
          <w:lang w:val="en-GB"/>
        </w:rPr>
        <w:t xml:space="preserve">risk undermining the established order within the institution. This is clear from the wording of </w:t>
      </w:r>
      <w:bookmarkStart w:name="lt_pId401" w:id="288"/>
      <w:bookmarkEnd w:id="287"/>
      <w:r w:rsidRPr="00F55305" w:rsidR="000C6E35">
        <w:rPr>
          <w:lang w:val="en-GB"/>
        </w:rPr>
        <w:t>A</w:t>
      </w:r>
      <w:r w:rsidRPr="00F55305" w:rsidR="000F2B78">
        <w:rPr>
          <w:lang w:val="en-GB"/>
        </w:rPr>
        <w:t>rticle 2</w:t>
      </w:r>
      <w:r w:rsidRPr="00F55305">
        <w:rPr>
          <w:lang w:val="en-GB"/>
        </w:rPr>
        <w:t xml:space="preserve">5, point 10, </w:t>
      </w:r>
      <w:r w:rsidRPr="00F55305" w:rsidR="00EE3913">
        <w:rPr>
          <w:lang w:val="en-GB"/>
        </w:rPr>
        <w:t>of</w:t>
      </w:r>
      <w:r w:rsidRPr="00F55305">
        <w:rPr>
          <w:lang w:val="en-GB"/>
        </w:rPr>
        <w:t xml:space="preserve"> </w:t>
      </w:r>
      <w:r w:rsidRPr="00F55305" w:rsidR="003B5A4F">
        <w:rPr>
          <w:lang w:val="en-GB"/>
        </w:rPr>
        <w:t>the Podem school</w:t>
      </w:r>
      <w:r w:rsidRPr="00F55305" w:rsidR="00F55305">
        <w:rPr>
          <w:lang w:val="en-GB"/>
        </w:rPr>
        <w:t>’</w:t>
      </w:r>
      <w:r w:rsidRPr="00F55305" w:rsidR="00EE3913">
        <w:rPr>
          <w:lang w:val="en-GB"/>
        </w:rPr>
        <w:t>s internal regulations</w:t>
      </w:r>
      <w:r w:rsidRPr="00F55305">
        <w:rPr>
          <w:lang w:val="en-GB"/>
        </w:rPr>
        <w:t xml:space="preserve"> (</w:t>
      </w:r>
      <w:r w:rsidRPr="00F55305" w:rsidR="008C1A2E">
        <w:rPr>
          <w:lang w:val="en-GB"/>
        </w:rPr>
        <w:t>see paragraph</w:t>
      </w:r>
      <w:r w:rsidRPr="00F55305">
        <w:rPr>
          <w:lang w:val="en-GB"/>
        </w:rPr>
        <w:t xml:space="preserve">s </w:t>
      </w:r>
      <w:r w:rsidRPr="00F55305" w:rsidR="00531D9C">
        <w:rPr>
          <w:lang w:val="en-GB"/>
        </w:rPr>
        <w:t>...</w:t>
      </w:r>
      <w:r w:rsidRPr="00F55305">
        <w:rPr>
          <w:lang w:val="en-GB"/>
        </w:rPr>
        <w:t xml:space="preserve"> </w:t>
      </w:r>
      <w:r w:rsidRPr="00F55305" w:rsidR="008C1A2E">
        <w:rPr>
          <w:lang w:val="en-GB"/>
        </w:rPr>
        <w:t>and</w:t>
      </w:r>
      <w:r w:rsidRPr="00F55305">
        <w:rPr>
          <w:lang w:val="en-GB"/>
        </w:rPr>
        <w:t xml:space="preserve"> 100 </w:t>
      </w:r>
      <w:r w:rsidRPr="00F55305" w:rsidR="008C1A2E">
        <w:rPr>
          <w:lang w:val="en-GB"/>
        </w:rPr>
        <w:t>above</w:t>
      </w:r>
      <w:r w:rsidRPr="00F55305">
        <w:rPr>
          <w:lang w:val="en-GB"/>
        </w:rPr>
        <w:t>).</w:t>
      </w:r>
      <w:bookmarkEnd w:id="288"/>
      <w:r w:rsidRPr="00F55305">
        <w:rPr>
          <w:lang w:val="en-GB"/>
        </w:rPr>
        <w:t xml:space="preserve"> </w:t>
      </w:r>
      <w:bookmarkStart w:name="lt_pId402" w:id="289"/>
      <w:r w:rsidRPr="00F55305" w:rsidR="00450978">
        <w:rPr>
          <w:lang w:val="en-GB"/>
        </w:rPr>
        <w:t>T</w:t>
      </w:r>
      <w:r w:rsidRPr="00F55305" w:rsidR="00EE3913">
        <w:rPr>
          <w:lang w:val="en-GB"/>
        </w:rPr>
        <w:t xml:space="preserve">he interference complained of </w:t>
      </w:r>
      <w:r w:rsidRPr="00F55305" w:rsidR="00450978">
        <w:rPr>
          <w:lang w:val="en-GB"/>
        </w:rPr>
        <w:t xml:space="preserve">can therefore be said to have </w:t>
      </w:r>
      <w:r w:rsidRPr="00F55305" w:rsidR="00EE3913">
        <w:rPr>
          <w:lang w:val="en-GB"/>
        </w:rPr>
        <w:t xml:space="preserve">pursued the aims of </w:t>
      </w:r>
      <w:r w:rsidRPr="00F55305" w:rsidR="00142AD9">
        <w:rPr>
          <w:lang w:val="en-GB"/>
        </w:rPr>
        <w:t>“</w:t>
      </w:r>
      <w:r w:rsidRPr="00F55305" w:rsidR="00EE3913">
        <w:rPr>
          <w:lang w:val="en-GB"/>
        </w:rPr>
        <w:t>prevention of disorder</w:t>
      </w:r>
      <w:r w:rsidRPr="00F55305" w:rsidR="00142AD9">
        <w:rPr>
          <w:lang w:val="en-GB"/>
        </w:rPr>
        <w:t>”</w:t>
      </w:r>
      <w:r w:rsidRPr="00F55305" w:rsidR="00EE3913">
        <w:rPr>
          <w:lang w:val="en-GB"/>
        </w:rPr>
        <w:t xml:space="preserve">, </w:t>
      </w:r>
      <w:r w:rsidRPr="00F55305" w:rsidR="00142AD9">
        <w:rPr>
          <w:lang w:val="en-GB"/>
        </w:rPr>
        <w:t>“</w:t>
      </w:r>
      <w:r w:rsidRPr="00F55305" w:rsidR="00EE3913">
        <w:rPr>
          <w:lang w:val="en-GB"/>
        </w:rPr>
        <w:t>protection of health</w:t>
      </w:r>
      <w:r w:rsidRPr="00F55305" w:rsidR="00142AD9">
        <w:rPr>
          <w:lang w:val="en-GB"/>
        </w:rPr>
        <w:t>”</w:t>
      </w:r>
      <w:r w:rsidRPr="00F55305" w:rsidR="00EE3913">
        <w:rPr>
          <w:lang w:val="en-GB"/>
        </w:rPr>
        <w:t xml:space="preserve"> </w:t>
      </w:r>
      <w:r w:rsidRPr="00F55305" w:rsidR="008C1A2E">
        <w:rPr>
          <w:lang w:val="en-GB"/>
        </w:rPr>
        <w:t>and</w:t>
      </w:r>
      <w:r w:rsidRPr="00F55305">
        <w:rPr>
          <w:lang w:val="en-GB"/>
        </w:rPr>
        <w:t xml:space="preserve"> </w:t>
      </w:r>
      <w:r w:rsidRPr="00F55305" w:rsidR="00142AD9">
        <w:rPr>
          <w:lang w:val="en-GB"/>
        </w:rPr>
        <w:t>“</w:t>
      </w:r>
      <w:r w:rsidRPr="00F55305">
        <w:rPr>
          <w:lang w:val="en-GB"/>
        </w:rPr>
        <w:t xml:space="preserve">protection </w:t>
      </w:r>
      <w:r w:rsidRPr="00F55305" w:rsidR="00EE3913">
        <w:rPr>
          <w:lang w:val="en-GB"/>
        </w:rPr>
        <w:t>of the rights of others</w:t>
      </w:r>
      <w:r w:rsidRPr="00F55305" w:rsidR="00142AD9">
        <w:rPr>
          <w:lang w:val="en-GB"/>
        </w:rPr>
        <w:t>”</w:t>
      </w:r>
      <w:r w:rsidRPr="00F55305">
        <w:rPr>
          <w:lang w:val="en-GB"/>
        </w:rPr>
        <w:t xml:space="preserve">, </w:t>
      </w:r>
      <w:r w:rsidRPr="00F55305" w:rsidR="00EE3913">
        <w:rPr>
          <w:lang w:val="en-GB"/>
        </w:rPr>
        <w:t xml:space="preserve">within the meaning of </w:t>
      </w:r>
      <w:r w:rsidRPr="00F55305" w:rsidR="008F4E10">
        <w:rPr>
          <w:lang w:val="en-GB"/>
        </w:rPr>
        <w:t>Article 8</w:t>
      </w:r>
      <w:r w:rsidRPr="00F55305">
        <w:rPr>
          <w:lang w:val="en-GB"/>
        </w:rPr>
        <w:t xml:space="preserve"> § 2 </w:t>
      </w:r>
      <w:r w:rsidRPr="00F55305" w:rsidR="008F4E10">
        <w:rPr>
          <w:lang w:val="en-GB"/>
        </w:rPr>
        <w:t>of the Convention</w:t>
      </w:r>
      <w:r w:rsidRPr="00F55305">
        <w:rPr>
          <w:lang w:val="en-GB"/>
        </w:rPr>
        <w:t xml:space="preserve"> (</w:t>
      </w:r>
      <w:r w:rsidRPr="00F55305" w:rsidR="00431EFB">
        <w:rPr>
          <w:lang w:val="en-GB"/>
        </w:rPr>
        <w:t>see also</w:t>
      </w:r>
      <w:r w:rsidRPr="00F55305">
        <w:rPr>
          <w:lang w:val="en-GB"/>
        </w:rPr>
        <w:t xml:space="preserve">, </w:t>
      </w:r>
      <w:r w:rsidRPr="00F55305">
        <w:rPr>
          <w:i/>
          <w:lang w:val="en-GB"/>
        </w:rPr>
        <w:t>mutatis mutandis</w:t>
      </w:r>
      <w:r w:rsidRPr="00F55305">
        <w:rPr>
          <w:lang w:val="en-GB"/>
        </w:rPr>
        <w:t xml:space="preserve">, </w:t>
      </w:r>
      <w:r w:rsidRPr="00F55305">
        <w:rPr>
          <w:i/>
          <w:lang w:val="en-GB"/>
        </w:rPr>
        <w:t>Campbell</w:t>
      </w:r>
      <w:r w:rsidRPr="00F55305">
        <w:rPr>
          <w:lang w:val="en-GB"/>
        </w:rPr>
        <w:t>,</w:t>
      </w:r>
      <w:r w:rsidRPr="00F55305">
        <w:rPr>
          <w:i/>
          <w:lang w:val="en-GB"/>
        </w:rPr>
        <w:t xml:space="preserve"> </w:t>
      </w:r>
      <w:r w:rsidRPr="00F55305" w:rsidR="00BD277E">
        <w:rPr>
          <w:lang w:val="en-GB"/>
        </w:rPr>
        <w:t>cited above</w:t>
      </w:r>
      <w:r w:rsidRPr="00F55305">
        <w:rPr>
          <w:lang w:val="en-GB"/>
        </w:rPr>
        <w:t xml:space="preserve">, § 41, </w:t>
      </w:r>
      <w:r w:rsidRPr="00F55305" w:rsidR="008C1A2E">
        <w:rPr>
          <w:lang w:val="en-GB"/>
        </w:rPr>
        <w:t>and</w:t>
      </w:r>
      <w:r w:rsidRPr="00F55305">
        <w:rPr>
          <w:lang w:val="en-GB"/>
        </w:rPr>
        <w:t xml:space="preserve"> </w:t>
      </w:r>
      <w:r w:rsidRPr="00F55305">
        <w:rPr>
          <w:i/>
          <w:lang w:val="en-GB"/>
        </w:rPr>
        <w:t xml:space="preserve">Petrov </w:t>
      </w:r>
      <w:r w:rsidRPr="00F55305" w:rsidR="00911608">
        <w:rPr>
          <w:i/>
          <w:lang w:val="en-GB"/>
        </w:rPr>
        <w:t>v. Bulgaria</w:t>
      </w:r>
      <w:r w:rsidRPr="00F55305">
        <w:rPr>
          <w:lang w:val="en-GB"/>
        </w:rPr>
        <w:t>, n</w:t>
      </w:r>
      <w:r w:rsidRPr="00F55305" w:rsidR="00EE3913">
        <w:rPr>
          <w:lang w:val="en-GB"/>
        </w:rPr>
        <w:t>o.</w:t>
      </w:r>
      <w:r w:rsidRPr="00F55305">
        <w:rPr>
          <w:lang w:val="en-GB"/>
        </w:rPr>
        <w:t xml:space="preserve"> 15197/02, § 42, 22 </w:t>
      </w:r>
      <w:r w:rsidRPr="00F55305" w:rsidR="006901CA">
        <w:rPr>
          <w:lang w:val="en-GB"/>
        </w:rPr>
        <w:t>May</w:t>
      </w:r>
      <w:r w:rsidRPr="00F55305">
        <w:rPr>
          <w:lang w:val="en-GB"/>
        </w:rPr>
        <w:t xml:space="preserve"> 2008).</w:t>
      </w:r>
      <w:bookmarkEnd w:id="289"/>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103</w:t>
      </w:r>
      <w:r w:rsidRPr="00F55305">
        <w:rPr>
          <w:lang w:val="en-GB"/>
        </w:rPr>
        <w:fldChar w:fldCharType="end"/>
      </w:r>
      <w:r w:rsidRPr="00F55305">
        <w:rPr>
          <w:lang w:val="en-GB"/>
        </w:rPr>
        <w:t>.  </w:t>
      </w:r>
      <w:bookmarkStart w:name="lt_pId404" w:id="290"/>
      <w:r w:rsidRPr="00F55305">
        <w:rPr>
          <w:lang w:val="en-GB"/>
        </w:rPr>
        <w:t>I</w:t>
      </w:r>
      <w:r w:rsidRPr="00F55305" w:rsidR="00EE3913">
        <w:rPr>
          <w:lang w:val="en-GB"/>
        </w:rPr>
        <w:t xml:space="preserve">t remains to be determined whether the systematic and automatic monitoring of the </w:t>
      </w:r>
      <w:r w:rsidRPr="00F55305" w:rsidR="00741B53">
        <w:rPr>
          <w:lang w:val="en-GB"/>
        </w:rPr>
        <w:t>correspondence</w:t>
      </w:r>
      <w:r w:rsidRPr="00F55305">
        <w:rPr>
          <w:lang w:val="en-GB"/>
        </w:rPr>
        <w:t xml:space="preserve"> </w:t>
      </w:r>
      <w:r w:rsidRPr="00F55305" w:rsidR="00EE3913">
        <w:rPr>
          <w:lang w:val="en-GB"/>
        </w:rPr>
        <w:t xml:space="preserve">of the juveniles placed in </w:t>
      </w:r>
      <w:r w:rsidRPr="00F55305" w:rsidR="003B5A4F">
        <w:rPr>
          <w:lang w:val="en-GB"/>
        </w:rPr>
        <w:t>the Podem school</w:t>
      </w:r>
      <w:r w:rsidRPr="00F55305">
        <w:rPr>
          <w:lang w:val="en-GB"/>
        </w:rPr>
        <w:t xml:space="preserve"> </w:t>
      </w:r>
      <w:r w:rsidRPr="00F55305" w:rsidR="00EE3913">
        <w:rPr>
          <w:lang w:val="en-GB"/>
        </w:rPr>
        <w:t xml:space="preserve">was </w:t>
      </w:r>
      <w:r w:rsidRPr="00F55305" w:rsidR="00142AD9">
        <w:rPr>
          <w:lang w:val="en-GB"/>
        </w:rPr>
        <w:t>“</w:t>
      </w:r>
      <w:r w:rsidRPr="00F55305" w:rsidR="00EE3913">
        <w:rPr>
          <w:lang w:val="en-GB"/>
        </w:rPr>
        <w:t>necessary in a democratic society</w:t>
      </w:r>
      <w:r w:rsidRPr="00F55305" w:rsidR="00142AD9">
        <w:rPr>
          <w:lang w:val="en-GB"/>
        </w:rPr>
        <w:t>”</w:t>
      </w:r>
      <w:r w:rsidRPr="00F55305" w:rsidR="00EE3913">
        <w:rPr>
          <w:lang w:val="en-GB"/>
        </w:rPr>
        <w:t>.</w:t>
      </w:r>
      <w:r w:rsidRPr="00F55305">
        <w:rPr>
          <w:lang w:val="en-GB"/>
        </w:rPr>
        <w:t xml:space="preserve"> </w:t>
      </w:r>
      <w:bookmarkEnd w:id="290"/>
      <w:r w:rsidRPr="00F55305" w:rsidR="00EE3913">
        <w:rPr>
          <w:lang w:val="en-GB"/>
        </w:rPr>
        <w:t>To determine whether this was the case, regard must be had to the normal an</w:t>
      </w:r>
      <w:bookmarkStart w:name="lt_pId405" w:id="291"/>
      <w:r w:rsidRPr="00F55305" w:rsidR="008B7822">
        <w:rPr>
          <w:lang w:val="en-GB"/>
        </w:rPr>
        <w:t>d reasonable</w:t>
      </w:r>
      <w:r w:rsidRPr="00F55305" w:rsidR="00EE3913">
        <w:rPr>
          <w:lang w:val="en-GB"/>
        </w:rPr>
        <w:t xml:space="preserve"> requirements of de</w:t>
      </w:r>
      <w:r w:rsidRPr="00F55305">
        <w:rPr>
          <w:lang w:val="en-GB"/>
        </w:rPr>
        <w:t>tention.</w:t>
      </w:r>
      <w:bookmarkEnd w:id="291"/>
      <w:r w:rsidRPr="00F55305">
        <w:rPr>
          <w:lang w:val="en-GB"/>
        </w:rPr>
        <w:t xml:space="preserve"> </w:t>
      </w:r>
      <w:bookmarkStart w:name="lt_pId406" w:id="292"/>
      <w:r w:rsidRPr="00F55305">
        <w:rPr>
          <w:lang w:val="en-GB"/>
        </w:rPr>
        <w:t xml:space="preserve">The Court reiterates that some measure of control over the correspondence of persons who have been deprived of their liberty is called for and is not of itself incompatible with the Convention (see </w:t>
      </w:r>
      <w:r w:rsidRPr="00F55305">
        <w:rPr>
          <w:i/>
          <w:lang w:val="en-GB"/>
        </w:rPr>
        <w:t>Silver and Others v. the United Kingdom</w:t>
      </w:r>
      <w:r w:rsidRPr="00F55305">
        <w:rPr>
          <w:lang w:val="en-GB"/>
        </w:rPr>
        <w:t xml:space="preserve">, 25 March 1983, § 98, Series </w:t>
      </w:r>
      <w:r w:rsidRPr="00F55305" w:rsidR="00911608">
        <w:rPr>
          <w:lang w:val="en-GB"/>
        </w:rPr>
        <w:t>A no</w:t>
      </w:r>
      <w:r w:rsidRPr="00F55305">
        <w:rPr>
          <w:lang w:val="en-GB"/>
        </w:rPr>
        <w:t xml:space="preserve">. 61, and </w:t>
      </w:r>
      <w:r w:rsidRPr="00F55305">
        <w:rPr>
          <w:i/>
          <w:lang w:val="en-GB"/>
        </w:rPr>
        <w:t>Campbell</w:t>
      </w:r>
      <w:r w:rsidRPr="00F55305">
        <w:rPr>
          <w:lang w:val="en-GB"/>
        </w:rPr>
        <w:t>, cited above, § 45).</w:t>
      </w:r>
      <w:bookmarkEnd w:id="29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104</w:t>
      </w:r>
      <w:r w:rsidRPr="00F55305">
        <w:rPr>
          <w:lang w:val="en-GB"/>
        </w:rPr>
        <w:fldChar w:fldCharType="end"/>
      </w:r>
      <w:r w:rsidRPr="00F55305">
        <w:rPr>
          <w:lang w:val="en-GB"/>
        </w:rPr>
        <w:t>.  </w:t>
      </w:r>
      <w:bookmarkStart w:name="lt_pId408" w:id="293"/>
      <w:r w:rsidRPr="00F55305" w:rsidR="008C1A2E">
        <w:rPr>
          <w:lang w:val="en-GB"/>
        </w:rPr>
        <w:t>The Court</w:t>
      </w:r>
      <w:r w:rsidRPr="00F55305">
        <w:rPr>
          <w:lang w:val="en-GB"/>
        </w:rPr>
        <w:t xml:space="preserve"> note</w:t>
      </w:r>
      <w:r w:rsidRPr="00F55305" w:rsidR="00DF5C82">
        <w:rPr>
          <w:lang w:val="en-GB"/>
        </w:rPr>
        <w:t>s that the present case raises the issue of whether the authorities</w:t>
      </w:r>
      <w:r w:rsidRPr="00F55305" w:rsidR="00F55305">
        <w:rPr>
          <w:lang w:val="en-GB"/>
        </w:rPr>
        <w:t>’</w:t>
      </w:r>
      <w:r w:rsidRPr="00F55305" w:rsidR="00DF5C82">
        <w:rPr>
          <w:lang w:val="en-GB"/>
        </w:rPr>
        <w:t xml:space="preserve"> </w:t>
      </w:r>
      <w:r w:rsidRPr="00F55305">
        <w:rPr>
          <w:lang w:val="en-GB"/>
        </w:rPr>
        <w:t>in</w:t>
      </w:r>
      <w:r w:rsidRPr="00F55305" w:rsidR="00DF5C82">
        <w:rPr>
          <w:lang w:val="en-GB"/>
        </w:rPr>
        <w:t>terfer</w:t>
      </w:r>
      <w:r w:rsidRPr="00F55305">
        <w:rPr>
          <w:lang w:val="en-GB"/>
        </w:rPr>
        <w:t xml:space="preserve">ence </w:t>
      </w:r>
      <w:r w:rsidRPr="00F55305" w:rsidR="00DF5C82">
        <w:rPr>
          <w:lang w:val="en-GB"/>
        </w:rPr>
        <w:t xml:space="preserve">with the exercise by juveniles placed in a secure institution of their right to respect for their </w:t>
      </w:r>
      <w:r w:rsidRPr="00F55305" w:rsidR="00741B53">
        <w:rPr>
          <w:lang w:val="en-GB"/>
        </w:rPr>
        <w:t>correspondence</w:t>
      </w:r>
      <w:r w:rsidRPr="00F55305">
        <w:rPr>
          <w:lang w:val="en-GB"/>
        </w:rPr>
        <w:t xml:space="preserve"> </w:t>
      </w:r>
      <w:r w:rsidRPr="00F55305" w:rsidR="00DF5C82">
        <w:rPr>
          <w:lang w:val="en-GB"/>
        </w:rPr>
        <w:t>was proportionate</w:t>
      </w:r>
      <w:r w:rsidRPr="00F55305" w:rsidR="00075C13">
        <w:rPr>
          <w:lang w:val="en-GB"/>
        </w:rPr>
        <w:t>, both in relation</w:t>
      </w:r>
      <w:r w:rsidRPr="00F55305" w:rsidR="00DF5C82">
        <w:rPr>
          <w:lang w:val="en-GB"/>
        </w:rPr>
        <w:t xml:space="preserve"> to the aims referred to</w:t>
      </w:r>
      <w:r w:rsidRPr="00F55305">
        <w:rPr>
          <w:lang w:val="en-GB"/>
        </w:rPr>
        <w:t xml:space="preserve"> (</w:t>
      </w:r>
      <w:r w:rsidRPr="00F55305" w:rsidR="008C1A2E">
        <w:rPr>
          <w:lang w:val="en-GB"/>
        </w:rPr>
        <w:t>see paragraph</w:t>
      </w:r>
      <w:r w:rsidRPr="00F55305">
        <w:rPr>
          <w:lang w:val="en-GB"/>
        </w:rPr>
        <w:t xml:space="preserve"> 102 </w:t>
      </w:r>
      <w:r w:rsidRPr="00F55305" w:rsidR="008C1A2E">
        <w:rPr>
          <w:lang w:val="en-GB"/>
        </w:rPr>
        <w:t>above</w:t>
      </w:r>
      <w:r w:rsidRPr="00F55305" w:rsidR="00075C13">
        <w:rPr>
          <w:lang w:val="en-GB"/>
        </w:rPr>
        <w:t xml:space="preserve">) and in view of the specific needs of </w:t>
      </w:r>
      <w:r w:rsidRPr="00F55305" w:rsidR="00E127E6">
        <w:rPr>
          <w:lang w:val="en-GB"/>
        </w:rPr>
        <w:t xml:space="preserve">educational </w:t>
      </w:r>
      <w:r w:rsidRPr="00F55305" w:rsidR="00075C13">
        <w:rPr>
          <w:lang w:val="en-GB"/>
        </w:rPr>
        <w:t>supervis</w:t>
      </w:r>
      <w:r w:rsidRPr="00F55305" w:rsidR="00E127E6">
        <w:rPr>
          <w:lang w:val="en-GB"/>
        </w:rPr>
        <w:t>ion</w:t>
      </w:r>
      <w:r w:rsidRPr="00F55305" w:rsidR="00075C13">
        <w:rPr>
          <w:lang w:val="en-GB"/>
        </w:rPr>
        <w:t>.</w:t>
      </w:r>
      <w:r w:rsidRPr="00F55305">
        <w:rPr>
          <w:lang w:val="en-GB"/>
        </w:rPr>
        <w:t xml:space="preserve"> </w:t>
      </w:r>
      <w:bookmarkStart w:name="lt_pId409" w:id="294"/>
      <w:bookmarkEnd w:id="293"/>
      <w:r w:rsidRPr="00F55305" w:rsidR="00C206AD">
        <w:rPr>
          <w:lang w:val="en-GB"/>
        </w:rPr>
        <w:t xml:space="preserve">It considers in this regard that </w:t>
      </w:r>
      <w:r w:rsidRPr="00F55305" w:rsidR="004E6163">
        <w:rPr>
          <w:lang w:val="en-GB"/>
        </w:rPr>
        <w:t>the margin of appreciation which the authorities may be afforded in such circumstances is narrower than in the area of monitoring prisoners who have committed a criminal offence.</w:t>
      </w:r>
      <w:bookmarkEnd w:id="294"/>
      <w:r w:rsidRPr="00F55305">
        <w:rPr>
          <w:lang w:val="en-GB"/>
        </w:rPr>
        <w:t xml:space="preserve"> </w:t>
      </w:r>
      <w:bookmarkStart w:name="lt_pId410" w:id="295"/>
      <w:r w:rsidRPr="00F55305" w:rsidR="004E6163">
        <w:rPr>
          <w:lang w:val="en-GB"/>
        </w:rPr>
        <w:t xml:space="preserve">This stems from the very </w:t>
      </w:r>
      <w:r w:rsidRPr="00F55305">
        <w:rPr>
          <w:lang w:val="en-GB"/>
        </w:rPr>
        <w:t>nature</w:t>
      </w:r>
      <w:r w:rsidRPr="00F55305" w:rsidR="004E6163">
        <w:rPr>
          <w:lang w:val="en-GB"/>
        </w:rPr>
        <w:t xml:space="preserve"> of the </w:t>
      </w:r>
      <w:r w:rsidRPr="00F55305" w:rsidR="008B7822">
        <w:rPr>
          <w:lang w:val="en-GB"/>
        </w:rPr>
        <w:t>admission</w:t>
      </w:r>
      <w:r w:rsidRPr="00F55305">
        <w:rPr>
          <w:lang w:val="en-GB"/>
        </w:rPr>
        <w:t xml:space="preserve"> </w:t>
      </w:r>
      <w:r w:rsidRPr="00F55305" w:rsidR="00BF4E5A">
        <w:rPr>
          <w:lang w:val="en-GB"/>
        </w:rPr>
        <w:t xml:space="preserve">of </w:t>
      </w:r>
      <w:r w:rsidRPr="00F55305" w:rsidR="00450978">
        <w:rPr>
          <w:lang w:val="en-GB"/>
        </w:rPr>
        <w:t>juveniles</w:t>
      </w:r>
      <w:r w:rsidRPr="00F55305">
        <w:rPr>
          <w:lang w:val="en-GB"/>
        </w:rPr>
        <w:t xml:space="preserve"> </w:t>
      </w:r>
      <w:r w:rsidRPr="00F55305" w:rsidR="008B7822">
        <w:rPr>
          <w:lang w:val="en-GB"/>
        </w:rPr>
        <w:t xml:space="preserve">to institutions </w:t>
      </w:r>
      <w:r w:rsidRPr="00F55305" w:rsidR="00BF4E5A">
        <w:rPr>
          <w:lang w:val="en-GB"/>
        </w:rPr>
        <w:t>for the purpose of e</w:t>
      </w:r>
      <w:r w:rsidRPr="00F55305">
        <w:rPr>
          <w:lang w:val="en-GB"/>
        </w:rPr>
        <w:t>ducati</w:t>
      </w:r>
      <w:r w:rsidRPr="00F55305" w:rsidR="00BF4E5A">
        <w:rPr>
          <w:lang w:val="en-GB"/>
        </w:rPr>
        <w:t>ng them</w:t>
      </w:r>
      <w:r w:rsidRPr="00F55305">
        <w:rPr>
          <w:lang w:val="en-GB"/>
        </w:rPr>
        <w:t xml:space="preserve"> </w:t>
      </w:r>
      <w:r w:rsidRPr="00F55305" w:rsidR="008C1A2E">
        <w:rPr>
          <w:lang w:val="en-GB"/>
        </w:rPr>
        <w:t>and</w:t>
      </w:r>
      <w:r w:rsidRPr="00F55305">
        <w:rPr>
          <w:lang w:val="en-GB"/>
        </w:rPr>
        <w:t xml:space="preserve"> </w:t>
      </w:r>
      <w:r w:rsidRPr="00F55305" w:rsidR="00BF4E5A">
        <w:rPr>
          <w:lang w:val="en-GB"/>
        </w:rPr>
        <w:t xml:space="preserve">preparing them for life in the community. </w:t>
      </w:r>
      <w:r w:rsidRPr="00F55305" w:rsidR="00F73960">
        <w:rPr>
          <w:lang w:val="en-GB"/>
        </w:rPr>
        <w:t xml:space="preserve">Where </w:t>
      </w:r>
      <w:r w:rsidRPr="00F55305" w:rsidR="009A76F4">
        <w:rPr>
          <w:lang w:val="en-GB"/>
        </w:rPr>
        <w:t>juveniles</w:t>
      </w:r>
      <w:r w:rsidRPr="00F55305" w:rsidR="00F73960">
        <w:rPr>
          <w:lang w:val="en-GB"/>
        </w:rPr>
        <w:t xml:space="preserve"> are in the care of the authorities, as in the present ca</w:t>
      </w:r>
      <w:r w:rsidRPr="00F55305" w:rsidR="009A76F4">
        <w:rPr>
          <w:lang w:val="en-GB"/>
        </w:rPr>
        <w:t>se,</w:t>
      </w:r>
      <w:r w:rsidRPr="00F55305" w:rsidR="00F73960">
        <w:rPr>
          <w:lang w:val="en-GB"/>
        </w:rPr>
        <w:t xml:space="preserve"> all steps must be taken to ensure that they have sufficient contact with the outside world, including by means of written correspondence, as this is an integral part of their right to be treated with dignity and is essential in preparing them for reintegration into society</w:t>
      </w:r>
      <w:bookmarkStart w:name="lt_pId411" w:id="296"/>
      <w:bookmarkEnd w:id="295"/>
      <w:r w:rsidRPr="00F55305">
        <w:rPr>
          <w:lang w:val="en-GB"/>
        </w:rPr>
        <w:t>.</w:t>
      </w:r>
      <w:bookmarkEnd w:id="296"/>
      <w:r w:rsidRPr="00F55305">
        <w:rPr>
          <w:lang w:val="en-GB"/>
        </w:rPr>
        <w:t xml:space="preserve"> </w:t>
      </w:r>
      <w:bookmarkStart w:name="lt_pId412" w:id="297"/>
      <w:r w:rsidRPr="00F55305" w:rsidR="008C1A2E">
        <w:rPr>
          <w:lang w:val="en-GB"/>
        </w:rPr>
        <w:t>The Court</w:t>
      </w:r>
      <w:r w:rsidRPr="00F55305">
        <w:rPr>
          <w:lang w:val="en-GB"/>
        </w:rPr>
        <w:t xml:space="preserve"> </w:t>
      </w:r>
      <w:r w:rsidRPr="00F55305" w:rsidR="00F73960">
        <w:rPr>
          <w:lang w:val="en-GB"/>
        </w:rPr>
        <w:t>refers in this connection to the</w:t>
      </w:r>
      <w:r w:rsidRPr="00F55305">
        <w:rPr>
          <w:lang w:val="en-GB"/>
        </w:rPr>
        <w:t xml:space="preserve"> </w:t>
      </w:r>
      <w:r w:rsidRPr="00F55305" w:rsidR="00410A97">
        <w:rPr>
          <w:lang w:val="en-GB"/>
        </w:rPr>
        <w:t xml:space="preserve">United Nations Rules for the Protection of Juveniles Deprived of their Liberty </w:t>
      </w:r>
      <w:r w:rsidRPr="00F55305" w:rsidR="00531D9C">
        <w:rPr>
          <w:lang w:val="en-GB"/>
        </w:rPr>
        <w:t>..</w:t>
      </w:r>
      <w:r w:rsidRPr="00F55305">
        <w:rPr>
          <w:lang w:val="en-GB"/>
        </w:rPr>
        <w:t>.</w:t>
      </w:r>
      <w:bookmarkEnd w:id="29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105</w:t>
      </w:r>
      <w:r w:rsidRPr="00F55305">
        <w:rPr>
          <w:lang w:val="en-GB"/>
        </w:rPr>
        <w:fldChar w:fldCharType="end"/>
      </w:r>
      <w:r w:rsidRPr="00F55305">
        <w:rPr>
          <w:lang w:val="en-GB"/>
        </w:rPr>
        <w:t>.  </w:t>
      </w:r>
      <w:bookmarkStart w:name="lt_pId414" w:id="298"/>
      <w:r w:rsidRPr="00F55305" w:rsidR="009425CD">
        <w:rPr>
          <w:lang w:val="en-GB"/>
        </w:rPr>
        <w:t>In the present case</w:t>
      </w:r>
      <w:r w:rsidRPr="00F55305">
        <w:rPr>
          <w:lang w:val="en-GB"/>
        </w:rPr>
        <w:t xml:space="preserve"> </w:t>
      </w:r>
      <w:r w:rsidRPr="00F55305" w:rsidR="008C1A2E">
        <w:rPr>
          <w:lang w:val="en-GB"/>
        </w:rPr>
        <w:t>the Court</w:t>
      </w:r>
      <w:r w:rsidRPr="00F55305">
        <w:rPr>
          <w:lang w:val="en-GB"/>
        </w:rPr>
        <w:t xml:space="preserve"> </w:t>
      </w:r>
      <w:r w:rsidRPr="00F55305" w:rsidR="009425CD">
        <w:rPr>
          <w:lang w:val="en-GB"/>
        </w:rPr>
        <w:t>notes, firstly, that, unlike</w:t>
      </w:r>
      <w:r w:rsidRPr="00F55305">
        <w:rPr>
          <w:lang w:val="en-GB"/>
        </w:rPr>
        <w:t xml:space="preserve"> </w:t>
      </w:r>
      <w:r w:rsidRPr="00F55305" w:rsidR="008F4E10">
        <w:rPr>
          <w:lang w:val="en-GB"/>
        </w:rPr>
        <w:t>Article 8</w:t>
      </w:r>
      <w:r w:rsidRPr="00F55305">
        <w:rPr>
          <w:lang w:val="en-GB"/>
        </w:rPr>
        <w:t xml:space="preserve"> </w:t>
      </w:r>
      <w:r w:rsidRPr="00F55305" w:rsidR="008F4E10">
        <w:rPr>
          <w:lang w:val="en-GB"/>
        </w:rPr>
        <w:t>of the Convention</w:t>
      </w:r>
      <w:r w:rsidRPr="00F55305">
        <w:rPr>
          <w:lang w:val="en-GB"/>
        </w:rPr>
        <w:t xml:space="preserve"> </w:t>
      </w:r>
      <w:r w:rsidRPr="00F55305" w:rsidR="009425CD">
        <w:rPr>
          <w:lang w:val="en-GB"/>
        </w:rPr>
        <w:t xml:space="preserve">with its requirements of </w:t>
      </w:r>
      <w:r w:rsidRPr="00F55305" w:rsidR="00142AD9">
        <w:rPr>
          <w:lang w:val="en-GB"/>
        </w:rPr>
        <w:t>“</w:t>
      </w:r>
      <w:r w:rsidRPr="00F55305" w:rsidR="009425CD">
        <w:rPr>
          <w:lang w:val="en-GB"/>
        </w:rPr>
        <w:t>necessity</w:t>
      </w:r>
      <w:r w:rsidRPr="00F55305" w:rsidR="00142AD9">
        <w:rPr>
          <w:lang w:val="en-GB"/>
        </w:rPr>
        <w:t>”</w:t>
      </w:r>
      <w:r w:rsidRPr="00F55305" w:rsidR="009425CD">
        <w:rPr>
          <w:lang w:val="en-GB"/>
        </w:rPr>
        <w:t xml:space="preserve"> and </w:t>
      </w:r>
      <w:r w:rsidRPr="00F55305" w:rsidR="00142AD9">
        <w:rPr>
          <w:lang w:val="en-GB"/>
        </w:rPr>
        <w:t>“</w:t>
      </w:r>
      <w:r w:rsidRPr="00F55305" w:rsidR="009425CD">
        <w:rPr>
          <w:lang w:val="en-GB"/>
        </w:rPr>
        <w:t>proportionality</w:t>
      </w:r>
      <w:r w:rsidRPr="00F55305" w:rsidR="00142AD9">
        <w:rPr>
          <w:lang w:val="en-GB"/>
        </w:rPr>
        <w:t>”</w:t>
      </w:r>
      <w:r w:rsidRPr="00F55305" w:rsidR="009425CD">
        <w:rPr>
          <w:lang w:val="en-GB"/>
        </w:rPr>
        <w:t>, A</w:t>
      </w:r>
      <w:r w:rsidRPr="00F55305" w:rsidR="000F2B78">
        <w:rPr>
          <w:lang w:val="en-GB"/>
        </w:rPr>
        <w:t>rticle 2</w:t>
      </w:r>
      <w:r w:rsidRPr="00F55305">
        <w:rPr>
          <w:lang w:val="en-GB"/>
        </w:rPr>
        <w:t xml:space="preserve">5, point 10, </w:t>
      </w:r>
      <w:r w:rsidRPr="00F55305" w:rsidR="009425CD">
        <w:rPr>
          <w:lang w:val="en-GB"/>
        </w:rPr>
        <w:t>of</w:t>
      </w:r>
      <w:r w:rsidRPr="00F55305">
        <w:rPr>
          <w:lang w:val="en-GB"/>
        </w:rPr>
        <w:t xml:space="preserve"> </w:t>
      </w:r>
      <w:r w:rsidRPr="00F55305" w:rsidR="003B5A4F">
        <w:rPr>
          <w:lang w:val="en-GB"/>
        </w:rPr>
        <w:t>the Podem school</w:t>
      </w:r>
      <w:r w:rsidRPr="00F55305" w:rsidR="00F55305">
        <w:rPr>
          <w:lang w:val="en-GB"/>
        </w:rPr>
        <w:t>’</w:t>
      </w:r>
      <w:r w:rsidRPr="00F55305" w:rsidR="00221E3A">
        <w:rPr>
          <w:lang w:val="en-GB"/>
        </w:rPr>
        <w:t>s internal</w:t>
      </w:r>
      <w:r w:rsidRPr="00F55305" w:rsidR="009425CD">
        <w:rPr>
          <w:lang w:val="en-GB"/>
        </w:rPr>
        <w:t xml:space="preserve"> regulations</w:t>
      </w:r>
      <w:r w:rsidRPr="00F55305">
        <w:rPr>
          <w:lang w:val="en-GB"/>
        </w:rPr>
        <w:t xml:space="preserve"> </w:t>
      </w:r>
      <w:r w:rsidRPr="00F55305" w:rsidR="00DF5B69">
        <w:rPr>
          <w:lang w:val="en-GB"/>
        </w:rPr>
        <w:t>provides</w:t>
      </w:r>
      <w:r w:rsidRPr="00F55305" w:rsidR="00221E3A">
        <w:rPr>
          <w:lang w:val="en-GB"/>
        </w:rPr>
        <w:t xml:space="preserve"> for automatic and </w:t>
      </w:r>
      <w:r w:rsidRPr="00F55305" w:rsidR="00450978">
        <w:rPr>
          <w:lang w:val="en-GB"/>
        </w:rPr>
        <w:t>indiscriminate</w:t>
      </w:r>
      <w:r w:rsidRPr="00F55305" w:rsidR="00221E3A">
        <w:rPr>
          <w:lang w:val="en-GB"/>
        </w:rPr>
        <w:t xml:space="preserve"> monitoring of all correspondence of</w:t>
      </w:r>
      <w:r w:rsidRPr="00F55305" w:rsidR="00DF5B69">
        <w:rPr>
          <w:lang w:val="en-GB"/>
        </w:rPr>
        <w:t xml:space="preserve"> the</w:t>
      </w:r>
      <w:r w:rsidRPr="00F55305" w:rsidR="00221E3A">
        <w:rPr>
          <w:lang w:val="en-GB"/>
        </w:rPr>
        <w:t xml:space="preserve"> </w:t>
      </w:r>
      <w:r w:rsidRPr="00F55305" w:rsidR="00DF5B69">
        <w:rPr>
          <w:lang w:val="en-GB"/>
        </w:rPr>
        <w:t>juveniles</w:t>
      </w:r>
      <w:r w:rsidRPr="00F55305" w:rsidR="00221E3A">
        <w:rPr>
          <w:lang w:val="en-GB"/>
        </w:rPr>
        <w:t xml:space="preserve"> placed in </w:t>
      </w:r>
      <w:r w:rsidRPr="00F55305" w:rsidR="00DF5B69">
        <w:rPr>
          <w:lang w:val="en-GB"/>
        </w:rPr>
        <w:t>the institution</w:t>
      </w:r>
      <w:r w:rsidRPr="00F55305" w:rsidR="00221E3A">
        <w:rPr>
          <w:lang w:val="en-GB"/>
        </w:rPr>
        <w:t xml:space="preserve"> </w:t>
      </w:r>
      <w:r w:rsidRPr="00F55305" w:rsidR="00531D9C">
        <w:rPr>
          <w:lang w:val="en-GB"/>
        </w:rPr>
        <w:t>...</w:t>
      </w:r>
      <w:bookmarkEnd w:id="298"/>
      <w:r w:rsidRPr="00F55305">
        <w:rPr>
          <w:lang w:val="en-GB"/>
        </w:rPr>
        <w:t xml:space="preserve"> </w:t>
      </w:r>
      <w:bookmarkStart w:name="lt_pId415" w:id="299"/>
      <w:r w:rsidRPr="00F55305" w:rsidR="00DF5B69">
        <w:rPr>
          <w:lang w:val="en-GB"/>
        </w:rPr>
        <w:t>The regulations make no distinction between the categories of people with whom the juveniles may correspond</w:t>
      </w:r>
      <w:r w:rsidRPr="00F55305">
        <w:rPr>
          <w:lang w:val="en-GB"/>
        </w:rPr>
        <w:t>.</w:t>
      </w:r>
      <w:bookmarkEnd w:id="299"/>
      <w:r w:rsidRPr="00F55305">
        <w:rPr>
          <w:lang w:val="en-GB"/>
        </w:rPr>
        <w:t xml:space="preserve"> </w:t>
      </w:r>
      <w:bookmarkStart w:name="lt_pId416" w:id="300"/>
      <w:r w:rsidRPr="00F55305" w:rsidR="00230C0F">
        <w:rPr>
          <w:lang w:val="en-GB"/>
        </w:rPr>
        <w:t>However,</w:t>
      </w:r>
      <w:r w:rsidRPr="00F55305">
        <w:rPr>
          <w:lang w:val="en-GB"/>
        </w:rPr>
        <w:t xml:space="preserve"> </w:t>
      </w:r>
      <w:r w:rsidRPr="00F55305" w:rsidR="008C1A2E">
        <w:rPr>
          <w:lang w:val="en-GB"/>
        </w:rPr>
        <w:t>the Court</w:t>
      </w:r>
      <w:r w:rsidRPr="00F55305">
        <w:rPr>
          <w:lang w:val="en-GB"/>
        </w:rPr>
        <w:t xml:space="preserve"> </w:t>
      </w:r>
      <w:r w:rsidRPr="00F55305" w:rsidR="00230C0F">
        <w:rPr>
          <w:lang w:val="en-GB"/>
        </w:rPr>
        <w:t>has f</w:t>
      </w:r>
      <w:r w:rsidRPr="00F55305" w:rsidR="008F2E37">
        <w:rPr>
          <w:lang w:val="en-GB"/>
        </w:rPr>
        <w:t>requently held that</w:t>
      </w:r>
      <w:r w:rsidRPr="00F55305">
        <w:rPr>
          <w:lang w:val="en-GB"/>
        </w:rPr>
        <w:t xml:space="preserve"> </w:t>
      </w:r>
      <w:r w:rsidRPr="00F55305" w:rsidR="00741B53">
        <w:rPr>
          <w:lang w:val="en-GB"/>
        </w:rPr>
        <w:t>correspondence</w:t>
      </w:r>
      <w:r w:rsidRPr="00F55305">
        <w:rPr>
          <w:lang w:val="en-GB"/>
        </w:rPr>
        <w:t xml:space="preserve"> </w:t>
      </w:r>
      <w:r w:rsidRPr="00F55305" w:rsidR="00B542FB">
        <w:rPr>
          <w:lang w:val="en-GB"/>
        </w:rPr>
        <w:t>between detainees and their lawyers should in principle enjoy privileged status</w:t>
      </w:r>
      <w:r w:rsidRPr="00F55305">
        <w:rPr>
          <w:lang w:val="en-GB"/>
        </w:rPr>
        <w:t xml:space="preserve"> (</w:t>
      </w:r>
      <w:r w:rsidRPr="00F55305" w:rsidR="00431EFB">
        <w:rPr>
          <w:lang w:val="en-GB"/>
        </w:rPr>
        <w:t>see, among many other authorities</w:t>
      </w:r>
      <w:r w:rsidRPr="00F55305">
        <w:rPr>
          <w:lang w:val="en-GB"/>
        </w:rPr>
        <w:t xml:space="preserve">, </w:t>
      </w:r>
      <w:r w:rsidRPr="00F55305">
        <w:rPr>
          <w:i/>
          <w:lang w:val="en-GB"/>
        </w:rPr>
        <w:t>Campbell</w:t>
      </w:r>
      <w:r w:rsidRPr="00F55305">
        <w:rPr>
          <w:lang w:val="en-GB"/>
        </w:rPr>
        <w:t>,</w:t>
      </w:r>
      <w:r w:rsidRPr="00F55305">
        <w:rPr>
          <w:i/>
          <w:lang w:val="en-GB"/>
        </w:rPr>
        <w:t xml:space="preserve"> </w:t>
      </w:r>
      <w:r w:rsidRPr="00F55305" w:rsidR="00BD277E">
        <w:rPr>
          <w:lang w:val="en-GB"/>
        </w:rPr>
        <w:t>cited above</w:t>
      </w:r>
      <w:r w:rsidRPr="00F55305">
        <w:rPr>
          <w:lang w:val="en-GB"/>
        </w:rPr>
        <w:t>, §§ 47-48</w:t>
      </w:r>
      <w:r w:rsidRPr="00F55305" w:rsidR="00230C0F">
        <w:rPr>
          <w:lang w:val="en-GB"/>
        </w:rPr>
        <w:t>;</w:t>
      </w:r>
      <w:r w:rsidRPr="00F55305">
        <w:rPr>
          <w:lang w:val="en-GB"/>
        </w:rPr>
        <w:t xml:space="preserve"> </w:t>
      </w:r>
      <w:r w:rsidRPr="00F55305">
        <w:rPr>
          <w:i/>
          <w:lang w:val="en-GB"/>
        </w:rPr>
        <w:t>Erdem</w:t>
      </w:r>
      <w:r w:rsidRPr="00F55305" w:rsidR="00060B40">
        <w:rPr>
          <w:i/>
          <w:lang w:val="en-GB"/>
        </w:rPr>
        <w:t xml:space="preserve"> v.</w:t>
      </w:r>
      <w:r w:rsidRPr="00F55305" w:rsidR="002774F7">
        <w:rPr>
          <w:i/>
          <w:lang w:val="en-GB"/>
        </w:rPr>
        <w:t> </w:t>
      </w:r>
      <w:r w:rsidRPr="00F55305" w:rsidR="00431EFB">
        <w:rPr>
          <w:i/>
          <w:lang w:val="en-GB"/>
        </w:rPr>
        <w:t>Germany</w:t>
      </w:r>
      <w:r w:rsidRPr="00F55305">
        <w:rPr>
          <w:lang w:val="en-GB"/>
        </w:rPr>
        <w:t>, n</w:t>
      </w:r>
      <w:r w:rsidRPr="00F55305" w:rsidR="00431EFB">
        <w:rPr>
          <w:lang w:val="en-GB"/>
        </w:rPr>
        <w:t>o.</w:t>
      </w:r>
      <w:r w:rsidRPr="00F55305">
        <w:rPr>
          <w:lang w:val="en-GB"/>
        </w:rPr>
        <w:t xml:space="preserve"> 38321/97, § 61, </w:t>
      </w:r>
      <w:r w:rsidRPr="00F55305" w:rsidR="008C1A2E">
        <w:rPr>
          <w:lang w:val="en-GB"/>
        </w:rPr>
        <w:t>ECHR</w:t>
      </w:r>
      <w:r w:rsidRPr="00F55305" w:rsidR="00F04923">
        <w:rPr>
          <w:lang w:val="en-GB"/>
        </w:rPr>
        <w:t xml:space="preserve"> 2001-VII (extrac</w:t>
      </w:r>
      <w:r w:rsidRPr="00F55305">
        <w:rPr>
          <w:lang w:val="en-GB"/>
        </w:rPr>
        <w:t>ts)</w:t>
      </w:r>
      <w:r w:rsidRPr="00F55305" w:rsidR="00230C0F">
        <w:rPr>
          <w:lang w:val="en-GB"/>
        </w:rPr>
        <w:t>;</w:t>
      </w:r>
      <w:r w:rsidRPr="00F55305">
        <w:rPr>
          <w:lang w:val="en-GB"/>
        </w:rPr>
        <w:t xml:space="preserve"> </w:t>
      </w:r>
      <w:r w:rsidRPr="00F55305" w:rsidR="008C1A2E">
        <w:rPr>
          <w:lang w:val="en-GB"/>
        </w:rPr>
        <w:t>and</w:t>
      </w:r>
      <w:r w:rsidRPr="00F55305">
        <w:rPr>
          <w:lang w:val="en-GB"/>
        </w:rPr>
        <w:t xml:space="preserve"> </w:t>
      </w:r>
      <w:r w:rsidRPr="00F55305">
        <w:rPr>
          <w:i/>
          <w:lang w:val="en-GB"/>
        </w:rPr>
        <w:t>Petrov</w:t>
      </w:r>
      <w:r w:rsidRPr="00F55305">
        <w:rPr>
          <w:lang w:val="en-GB"/>
        </w:rPr>
        <w:t xml:space="preserve">, </w:t>
      </w:r>
      <w:r w:rsidRPr="00F55305" w:rsidR="00BD277E">
        <w:rPr>
          <w:lang w:val="en-GB"/>
        </w:rPr>
        <w:t>cited above</w:t>
      </w:r>
      <w:r w:rsidRPr="00F55305">
        <w:rPr>
          <w:lang w:val="en-GB"/>
        </w:rPr>
        <w:t>, § 43).</w:t>
      </w:r>
      <w:bookmarkEnd w:id="300"/>
      <w:r w:rsidRPr="00F55305">
        <w:rPr>
          <w:lang w:val="en-GB"/>
        </w:rPr>
        <w:t xml:space="preserve"> </w:t>
      </w:r>
      <w:bookmarkStart w:name="lt_pId417" w:id="301"/>
      <w:r w:rsidRPr="00F55305" w:rsidR="00B542FB">
        <w:rPr>
          <w:lang w:val="en-GB"/>
        </w:rPr>
        <w:t>In</w:t>
      </w:r>
      <w:r w:rsidRPr="00F55305">
        <w:rPr>
          <w:lang w:val="en-GB"/>
        </w:rPr>
        <w:t xml:space="preserve"> </w:t>
      </w:r>
      <w:r w:rsidRPr="00F55305" w:rsidR="008C1A2E">
        <w:rPr>
          <w:lang w:val="en-GB"/>
        </w:rPr>
        <w:t>the Court</w:t>
      </w:r>
      <w:r w:rsidRPr="00F55305" w:rsidR="00F55305">
        <w:rPr>
          <w:lang w:val="en-GB"/>
        </w:rPr>
        <w:t>’</w:t>
      </w:r>
      <w:r w:rsidRPr="00F55305" w:rsidR="00B542FB">
        <w:rPr>
          <w:lang w:val="en-GB"/>
        </w:rPr>
        <w:t>s view</w:t>
      </w:r>
      <w:r w:rsidRPr="00F55305">
        <w:rPr>
          <w:lang w:val="en-GB"/>
        </w:rPr>
        <w:t xml:space="preserve">, </w:t>
      </w:r>
      <w:r w:rsidRPr="00F55305" w:rsidR="00B542FB">
        <w:rPr>
          <w:lang w:val="en-GB"/>
        </w:rPr>
        <w:t>similar</w:t>
      </w:r>
      <w:r w:rsidRPr="00F55305">
        <w:rPr>
          <w:lang w:val="en-GB"/>
        </w:rPr>
        <w:t xml:space="preserve"> </w:t>
      </w:r>
      <w:r w:rsidRPr="00F55305" w:rsidR="00B542FB">
        <w:rPr>
          <w:lang w:val="en-GB"/>
        </w:rPr>
        <w:t>considerations</w:t>
      </w:r>
      <w:r w:rsidRPr="00F55305">
        <w:rPr>
          <w:lang w:val="en-GB"/>
        </w:rPr>
        <w:t xml:space="preserve"> </w:t>
      </w:r>
      <w:r w:rsidRPr="00F55305" w:rsidR="00B542FB">
        <w:rPr>
          <w:lang w:val="en-GB"/>
        </w:rPr>
        <w:t>may apply in the present case</w:t>
      </w:r>
      <w:r w:rsidRPr="00F55305">
        <w:rPr>
          <w:lang w:val="en-GB"/>
        </w:rPr>
        <w:t xml:space="preserve"> </w:t>
      </w:r>
      <w:r w:rsidRPr="00F55305" w:rsidR="00B542FB">
        <w:rPr>
          <w:lang w:val="en-GB"/>
        </w:rPr>
        <w:t>as regards the</w:t>
      </w:r>
      <w:r w:rsidRPr="00F55305" w:rsidR="00A93749">
        <w:rPr>
          <w:lang w:val="en-GB"/>
        </w:rPr>
        <w:t xml:space="preserve"> applicant</w:t>
      </w:r>
      <w:r w:rsidRPr="00F55305" w:rsidR="00F55305">
        <w:rPr>
          <w:lang w:val="en-GB"/>
        </w:rPr>
        <w:t>’</w:t>
      </w:r>
      <w:r w:rsidRPr="00F55305" w:rsidR="00A93749">
        <w:rPr>
          <w:lang w:val="en-GB"/>
        </w:rPr>
        <w:t>s potential</w:t>
      </w:r>
      <w:r w:rsidRPr="00F55305">
        <w:rPr>
          <w:lang w:val="en-GB"/>
        </w:rPr>
        <w:t xml:space="preserve"> </w:t>
      </w:r>
      <w:r w:rsidRPr="00F55305" w:rsidR="00741B53">
        <w:rPr>
          <w:lang w:val="en-GB"/>
        </w:rPr>
        <w:t>correspondence</w:t>
      </w:r>
      <w:r w:rsidRPr="00F55305">
        <w:rPr>
          <w:lang w:val="en-GB"/>
        </w:rPr>
        <w:t xml:space="preserve"> </w:t>
      </w:r>
      <w:r w:rsidRPr="00F55305" w:rsidR="00A93749">
        <w:rPr>
          <w:lang w:val="en-GB"/>
        </w:rPr>
        <w:t>with her lawyer or with</w:t>
      </w:r>
      <w:r w:rsidRPr="00F55305">
        <w:rPr>
          <w:lang w:val="en-GB"/>
        </w:rPr>
        <w:t xml:space="preserve"> </w:t>
      </w:r>
      <w:r w:rsidRPr="00F55305" w:rsidR="00A93749">
        <w:rPr>
          <w:lang w:val="en-GB"/>
        </w:rPr>
        <w:t xml:space="preserve">non-governmental </w:t>
      </w:r>
      <w:r w:rsidRPr="00F55305">
        <w:rPr>
          <w:lang w:val="en-GB"/>
        </w:rPr>
        <w:t xml:space="preserve">organisations </w:t>
      </w:r>
      <w:r w:rsidRPr="00F55305" w:rsidR="00802627">
        <w:rPr>
          <w:lang w:val="en-GB"/>
        </w:rPr>
        <w:t>protecti</w:t>
      </w:r>
      <w:r w:rsidRPr="00F55305">
        <w:rPr>
          <w:lang w:val="en-GB"/>
        </w:rPr>
        <w:t>n</w:t>
      </w:r>
      <w:r w:rsidRPr="00F55305" w:rsidR="00802627">
        <w:rPr>
          <w:lang w:val="en-GB"/>
        </w:rPr>
        <w:t>g children</w:t>
      </w:r>
      <w:r w:rsidRPr="00F55305" w:rsidR="00F55305">
        <w:rPr>
          <w:lang w:val="en-GB"/>
        </w:rPr>
        <w:t>’</w:t>
      </w:r>
      <w:r w:rsidRPr="00F55305" w:rsidR="00802627">
        <w:rPr>
          <w:lang w:val="en-GB"/>
        </w:rPr>
        <w:t>s rights</w:t>
      </w:r>
      <w:r w:rsidRPr="00F55305">
        <w:rPr>
          <w:lang w:val="en-GB"/>
        </w:rPr>
        <w:t>.</w:t>
      </w:r>
      <w:bookmarkEnd w:id="301"/>
      <w:r w:rsidRPr="00F55305">
        <w:rPr>
          <w:lang w:val="en-GB"/>
        </w:rPr>
        <w:t xml:space="preserve"> </w:t>
      </w:r>
      <w:bookmarkStart w:name="lt_pId418" w:id="302"/>
      <w:r w:rsidRPr="00F55305" w:rsidR="00802627">
        <w:rPr>
          <w:lang w:val="en-GB"/>
        </w:rPr>
        <w:t>It observes that the</w:t>
      </w:r>
      <w:r w:rsidRPr="00F55305">
        <w:rPr>
          <w:lang w:val="en-GB"/>
        </w:rPr>
        <w:t xml:space="preserve"> applicable </w:t>
      </w:r>
      <w:r w:rsidRPr="00F55305" w:rsidR="00802627">
        <w:rPr>
          <w:lang w:val="en-GB"/>
        </w:rPr>
        <w:t xml:space="preserve">regulations do not safeguard the </w:t>
      </w:r>
      <w:r w:rsidRPr="00F55305">
        <w:rPr>
          <w:lang w:val="en-GB"/>
        </w:rPr>
        <w:t>confiden</w:t>
      </w:r>
      <w:r w:rsidRPr="00F55305" w:rsidR="00802627">
        <w:rPr>
          <w:lang w:val="en-GB"/>
        </w:rPr>
        <w:t xml:space="preserve">tiality of </w:t>
      </w:r>
      <w:r w:rsidRPr="00F55305" w:rsidR="00741B53">
        <w:rPr>
          <w:lang w:val="en-GB"/>
        </w:rPr>
        <w:t>correspondence</w:t>
      </w:r>
      <w:r w:rsidRPr="00F55305">
        <w:rPr>
          <w:lang w:val="en-GB"/>
        </w:rPr>
        <w:t xml:space="preserve"> </w:t>
      </w:r>
      <w:r w:rsidRPr="00F55305" w:rsidR="00802627">
        <w:rPr>
          <w:lang w:val="en-GB"/>
        </w:rPr>
        <w:t>of this kind and instead subject it to the general monitoring</w:t>
      </w:r>
      <w:r w:rsidRPr="00F55305" w:rsidR="00F752E1">
        <w:rPr>
          <w:lang w:val="en-GB"/>
        </w:rPr>
        <w:t xml:space="preserve"> measures</w:t>
      </w:r>
      <w:r w:rsidRPr="00F55305">
        <w:rPr>
          <w:lang w:val="en-GB"/>
        </w:rPr>
        <w:t>.</w:t>
      </w:r>
      <w:bookmarkEnd w:id="302"/>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106</w:t>
      </w:r>
      <w:r w:rsidRPr="00F55305">
        <w:rPr>
          <w:lang w:val="en-GB"/>
        </w:rPr>
        <w:fldChar w:fldCharType="end"/>
      </w:r>
      <w:r w:rsidRPr="00F55305">
        <w:rPr>
          <w:lang w:val="en-GB"/>
        </w:rPr>
        <w:t>.  </w:t>
      </w:r>
      <w:bookmarkStart w:name="lt_pId420" w:id="303"/>
      <w:r w:rsidRPr="00F55305" w:rsidR="002B19F9">
        <w:rPr>
          <w:lang w:val="en-GB"/>
        </w:rPr>
        <w:t>In addition</w:t>
      </w:r>
      <w:r w:rsidRPr="00F55305">
        <w:rPr>
          <w:lang w:val="en-GB"/>
        </w:rPr>
        <w:t xml:space="preserve">, </w:t>
      </w:r>
      <w:r w:rsidRPr="00F55305" w:rsidR="002B19F9">
        <w:rPr>
          <w:lang w:val="en-GB"/>
        </w:rPr>
        <w:t xml:space="preserve">neither these nor any other provisions set out </w:t>
      </w:r>
      <w:r w:rsidRPr="00F55305" w:rsidR="00CF4644">
        <w:rPr>
          <w:lang w:val="en-GB"/>
        </w:rPr>
        <w:t xml:space="preserve">the particular grounds and conditions that may justify monitoring of correspondence in any given case and do not indicate the duration of the measure, which is applied automatically. Lastly, the authorities are not required to give reasons for the monitoring </w:t>
      </w:r>
      <w:bookmarkStart w:name="lt_pId421" w:id="304"/>
      <w:bookmarkEnd w:id="303"/>
      <w:r w:rsidRPr="00F55305">
        <w:rPr>
          <w:lang w:val="en-GB"/>
        </w:rPr>
        <w:t>(</w:t>
      </w:r>
      <w:r w:rsidRPr="00F55305" w:rsidR="00F04923">
        <w:rPr>
          <w:lang w:val="en-GB"/>
        </w:rPr>
        <w:t>see</w:t>
      </w:r>
      <w:r w:rsidRPr="00F55305">
        <w:rPr>
          <w:lang w:val="en-GB"/>
        </w:rPr>
        <w:t xml:space="preserve">, </w:t>
      </w:r>
      <w:r w:rsidRPr="00F55305">
        <w:rPr>
          <w:i/>
          <w:lang w:val="en-GB"/>
        </w:rPr>
        <w:t>mutatis mutandis</w:t>
      </w:r>
      <w:r w:rsidRPr="00F55305">
        <w:rPr>
          <w:lang w:val="en-GB"/>
        </w:rPr>
        <w:t xml:space="preserve">, </w:t>
      </w:r>
      <w:r w:rsidRPr="00F55305">
        <w:rPr>
          <w:i/>
          <w:lang w:val="en-GB"/>
        </w:rPr>
        <w:t>Calogero Diana</w:t>
      </w:r>
      <w:r w:rsidRPr="00F55305" w:rsidR="00060B40">
        <w:rPr>
          <w:i/>
          <w:lang w:val="en-GB"/>
        </w:rPr>
        <w:t xml:space="preserve"> v.</w:t>
      </w:r>
      <w:r w:rsidRPr="00F55305">
        <w:rPr>
          <w:i/>
          <w:lang w:val="en-GB"/>
        </w:rPr>
        <w:t xml:space="preserve"> </w:t>
      </w:r>
      <w:r w:rsidRPr="00F55305" w:rsidR="00F04923">
        <w:rPr>
          <w:i/>
          <w:lang w:val="en-GB"/>
        </w:rPr>
        <w:t>Italy</w:t>
      </w:r>
      <w:r w:rsidRPr="00F55305">
        <w:rPr>
          <w:lang w:val="en-GB"/>
        </w:rPr>
        <w:t xml:space="preserve">, 15 </w:t>
      </w:r>
      <w:r w:rsidRPr="00F55305" w:rsidR="00F04923">
        <w:rPr>
          <w:lang w:val="en-GB"/>
        </w:rPr>
        <w:t>November</w:t>
      </w:r>
      <w:r w:rsidRPr="00F55305">
        <w:rPr>
          <w:lang w:val="en-GB"/>
        </w:rPr>
        <w:t xml:space="preserve"> 1996, § 32, </w:t>
      </w:r>
      <w:r w:rsidRPr="00F55305" w:rsidR="00911608">
        <w:rPr>
          <w:i/>
          <w:lang w:val="en-GB"/>
        </w:rPr>
        <w:t>Reports</w:t>
      </w:r>
      <w:r w:rsidRPr="00F55305">
        <w:rPr>
          <w:i/>
          <w:lang w:val="en-GB"/>
        </w:rPr>
        <w:t xml:space="preserve"> </w:t>
      </w:r>
      <w:r w:rsidRPr="00F55305">
        <w:rPr>
          <w:lang w:val="en-GB"/>
        </w:rPr>
        <w:t xml:space="preserve">1996-V, </w:t>
      </w:r>
      <w:r w:rsidRPr="00F55305" w:rsidR="008C1A2E">
        <w:rPr>
          <w:lang w:val="en-GB"/>
        </w:rPr>
        <w:t>and</w:t>
      </w:r>
      <w:r w:rsidRPr="00F55305">
        <w:rPr>
          <w:lang w:val="en-GB"/>
        </w:rPr>
        <w:t xml:space="preserve"> </w:t>
      </w:r>
      <w:r w:rsidRPr="00F55305">
        <w:rPr>
          <w:i/>
          <w:lang w:val="en-GB"/>
        </w:rPr>
        <w:t>Petrov</w:t>
      </w:r>
      <w:r w:rsidRPr="00F55305">
        <w:rPr>
          <w:lang w:val="en-GB"/>
        </w:rPr>
        <w:t xml:space="preserve">, </w:t>
      </w:r>
      <w:r w:rsidRPr="00F55305" w:rsidR="00BD277E">
        <w:rPr>
          <w:lang w:val="en-GB"/>
        </w:rPr>
        <w:t>cited above</w:t>
      </w:r>
      <w:r w:rsidRPr="00F55305">
        <w:rPr>
          <w:lang w:val="en-GB"/>
        </w:rPr>
        <w:t>, § 44).</w:t>
      </w:r>
      <w:bookmarkEnd w:id="304"/>
      <w:r w:rsidRPr="00F55305">
        <w:rPr>
          <w:lang w:val="en-GB"/>
        </w:rPr>
        <w:t xml:space="preserve"> </w:t>
      </w:r>
      <w:bookmarkStart w:name="lt_pId422" w:id="305"/>
      <w:r w:rsidRPr="00F55305" w:rsidR="00CF4644">
        <w:rPr>
          <w:lang w:val="en-GB"/>
        </w:rPr>
        <w:t>The Court therefore</w:t>
      </w:r>
      <w:r w:rsidRPr="00F55305">
        <w:rPr>
          <w:lang w:val="en-GB"/>
        </w:rPr>
        <w:t xml:space="preserve"> </w:t>
      </w:r>
      <w:r w:rsidRPr="00F55305" w:rsidR="00CF4644">
        <w:rPr>
          <w:lang w:val="en-GB"/>
        </w:rPr>
        <w:t>concludes that A</w:t>
      </w:r>
      <w:r w:rsidRPr="00F55305" w:rsidR="000F2B78">
        <w:rPr>
          <w:lang w:val="en-GB"/>
        </w:rPr>
        <w:t>rticle 2</w:t>
      </w:r>
      <w:r w:rsidRPr="00F55305">
        <w:rPr>
          <w:lang w:val="en-GB"/>
        </w:rPr>
        <w:t xml:space="preserve">5, point 10, </w:t>
      </w:r>
      <w:r w:rsidRPr="00F55305" w:rsidR="00CF4644">
        <w:rPr>
          <w:lang w:val="en-GB"/>
        </w:rPr>
        <w:t xml:space="preserve">of </w:t>
      </w:r>
      <w:r w:rsidRPr="00F55305" w:rsidR="003B5A4F">
        <w:rPr>
          <w:lang w:val="en-GB"/>
        </w:rPr>
        <w:t>the Podem school</w:t>
      </w:r>
      <w:r w:rsidRPr="00F55305" w:rsidR="00F55305">
        <w:rPr>
          <w:lang w:val="en-GB"/>
        </w:rPr>
        <w:t>’</w:t>
      </w:r>
      <w:r w:rsidRPr="00F55305" w:rsidR="00CF4644">
        <w:rPr>
          <w:lang w:val="en-GB"/>
        </w:rPr>
        <w:t>s internal regulations</w:t>
      </w:r>
      <w:r w:rsidRPr="00F55305">
        <w:rPr>
          <w:lang w:val="en-GB"/>
        </w:rPr>
        <w:t xml:space="preserve"> </w:t>
      </w:r>
      <w:r w:rsidRPr="00F55305" w:rsidR="00187F41">
        <w:rPr>
          <w:lang w:val="en-GB"/>
        </w:rPr>
        <w:t>grants the school authoritie</w:t>
      </w:r>
      <w:r w:rsidRPr="00F55305">
        <w:rPr>
          <w:lang w:val="en-GB"/>
        </w:rPr>
        <w:t xml:space="preserve">s </w:t>
      </w:r>
      <w:r w:rsidRPr="00F55305" w:rsidR="00187F41">
        <w:rPr>
          <w:lang w:val="en-GB"/>
        </w:rPr>
        <w:t>full discretion</w:t>
      </w:r>
      <w:r w:rsidRPr="00F55305">
        <w:rPr>
          <w:lang w:val="en-GB"/>
        </w:rPr>
        <w:t xml:space="preserve"> </w:t>
      </w:r>
      <w:r w:rsidRPr="00F55305" w:rsidR="00187F41">
        <w:rPr>
          <w:lang w:val="en-GB"/>
        </w:rPr>
        <w:t>to monitor juveniles</w:t>
      </w:r>
      <w:r w:rsidRPr="00F55305" w:rsidR="00F55305">
        <w:rPr>
          <w:lang w:val="en-GB"/>
        </w:rPr>
        <w:t>’</w:t>
      </w:r>
      <w:r w:rsidRPr="00F55305" w:rsidR="00187F41">
        <w:rPr>
          <w:lang w:val="en-GB"/>
        </w:rPr>
        <w:t xml:space="preserve"> </w:t>
      </w:r>
      <w:r w:rsidRPr="00F55305" w:rsidR="00741B53">
        <w:rPr>
          <w:lang w:val="en-GB"/>
        </w:rPr>
        <w:t>correspondence</w:t>
      </w:r>
      <w:r w:rsidRPr="00F55305">
        <w:rPr>
          <w:lang w:val="en-GB"/>
        </w:rPr>
        <w:t xml:space="preserve"> </w:t>
      </w:r>
      <w:r w:rsidRPr="00F55305" w:rsidR="00187F41">
        <w:rPr>
          <w:lang w:val="en-GB"/>
        </w:rPr>
        <w:t>regardless of the category of addressee</w:t>
      </w:r>
      <w:r w:rsidRPr="00F55305">
        <w:rPr>
          <w:lang w:val="en-GB"/>
        </w:rPr>
        <w:t xml:space="preserve">, </w:t>
      </w:r>
      <w:r w:rsidRPr="00F55305" w:rsidR="00187F41">
        <w:rPr>
          <w:lang w:val="en-GB"/>
        </w:rPr>
        <w:t>the duration of th</w:t>
      </w:r>
      <w:r w:rsidRPr="00F55305" w:rsidR="002A5BD6">
        <w:rPr>
          <w:lang w:val="en-GB"/>
        </w:rPr>
        <w:t>is</w:t>
      </w:r>
      <w:r w:rsidRPr="00F55305" w:rsidR="00187F41">
        <w:rPr>
          <w:lang w:val="en-GB"/>
        </w:rPr>
        <w:t xml:space="preserve"> </w:t>
      </w:r>
      <w:r w:rsidRPr="00F55305">
        <w:rPr>
          <w:lang w:val="en-GB"/>
        </w:rPr>
        <w:t>me</w:t>
      </w:r>
      <w:r w:rsidRPr="00F55305" w:rsidR="00187F41">
        <w:rPr>
          <w:lang w:val="en-GB"/>
        </w:rPr>
        <w:t>a</w:t>
      </w:r>
      <w:r w:rsidRPr="00F55305">
        <w:rPr>
          <w:lang w:val="en-GB"/>
        </w:rPr>
        <w:t xml:space="preserve">sure </w:t>
      </w:r>
      <w:r w:rsidRPr="00F55305" w:rsidR="008C1A2E">
        <w:rPr>
          <w:lang w:val="en-GB"/>
        </w:rPr>
        <w:t>and</w:t>
      </w:r>
      <w:r w:rsidRPr="00F55305">
        <w:rPr>
          <w:lang w:val="en-GB"/>
        </w:rPr>
        <w:t xml:space="preserve"> </w:t>
      </w:r>
      <w:r w:rsidRPr="00F55305" w:rsidR="00187F41">
        <w:rPr>
          <w:lang w:val="en-GB"/>
        </w:rPr>
        <w:t>the</w:t>
      </w:r>
      <w:r w:rsidRPr="00F55305">
        <w:rPr>
          <w:lang w:val="en-GB"/>
        </w:rPr>
        <w:t xml:space="preserve"> r</w:t>
      </w:r>
      <w:r w:rsidRPr="00F55305" w:rsidR="00187F41">
        <w:rPr>
          <w:lang w:val="en-GB"/>
        </w:rPr>
        <w:t>ea</w:t>
      </w:r>
      <w:r w:rsidRPr="00F55305">
        <w:rPr>
          <w:lang w:val="en-GB"/>
        </w:rPr>
        <w:t xml:space="preserve">sons </w:t>
      </w:r>
      <w:r w:rsidRPr="00F55305" w:rsidR="00187F41">
        <w:rPr>
          <w:lang w:val="en-GB"/>
        </w:rPr>
        <w:t>that may</w:t>
      </w:r>
      <w:r w:rsidRPr="00F55305">
        <w:rPr>
          <w:lang w:val="en-GB"/>
        </w:rPr>
        <w:t xml:space="preserve"> justif</w:t>
      </w:r>
      <w:r w:rsidRPr="00F55305" w:rsidR="00187F41">
        <w:rPr>
          <w:lang w:val="en-GB"/>
        </w:rPr>
        <w:t>y it</w:t>
      </w:r>
      <w:r w:rsidRPr="00F55305">
        <w:rPr>
          <w:lang w:val="en-GB"/>
        </w:rPr>
        <w:t xml:space="preserve">, </w:t>
      </w:r>
      <w:r w:rsidRPr="00F55305" w:rsidR="008C1A2E">
        <w:rPr>
          <w:lang w:val="en-GB"/>
        </w:rPr>
        <w:t>and</w:t>
      </w:r>
      <w:r w:rsidRPr="00F55305">
        <w:rPr>
          <w:lang w:val="en-GB"/>
        </w:rPr>
        <w:t xml:space="preserve"> </w:t>
      </w:r>
      <w:r w:rsidRPr="00F55305" w:rsidR="00187F41">
        <w:rPr>
          <w:lang w:val="en-GB"/>
        </w:rPr>
        <w:t>that such a system cannot be regarded as compatible with the purposes of Article 8</w:t>
      </w:r>
      <w:r w:rsidRPr="00F55305">
        <w:rPr>
          <w:lang w:val="en-GB"/>
        </w:rPr>
        <w:t>.</w:t>
      </w:r>
      <w:bookmarkEnd w:id="305"/>
    </w:p>
    <w:p w:rsidRPr="00F55305" w:rsidR="00711D81" w:rsidP="00F55305" w:rsidRDefault="00CD388B">
      <w:pPr>
        <w:pStyle w:val="ECHRHeading4"/>
        <w:rPr>
          <w:lang w:val="en-GB"/>
        </w:rPr>
      </w:pPr>
      <w:bookmarkStart w:name="lt_pId423" w:id="306"/>
      <w:r w:rsidRPr="00F55305">
        <w:rPr>
          <w:lang w:val="en-GB"/>
        </w:rPr>
        <w:t>(</w:t>
      </w:r>
      <w:r w:rsidRPr="00F55305" w:rsidR="00711D81">
        <w:rPr>
          <w:lang w:val="en-GB"/>
        </w:rPr>
        <w:t>b)  </w:t>
      </w:r>
      <w:bookmarkEnd w:id="306"/>
      <w:r w:rsidRPr="00F55305" w:rsidR="00187F41">
        <w:rPr>
          <w:lang w:val="en-GB"/>
        </w:rPr>
        <w:t>System for monitoring telephone calls</w:t>
      </w:r>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107</w:t>
      </w:r>
      <w:r w:rsidRPr="00F55305">
        <w:rPr>
          <w:lang w:val="en-GB"/>
        </w:rPr>
        <w:fldChar w:fldCharType="end"/>
      </w:r>
      <w:r w:rsidRPr="00F55305">
        <w:rPr>
          <w:rFonts w:eastAsia="Times New Roman"/>
          <w:lang w:val="en-GB"/>
        </w:rPr>
        <w:t>.  </w:t>
      </w:r>
      <w:bookmarkStart w:name="lt_pId425" w:id="307"/>
      <w:r w:rsidRPr="00F55305" w:rsidR="008C1A2E">
        <w:rPr>
          <w:rFonts w:eastAsia="Times New Roman"/>
          <w:lang w:val="en-GB"/>
        </w:rPr>
        <w:t>The Court</w:t>
      </w:r>
      <w:r w:rsidRPr="00F55305">
        <w:rPr>
          <w:rFonts w:eastAsia="Times New Roman"/>
          <w:lang w:val="en-GB"/>
        </w:rPr>
        <w:t xml:space="preserve"> note</w:t>
      </w:r>
      <w:r w:rsidRPr="00F55305" w:rsidR="00262EDA">
        <w:rPr>
          <w:rFonts w:eastAsia="Times New Roman"/>
          <w:lang w:val="en-GB"/>
        </w:rPr>
        <w:t>s at the o</w:t>
      </w:r>
      <w:r w:rsidRPr="00F55305" w:rsidR="00262EDA">
        <w:rPr>
          <w:lang w:val="en-GB"/>
        </w:rPr>
        <w:t>utset that</w:t>
      </w:r>
      <w:r w:rsidRPr="00F55305" w:rsidR="008666E0">
        <w:rPr>
          <w:rFonts w:eastAsia="Times New Roman"/>
          <w:lang w:val="en-GB"/>
        </w:rPr>
        <w:t xml:space="preserve">, in so far as domestic law afforded the applicant the opportunity to have </w:t>
      </w:r>
      <w:r w:rsidRPr="00F55305">
        <w:rPr>
          <w:rFonts w:eastAsia="Times New Roman"/>
          <w:lang w:val="en-GB"/>
        </w:rPr>
        <w:t xml:space="preserve">conversations </w:t>
      </w:r>
      <w:r w:rsidRPr="00F55305" w:rsidR="008666E0">
        <w:rPr>
          <w:rFonts w:eastAsia="Times New Roman"/>
          <w:lang w:val="en-GB"/>
        </w:rPr>
        <w:t xml:space="preserve">on </w:t>
      </w:r>
      <w:r w:rsidRPr="00F55305" w:rsidR="00741B53">
        <w:rPr>
          <w:rFonts w:eastAsia="Times New Roman"/>
          <w:lang w:val="en-GB"/>
        </w:rPr>
        <w:t>telep</w:t>
      </w:r>
      <w:r w:rsidRPr="00F55305" w:rsidR="008666E0">
        <w:rPr>
          <w:rFonts w:eastAsia="Times New Roman"/>
          <w:lang w:val="en-GB"/>
        </w:rPr>
        <w:t>hon</w:t>
      </w:r>
      <w:r w:rsidRPr="00F55305">
        <w:rPr>
          <w:rFonts w:eastAsia="Times New Roman"/>
          <w:lang w:val="en-GB"/>
        </w:rPr>
        <w:t xml:space="preserve">es </w:t>
      </w:r>
      <w:r w:rsidRPr="00F55305" w:rsidR="008666E0">
        <w:rPr>
          <w:rFonts w:eastAsia="Times New Roman"/>
          <w:lang w:val="en-GB"/>
        </w:rPr>
        <w:t xml:space="preserve">supervised by the school management, the </w:t>
      </w:r>
      <w:r w:rsidRPr="00F55305">
        <w:rPr>
          <w:rFonts w:eastAsia="Times New Roman"/>
          <w:lang w:val="en-GB"/>
        </w:rPr>
        <w:t xml:space="preserve">restrictions </w:t>
      </w:r>
      <w:r w:rsidRPr="00F55305" w:rsidR="008C1A2E">
        <w:rPr>
          <w:rFonts w:eastAsia="Times New Roman"/>
          <w:lang w:val="en-GB"/>
        </w:rPr>
        <w:t>and</w:t>
      </w:r>
      <w:r w:rsidRPr="00F55305">
        <w:rPr>
          <w:rFonts w:eastAsia="Times New Roman"/>
          <w:lang w:val="en-GB"/>
        </w:rPr>
        <w:t xml:space="preserve"> </w:t>
      </w:r>
      <w:r w:rsidRPr="00F55305" w:rsidR="008666E0">
        <w:rPr>
          <w:rFonts w:eastAsia="Times New Roman"/>
          <w:lang w:val="en-GB"/>
        </w:rPr>
        <w:t>monitoring of such</w:t>
      </w:r>
      <w:r w:rsidRPr="00F55305">
        <w:rPr>
          <w:rFonts w:eastAsia="Times New Roman"/>
          <w:lang w:val="en-GB"/>
        </w:rPr>
        <w:t xml:space="preserve"> communications</w:t>
      </w:r>
      <w:r w:rsidRPr="00F55305" w:rsidR="008666E0">
        <w:rPr>
          <w:rFonts w:eastAsia="Times New Roman"/>
          <w:lang w:val="en-GB"/>
        </w:rPr>
        <w:t>, contrary to what the Government maintained,</w:t>
      </w:r>
      <w:r w:rsidRPr="00F55305">
        <w:rPr>
          <w:rFonts w:eastAsia="Times New Roman"/>
          <w:lang w:val="en-GB"/>
        </w:rPr>
        <w:t xml:space="preserve"> </w:t>
      </w:r>
      <w:r w:rsidRPr="00F55305" w:rsidR="008666E0">
        <w:rPr>
          <w:rFonts w:eastAsia="Times New Roman"/>
          <w:lang w:val="en-GB"/>
        </w:rPr>
        <w:t>may have amounted to interference with the applicant</w:t>
      </w:r>
      <w:r w:rsidRPr="00F55305" w:rsidR="00F55305">
        <w:rPr>
          <w:rFonts w:eastAsia="Times New Roman"/>
          <w:lang w:val="en-GB"/>
        </w:rPr>
        <w:t>’</w:t>
      </w:r>
      <w:r w:rsidRPr="00F55305" w:rsidR="008666E0">
        <w:rPr>
          <w:rFonts w:eastAsia="Times New Roman"/>
          <w:lang w:val="en-GB"/>
        </w:rPr>
        <w:t xml:space="preserve">s exercise of her right to </w:t>
      </w:r>
      <w:r w:rsidRPr="00F55305">
        <w:rPr>
          <w:rFonts w:eastAsia="Times New Roman"/>
          <w:lang w:val="en-GB"/>
        </w:rPr>
        <w:t xml:space="preserve">respect </w:t>
      </w:r>
      <w:r w:rsidRPr="00F55305" w:rsidR="008666E0">
        <w:rPr>
          <w:rFonts w:eastAsia="Times New Roman"/>
          <w:lang w:val="en-GB"/>
        </w:rPr>
        <w:t xml:space="preserve">for her </w:t>
      </w:r>
      <w:r w:rsidRPr="00F55305">
        <w:rPr>
          <w:rFonts w:eastAsia="Times New Roman"/>
          <w:lang w:val="en-GB"/>
        </w:rPr>
        <w:t>famil</w:t>
      </w:r>
      <w:r w:rsidRPr="00F55305" w:rsidR="00F92ED7">
        <w:rPr>
          <w:rFonts w:eastAsia="Times New Roman"/>
          <w:lang w:val="en-GB"/>
        </w:rPr>
        <w:t xml:space="preserve">y life and </w:t>
      </w:r>
      <w:r w:rsidRPr="00F55305" w:rsidR="00741B53">
        <w:rPr>
          <w:rFonts w:eastAsia="Times New Roman"/>
          <w:lang w:val="en-GB"/>
        </w:rPr>
        <w:t>correspondence</w:t>
      </w:r>
      <w:r w:rsidRPr="00F55305">
        <w:rPr>
          <w:rFonts w:eastAsia="Times New Roman"/>
          <w:lang w:val="en-GB"/>
        </w:rPr>
        <w:t xml:space="preserve"> </w:t>
      </w:r>
      <w:r w:rsidRPr="00F55305" w:rsidR="00F92ED7">
        <w:rPr>
          <w:rFonts w:eastAsia="Times New Roman"/>
          <w:lang w:val="en-GB"/>
        </w:rPr>
        <w:t>within</w:t>
      </w:r>
      <w:r w:rsidRPr="00F55305" w:rsidR="002A5BD6">
        <w:rPr>
          <w:rFonts w:eastAsia="Times New Roman"/>
          <w:lang w:val="en-GB"/>
        </w:rPr>
        <w:t xml:space="preserve"> the meaning of</w:t>
      </w:r>
      <w:r w:rsidRPr="00F55305">
        <w:rPr>
          <w:rFonts w:eastAsia="Times New Roman"/>
          <w:lang w:val="en-GB"/>
        </w:rPr>
        <w:t xml:space="preserve"> </w:t>
      </w:r>
      <w:r w:rsidRPr="00F55305" w:rsidR="002A5BD6">
        <w:rPr>
          <w:rFonts w:eastAsia="Times New Roman"/>
          <w:lang w:val="en-GB"/>
        </w:rPr>
        <w:t>Article </w:t>
      </w:r>
      <w:r w:rsidRPr="00F55305" w:rsidR="008F4E10">
        <w:rPr>
          <w:rFonts w:eastAsia="Times New Roman"/>
          <w:lang w:val="en-GB"/>
        </w:rPr>
        <w:t>8</w:t>
      </w:r>
      <w:r w:rsidRPr="00F55305">
        <w:rPr>
          <w:rFonts w:eastAsia="Times New Roman"/>
          <w:lang w:val="en-GB"/>
        </w:rPr>
        <w:t xml:space="preserve"> § 1 </w:t>
      </w:r>
      <w:r w:rsidRPr="00F55305" w:rsidR="008F4E10">
        <w:rPr>
          <w:rFonts w:eastAsia="Times New Roman"/>
          <w:lang w:val="en-GB"/>
        </w:rPr>
        <w:t>of the Convention</w:t>
      </w:r>
      <w:r w:rsidRPr="00F55305">
        <w:rPr>
          <w:rFonts w:eastAsia="Times New Roman"/>
          <w:lang w:val="en-GB"/>
        </w:rPr>
        <w:t xml:space="preserve"> (</w:t>
      </w:r>
      <w:r w:rsidRPr="00F55305" w:rsidR="00F92ED7">
        <w:rPr>
          <w:rFonts w:eastAsia="Times New Roman"/>
          <w:lang w:val="en-GB"/>
        </w:rPr>
        <w:t>see</w:t>
      </w:r>
      <w:r w:rsidRPr="00F55305">
        <w:rPr>
          <w:rFonts w:eastAsia="Times New Roman"/>
          <w:lang w:val="en-GB"/>
        </w:rPr>
        <w:t xml:space="preserve">, </w:t>
      </w:r>
      <w:r w:rsidRPr="00F55305">
        <w:rPr>
          <w:rFonts w:eastAsia="Times New Roman"/>
          <w:i/>
          <w:lang w:val="en-GB"/>
        </w:rPr>
        <w:t>mutatis mutandis</w:t>
      </w:r>
      <w:r w:rsidRPr="00F55305">
        <w:rPr>
          <w:rFonts w:eastAsia="Times New Roman"/>
          <w:lang w:val="en-GB"/>
        </w:rPr>
        <w:t>,</w:t>
      </w:r>
      <w:r w:rsidRPr="00F55305">
        <w:rPr>
          <w:rFonts w:eastAsia="Times New Roman"/>
          <w:i/>
          <w:lang w:val="en-GB"/>
        </w:rPr>
        <w:t xml:space="preserve"> Baybaşın </w:t>
      </w:r>
      <w:r w:rsidRPr="00F55305" w:rsidR="00727CA3">
        <w:rPr>
          <w:rFonts w:eastAsia="Times New Roman"/>
          <w:i/>
          <w:lang w:val="en-GB"/>
        </w:rPr>
        <w:t>v. the Netherlands</w:t>
      </w:r>
      <w:r w:rsidRPr="00F55305">
        <w:rPr>
          <w:rFonts w:eastAsia="Times New Roman"/>
          <w:lang w:val="en-GB"/>
        </w:rPr>
        <w:t xml:space="preserve"> (d</w:t>
      </w:r>
      <w:r w:rsidRPr="00F55305" w:rsidR="00431EFB">
        <w:rPr>
          <w:rFonts w:eastAsia="Times New Roman"/>
          <w:lang w:val="en-GB"/>
        </w:rPr>
        <w:t>e</w:t>
      </w:r>
      <w:r w:rsidRPr="00F55305">
        <w:rPr>
          <w:rFonts w:eastAsia="Times New Roman"/>
          <w:lang w:val="en-GB"/>
        </w:rPr>
        <w:t>c.), n</w:t>
      </w:r>
      <w:r w:rsidRPr="00F55305" w:rsidR="00431EFB">
        <w:rPr>
          <w:rFonts w:eastAsia="Times New Roman"/>
          <w:lang w:val="en-GB"/>
        </w:rPr>
        <w:t>o.</w:t>
      </w:r>
      <w:r w:rsidRPr="00F55305" w:rsidR="002A5BD6">
        <w:rPr>
          <w:rFonts w:eastAsia="Times New Roman"/>
          <w:lang w:val="en-GB"/>
        </w:rPr>
        <w:t xml:space="preserve"> </w:t>
      </w:r>
      <w:r w:rsidRPr="00F55305">
        <w:rPr>
          <w:rFonts w:eastAsia="Times New Roman"/>
          <w:lang w:val="en-GB"/>
        </w:rPr>
        <w:t xml:space="preserve">13600/02, 6 </w:t>
      </w:r>
      <w:r w:rsidRPr="00F55305" w:rsidR="000F2B78">
        <w:rPr>
          <w:rFonts w:eastAsia="Times New Roman"/>
          <w:lang w:val="en-GB"/>
        </w:rPr>
        <w:t>October</w:t>
      </w:r>
      <w:r w:rsidRPr="00F55305">
        <w:rPr>
          <w:rFonts w:eastAsia="Times New Roman"/>
          <w:lang w:val="en-GB"/>
        </w:rPr>
        <w:t xml:space="preserve"> 2005, </w:t>
      </w:r>
      <w:r w:rsidRPr="00F55305" w:rsidR="008C1A2E">
        <w:rPr>
          <w:rFonts w:eastAsia="Times New Roman"/>
          <w:lang w:val="en-GB"/>
        </w:rPr>
        <w:t>and</w:t>
      </w:r>
      <w:r w:rsidRPr="00F55305">
        <w:rPr>
          <w:rFonts w:eastAsia="Times New Roman"/>
          <w:lang w:val="en-GB"/>
        </w:rPr>
        <w:t xml:space="preserve"> </w:t>
      </w:r>
      <w:r w:rsidRPr="00F55305" w:rsidR="002A5BD6">
        <w:rPr>
          <w:i/>
          <w:lang w:val="en-GB"/>
        </w:rPr>
        <w:t>Nusret Kaya</w:t>
      </w:r>
      <w:r w:rsidRPr="00F55305" w:rsidR="002A5BD6">
        <w:rPr>
          <w:lang w:val="en-GB"/>
        </w:rPr>
        <w:t xml:space="preserve"> </w:t>
      </w:r>
      <w:r w:rsidRPr="00F55305" w:rsidR="002A5BD6">
        <w:rPr>
          <w:i/>
          <w:lang w:val="en-GB"/>
        </w:rPr>
        <w:t>and Others v. Turkey</w:t>
      </w:r>
      <w:r w:rsidRPr="00F55305" w:rsidR="002A5BD6">
        <w:rPr>
          <w:lang w:val="en-GB"/>
        </w:rPr>
        <w:t xml:space="preserve">, nos. 43750/06 and 4 others, </w:t>
      </w:r>
      <w:r w:rsidRPr="00F55305" w:rsidR="002A5BD6">
        <w:rPr>
          <w:rFonts w:eastAsia="Times New Roman"/>
          <w:lang w:val="en-GB"/>
        </w:rPr>
        <w:t>§ 36,</w:t>
      </w:r>
      <w:r w:rsidRPr="00F55305" w:rsidR="002A5BD6">
        <w:rPr>
          <w:lang w:val="en-GB"/>
        </w:rPr>
        <w:t xml:space="preserve"> ECHR 2014 (extracts)</w:t>
      </w:r>
      <w:r w:rsidRPr="00F55305">
        <w:rPr>
          <w:rFonts w:eastAsia="Times New Roman"/>
          <w:lang w:val="en-GB"/>
        </w:rPr>
        <w:t>).</w:t>
      </w:r>
      <w:bookmarkEnd w:id="307"/>
    </w:p>
    <w:p w:rsidRPr="00F55305" w:rsidR="00711D81" w:rsidP="00F55305" w:rsidRDefault="00711D81">
      <w:pPr>
        <w:pStyle w:val="ECHRPara"/>
        <w:rPr>
          <w:lang w:val="en-GB"/>
        </w:rPr>
      </w:pPr>
      <w:r w:rsidRPr="00F55305">
        <w:rPr>
          <w:rFonts w:eastAsia="Times New Roman"/>
          <w:lang w:val="en-GB"/>
        </w:rPr>
        <w:fldChar w:fldCharType="begin"/>
      </w:r>
      <w:r w:rsidRPr="00F55305">
        <w:rPr>
          <w:rFonts w:eastAsia="Times New Roman"/>
          <w:lang w:val="en-GB"/>
        </w:rPr>
        <w:instrText xml:space="preserve"> SEQ level0 \*arabic </w:instrText>
      </w:r>
      <w:r w:rsidRPr="00F55305">
        <w:rPr>
          <w:rFonts w:eastAsia="Times New Roman"/>
          <w:lang w:val="en-GB"/>
        </w:rPr>
        <w:fldChar w:fldCharType="separate"/>
      </w:r>
      <w:r w:rsidR="00F55305">
        <w:rPr>
          <w:rFonts w:eastAsia="Times New Roman"/>
          <w:noProof/>
          <w:lang w:val="en-GB"/>
        </w:rPr>
        <w:t>108</w:t>
      </w:r>
      <w:r w:rsidRPr="00F55305">
        <w:rPr>
          <w:rFonts w:eastAsia="Times New Roman"/>
          <w:lang w:val="en-GB"/>
        </w:rPr>
        <w:fldChar w:fldCharType="end"/>
      </w:r>
      <w:r w:rsidRPr="00F55305">
        <w:rPr>
          <w:lang w:val="en-GB"/>
        </w:rPr>
        <w:t>.  </w:t>
      </w:r>
      <w:bookmarkStart w:name="lt_pId427" w:id="308"/>
      <w:r w:rsidRPr="00F55305" w:rsidR="00450D01">
        <w:rPr>
          <w:lang w:val="en-GB"/>
        </w:rPr>
        <w:t>As regards the legal basis for the</w:t>
      </w:r>
      <w:r w:rsidRPr="00F55305" w:rsidR="00450D01">
        <w:rPr>
          <w:rFonts w:eastAsia="Times New Roman"/>
          <w:lang w:val="en-GB"/>
        </w:rPr>
        <w:t xml:space="preserve"> interference, </w:t>
      </w:r>
      <w:r w:rsidRPr="00F55305" w:rsidR="008C1A2E">
        <w:rPr>
          <w:lang w:val="en-GB"/>
        </w:rPr>
        <w:t>the Court</w:t>
      </w:r>
      <w:r w:rsidRPr="00F55305">
        <w:rPr>
          <w:lang w:val="en-GB"/>
        </w:rPr>
        <w:t xml:space="preserve"> note</w:t>
      </w:r>
      <w:r w:rsidRPr="00F55305" w:rsidR="00450D01">
        <w:rPr>
          <w:lang w:val="en-GB"/>
        </w:rPr>
        <w:t xml:space="preserve">s that </w:t>
      </w:r>
      <w:r w:rsidRPr="00F55305" w:rsidR="005F24F1">
        <w:rPr>
          <w:lang w:val="en-GB"/>
        </w:rPr>
        <w:t xml:space="preserve">the </w:t>
      </w:r>
      <w:r w:rsidRPr="00F55305" w:rsidR="00142AD9">
        <w:rPr>
          <w:lang w:val="en-GB"/>
        </w:rPr>
        <w:t>relevant domestic provision</w:t>
      </w:r>
      <w:r w:rsidRPr="00F55305" w:rsidR="00450D01">
        <w:rPr>
          <w:lang w:val="en-GB"/>
        </w:rPr>
        <w:t xml:space="preserve"> was</w:t>
      </w:r>
      <w:r w:rsidRPr="00F55305">
        <w:rPr>
          <w:lang w:val="en-GB"/>
        </w:rPr>
        <w:t xml:space="preserve"> </w:t>
      </w:r>
      <w:r w:rsidRPr="00F55305" w:rsidR="00450D01">
        <w:rPr>
          <w:lang w:val="en-GB"/>
        </w:rPr>
        <w:t>A</w:t>
      </w:r>
      <w:r w:rsidRPr="00F55305" w:rsidR="000F2B78">
        <w:rPr>
          <w:lang w:val="en-GB"/>
        </w:rPr>
        <w:t>rticle 2</w:t>
      </w:r>
      <w:r w:rsidRPr="00F55305">
        <w:rPr>
          <w:lang w:val="en-GB"/>
        </w:rPr>
        <w:t xml:space="preserve">5, point 10, </w:t>
      </w:r>
      <w:r w:rsidRPr="00F55305" w:rsidR="00450D01">
        <w:rPr>
          <w:lang w:val="en-GB"/>
        </w:rPr>
        <w:t>of the</w:t>
      </w:r>
      <w:r w:rsidRPr="00F55305">
        <w:rPr>
          <w:lang w:val="en-GB"/>
        </w:rPr>
        <w:t xml:space="preserve"> </w:t>
      </w:r>
      <w:r w:rsidRPr="00F55305" w:rsidR="003B5A4F">
        <w:rPr>
          <w:lang w:val="en-GB"/>
        </w:rPr>
        <w:t>Podem school</w:t>
      </w:r>
      <w:r w:rsidRPr="00F55305" w:rsidR="00F55305">
        <w:rPr>
          <w:lang w:val="en-GB"/>
        </w:rPr>
        <w:t>’</w:t>
      </w:r>
      <w:r w:rsidRPr="00F55305" w:rsidR="00450D01">
        <w:rPr>
          <w:lang w:val="en-GB"/>
        </w:rPr>
        <w:t>s internal reg</w:t>
      </w:r>
      <w:r w:rsidRPr="00F55305" w:rsidR="00450D01">
        <w:rPr>
          <w:rFonts w:eastAsia="Times New Roman"/>
          <w:lang w:val="en-GB"/>
        </w:rPr>
        <w:t>u</w:t>
      </w:r>
      <w:r w:rsidRPr="00F55305" w:rsidR="00531D9C">
        <w:rPr>
          <w:rFonts w:eastAsia="Times New Roman"/>
          <w:lang w:val="en-GB"/>
        </w:rPr>
        <w:t>lations ...</w:t>
      </w:r>
      <w:r w:rsidRPr="00F55305" w:rsidR="00450D01">
        <w:rPr>
          <w:rFonts w:eastAsia="Times New Roman"/>
          <w:lang w:val="en-GB"/>
        </w:rPr>
        <w:t xml:space="preserve"> </w:t>
      </w:r>
      <w:bookmarkStart w:name="lt_pId428" w:id="309"/>
      <w:bookmarkEnd w:id="308"/>
      <w:r w:rsidRPr="00F55305" w:rsidR="00450D01">
        <w:rPr>
          <w:lang w:val="en-GB"/>
        </w:rPr>
        <w:t>It also accepts that the interference p</w:t>
      </w:r>
      <w:r w:rsidRPr="00F55305" w:rsidR="00450D01">
        <w:rPr>
          <w:rFonts w:eastAsia="Times New Roman"/>
          <w:lang w:val="en-GB"/>
        </w:rPr>
        <w:t xml:space="preserve">ursued the legitimate aim of </w:t>
      </w:r>
      <w:r w:rsidRPr="00F55305" w:rsidR="00142AD9">
        <w:rPr>
          <w:lang w:val="en-GB"/>
        </w:rPr>
        <w:t>“</w:t>
      </w:r>
      <w:r w:rsidRPr="00F55305" w:rsidR="00716072">
        <w:rPr>
          <w:lang w:val="en-GB"/>
        </w:rPr>
        <w:t>prevention of dis</w:t>
      </w:r>
      <w:r w:rsidRPr="00F55305">
        <w:rPr>
          <w:lang w:val="en-GB"/>
        </w:rPr>
        <w:t>ord</w:t>
      </w:r>
      <w:r w:rsidRPr="00F55305" w:rsidR="00716072">
        <w:rPr>
          <w:lang w:val="en-GB"/>
        </w:rPr>
        <w:t>e</w:t>
      </w:r>
      <w:r w:rsidRPr="00F55305">
        <w:rPr>
          <w:lang w:val="en-GB"/>
        </w:rPr>
        <w:t>r</w:t>
      </w:r>
      <w:r w:rsidRPr="00F55305" w:rsidR="00142AD9">
        <w:rPr>
          <w:lang w:val="en-GB"/>
        </w:rPr>
        <w:t>”</w:t>
      </w:r>
      <w:r w:rsidRPr="00F55305">
        <w:rPr>
          <w:lang w:val="en-GB"/>
        </w:rPr>
        <w:t xml:space="preserve">, </w:t>
      </w:r>
      <w:r w:rsidRPr="00F55305" w:rsidR="00450D01">
        <w:rPr>
          <w:lang w:val="en-GB"/>
        </w:rPr>
        <w:t>as s</w:t>
      </w:r>
      <w:r w:rsidRPr="00F55305" w:rsidR="00450D01">
        <w:rPr>
          <w:rFonts w:eastAsia="Times New Roman"/>
          <w:lang w:val="en-GB"/>
        </w:rPr>
        <w:t>ubmitted by</w:t>
      </w:r>
      <w:r w:rsidRPr="00F55305">
        <w:rPr>
          <w:lang w:val="en-GB"/>
        </w:rPr>
        <w:t xml:space="preserve"> </w:t>
      </w:r>
      <w:r w:rsidRPr="00F55305" w:rsidR="000F2B78">
        <w:rPr>
          <w:lang w:val="en-GB"/>
        </w:rPr>
        <w:t>the Government</w:t>
      </w:r>
      <w:r w:rsidRPr="00F55305">
        <w:rPr>
          <w:lang w:val="en-GB"/>
        </w:rPr>
        <w:t>.</w:t>
      </w:r>
      <w:bookmarkEnd w:id="309"/>
    </w:p>
    <w:p w:rsidRPr="00F55305" w:rsidR="00711D81" w:rsidP="00F55305" w:rsidRDefault="00711D81">
      <w:pPr>
        <w:pStyle w:val="ECHRPara"/>
        <w:rPr>
          <w:snapToGrid w:val="0"/>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109</w:t>
      </w:r>
      <w:r w:rsidRPr="00F55305">
        <w:rPr>
          <w:lang w:val="en-GB"/>
        </w:rPr>
        <w:fldChar w:fldCharType="end"/>
      </w:r>
      <w:r w:rsidRPr="00F55305">
        <w:rPr>
          <w:lang w:val="en-GB"/>
        </w:rPr>
        <w:t>.  </w:t>
      </w:r>
      <w:bookmarkStart w:name="lt_pId430" w:id="310"/>
      <w:r w:rsidRPr="00F55305">
        <w:rPr>
          <w:lang w:val="en-GB"/>
        </w:rPr>
        <w:t xml:space="preserve">The next question is whether the interference in issue was </w:t>
      </w:r>
      <w:r w:rsidRPr="00F55305" w:rsidR="00142AD9">
        <w:rPr>
          <w:lang w:val="en-GB"/>
        </w:rPr>
        <w:t>“</w:t>
      </w:r>
      <w:r w:rsidRPr="00F55305">
        <w:rPr>
          <w:lang w:val="en-GB"/>
        </w:rPr>
        <w:t>necessary in a democratic society</w:t>
      </w:r>
      <w:r w:rsidRPr="00F55305" w:rsidR="00142AD9">
        <w:rPr>
          <w:lang w:val="en-GB"/>
        </w:rPr>
        <w:t>”</w:t>
      </w:r>
      <w:r w:rsidRPr="00F55305">
        <w:rPr>
          <w:lang w:val="en-GB"/>
        </w:rPr>
        <w:t>.</w:t>
      </w:r>
      <w:bookmarkEnd w:id="310"/>
      <w:r w:rsidRPr="00F55305">
        <w:rPr>
          <w:lang w:val="en-GB"/>
        </w:rPr>
        <w:t xml:space="preserve"> </w:t>
      </w:r>
      <w:bookmarkStart w:name="lt_pId431" w:id="311"/>
      <w:r w:rsidRPr="00F55305">
        <w:rPr>
          <w:lang w:val="en-GB"/>
        </w:rPr>
        <w:t>In determining this question, regard may be had to the State</w:t>
      </w:r>
      <w:r w:rsidRPr="00F55305" w:rsidR="00F55305">
        <w:rPr>
          <w:lang w:val="en-GB"/>
        </w:rPr>
        <w:t>’</w:t>
      </w:r>
      <w:r w:rsidRPr="00F55305">
        <w:rPr>
          <w:lang w:val="en-GB"/>
        </w:rPr>
        <w:t xml:space="preserve">s margin of appreciation (see </w:t>
      </w:r>
      <w:r w:rsidRPr="00F55305">
        <w:rPr>
          <w:i/>
          <w:lang w:val="en-GB"/>
        </w:rPr>
        <w:t>Campbell</w:t>
      </w:r>
      <w:r w:rsidRPr="00F55305">
        <w:rPr>
          <w:lang w:val="en-GB"/>
        </w:rPr>
        <w:t>, cited above, § 44).</w:t>
      </w:r>
      <w:bookmarkEnd w:id="311"/>
      <w:r w:rsidRPr="00F55305">
        <w:rPr>
          <w:lang w:val="en-GB"/>
        </w:rPr>
        <w:t xml:space="preserve"> </w:t>
      </w:r>
      <w:bookmarkStart w:name="lt_pId432" w:id="312"/>
      <w:r w:rsidRPr="00F55305">
        <w:rPr>
          <w:lang w:val="en-GB"/>
        </w:rPr>
        <w:t xml:space="preserve">While it is for the national authorities to make the initial assessment of necessity, the final evaluation as to whether the reasons cited for the interference are relevant and sufficient remains subject to review by the Court for conformity with the requirements of the Convention (see </w:t>
      </w:r>
      <w:r w:rsidRPr="00F55305">
        <w:rPr>
          <w:i/>
          <w:lang w:val="en-GB"/>
        </w:rPr>
        <w:t>Szuluk v. the United Kingdom</w:t>
      </w:r>
      <w:r w:rsidRPr="00F55305">
        <w:rPr>
          <w:lang w:val="en-GB"/>
        </w:rPr>
        <w:t>, no. 36936/05, § 45, ECHR 2009).</w:t>
      </w:r>
      <w:bookmarkEnd w:id="312"/>
      <w:r w:rsidRPr="00F55305">
        <w:rPr>
          <w:snapToGrid w:val="0"/>
          <w:lang w:val="en-GB"/>
        </w:rPr>
        <w:t xml:space="preserve"> </w:t>
      </w:r>
      <w:bookmarkStart w:name="lt_pId433" w:id="313"/>
      <w:r w:rsidRPr="00F55305" w:rsidR="004C798F">
        <w:rPr>
          <w:snapToGrid w:val="0"/>
          <w:lang w:val="en-GB"/>
        </w:rPr>
        <w:t>T</w:t>
      </w:r>
      <w:r w:rsidRPr="00F55305" w:rsidR="008C1A2E">
        <w:rPr>
          <w:snapToGrid w:val="0"/>
          <w:lang w:val="en-GB"/>
        </w:rPr>
        <w:t>he Court</w:t>
      </w:r>
      <w:r w:rsidRPr="00F55305">
        <w:rPr>
          <w:snapToGrid w:val="0"/>
          <w:lang w:val="en-GB"/>
        </w:rPr>
        <w:t xml:space="preserve"> </w:t>
      </w:r>
      <w:r w:rsidRPr="00F55305" w:rsidR="004C798F">
        <w:rPr>
          <w:snapToGrid w:val="0"/>
          <w:lang w:val="en-GB"/>
        </w:rPr>
        <w:t>wo</w:t>
      </w:r>
      <w:r w:rsidRPr="00F55305" w:rsidR="004C798F">
        <w:rPr>
          <w:rFonts w:eastAsia="Times New Roman"/>
          <w:lang w:val="en-GB"/>
        </w:rPr>
        <w:t xml:space="preserve">uld also emphasise how </w:t>
      </w:r>
      <w:r w:rsidRPr="00F55305" w:rsidR="004C798F">
        <w:rPr>
          <w:snapToGrid w:val="0"/>
          <w:lang w:val="en-GB"/>
        </w:rPr>
        <w:t>important it is that the authorities</w:t>
      </w:r>
      <w:r w:rsidRPr="00F55305">
        <w:rPr>
          <w:snapToGrid w:val="0"/>
          <w:lang w:val="en-GB"/>
        </w:rPr>
        <w:t xml:space="preserve"> </w:t>
      </w:r>
      <w:r w:rsidRPr="00F55305" w:rsidR="004C798F">
        <w:rPr>
          <w:snapToGrid w:val="0"/>
          <w:lang w:val="en-GB"/>
        </w:rPr>
        <w:t>ens</w:t>
      </w:r>
      <w:r w:rsidRPr="00F55305" w:rsidR="004C798F">
        <w:rPr>
          <w:rFonts w:eastAsia="Times New Roman"/>
          <w:lang w:val="en-GB"/>
        </w:rPr>
        <w:t xml:space="preserve">ure that any </w:t>
      </w:r>
      <w:r w:rsidRPr="00F55305">
        <w:rPr>
          <w:snapToGrid w:val="0"/>
          <w:lang w:val="en-GB"/>
        </w:rPr>
        <w:t>me</w:t>
      </w:r>
      <w:r w:rsidRPr="00F55305" w:rsidR="004C798F">
        <w:rPr>
          <w:snapToGrid w:val="0"/>
          <w:lang w:val="en-GB"/>
        </w:rPr>
        <w:t>a</w:t>
      </w:r>
      <w:r w:rsidRPr="00F55305">
        <w:rPr>
          <w:snapToGrid w:val="0"/>
          <w:lang w:val="en-GB"/>
        </w:rPr>
        <w:t>sures restricti</w:t>
      </w:r>
      <w:r w:rsidRPr="00F55305" w:rsidR="004C798F">
        <w:rPr>
          <w:snapToGrid w:val="0"/>
          <w:lang w:val="en-GB"/>
        </w:rPr>
        <w:t>ng privat</w:t>
      </w:r>
      <w:r w:rsidRPr="00F55305">
        <w:rPr>
          <w:snapToGrid w:val="0"/>
          <w:lang w:val="en-GB"/>
        </w:rPr>
        <w:t xml:space="preserve">e </w:t>
      </w:r>
      <w:r w:rsidRPr="00F55305" w:rsidR="008C1A2E">
        <w:rPr>
          <w:snapToGrid w:val="0"/>
          <w:lang w:val="en-GB"/>
        </w:rPr>
        <w:t>and</w:t>
      </w:r>
      <w:r w:rsidRPr="00F55305">
        <w:rPr>
          <w:snapToGrid w:val="0"/>
          <w:lang w:val="en-GB"/>
        </w:rPr>
        <w:t xml:space="preserve"> famil</w:t>
      </w:r>
      <w:r w:rsidRPr="00F55305" w:rsidR="004C798F">
        <w:rPr>
          <w:snapToGrid w:val="0"/>
          <w:lang w:val="en-GB"/>
        </w:rPr>
        <w:t xml:space="preserve">y life are </w:t>
      </w:r>
      <w:r w:rsidRPr="00F55305" w:rsidR="000C6455">
        <w:rPr>
          <w:snapToGrid w:val="0"/>
          <w:lang w:val="en-GB"/>
        </w:rPr>
        <w:t xml:space="preserve">as </w:t>
      </w:r>
      <w:r w:rsidRPr="00F55305" w:rsidR="002260BC">
        <w:rPr>
          <w:snapToGrid w:val="0"/>
          <w:lang w:val="en-GB"/>
        </w:rPr>
        <w:t>mild</w:t>
      </w:r>
      <w:r w:rsidRPr="00F55305" w:rsidR="003B5A7E">
        <w:rPr>
          <w:snapToGrid w:val="0"/>
          <w:lang w:val="en-GB"/>
        </w:rPr>
        <w:t xml:space="preserve"> as </w:t>
      </w:r>
      <w:r w:rsidRPr="00F55305">
        <w:rPr>
          <w:snapToGrid w:val="0"/>
          <w:lang w:val="en-GB"/>
        </w:rPr>
        <w:t xml:space="preserve">possible </w:t>
      </w:r>
      <w:r w:rsidRPr="00F55305" w:rsidR="003B5A7E">
        <w:rPr>
          <w:snapToGrid w:val="0"/>
          <w:lang w:val="en-GB"/>
        </w:rPr>
        <w:t>where they are implemented</w:t>
      </w:r>
      <w:r w:rsidRPr="00F55305">
        <w:rPr>
          <w:snapToGrid w:val="0"/>
          <w:lang w:val="en-GB"/>
        </w:rPr>
        <w:t xml:space="preserve"> </w:t>
      </w:r>
      <w:r w:rsidRPr="00F55305" w:rsidR="003B5A7E">
        <w:rPr>
          <w:snapToGrid w:val="0"/>
          <w:lang w:val="en-GB"/>
        </w:rPr>
        <w:t xml:space="preserve">in the context of </w:t>
      </w:r>
      <w:r w:rsidRPr="00F55305" w:rsidR="00DC468F">
        <w:rPr>
          <w:snapToGrid w:val="0"/>
          <w:lang w:val="en-GB"/>
        </w:rPr>
        <w:t>de</w:t>
      </w:r>
      <w:r w:rsidRPr="00F55305" w:rsidR="00F72A7A">
        <w:rPr>
          <w:snapToGrid w:val="0"/>
          <w:lang w:val="en-GB"/>
        </w:rPr>
        <w:t xml:space="preserve">privation </w:t>
      </w:r>
      <w:r w:rsidRPr="00F55305" w:rsidR="003B5A7E">
        <w:rPr>
          <w:snapToGrid w:val="0"/>
          <w:lang w:val="en-GB"/>
        </w:rPr>
        <w:t>of</w:t>
      </w:r>
      <w:r w:rsidRPr="00F55305" w:rsidR="00F72A7A">
        <w:rPr>
          <w:snapToGrid w:val="0"/>
          <w:lang w:val="en-GB"/>
        </w:rPr>
        <w:t xml:space="preserve"> libert</w:t>
      </w:r>
      <w:r w:rsidRPr="00F55305" w:rsidR="003B5A7E">
        <w:rPr>
          <w:snapToGrid w:val="0"/>
          <w:lang w:val="en-GB"/>
        </w:rPr>
        <w:t>y for ed</w:t>
      </w:r>
      <w:r w:rsidRPr="00F55305" w:rsidR="003B5A7E">
        <w:rPr>
          <w:rFonts w:eastAsia="Times New Roman"/>
          <w:lang w:val="en-GB"/>
        </w:rPr>
        <w:t>ucational purposes alone</w:t>
      </w:r>
      <w:r w:rsidRPr="00F55305">
        <w:rPr>
          <w:snapToGrid w:val="0"/>
          <w:lang w:val="en-GB"/>
        </w:rPr>
        <w:t>.</w:t>
      </w:r>
      <w:bookmarkEnd w:id="313"/>
      <w:r w:rsidRPr="00F55305">
        <w:rPr>
          <w:snapToGrid w:val="0"/>
          <w:lang w:val="en-GB"/>
        </w:rPr>
        <w:t xml:space="preserve"> </w:t>
      </w:r>
      <w:bookmarkStart w:name="lt_pId434" w:id="314"/>
      <w:r w:rsidRPr="00F55305" w:rsidR="00DC468F">
        <w:rPr>
          <w:snapToGrid w:val="0"/>
          <w:lang w:val="en-GB"/>
        </w:rPr>
        <w:t>With this in mind</w:t>
      </w:r>
      <w:r w:rsidRPr="00F55305">
        <w:rPr>
          <w:snapToGrid w:val="0"/>
          <w:lang w:val="en-GB"/>
        </w:rPr>
        <w:t xml:space="preserve">, </w:t>
      </w:r>
      <w:r w:rsidRPr="00F55305" w:rsidR="008C1A2E">
        <w:rPr>
          <w:snapToGrid w:val="0"/>
          <w:lang w:val="en-GB"/>
        </w:rPr>
        <w:t>the Court</w:t>
      </w:r>
      <w:r w:rsidRPr="00F55305">
        <w:rPr>
          <w:snapToGrid w:val="0"/>
          <w:lang w:val="en-GB"/>
        </w:rPr>
        <w:t xml:space="preserve"> </w:t>
      </w:r>
      <w:r w:rsidRPr="00F55305" w:rsidR="000C6455">
        <w:rPr>
          <w:snapToGrid w:val="0"/>
          <w:lang w:val="en-GB"/>
        </w:rPr>
        <w:t xml:space="preserve">is </w:t>
      </w:r>
      <w:r w:rsidRPr="00F55305" w:rsidR="00D627E0">
        <w:rPr>
          <w:snapToGrid w:val="0"/>
          <w:lang w:val="en-GB"/>
        </w:rPr>
        <w:t>obliged</w:t>
      </w:r>
      <w:r w:rsidRPr="00F55305" w:rsidR="000C6455">
        <w:rPr>
          <w:snapToGrid w:val="0"/>
          <w:lang w:val="en-GB"/>
        </w:rPr>
        <w:t xml:space="preserve"> to accord a narrow margin of appreciation to the State, </w:t>
      </w:r>
      <w:r w:rsidRPr="00F55305" w:rsidR="008C1A2E">
        <w:rPr>
          <w:snapToGrid w:val="0"/>
          <w:lang w:val="en-GB"/>
        </w:rPr>
        <w:t>and</w:t>
      </w:r>
      <w:r w:rsidRPr="00F55305">
        <w:rPr>
          <w:snapToGrid w:val="0"/>
          <w:lang w:val="en-GB"/>
        </w:rPr>
        <w:t xml:space="preserve"> </w:t>
      </w:r>
      <w:r w:rsidRPr="00F55305" w:rsidR="000C6455">
        <w:rPr>
          <w:snapToGrid w:val="0"/>
          <w:lang w:val="en-GB"/>
        </w:rPr>
        <w:t>the</w:t>
      </w:r>
      <w:r w:rsidRPr="00F55305">
        <w:rPr>
          <w:snapToGrid w:val="0"/>
          <w:lang w:val="en-GB"/>
        </w:rPr>
        <w:t xml:space="preserve"> </w:t>
      </w:r>
      <w:r w:rsidRPr="00F55305" w:rsidR="000C6455">
        <w:rPr>
          <w:snapToGrid w:val="0"/>
          <w:lang w:val="en-GB"/>
        </w:rPr>
        <w:t>considerations regarding the need to ens</w:t>
      </w:r>
      <w:r w:rsidRPr="00F55305" w:rsidR="000C6455">
        <w:rPr>
          <w:rFonts w:eastAsia="Times New Roman"/>
          <w:lang w:val="en-GB"/>
        </w:rPr>
        <w:t>ure</w:t>
      </w:r>
      <w:r w:rsidRPr="00F55305">
        <w:rPr>
          <w:snapToGrid w:val="0"/>
          <w:lang w:val="en-GB"/>
        </w:rPr>
        <w:t xml:space="preserve"> conditions </w:t>
      </w:r>
      <w:r w:rsidRPr="00F55305" w:rsidR="000C6455">
        <w:rPr>
          <w:snapToGrid w:val="0"/>
          <w:lang w:val="en-GB"/>
        </w:rPr>
        <w:t>that are cond</w:t>
      </w:r>
      <w:r w:rsidRPr="00F55305" w:rsidR="000C6455">
        <w:rPr>
          <w:rFonts w:eastAsia="Times New Roman"/>
          <w:lang w:val="en-GB"/>
        </w:rPr>
        <w:t>ucive to preserving contact between</w:t>
      </w:r>
      <w:r w:rsidRPr="00F55305">
        <w:rPr>
          <w:snapToGrid w:val="0"/>
          <w:lang w:val="en-GB"/>
        </w:rPr>
        <w:t xml:space="preserve"> </w:t>
      </w:r>
      <w:r w:rsidRPr="00F55305" w:rsidR="000C6455">
        <w:rPr>
          <w:snapToGrid w:val="0"/>
          <w:lang w:val="en-GB"/>
        </w:rPr>
        <w:t>j</w:t>
      </w:r>
      <w:r w:rsidRPr="00F55305" w:rsidR="000C6455">
        <w:rPr>
          <w:rFonts w:eastAsia="Times New Roman"/>
          <w:lang w:val="en-GB"/>
        </w:rPr>
        <w:t xml:space="preserve">uveniles and the outside world are equally valid </w:t>
      </w:r>
      <w:r w:rsidRPr="00F55305" w:rsidR="000C6455">
        <w:rPr>
          <w:snapToGrid w:val="0"/>
          <w:lang w:val="en-GB"/>
        </w:rPr>
        <w:t>in relation to</w:t>
      </w:r>
      <w:r w:rsidRPr="00F55305">
        <w:rPr>
          <w:snapToGrid w:val="0"/>
          <w:lang w:val="en-GB"/>
        </w:rPr>
        <w:t xml:space="preserve"> </w:t>
      </w:r>
      <w:r w:rsidRPr="00F55305" w:rsidR="00741B53">
        <w:rPr>
          <w:snapToGrid w:val="0"/>
          <w:lang w:val="en-GB"/>
        </w:rPr>
        <w:t>telep</w:t>
      </w:r>
      <w:r w:rsidRPr="00F55305" w:rsidR="000C6455">
        <w:rPr>
          <w:snapToGrid w:val="0"/>
          <w:lang w:val="en-GB"/>
        </w:rPr>
        <w:t>hone conversations</w:t>
      </w:r>
      <w:r w:rsidRPr="00F55305">
        <w:rPr>
          <w:snapToGrid w:val="0"/>
          <w:lang w:val="en-GB"/>
        </w:rPr>
        <w:t xml:space="preserve"> (</w:t>
      </w:r>
      <w:r w:rsidRPr="00F55305" w:rsidR="008C1A2E">
        <w:rPr>
          <w:snapToGrid w:val="0"/>
          <w:lang w:val="en-GB"/>
        </w:rPr>
        <w:t>see paragraph</w:t>
      </w:r>
      <w:r w:rsidRPr="00F55305">
        <w:rPr>
          <w:snapToGrid w:val="0"/>
          <w:lang w:val="en-GB"/>
        </w:rPr>
        <w:t xml:space="preserve"> 104 </w:t>
      </w:r>
      <w:r w:rsidRPr="00F55305" w:rsidR="008C1A2E">
        <w:rPr>
          <w:snapToGrid w:val="0"/>
          <w:lang w:val="en-GB"/>
        </w:rPr>
        <w:t>above</w:t>
      </w:r>
      <w:r w:rsidRPr="00F55305">
        <w:rPr>
          <w:snapToGrid w:val="0"/>
          <w:lang w:val="en-GB"/>
        </w:rPr>
        <w:t>).</w:t>
      </w:r>
      <w:bookmarkEnd w:id="314"/>
    </w:p>
    <w:p w:rsidRPr="00F55305" w:rsidR="00711D81" w:rsidP="00F55305" w:rsidRDefault="00711D81">
      <w:pPr>
        <w:pStyle w:val="ECHRPara"/>
        <w:rPr>
          <w:snapToGrid w:val="0"/>
          <w:lang w:val="en-GB"/>
        </w:rPr>
      </w:pPr>
      <w:r w:rsidRPr="00F55305">
        <w:rPr>
          <w:snapToGrid w:val="0"/>
          <w:lang w:val="en-GB"/>
        </w:rPr>
        <w:fldChar w:fldCharType="begin"/>
      </w:r>
      <w:r w:rsidRPr="00F55305">
        <w:rPr>
          <w:snapToGrid w:val="0"/>
          <w:lang w:val="en-GB"/>
        </w:rPr>
        <w:instrText xml:space="preserve"> SEQ level0 \*arabic </w:instrText>
      </w:r>
      <w:r w:rsidRPr="00F55305">
        <w:rPr>
          <w:snapToGrid w:val="0"/>
          <w:lang w:val="en-GB"/>
        </w:rPr>
        <w:fldChar w:fldCharType="separate"/>
      </w:r>
      <w:r w:rsidR="00F55305">
        <w:rPr>
          <w:noProof/>
          <w:snapToGrid w:val="0"/>
          <w:lang w:val="en-GB"/>
        </w:rPr>
        <w:t>110</w:t>
      </w:r>
      <w:r w:rsidRPr="00F55305">
        <w:rPr>
          <w:snapToGrid w:val="0"/>
          <w:lang w:val="en-GB"/>
        </w:rPr>
        <w:fldChar w:fldCharType="end"/>
      </w:r>
      <w:r w:rsidRPr="00F55305">
        <w:rPr>
          <w:snapToGrid w:val="0"/>
          <w:lang w:val="en-GB"/>
        </w:rPr>
        <w:t>.  </w:t>
      </w:r>
      <w:bookmarkStart w:name="lt_pId436" w:id="315"/>
      <w:r w:rsidRPr="00F55305" w:rsidR="00E6471B">
        <w:rPr>
          <w:snapToGrid w:val="0"/>
          <w:lang w:val="en-GB"/>
        </w:rPr>
        <w:t>T</w:t>
      </w:r>
      <w:r w:rsidRPr="00F55305" w:rsidR="00E6471B">
        <w:rPr>
          <w:rFonts w:eastAsia="Times New Roman"/>
          <w:lang w:val="en-GB"/>
        </w:rPr>
        <w:t xml:space="preserve">urning to the </w:t>
      </w:r>
      <w:r w:rsidRPr="00F55305" w:rsidR="00E6471B">
        <w:rPr>
          <w:snapToGrid w:val="0"/>
          <w:lang w:val="en-GB"/>
        </w:rPr>
        <w:t>present case</w:t>
      </w:r>
      <w:r w:rsidRPr="00F55305">
        <w:rPr>
          <w:snapToGrid w:val="0"/>
          <w:lang w:val="en-GB"/>
        </w:rPr>
        <w:t xml:space="preserve">, </w:t>
      </w:r>
      <w:r w:rsidRPr="00F55305" w:rsidR="008C1A2E">
        <w:rPr>
          <w:snapToGrid w:val="0"/>
          <w:lang w:val="en-GB"/>
        </w:rPr>
        <w:t>the Court</w:t>
      </w:r>
      <w:r w:rsidRPr="00F55305">
        <w:rPr>
          <w:snapToGrid w:val="0"/>
          <w:lang w:val="en-GB"/>
        </w:rPr>
        <w:t xml:space="preserve"> </w:t>
      </w:r>
      <w:r w:rsidRPr="00F55305" w:rsidR="00E6471B">
        <w:rPr>
          <w:snapToGrid w:val="0"/>
          <w:lang w:val="en-GB"/>
        </w:rPr>
        <w:t>observes that</w:t>
      </w:r>
      <w:r w:rsidRPr="00F55305">
        <w:rPr>
          <w:snapToGrid w:val="0"/>
          <w:lang w:val="en-GB"/>
        </w:rPr>
        <w:t xml:space="preserve"> </w:t>
      </w:r>
      <w:r w:rsidRPr="00F55305" w:rsidR="000F2B78">
        <w:rPr>
          <w:snapToGrid w:val="0"/>
          <w:lang w:val="en-GB"/>
        </w:rPr>
        <w:t>the Government</w:t>
      </w:r>
      <w:r w:rsidRPr="00F55305">
        <w:rPr>
          <w:snapToGrid w:val="0"/>
          <w:lang w:val="en-GB"/>
        </w:rPr>
        <w:t xml:space="preserve"> </w:t>
      </w:r>
      <w:r w:rsidRPr="00F55305" w:rsidR="00E6471B">
        <w:rPr>
          <w:snapToGrid w:val="0"/>
          <w:lang w:val="en-GB"/>
        </w:rPr>
        <w:t>have simply asserted that the</w:t>
      </w:r>
      <w:r w:rsidRPr="00F55305">
        <w:rPr>
          <w:snapToGrid w:val="0"/>
          <w:lang w:val="en-GB"/>
        </w:rPr>
        <w:t xml:space="preserve"> </w:t>
      </w:r>
      <w:r w:rsidRPr="00F55305" w:rsidR="00E6471B">
        <w:rPr>
          <w:snapToGrid w:val="0"/>
          <w:lang w:val="en-GB"/>
        </w:rPr>
        <w:t>legal framework was compatible with the</w:t>
      </w:r>
      <w:r w:rsidRPr="00F55305">
        <w:rPr>
          <w:snapToGrid w:val="0"/>
          <w:lang w:val="en-GB"/>
        </w:rPr>
        <w:t xml:space="preserve"> </w:t>
      </w:r>
      <w:r w:rsidRPr="00F55305" w:rsidR="00E6471B">
        <w:rPr>
          <w:snapToGrid w:val="0"/>
          <w:lang w:val="en-GB"/>
        </w:rPr>
        <w:t>req</w:t>
      </w:r>
      <w:r w:rsidRPr="00F55305" w:rsidR="00E6471B">
        <w:rPr>
          <w:rFonts w:eastAsia="Times New Roman"/>
          <w:lang w:val="en-GB"/>
        </w:rPr>
        <w:t>uirements of</w:t>
      </w:r>
      <w:r w:rsidRPr="00F55305">
        <w:rPr>
          <w:snapToGrid w:val="0"/>
          <w:lang w:val="en-GB"/>
        </w:rPr>
        <w:t xml:space="preserve"> </w:t>
      </w:r>
      <w:r w:rsidRPr="00F55305" w:rsidR="008F4E10">
        <w:rPr>
          <w:snapToGrid w:val="0"/>
          <w:lang w:val="en-GB"/>
        </w:rPr>
        <w:t>Article 8</w:t>
      </w:r>
      <w:r w:rsidRPr="00F55305">
        <w:rPr>
          <w:snapToGrid w:val="0"/>
          <w:lang w:val="en-GB"/>
        </w:rPr>
        <w:t xml:space="preserve"> § 2 </w:t>
      </w:r>
      <w:r w:rsidRPr="00F55305" w:rsidR="008F4E10">
        <w:rPr>
          <w:snapToGrid w:val="0"/>
          <w:lang w:val="en-GB"/>
        </w:rPr>
        <w:t>of the Convention</w:t>
      </w:r>
      <w:r w:rsidRPr="00F55305" w:rsidR="00E6471B">
        <w:rPr>
          <w:snapToGrid w:val="0"/>
          <w:lang w:val="en-GB"/>
        </w:rPr>
        <w:t>, witho</w:t>
      </w:r>
      <w:r w:rsidRPr="00F55305" w:rsidR="00E6471B">
        <w:rPr>
          <w:rFonts w:eastAsia="Times New Roman"/>
          <w:lang w:val="en-GB"/>
        </w:rPr>
        <w:t>ut actually putting forward any practical</w:t>
      </w:r>
      <w:r w:rsidRPr="00F55305">
        <w:rPr>
          <w:snapToGrid w:val="0"/>
          <w:lang w:val="en-GB"/>
        </w:rPr>
        <w:t xml:space="preserve"> arguments </w:t>
      </w:r>
      <w:r w:rsidRPr="00F55305" w:rsidR="00E6471B">
        <w:rPr>
          <w:snapToGrid w:val="0"/>
          <w:lang w:val="en-GB"/>
        </w:rPr>
        <w:t>to s</w:t>
      </w:r>
      <w:r w:rsidRPr="00F55305" w:rsidR="00E6471B">
        <w:rPr>
          <w:rFonts w:eastAsia="Times New Roman"/>
          <w:lang w:val="en-GB"/>
        </w:rPr>
        <w:t xml:space="preserve">ubstantiate the need for it </w:t>
      </w:r>
      <w:r w:rsidRPr="00F55305">
        <w:rPr>
          <w:snapToGrid w:val="0"/>
          <w:lang w:val="en-GB"/>
        </w:rPr>
        <w:t>(</w:t>
      </w:r>
      <w:r w:rsidRPr="00F55305" w:rsidR="008C1A2E">
        <w:rPr>
          <w:snapToGrid w:val="0"/>
          <w:lang w:val="en-GB"/>
        </w:rPr>
        <w:t>see paragraph</w:t>
      </w:r>
      <w:r w:rsidRPr="00F55305">
        <w:rPr>
          <w:snapToGrid w:val="0"/>
          <w:lang w:val="en-GB"/>
        </w:rPr>
        <w:t xml:space="preserve"> 97 </w:t>
      </w:r>
      <w:r w:rsidRPr="00F55305" w:rsidR="008C1A2E">
        <w:rPr>
          <w:snapToGrid w:val="0"/>
          <w:lang w:val="en-GB"/>
        </w:rPr>
        <w:t>above</w:t>
      </w:r>
      <w:r w:rsidRPr="00F55305">
        <w:rPr>
          <w:snapToGrid w:val="0"/>
          <w:lang w:val="en-GB"/>
        </w:rPr>
        <w:t xml:space="preserve">), </w:t>
      </w:r>
      <w:r w:rsidRPr="00F55305" w:rsidR="008C1A2E">
        <w:rPr>
          <w:snapToGrid w:val="0"/>
          <w:lang w:val="en-GB"/>
        </w:rPr>
        <w:t>and</w:t>
      </w:r>
      <w:r w:rsidRPr="00F55305">
        <w:rPr>
          <w:snapToGrid w:val="0"/>
          <w:lang w:val="en-GB"/>
        </w:rPr>
        <w:t xml:space="preserve"> </w:t>
      </w:r>
      <w:r w:rsidRPr="00F55305" w:rsidR="00E6471B">
        <w:rPr>
          <w:snapToGrid w:val="0"/>
          <w:lang w:val="en-GB"/>
        </w:rPr>
        <w:t>that they have not denied that the</w:t>
      </w:r>
      <w:r w:rsidRPr="00F55305">
        <w:rPr>
          <w:snapToGrid w:val="0"/>
          <w:lang w:val="en-GB"/>
        </w:rPr>
        <w:t xml:space="preserve"> </w:t>
      </w:r>
      <w:r w:rsidRPr="00F55305" w:rsidR="00E6471B">
        <w:rPr>
          <w:snapToGrid w:val="0"/>
          <w:lang w:val="en-GB"/>
        </w:rPr>
        <w:t xml:space="preserve">telephone </w:t>
      </w:r>
      <w:r w:rsidRPr="00F55305">
        <w:rPr>
          <w:snapToGrid w:val="0"/>
          <w:lang w:val="en-GB"/>
        </w:rPr>
        <w:t xml:space="preserve">communications </w:t>
      </w:r>
      <w:r w:rsidRPr="00F55305" w:rsidR="00E6471B">
        <w:rPr>
          <w:snapToGrid w:val="0"/>
          <w:lang w:val="en-GB"/>
        </w:rPr>
        <w:t>i</w:t>
      </w:r>
      <w:r w:rsidRPr="00F55305">
        <w:rPr>
          <w:snapToGrid w:val="0"/>
          <w:lang w:val="en-GB"/>
        </w:rPr>
        <w:t xml:space="preserve">n question </w:t>
      </w:r>
      <w:r w:rsidRPr="00F55305" w:rsidR="00E6471B">
        <w:rPr>
          <w:snapToGrid w:val="0"/>
          <w:lang w:val="en-GB"/>
        </w:rPr>
        <w:t xml:space="preserve">took place </w:t>
      </w:r>
      <w:r w:rsidRPr="00F55305" w:rsidR="00E6471B">
        <w:rPr>
          <w:rFonts w:eastAsia="Times New Roman"/>
          <w:lang w:val="en-GB"/>
        </w:rPr>
        <w:t xml:space="preserve">under the supervision of staff members, thus </w:t>
      </w:r>
      <w:r w:rsidRPr="00F55305" w:rsidR="00D627E0">
        <w:rPr>
          <w:rFonts w:eastAsia="Times New Roman"/>
          <w:lang w:val="en-GB"/>
        </w:rPr>
        <w:t>rendering</w:t>
      </w:r>
      <w:r w:rsidRPr="00F55305" w:rsidR="00E6471B">
        <w:rPr>
          <w:rFonts w:eastAsia="Times New Roman"/>
          <w:lang w:val="en-GB"/>
        </w:rPr>
        <w:t xml:space="preserve"> them </w:t>
      </w:r>
      <w:r w:rsidRPr="00F55305" w:rsidR="00D627E0">
        <w:rPr>
          <w:rFonts w:eastAsia="Times New Roman"/>
          <w:lang w:val="en-GB"/>
        </w:rPr>
        <w:t xml:space="preserve">devoid </w:t>
      </w:r>
      <w:r w:rsidRPr="00F55305" w:rsidR="00E6471B">
        <w:rPr>
          <w:rFonts w:eastAsia="Times New Roman"/>
          <w:lang w:val="en-GB"/>
        </w:rPr>
        <w:t>of any confidentiality</w:t>
      </w:r>
      <w:r w:rsidRPr="00F55305">
        <w:rPr>
          <w:snapToGrid w:val="0"/>
          <w:lang w:val="en-GB"/>
        </w:rPr>
        <w:t>.</w:t>
      </w:r>
      <w:bookmarkEnd w:id="315"/>
      <w:r w:rsidRPr="00F55305">
        <w:rPr>
          <w:snapToGrid w:val="0"/>
          <w:lang w:val="en-GB"/>
        </w:rPr>
        <w:t xml:space="preserve"> </w:t>
      </w:r>
      <w:bookmarkStart w:name="lt_pId437" w:id="316"/>
      <w:r w:rsidRPr="00F55305">
        <w:rPr>
          <w:snapToGrid w:val="0"/>
          <w:lang w:val="en-GB"/>
        </w:rPr>
        <w:t>The Court must therefore examine the conditions to which the applicant</w:t>
      </w:r>
      <w:r w:rsidRPr="00F55305" w:rsidR="00F55305">
        <w:rPr>
          <w:snapToGrid w:val="0"/>
          <w:lang w:val="en-GB"/>
        </w:rPr>
        <w:t>’</w:t>
      </w:r>
      <w:r w:rsidRPr="00F55305">
        <w:rPr>
          <w:snapToGrid w:val="0"/>
          <w:lang w:val="en-GB"/>
        </w:rPr>
        <w:t>s telephone conversations were subjected, under the rules in force at the relevant time, in order to assess whether those conditions were compatible with the requirements of the second paragraph of Article 8 of the Convention.</w:t>
      </w:r>
      <w:bookmarkEnd w:id="316"/>
    </w:p>
    <w:p w:rsidRPr="00F55305" w:rsidR="00711D81" w:rsidP="00F55305" w:rsidRDefault="00711D81">
      <w:pPr>
        <w:pStyle w:val="ECHRPara"/>
        <w:rPr>
          <w:lang w:val="en-GB"/>
        </w:rPr>
      </w:pPr>
      <w:r w:rsidRPr="00F55305">
        <w:rPr>
          <w:snapToGrid w:val="0"/>
          <w:lang w:val="en-GB"/>
        </w:rPr>
        <w:fldChar w:fldCharType="begin"/>
      </w:r>
      <w:r w:rsidRPr="00F55305">
        <w:rPr>
          <w:snapToGrid w:val="0"/>
          <w:lang w:val="en-GB"/>
        </w:rPr>
        <w:instrText xml:space="preserve"> SEQ level0 \*arabic </w:instrText>
      </w:r>
      <w:r w:rsidRPr="00F55305">
        <w:rPr>
          <w:snapToGrid w:val="0"/>
          <w:lang w:val="en-GB"/>
        </w:rPr>
        <w:fldChar w:fldCharType="separate"/>
      </w:r>
      <w:r w:rsidR="00F55305">
        <w:rPr>
          <w:noProof/>
          <w:snapToGrid w:val="0"/>
          <w:lang w:val="en-GB"/>
        </w:rPr>
        <w:t>111</w:t>
      </w:r>
      <w:r w:rsidRPr="00F55305">
        <w:rPr>
          <w:snapToGrid w:val="0"/>
          <w:lang w:val="en-GB"/>
        </w:rPr>
        <w:fldChar w:fldCharType="end"/>
      </w:r>
      <w:r w:rsidRPr="00F55305">
        <w:rPr>
          <w:lang w:val="en-GB"/>
        </w:rPr>
        <w:t>.  </w:t>
      </w:r>
      <w:bookmarkStart w:name="lt_pId439" w:id="317"/>
      <w:r w:rsidRPr="00F55305" w:rsidR="00DD2675">
        <w:rPr>
          <w:lang w:val="en-GB"/>
        </w:rPr>
        <w:t>In this connection</w:t>
      </w:r>
      <w:r w:rsidRPr="00F55305">
        <w:rPr>
          <w:lang w:val="en-GB"/>
        </w:rPr>
        <w:t xml:space="preserve">, </w:t>
      </w:r>
      <w:r w:rsidRPr="00F55305" w:rsidR="008C1A2E">
        <w:rPr>
          <w:lang w:val="en-GB"/>
        </w:rPr>
        <w:t>the Court</w:t>
      </w:r>
      <w:r w:rsidRPr="00F55305">
        <w:rPr>
          <w:lang w:val="en-GB"/>
        </w:rPr>
        <w:t xml:space="preserve"> </w:t>
      </w:r>
      <w:r w:rsidRPr="00F55305" w:rsidR="00DD2675">
        <w:rPr>
          <w:lang w:val="en-GB"/>
        </w:rPr>
        <w:t>considers that</w:t>
      </w:r>
      <w:r w:rsidRPr="00F55305">
        <w:rPr>
          <w:lang w:val="en-GB"/>
        </w:rPr>
        <w:t xml:space="preserve">, </w:t>
      </w:r>
      <w:r w:rsidRPr="00F55305" w:rsidR="0090422D">
        <w:rPr>
          <w:lang w:val="en-GB"/>
        </w:rPr>
        <w:t>in view of the psychological and social development of children placed in care and the need for them to have as close family ties as possible, it is essential that the a</w:t>
      </w:r>
      <w:r w:rsidRPr="00F55305" w:rsidR="0090422D">
        <w:rPr>
          <w:rFonts w:eastAsia="Times New Roman"/>
          <w:lang w:val="en-GB"/>
        </w:rPr>
        <w:t>uthorities should assist them in maintaining genuine contact with their close family</w:t>
      </w:r>
      <w:r w:rsidRPr="00F55305">
        <w:rPr>
          <w:lang w:val="en-GB"/>
        </w:rPr>
        <w:t xml:space="preserve"> (</w:t>
      </w:r>
      <w:r w:rsidRPr="00F55305" w:rsidR="00F04923">
        <w:rPr>
          <w:lang w:val="en-GB"/>
        </w:rPr>
        <w:t>see</w:t>
      </w:r>
      <w:r w:rsidRPr="00F55305">
        <w:rPr>
          <w:lang w:val="en-GB"/>
        </w:rPr>
        <w:t xml:space="preserve">, </w:t>
      </w:r>
      <w:r w:rsidRPr="00F55305">
        <w:rPr>
          <w:i/>
          <w:lang w:val="en-GB"/>
        </w:rPr>
        <w:t>mutatis mutandis</w:t>
      </w:r>
      <w:r w:rsidRPr="00F55305">
        <w:rPr>
          <w:lang w:val="en-GB"/>
        </w:rPr>
        <w:t xml:space="preserve">, </w:t>
      </w:r>
      <w:r w:rsidRPr="00F55305">
        <w:rPr>
          <w:bCs/>
          <w:i/>
          <w:iCs/>
          <w:lang w:val="en-GB"/>
        </w:rPr>
        <w:t xml:space="preserve">Van der Ven </w:t>
      </w:r>
      <w:r w:rsidRPr="00F55305" w:rsidR="00727CA3">
        <w:rPr>
          <w:bCs/>
          <w:i/>
          <w:iCs/>
          <w:lang w:val="en-GB"/>
        </w:rPr>
        <w:t>v. the Netherlands</w:t>
      </w:r>
      <w:r w:rsidRPr="00F55305">
        <w:rPr>
          <w:bCs/>
          <w:lang w:val="en-GB"/>
        </w:rPr>
        <w:t>,</w:t>
      </w:r>
      <w:r w:rsidRPr="00F55305">
        <w:rPr>
          <w:bCs/>
          <w:i/>
          <w:iCs/>
          <w:lang w:val="en-GB"/>
        </w:rPr>
        <w:t xml:space="preserve"> </w:t>
      </w:r>
      <w:r w:rsidRPr="00F55305">
        <w:rPr>
          <w:bCs/>
          <w:lang w:val="en-GB"/>
        </w:rPr>
        <w:t>n</w:t>
      </w:r>
      <w:r w:rsidRPr="00F55305" w:rsidR="00431EFB">
        <w:rPr>
          <w:bCs/>
          <w:lang w:val="en-GB"/>
        </w:rPr>
        <w:t>o.</w:t>
      </w:r>
      <w:r w:rsidRPr="00F55305" w:rsidR="00D627E0">
        <w:rPr>
          <w:bCs/>
          <w:lang w:val="en-GB"/>
        </w:rPr>
        <w:t> </w:t>
      </w:r>
      <w:r w:rsidRPr="00F55305">
        <w:rPr>
          <w:bCs/>
          <w:lang w:val="en-GB"/>
        </w:rPr>
        <w:t xml:space="preserve">50901/99, § 68, </w:t>
      </w:r>
      <w:r w:rsidRPr="00F55305" w:rsidR="008C1A2E">
        <w:rPr>
          <w:bCs/>
          <w:lang w:val="en-GB"/>
        </w:rPr>
        <w:t>ECHR</w:t>
      </w:r>
      <w:r w:rsidRPr="00F55305">
        <w:rPr>
          <w:bCs/>
          <w:lang w:val="en-GB"/>
        </w:rPr>
        <w:t xml:space="preserve"> 2003-II, </w:t>
      </w:r>
      <w:r w:rsidRPr="00F55305" w:rsidR="008C1A2E">
        <w:rPr>
          <w:bCs/>
          <w:lang w:val="en-GB"/>
        </w:rPr>
        <w:t>and</w:t>
      </w:r>
      <w:r w:rsidRPr="00F55305">
        <w:rPr>
          <w:i/>
          <w:lang w:val="en-GB"/>
        </w:rPr>
        <w:t xml:space="preserve"> Nusret Kaya</w:t>
      </w:r>
      <w:r w:rsidRPr="00F55305">
        <w:rPr>
          <w:lang w:val="en-GB"/>
        </w:rPr>
        <w:t xml:space="preserve"> </w:t>
      </w:r>
      <w:r w:rsidRPr="00F55305" w:rsidR="008C1A2E">
        <w:rPr>
          <w:i/>
          <w:lang w:val="en-GB"/>
        </w:rPr>
        <w:t>and Others</w:t>
      </w:r>
      <w:r w:rsidRPr="00F55305">
        <w:rPr>
          <w:lang w:val="en-GB"/>
        </w:rPr>
        <w:t xml:space="preserve">, </w:t>
      </w:r>
      <w:r w:rsidRPr="00F55305" w:rsidR="00BD277E">
        <w:rPr>
          <w:lang w:val="en-GB"/>
        </w:rPr>
        <w:t>cited above</w:t>
      </w:r>
      <w:r w:rsidRPr="00F55305">
        <w:rPr>
          <w:lang w:val="en-GB"/>
        </w:rPr>
        <w:t>, § 59).</w:t>
      </w:r>
      <w:bookmarkEnd w:id="317"/>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112</w:t>
      </w:r>
      <w:r w:rsidRPr="00F55305">
        <w:rPr>
          <w:lang w:val="en-GB"/>
        </w:rPr>
        <w:fldChar w:fldCharType="end"/>
      </w:r>
      <w:r w:rsidRPr="00F55305">
        <w:rPr>
          <w:lang w:val="en-GB"/>
        </w:rPr>
        <w:t>.  </w:t>
      </w:r>
      <w:bookmarkStart w:name="lt_pId441" w:id="318"/>
      <w:r w:rsidRPr="00F55305" w:rsidR="0090422D">
        <w:rPr>
          <w:lang w:val="en-GB"/>
        </w:rPr>
        <w:t>It is tr</w:t>
      </w:r>
      <w:r w:rsidRPr="00F55305" w:rsidR="0090422D">
        <w:rPr>
          <w:rFonts w:eastAsia="Times New Roman"/>
          <w:lang w:val="en-GB"/>
        </w:rPr>
        <w:t xml:space="preserve">ue that </w:t>
      </w:r>
      <w:r w:rsidRPr="00F55305" w:rsidR="000F2B78">
        <w:rPr>
          <w:lang w:val="en-GB"/>
        </w:rPr>
        <w:t>the applicant</w:t>
      </w:r>
      <w:r w:rsidRPr="00F55305">
        <w:rPr>
          <w:lang w:val="en-GB"/>
        </w:rPr>
        <w:t xml:space="preserve"> </w:t>
      </w:r>
      <w:r w:rsidRPr="00F55305" w:rsidR="0090422D">
        <w:rPr>
          <w:lang w:val="en-GB"/>
        </w:rPr>
        <w:t>co</w:t>
      </w:r>
      <w:r w:rsidRPr="00F55305" w:rsidR="0090422D">
        <w:rPr>
          <w:rFonts w:eastAsia="Times New Roman"/>
          <w:lang w:val="en-GB"/>
        </w:rPr>
        <w:t>uld</w:t>
      </w:r>
      <w:r w:rsidRPr="00F55305">
        <w:rPr>
          <w:lang w:val="en-GB"/>
        </w:rPr>
        <w:t xml:space="preserve"> rece</w:t>
      </w:r>
      <w:r w:rsidRPr="00F55305" w:rsidR="0090422D">
        <w:rPr>
          <w:lang w:val="en-GB"/>
        </w:rPr>
        <w:t>i</w:t>
      </w:r>
      <w:r w:rsidRPr="00F55305">
        <w:rPr>
          <w:lang w:val="en-GB"/>
        </w:rPr>
        <w:t>v</w:t>
      </w:r>
      <w:r w:rsidRPr="00F55305" w:rsidR="0090422D">
        <w:rPr>
          <w:lang w:val="en-GB"/>
        </w:rPr>
        <w:t>e visit</w:t>
      </w:r>
      <w:r w:rsidRPr="00F55305">
        <w:rPr>
          <w:lang w:val="en-GB"/>
        </w:rPr>
        <w:t xml:space="preserve">s </w:t>
      </w:r>
      <w:r w:rsidRPr="00F55305" w:rsidR="008C1A2E">
        <w:rPr>
          <w:lang w:val="en-GB"/>
        </w:rPr>
        <w:t>and</w:t>
      </w:r>
      <w:r w:rsidRPr="00F55305">
        <w:rPr>
          <w:lang w:val="en-GB"/>
        </w:rPr>
        <w:t xml:space="preserve"> </w:t>
      </w:r>
      <w:r w:rsidRPr="00F55305" w:rsidR="0090422D">
        <w:rPr>
          <w:lang w:val="en-GB"/>
        </w:rPr>
        <w:t>go home d</w:t>
      </w:r>
      <w:r w:rsidRPr="00F55305" w:rsidR="0090422D">
        <w:rPr>
          <w:rFonts w:eastAsia="Times New Roman"/>
          <w:lang w:val="en-GB"/>
        </w:rPr>
        <w:t>uring the school holidays</w:t>
      </w:r>
      <w:r w:rsidRPr="00F55305">
        <w:rPr>
          <w:lang w:val="en-GB"/>
        </w:rPr>
        <w:t xml:space="preserve"> (</w:t>
      </w:r>
      <w:r w:rsidRPr="00F55305" w:rsidR="008C1A2E">
        <w:rPr>
          <w:lang w:val="en-GB"/>
        </w:rPr>
        <w:t>see paragraph</w:t>
      </w:r>
      <w:r w:rsidRPr="00F55305">
        <w:rPr>
          <w:lang w:val="en-GB"/>
        </w:rPr>
        <w:t xml:space="preserve"> 28 </w:t>
      </w:r>
      <w:r w:rsidRPr="00F55305" w:rsidR="008C1A2E">
        <w:rPr>
          <w:lang w:val="en-GB"/>
        </w:rPr>
        <w:t>above</w:t>
      </w:r>
      <w:r w:rsidRPr="00F55305">
        <w:rPr>
          <w:lang w:val="en-GB"/>
        </w:rPr>
        <w:t>).</w:t>
      </w:r>
      <w:bookmarkEnd w:id="318"/>
      <w:r w:rsidRPr="00F55305">
        <w:rPr>
          <w:lang w:val="en-GB"/>
        </w:rPr>
        <w:t xml:space="preserve"> </w:t>
      </w:r>
      <w:bookmarkStart w:name="lt_pId442" w:id="319"/>
      <w:r w:rsidRPr="00F55305" w:rsidR="0090422D">
        <w:rPr>
          <w:lang w:val="en-GB"/>
        </w:rPr>
        <w:t>She therefore had opport</w:t>
      </w:r>
      <w:r w:rsidRPr="00F55305" w:rsidR="0090422D">
        <w:rPr>
          <w:rFonts w:eastAsia="Times New Roman"/>
          <w:lang w:val="en-GB"/>
        </w:rPr>
        <w:t>unities to maintain</w:t>
      </w:r>
      <w:r w:rsidRPr="00F55305" w:rsidR="0090422D">
        <w:rPr>
          <w:lang w:val="en-GB"/>
        </w:rPr>
        <w:t xml:space="preserve"> contact with her relatives</w:t>
      </w:r>
      <w:r w:rsidRPr="00F55305">
        <w:rPr>
          <w:lang w:val="en-GB"/>
        </w:rPr>
        <w:t>.</w:t>
      </w:r>
      <w:bookmarkEnd w:id="319"/>
      <w:r w:rsidRPr="00F55305">
        <w:rPr>
          <w:lang w:val="en-GB"/>
        </w:rPr>
        <w:t xml:space="preserve"> </w:t>
      </w:r>
      <w:bookmarkStart w:name="lt_pId443" w:id="320"/>
      <w:r w:rsidRPr="00F55305" w:rsidR="0090422D">
        <w:rPr>
          <w:lang w:val="en-GB"/>
        </w:rPr>
        <w:t>This fact does not detract from the finding that</w:t>
      </w:r>
      <w:r w:rsidRPr="00F55305">
        <w:rPr>
          <w:lang w:val="en-GB"/>
        </w:rPr>
        <w:t xml:space="preserve"> </w:t>
      </w:r>
      <w:r w:rsidRPr="00F55305" w:rsidR="0090422D">
        <w:rPr>
          <w:lang w:val="en-GB"/>
        </w:rPr>
        <w:t xml:space="preserve">the </w:t>
      </w:r>
      <w:r w:rsidRPr="00F55305" w:rsidR="00DC7569">
        <w:rPr>
          <w:lang w:val="en-GB"/>
        </w:rPr>
        <w:t>r</w:t>
      </w:r>
      <w:r w:rsidRPr="00F55305" w:rsidR="00DC7569">
        <w:rPr>
          <w:rFonts w:eastAsia="Times New Roman"/>
          <w:lang w:val="en-GB"/>
        </w:rPr>
        <w:t xml:space="preserve">ules governing </w:t>
      </w:r>
      <w:r w:rsidRPr="00F55305" w:rsidR="00741B53">
        <w:rPr>
          <w:lang w:val="en-GB"/>
        </w:rPr>
        <w:t>correspondence</w:t>
      </w:r>
      <w:r w:rsidRPr="00F55305" w:rsidR="00DC7569">
        <w:rPr>
          <w:lang w:val="en-GB"/>
        </w:rPr>
        <w:t xml:space="preserve"> were inadeq</w:t>
      </w:r>
      <w:r w:rsidRPr="00F55305" w:rsidR="00DC7569">
        <w:rPr>
          <w:rFonts w:eastAsia="Times New Roman"/>
          <w:lang w:val="en-GB"/>
        </w:rPr>
        <w:t xml:space="preserve">uate in that they </w:t>
      </w:r>
      <w:r w:rsidRPr="00F55305" w:rsidR="002774F7">
        <w:rPr>
          <w:rFonts w:eastAsia="Times New Roman"/>
          <w:lang w:val="en-GB"/>
        </w:rPr>
        <w:t>rendered</w:t>
      </w:r>
      <w:r w:rsidRPr="00F55305" w:rsidR="00DC7569">
        <w:rPr>
          <w:rFonts w:eastAsia="Times New Roman"/>
          <w:lang w:val="en-GB"/>
        </w:rPr>
        <w:t xml:space="preserve"> it </w:t>
      </w:r>
      <w:r w:rsidRPr="00F55305" w:rsidR="002774F7">
        <w:rPr>
          <w:rFonts w:eastAsia="Times New Roman"/>
          <w:lang w:val="en-GB"/>
        </w:rPr>
        <w:t xml:space="preserve">devoid </w:t>
      </w:r>
      <w:r w:rsidRPr="00F55305" w:rsidR="00DC7569">
        <w:rPr>
          <w:rFonts w:eastAsia="Times New Roman"/>
          <w:lang w:val="en-GB"/>
        </w:rPr>
        <w:t>of all</w:t>
      </w:r>
      <w:r w:rsidRPr="00F55305">
        <w:rPr>
          <w:lang w:val="en-GB"/>
        </w:rPr>
        <w:t xml:space="preserve"> </w:t>
      </w:r>
      <w:r w:rsidRPr="00F55305" w:rsidR="00DC7569">
        <w:rPr>
          <w:lang w:val="en-GB"/>
        </w:rPr>
        <w:t>confidentiality</w:t>
      </w:r>
      <w:r w:rsidRPr="00F55305">
        <w:rPr>
          <w:lang w:val="en-GB"/>
        </w:rPr>
        <w:t xml:space="preserve"> (</w:t>
      </w:r>
      <w:r w:rsidRPr="00F55305" w:rsidR="008C1A2E">
        <w:rPr>
          <w:lang w:val="en-GB"/>
        </w:rPr>
        <w:t>see paragraph</w:t>
      </w:r>
      <w:r w:rsidRPr="00F55305">
        <w:rPr>
          <w:lang w:val="en-GB"/>
        </w:rPr>
        <w:t xml:space="preserve"> 106 </w:t>
      </w:r>
      <w:r w:rsidRPr="00F55305" w:rsidR="008C1A2E">
        <w:rPr>
          <w:lang w:val="en-GB"/>
        </w:rPr>
        <w:t>above</w:t>
      </w:r>
      <w:r w:rsidRPr="00F55305">
        <w:rPr>
          <w:lang w:val="en-GB"/>
        </w:rPr>
        <w:t>).</w:t>
      </w:r>
      <w:bookmarkEnd w:id="320"/>
      <w:r w:rsidRPr="00F55305">
        <w:rPr>
          <w:lang w:val="en-GB"/>
        </w:rPr>
        <w:t xml:space="preserve"> </w:t>
      </w:r>
      <w:bookmarkStart w:name="lt_pId444" w:id="321"/>
      <w:r w:rsidRPr="00F55305" w:rsidR="00DC7569">
        <w:rPr>
          <w:lang w:val="en-GB"/>
        </w:rPr>
        <w:t>The possibilitie</w:t>
      </w:r>
      <w:r w:rsidRPr="00F55305">
        <w:rPr>
          <w:lang w:val="en-GB"/>
        </w:rPr>
        <w:t xml:space="preserve">s </w:t>
      </w:r>
      <w:r w:rsidRPr="00F55305" w:rsidR="00DC7569">
        <w:rPr>
          <w:lang w:val="en-GB"/>
        </w:rPr>
        <w:t>for the applicant to comm</w:t>
      </w:r>
      <w:r w:rsidRPr="00F55305" w:rsidR="00DC7569">
        <w:rPr>
          <w:rFonts w:eastAsia="Times New Roman"/>
          <w:lang w:val="en-GB"/>
        </w:rPr>
        <w:t xml:space="preserve">unicate with the outside world </w:t>
      </w:r>
      <w:r w:rsidRPr="00F55305" w:rsidR="00D627E0">
        <w:rPr>
          <w:rFonts w:eastAsia="Times New Roman"/>
          <w:lang w:val="en-GB"/>
        </w:rPr>
        <w:t>during her lengthy</w:t>
      </w:r>
      <w:r w:rsidRPr="00F55305" w:rsidR="00DC7569">
        <w:rPr>
          <w:rFonts w:eastAsia="Times New Roman"/>
          <w:lang w:val="en-GB"/>
        </w:rPr>
        <w:t xml:space="preserve"> periods in the </w:t>
      </w:r>
      <w:r w:rsidRPr="00F55305" w:rsidR="003B5A4F">
        <w:rPr>
          <w:lang w:val="en-GB"/>
        </w:rPr>
        <w:t>Podem school</w:t>
      </w:r>
      <w:r w:rsidRPr="00F55305">
        <w:rPr>
          <w:lang w:val="en-GB"/>
        </w:rPr>
        <w:t xml:space="preserve"> </w:t>
      </w:r>
      <w:r w:rsidRPr="00F55305" w:rsidR="00DC7569">
        <w:rPr>
          <w:lang w:val="en-GB"/>
        </w:rPr>
        <w:t>were therefore restricted</w:t>
      </w:r>
      <w:r w:rsidRPr="00F55305">
        <w:rPr>
          <w:lang w:val="en-GB"/>
        </w:rPr>
        <w:t>.</w:t>
      </w:r>
      <w:bookmarkEnd w:id="321"/>
      <w:r w:rsidRPr="00F55305">
        <w:rPr>
          <w:lang w:val="en-GB"/>
        </w:rPr>
        <w:t xml:space="preserve"> </w:t>
      </w:r>
      <w:bookmarkStart w:name="lt_pId445" w:id="322"/>
      <w:r w:rsidRPr="00F55305" w:rsidR="008C1A2E">
        <w:rPr>
          <w:lang w:val="en-GB"/>
        </w:rPr>
        <w:t>The Court</w:t>
      </w:r>
      <w:r w:rsidRPr="00F55305">
        <w:rPr>
          <w:lang w:val="en-GB"/>
        </w:rPr>
        <w:t xml:space="preserve"> </w:t>
      </w:r>
      <w:r w:rsidRPr="00F55305" w:rsidR="00DC7569">
        <w:rPr>
          <w:lang w:val="en-GB"/>
        </w:rPr>
        <w:t xml:space="preserve">also </w:t>
      </w:r>
      <w:r w:rsidRPr="00F55305">
        <w:rPr>
          <w:lang w:val="en-GB"/>
        </w:rPr>
        <w:t>observe</w:t>
      </w:r>
      <w:r w:rsidRPr="00F55305" w:rsidR="00DC7569">
        <w:rPr>
          <w:lang w:val="en-GB"/>
        </w:rPr>
        <w:t>s that the</w:t>
      </w:r>
      <w:r w:rsidRPr="00F55305">
        <w:rPr>
          <w:lang w:val="en-GB"/>
        </w:rPr>
        <w:t xml:space="preserve"> applicable </w:t>
      </w:r>
      <w:r w:rsidRPr="00F55305" w:rsidR="00DC7569">
        <w:rPr>
          <w:lang w:val="en-GB"/>
        </w:rPr>
        <w:t>internal reg</w:t>
      </w:r>
      <w:r w:rsidRPr="00F55305" w:rsidR="00DC7569">
        <w:rPr>
          <w:rFonts w:eastAsia="Times New Roman"/>
          <w:lang w:val="en-GB"/>
        </w:rPr>
        <w:t xml:space="preserve">ulations allowed the juveniles placed in the school to </w:t>
      </w:r>
      <w:r w:rsidRPr="00F55305" w:rsidR="00A771F7">
        <w:rPr>
          <w:rFonts w:eastAsia="Times New Roman"/>
          <w:lang w:val="en-GB"/>
        </w:rPr>
        <w:t xml:space="preserve">maintain links with outside </w:t>
      </w:r>
      <w:r w:rsidRPr="00F55305" w:rsidR="00A771F7">
        <w:rPr>
          <w:lang w:val="en-GB"/>
        </w:rPr>
        <w:t>by means of telephone</w:t>
      </w:r>
      <w:r w:rsidRPr="00F55305">
        <w:rPr>
          <w:lang w:val="en-GB"/>
        </w:rPr>
        <w:t xml:space="preserve"> conversations.</w:t>
      </w:r>
      <w:bookmarkEnd w:id="322"/>
      <w:r w:rsidRPr="00F55305">
        <w:rPr>
          <w:lang w:val="en-GB"/>
        </w:rPr>
        <w:t xml:space="preserve"> </w:t>
      </w:r>
      <w:bookmarkStart w:name="lt_pId446" w:id="323"/>
      <w:r w:rsidRPr="00F55305" w:rsidR="00A771F7">
        <w:rPr>
          <w:lang w:val="en-GB"/>
        </w:rPr>
        <w:t>However, for sec</w:t>
      </w:r>
      <w:r w:rsidRPr="00F55305" w:rsidR="00A771F7">
        <w:rPr>
          <w:rFonts w:eastAsia="Times New Roman"/>
          <w:lang w:val="en-GB"/>
        </w:rPr>
        <w:t>urity reasons,</w:t>
      </w:r>
      <w:r w:rsidRPr="00F55305">
        <w:rPr>
          <w:lang w:val="en-GB"/>
        </w:rPr>
        <w:t xml:space="preserve"> </w:t>
      </w:r>
      <w:r w:rsidRPr="00F55305" w:rsidR="00A771F7">
        <w:rPr>
          <w:lang w:val="en-GB"/>
        </w:rPr>
        <w:t>s</w:t>
      </w:r>
      <w:r w:rsidRPr="00F55305" w:rsidR="00A771F7">
        <w:rPr>
          <w:rFonts w:eastAsia="Times New Roman"/>
          <w:lang w:val="en-GB"/>
        </w:rPr>
        <w:t xml:space="preserve">uch </w:t>
      </w:r>
      <w:r w:rsidRPr="00F55305">
        <w:rPr>
          <w:lang w:val="en-GB"/>
        </w:rPr>
        <w:t xml:space="preserve">conversations </w:t>
      </w:r>
      <w:r w:rsidRPr="00F55305" w:rsidR="00A771F7">
        <w:rPr>
          <w:lang w:val="en-GB"/>
        </w:rPr>
        <w:t>req</w:t>
      </w:r>
      <w:r w:rsidRPr="00F55305" w:rsidR="00A771F7">
        <w:rPr>
          <w:rFonts w:eastAsia="Times New Roman"/>
          <w:lang w:val="en-GB"/>
        </w:rPr>
        <w:t>uired permission, particularl</w:t>
      </w:r>
      <w:r w:rsidRPr="00F55305" w:rsidR="00D627E0">
        <w:rPr>
          <w:rFonts w:eastAsia="Times New Roman"/>
          <w:lang w:val="en-GB"/>
        </w:rPr>
        <w:t>y in the case of outgoing calls</w:t>
      </w:r>
      <w:r w:rsidRPr="00F55305" w:rsidR="00A771F7">
        <w:rPr>
          <w:rFonts w:eastAsia="Times New Roman"/>
          <w:lang w:val="en-GB"/>
        </w:rPr>
        <w:t xml:space="preserve"> </w:t>
      </w:r>
      <w:r w:rsidRPr="00F55305" w:rsidR="00D627E0">
        <w:rPr>
          <w:rFonts w:eastAsia="Times New Roman"/>
          <w:lang w:val="en-GB"/>
        </w:rPr>
        <w:t>(</w:t>
      </w:r>
      <w:r w:rsidRPr="00F55305" w:rsidR="00A771F7">
        <w:rPr>
          <w:rFonts w:eastAsia="Times New Roman"/>
          <w:lang w:val="en-GB"/>
        </w:rPr>
        <w:t>which were the</w:t>
      </w:r>
      <w:r w:rsidRPr="00F55305">
        <w:rPr>
          <w:lang w:val="en-GB"/>
        </w:rPr>
        <w:t xml:space="preserve"> exception</w:t>
      </w:r>
      <w:r w:rsidRPr="00F55305" w:rsidR="00D627E0">
        <w:rPr>
          <w:lang w:val="en-GB"/>
        </w:rPr>
        <w:t>)</w:t>
      </w:r>
      <w:r w:rsidRPr="00F55305">
        <w:rPr>
          <w:lang w:val="en-GB"/>
        </w:rPr>
        <w:t xml:space="preserve">, </w:t>
      </w:r>
      <w:r w:rsidRPr="00F55305" w:rsidR="008C1A2E">
        <w:rPr>
          <w:lang w:val="en-GB"/>
        </w:rPr>
        <w:t>and</w:t>
      </w:r>
      <w:r w:rsidRPr="00F55305">
        <w:rPr>
          <w:lang w:val="en-GB"/>
        </w:rPr>
        <w:t xml:space="preserve"> </w:t>
      </w:r>
      <w:r w:rsidRPr="00F55305" w:rsidR="00A771F7">
        <w:rPr>
          <w:lang w:val="en-GB"/>
        </w:rPr>
        <w:t>were s</w:t>
      </w:r>
      <w:r w:rsidRPr="00F55305" w:rsidR="00A771F7">
        <w:rPr>
          <w:rFonts w:eastAsia="Times New Roman"/>
          <w:lang w:val="en-GB"/>
        </w:rPr>
        <w:t xml:space="preserve">ubject to supervision by the staff, with the result that all telephone conversations were </w:t>
      </w:r>
      <w:r w:rsidRPr="00F55305" w:rsidR="00A771F7">
        <w:rPr>
          <w:lang w:val="en-GB"/>
        </w:rPr>
        <w:t xml:space="preserve">heard </w:t>
      </w:r>
      <w:r w:rsidRPr="00F55305" w:rsidR="009E2365">
        <w:rPr>
          <w:lang w:val="en-GB"/>
        </w:rPr>
        <w:t>..</w:t>
      </w:r>
      <w:r w:rsidRPr="00F55305">
        <w:rPr>
          <w:lang w:val="en-GB"/>
        </w:rPr>
        <w:t>.</w:t>
      </w:r>
      <w:bookmarkEnd w:id="323"/>
    </w:p>
    <w:p w:rsidRPr="00F55305" w:rsidR="00711D81" w:rsidP="00F55305" w:rsidRDefault="00711D81">
      <w:pPr>
        <w:pStyle w:val="ECHRPara"/>
        <w:rPr>
          <w:bCs/>
          <w:snapToGrid w:val="0"/>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113</w:t>
      </w:r>
      <w:r w:rsidRPr="00F55305">
        <w:rPr>
          <w:lang w:val="en-GB"/>
        </w:rPr>
        <w:fldChar w:fldCharType="end"/>
      </w:r>
      <w:r w:rsidRPr="00F55305">
        <w:rPr>
          <w:snapToGrid w:val="0"/>
          <w:lang w:val="en-GB"/>
        </w:rPr>
        <w:t>.  </w:t>
      </w:r>
      <w:bookmarkStart w:name="lt_pId448" w:id="324"/>
      <w:r w:rsidRPr="00F55305">
        <w:rPr>
          <w:snapToGrid w:val="0"/>
          <w:lang w:val="en-GB"/>
        </w:rPr>
        <w:t xml:space="preserve">The rules were applicable generally and indiscriminately to all minors, irrespective of any individual assessment of the security requirements that might </w:t>
      </w:r>
      <w:r w:rsidRPr="00F55305" w:rsidR="00D627E0">
        <w:rPr>
          <w:snapToGrid w:val="0"/>
          <w:lang w:val="en-GB"/>
        </w:rPr>
        <w:t>be warranted by</w:t>
      </w:r>
      <w:r w:rsidRPr="00F55305">
        <w:rPr>
          <w:snapToGrid w:val="0"/>
          <w:lang w:val="en-GB"/>
        </w:rPr>
        <w:t xml:space="preserve"> their particular character.</w:t>
      </w:r>
      <w:bookmarkEnd w:id="324"/>
      <w:r w:rsidRPr="00F55305">
        <w:rPr>
          <w:b/>
          <w:bCs/>
          <w:snapToGrid w:val="0"/>
          <w:lang w:val="en-GB"/>
        </w:rPr>
        <w:t xml:space="preserve"> </w:t>
      </w:r>
      <w:bookmarkStart w:name="lt_pId449" w:id="325"/>
      <w:r w:rsidRPr="00F55305" w:rsidR="008C1A2E">
        <w:rPr>
          <w:bCs/>
          <w:snapToGrid w:val="0"/>
          <w:lang w:val="en-GB"/>
        </w:rPr>
        <w:t xml:space="preserve">The </w:t>
      </w:r>
      <w:r w:rsidRPr="00F55305" w:rsidR="00996139">
        <w:rPr>
          <w:bCs/>
          <w:snapToGrid w:val="0"/>
          <w:lang w:val="en-GB"/>
        </w:rPr>
        <w:t xml:space="preserve">Court is mindful of the fact that these were young people who had not been </w:t>
      </w:r>
      <w:r w:rsidRPr="00F55305" w:rsidR="00D627E0">
        <w:rPr>
          <w:bCs/>
          <w:snapToGrid w:val="0"/>
          <w:lang w:val="en-GB"/>
        </w:rPr>
        <w:t>involved in</w:t>
      </w:r>
      <w:r w:rsidRPr="00F55305" w:rsidR="00996139">
        <w:rPr>
          <w:bCs/>
          <w:snapToGrid w:val="0"/>
          <w:lang w:val="en-GB"/>
        </w:rPr>
        <w:t xml:space="preserve"> criminal proceedings.</w:t>
      </w:r>
      <w:r w:rsidRPr="00F55305">
        <w:rPr>
          <w:bCs/>
          <w:snapToGrid w:val="0"/>
          <w:lang w:val="en-GB"/>
        </w:rPr>
        <w:t xml:space="preserve"> </w:t>
      </w:r>
      <w:r w:rsidRPr="00F55305" w:rsidR="00996139">
        <w:rPr>
          <w:bCs/>
          <w:snapToGrid w:val="0"/>
          <w:lang w:val="en-GB"/>
        </w:rPr>
        <w:t xml:space="preserve">Although the applicant was accused of engaging in behaviour described as </w:t>
      </w:r>
      <w:r w:rsidRPr="00F55305" w:rsidR="00142AD9">
        <w:rPr>
          <w:bCs/>
          <w:snapToGrid w:val="0"/>
          <w:lang w:val="en-GB"/>
        </w:rPr>
        <w:t>“</w:t>
      </w:r>
      <w:r w:rsidRPr="00F55305" w:rsidR="00996139">
        <w:rPr>
          <w:bCs/>
          <w:snapToGrid w:val="0"/>
          <w:lang w:val="en-GB"/>
        </w:rPr>
        <w:t>antisocial</w:t>
      </w:r>
      <w:r w:rsidRPr="00F55305" w:rsidR="00142AD9">
        <w:rPr>
          <w:bCs/>
          <w:snapToGrid w:val="0"/>
          <w:lang w:val="en-GB"/>
        </w:rPr>
        <w:t>”</w:t>
      </w:r>
      <w:r w:rsidRPr="00F55305" w:rsidR="00996139">
        <w:rPr>
          <w:bCs/>
          <w:snapToGrid w:val="0"/>
          <w:lang w:val="en-GB"/>
        </w:rPr>
        <w:t xml:space="preserve"> and requiring </w:t>
      </w:r>
      <w:bookmarkStart w:name="lt_pId450" w:id="326"/>
      <w:bookmarkEnd w:id="325"/>
      <w:r w:rsidRPr="00F55305" w:rsidR="00996139">
        <w:rPr>
          <w:bCs/>
          <w:snapToGrid w:val="0"/>
          <w:lang w:val="en-GB"/>
        </w:rPr>
        <w:t>a certain degree of</w:t>
      </w:r>
      <w:r w:rsidRPr="00F55305">
        <w:rPr>
          <w:bCs/>
          <w:snapToGrid w:val="0"/>
          <w:lang w:val="en-GB"/>
        </w:rPr>
        <w:t xml:space="preserve"> intervention </w:t>
      </w:r>
      <w:r w:rsidRPr="00F55305" w:rsidR="00996139">
        <w:rPr>
          <w:bCs/>
          <w:snapToGrid w:val="0"/>
          <w:lang w:val="en-GB"/>
        </w:rPr>
        <w:t>by the State</w:t>
      </w:r>
      <w:r w:rsidRPr="00F55305">
        <w:rPr>
          <w:bCs/>
          <w:snapToGrid w:val="0"/>
          <w:lang w:val="en-GB"/>
        </w:rPr>
        <w:t xml:space="preserve">, </w:t>
      </w:r>
      <w:r w:rsidRPr="00F55305" w:rsidR="00C42149">
        <w:rPr>
          <w:bCs/>
          <w:snapToGrid w:val="0"/>
          <w:lang w:val="en-GB"/>
        </w:rPr>
        <w:t>the</w:t>
      </w:r>
      <w:r w:rsidRPr="00F55305">
        <w:rPr>
          <w:bCs/>
          <w:snapToGrid w:val="0"/>
          <w:lang w:val="en-GB"/>
        </w:rPr>
        <w:t xml:space="preserve"> ris</w:t>
      </w:r>
      <w:r w:rsidRPr="00F55305" w:rsidR="00C42149">
        <w:rPr>
          <w:bCs/>
          <w:snapToGrid w:val="0"/>
          <w:lang w:val="en-GB"/>
        </w:rPr>
        <w:t>k</w:t>
      </w:r>
      <w:r w:rsidRPr="00F55305">
        <w:rPr>
          <w:bCs/>
          <w:snapToGrid w:val="0"/>
          <w:lang w:val="en-GB"/>
        </w:rPr>
        <w:t xml:space="preserve">s </w:t>
      </w:r>
      <w:r w:rsidRPr="00F55305" w:rsidR="00D627E0">
        <w:rPr>
          <w:bCs/>
          <w:snapToGrid w:val="0"/>
          <w:lang w:val="en-GB"/>
        </w:rPr>
        <w:t>referred to</w:t>
      </w:r>
      <w:r w:rsidRPr="00F55305" w:rsidR="00C42149">
        <w:rPr>
          <w:bCs/>
          <w:snapToGrid w:val="0"/>
          <w:lang w:val="en-GB"/>
        </w:rPr>
        <w:t xml:space="preserve"> by the </w:t>
      </w:r>
      <w:r w:rsidRPr="00F55305" w:rsidR="000F2B78">
        <w:rPr>
          <w:bCs/>
          <w:snapToGrid w:val="0"/>
          <w:lang w:val="en-GB"/>
        </w:rPr>
        <w:t>Government</w:t>
      </w:r>
      <w:r w:rsidRPr="00F55305">
        <w:rPr>
          <w:bCs/>
          <w:snapToGrid w:val="0"/>
          <w:lang w:val="en-GB"/>
        </w:rPr>
        <w:t xml:space="preserve"> </w:t>
      </w:r>
      <w:r w:rsidRPr="00F55305" w:rsidR="00C42149">
        <w:rPr>
          <w:bCs/>
          <w:snapToGrid w:val="0"/>
          <w:lang w:val="en-GB"/>
        </w:rPr>
        <w:t xml:space="preserve">in </w:t>
      </w:r>
      <w:r w:rsidRPr="00F55305">
        <w:rPr>
          <w:bCs/>
          <w:snapToGrid w:val="0"/>
          <w:lang w:val="en-GB"/>
        </w:rPr>
        <w:t>relati</w:t>
      </w:r>
      <w:r w:rsidRPr="00F55305" w:rsidR="00C42149">
        <w:rPr>
          <w:bCs/>
          <w:snapToGrid w:val="0"/>
          <w:lang w:val="en-GB"/>
        </w:rPr>
        <w:t xml:space="preserve">on to her </w:t>
      </w:r>
      <w:r w:rsidRPr="00F55305" w:rsidR="00741B53">
        <w:rPr>
          <w:bCs/>
          <w:snapToGrid w:val="0"/>
          <w:lang w:val="en-GB"/>
        </w:rPr>
        <w:t>telep</w:t>
      </w:r>
      <w:r w:rsidRPr="00F55305">
        <w:rPr>
          <w:bCs/>
          <w:snapToGrid w:val="0"/>
          <w:lang w:val="en-GB"/>
        </w:rPr>
        <w:t>hone</w:t>
      </w:r>
      <w:r w:rsidRPr="00F55305" w:rsidR="00C42149">
        <w:rPr>
          <w:bCs/>
          <w:snapToGrid w:val="0"/>
          <w:lang w:val="en-GB"/>
        </w:rPr>
        <w:t xml:space="preserve"> conversations should have been</w:t>
      </w:r>
      <w:r w:rsidRPr="00F55305">
        <w:rPr>
          <w:bCs/>
          <w:snapToGrid w:val="0"/>
          <w:lang w:val="en-GB"/>
        </w:rPr>
        <w:t xml:space="preserve"> </w:t>
      </w:r>
      <w:r w:rsidRPr="00F55305" w:rsidR="00C42149">
        <w:rPr>
          <w:bCs/>
          <w:snapToGrid w:val="0"/>
          <w:lang w:val="en-GB"/>
        </w:rPr>
        <w:t>scrupulously analysed</w:t>
      </w:r>
      <w:r w:rsidRPr="00F55305">
        <w:rPr>
          <w:bCs/>
          <w:snapToGrid w:val="0"/>
          <w:lang w:val="en-GB"/>
        </w:rPr>
        <w:t xml:space="preserve"> </w:t>
      </w:r>
      <w:r w:rsidRPr="00F55305" w:rsidR="008C1A2E">
        <w:rPr>
          <w:bCs/>
          <w:snapToGrid w:val="0"/>
          <w:lang w:val="en-GB"/>
        </w:rPr>
        <w:t>and</w:t>
      </w:r>
      <w:r w:rsidRPr="00F55305">
        <w:rPr>
          <w:bCs/>
          <w:snapToGrid w:val="0"/>
          <w:lang w:val="en-GB"/>
        </w:rPr>
        <w:t xml:space="preserve"> </w:t>
      </w:r>
      <w:r w:rsidRPr="00F55305" w:rsidR="00C42149">
        <w:rPr>
          <w:bCs/>
          <w:snapToGrid w:val="0"/>
          <w:lang w:val="en-GB"/>
        </w:rPr>
        <w:t>justified by the appropriate</w:t>
      </w:r>
      <w:r w:rsidRPr="00F55305">
        <w:rPr>
          <w:bCs/>
          <w:snapToGrid w:val="0"/>
          <w:lang w:val="en-GB"/>
        </w:rPr>
        <w:t xml:space="preserve"> aut</w:t>
      </w:r>
      <w:r w:rsidRPr="00F55305" w:rsidR="00C42149">
        <w:rPr>
          <w:bCs/>
          <w:snapToGrid w:val="0"/>
          <w:lang w:val="en-GB"/>
        </w:rPr>
        <w:t>horitie</w:t>
      </w:r>
      <w:r w:rsidRPr="00F55305">
        <w:rPr>
          <w:bCs/>
          <w:snapToGrid w:val="0"/>
          <w:lang w:val="en-GB"/>
        </w:rPr>
        <w:t>s.</w:t>
      </w:r>
      <w:bookmarkEnd w:id="326"/>
      <w:r w:rsidRPr="00F55305">
        <w:rPr>
          <w:bCs/>
          <w:snapToGrid w:val="0"/>
          <w:lang w:val="en-GB"/>
        </w:rPr>
        <w:t xml:space="preserve"> </w:t>
      </w:r>
      <w:bookmarkStart w:name="lt_pId451" w:id="327"/>
      <w:r w:rsidRPr="00F55305" w:rsidR="009120C0">
        <w:rPr>
          <w:bCs/>
          <w:snapToGrid w:val="0"/>
          <w:lang w:val="en-GB"/>
        </w:rPr>
        <w:t>This does not appear to have happened in practice.</w:t>
      </w:r>
      <w:bookmarkEnd w:id="327"/>
      <w:r w:rsidRPr="00F55305">
        <w:rPr>
          <w:bCs/>
          <w:snapToGrid w:val="0"/>
          <w:lang w:val="en-GB"/>
        </w:rPr>
        <w:t xml:space="preserve"> </w:t>
      </w:r>
      <w:bookmarkStart w:name="lt_pId452" w:id="328"/>
      <w:r w:rsidRPr="00F55305" w:rsidR="00862295">
        <w:rPr>
          <w:bCs/>
          <w:snapToGrid w:val="0"/>
          <w:lang w:val="en-GB"/>
        </w:rPr>
        <w:t xml:space="preserve">The Court also infers from the wording of the relevant provisions that meetings with representatives of non-governmental organisations, including </w:t>
      </w:r>
      <w:r w:rsidRPr="00F55305">
        <w:rPr>
          <w:bCs/>
          <w:snapToGrid w:val="0"/>
          <w:lang w:val="en-GB"/>
        </w:rPr>
        <w:t>humanita</w:t>
      </w:r>
      <w:r w:rsidRPr="00F55305" w:rsidR="00862295">
        <w:rPr>
          <w:bCs/>
          <w:snapToGrid w:val="0"/>
          <w:lang w:val="en-GB"/>
        </w:rPr>
        <w:t>rian ones</w:t>
      </w:r>
      <w:r w:rsidRPr="00F55305">
        <w:rPr>
          <w:bCs/>
          <w:snapToGrid w:val="0"/>
          <w:lang w:val="en-GB"/>
        </w:rPr>
        <w:t xml:space="preserve">, </w:t>
      </w:r>
      <w:r w:rsidRPr="00F55305" w:rsidR="00862295">
        <w:rPr>
          <w:bCs/>
          <w:snapToGrid w:val="0"/>
          <w:lang w:val="en-GB"/>
        </w:rPr>
        <w:t xml:space="preserve">could likewise not take place unless supervised by members of the institution staff, </w:t>
      </w:r>
      <w:r w:rsidRPr="00F55305" w:rsidR="00F807E7">
        <w:rPr>
          <w:bCs/>
          <w:snapToGrid w:val="0"/>
          <w:lang w:val="en-GB"/>
        </w:rPr>
        <w:t xml:space="preserve">in the absence of any individual assessment </w:t>
      </w:r>
      <w:r w:rsidRPr="00F55305" w:rsidR="00862295">
        <w:rPr>
          <w:bCs/>
          <w:snapToGrid w:val="0"/>
          <w:lang w:val="en-GB"/>
        </w:rPr>
        <w:t>highlighting the potential risks.</w:t>
      </w:r>
      <w:bookmarkEnd w:id="328"/>
    </w:p>
    <w:p w:rsidRPr="00F55305" w:rsidR="00711D81" w:rsidP="00F55305" w:rsidRDefault="00711D81">
      <w:pPr>
        <w:pStyle w:val="ECHRPara"/>
        <w:rPr>
          <w:snapToGrid w:val="0"/>
          <w:lang w:val="en-GB"/>
        </w:rPr>
      </w:pPr>
      <w:r w:rsidRPr="00F55305">
        <w:rPr>
          <w:snapToGrid w:val="0"/>
          <w:lang w:val="en-GB"/>
        </w:rPr>
        <w:fldChar w:fldCharType="begin"/>
      </w:r>
      <w:r w:rsidRPr="00F55305">
        <w:rPr>
          <w:snapToGrid w:val="0"/>
          <w:lang w:val="en-GB"/>
        </w:rPr>
        <w:instrText xml:space="preserve"> SEQ level0 \*arabic </w:instrText>
      </w:r>
      <w:r w:rsidRPr="00F55305">
        <w:rPr>
          <w:snapToGrid w:val="0"/>
          <w:lang w:val="en-GB"/>
        </w:rPr>
        <w:fldChar w:fldCharType="separate"/>
      </w:r>
      <w:r w:rsidR="00F55305">
        <w:rPr>
          <w:noProof/>
          <w:snapToGrid w:val="0"/>
          <w:lang w:val="en-GB"/>
        </w:rPr>
        <w:t>114</w:t>
      </w:r>
      <w:r w:rsidRPr="00F55305">
        <w:rPr>
          <w:snapToGrid w:val="0"/>
          <w:lang w:val="en-GB"/>
        </w:rPr>
        <w:fldChar w:fldCharType="end"/>
      </w:r>
      <w:r w:rsidRPr="00F55305">
        <w:rPr>
          <w:snapToGrid w:val="0"/>
          <w:lang w:val="en-GB"/>
        </w:rPr>
        <w:t>.  </w:t>
      </w:r>
      <w:bookmarkStart w:name="lt_pId454" w:id="329"/>
      <w:r w:rsidRPr="00F55305" w:rsidR="00862295">
        <w:rPr>
          <w:snapToGrid w:val="0"/>
          <w:lang w:val="en-GB"/>
        </w:rPr>
        <w:t xml:space="preserve">Having regard to the evidence and information in its possession, the Court considers that the supervision arrangements </w:t>
      </w:r>
      <w:r w:rsidRPr="00F55305" w:rsidR="00F807E7">
        <w:rPr>
          <w:snapToGrid w:val="0"/>
          <w:lang w:val="en-GB"/>
        </w:rPr>
        <w:t>applicable to</w:t>
      </w:r>
      <w:r w:rsidRPr="00F55305" w:rsidR="00862295">
        <w:rPr>
          <w:snapToGrid w:val="0"/>
          <w:lang w:val="en-GB"/>
        </w:rPr>
        <w:t xml:space="preserve"> the applicant when</w:t>
      </w:r>
      <w:r w:rsidRPr="00F55305" w:rsidR="00F807E7">
        <w:rPr>
          <w:snapToGrid w:val="0"/>
          <w:lang w:val="en-GB"/>
        </w:rPr>
        <w:t>ever she</w:t>
      </w:r>
      <w:r w:rsidRPr="00F55305" w:rsidR="00862295">
        <w:rPr>
          <w:snapToGrid w:val="0"/>
          <w:lang w:val="en-GB"/>
        </w:rPr>
        <w:t xml:space="preserve"> wish</w:t>
      </w:r>
      <w:r w:rsidRPr="00F55305" w:rsidR="00F807E7">
        <w:rPr>
          <w:snapToGrid w:val="0"/>
          <w:lang w:val="en-GB"/>
        </w:rPr>
        <w:t>ed</w:t>
      </w:r>
      <w:r w:rsidRPr="00F55305" w:rsidR="00862295">
        <w:rPr>
          <w:snapToGrid w:val="0"/>
          <w:lang w:val="en-GB"/>
        </w:rPr>
        <w:t xml:space="preserve"> to communicate by telephone with the outside world</w:t>
      </w:r>
      <w:r w:rsidRPr="00F55305" w:rsidR="00F807E7">
        <w:rPr>
          <w:snapToGrid w:val="0"/>
          <w:lang w:val="en-GB"/>
        </w:rPr>
        <w:t xml:space="preserve"> – </w:t>
      </w:r>
      <w:r w:rsidRPr="00F55305" w:rsidR="00862295">
        <w:rPr>
          <w:snapToGrid w:val="0"/>
          <w:lang w:val="en-GB"/>
        </w:rPr>
        <w:t>which made no distinction between, for example, members of her family, representatives from organisations for the protection of children</w:t>
      </w:r>
      <w:r w:rsidRPr="00F55305" w:rsidR="00F55305">
        <w:rPr>
          <w:snapToGrid w:val="0"/>
          <w:lang w:val="en-GB"/>
        </w:rPr>
        <w:t>’</w:t>
      </w:r>
      <w:r w:rsidRPr="00F55305" w:rsidR="00862295">
        <w:rPr>
          <w:snapToGrid w:val="0"/>
          <w:lang w:val="en-GB"/>
        </w:rPr>
        <w:t>s rights or other categories of people, and did not entail any personalised analysis of the risks</w:t>
      </w:r>
      <w:r w:rsidRPr="00F55305" w:rsidR="00F807E7">
        <w:rPr>
          <w:snapToGrid w:val="0"/>
          <w:lang w:val="en-GB"/>
        </w:rPr>
        <w:t xml:space="preserve"> –</w:t>
      </w:r>
      <w:r w:rsidRPr="00F55305" w:rsidR="00862295">
        <w:rPr>
          <w:snapToGrid w:val="0"/>
          <w:lang w:val="en-GB"/>
        </w:rPr>
        <w:t xml:space="preserve"> </w:t>
      </w:r>
      <w:r w:rsidRPr="00F55305" w:rsidR="00F807E7">
        <w:rPr>
          <w:snapToGrid w:val="0"/>
          <w:lang w:val="en-GB"/>
        </w:rPr>
        <w:t>were</w:t>
      </w:r>
      <w:r w:rsidRPr="00F55305" w:rsidR="00862295">
        <w:rPr>
          <w:snapToGrid w:val="0"/>
          <w:lang w:val="en-GB"/>
        </w:rPr>
        <w:t xml:space="preserve"> not based on relevant and sufficient grounds </w:t>
      </w:r>
      <w:r w:rsidRPr="00F55305" w:rsidR="00285433">
        <w:rPr>
          <w:snapToGrid w:val="0"/>
          <w:lang w:val="en-GB"/>
        </w:rPr>
        <w:t>in view of</w:t>
      </w:r>
      <w:r w:rsidRPr="00F55305" w:rsidR="00862295">
        <w:rPr>
          <w:snapToGrid w:val="0"/>
          <w:lang w:val="en-GB"/>
        </w:rPr>
        <w:t xml:space="preserve"> the resulting restriction on </w:t>
      </w:r>
      <w:r w:rsidRPr="00F55305" w:rsidR="00F807E7">
        <w:rPr>
          <w:snapToGrid w:val="0"/>
          <w:lang w:val="en-GB"/>
        </w:rPr>
        <w:t xml:space="preserve">such </w:t>
      </w:r>
      <w:r w:rsidRPr="00F55305" w:rsidR="00862295">
        <w:rPr>
          <w:snapToGrid w:val="0"/>
          <w:lang w:val="en-GB"/>
        </w:rPr>
        <w:t>contact.</w:t>
      </w:r>
      <w:bookmarkEnd w:id="329"/>
    </w:p>
    <w:p w:rsidRPr="00F55305" w:rsidR="00711D81" w:rsidP="00F55305" w:rsidRDefault="00711D81">
      <w:pPr>
        <w:pStyle w:val="ECHRHeading4"/>
        <w:rPr>
          <w:lang w:val="en-GB"/>
        </w:rPr>
      </w:pPr>
      <w:bookmarkStart w:name="lt_pId455" w:id="330"/>
      <w:r w:rsidRPr="00F55305">
        <w:rPr>
          <w:lang w:val="en-GB"/>
        </w:rPr>
        <w:t>(c)</w:t>
      </w:r>
      <w:r w:rsidRPr="00F55305" w:rsidR="00F807E7">
        <w:rPr>
          <w:lang w:val="en-GB"/>
        </w:rPr>
        <w:t>  </w:t>
      </w:r>
      <w:r w:rsidRPr="00F55305">
        <w:rPr>
          <w:lang w:val="en-GB"/>
        </w:rPr>
        <w:t>Conclusion</w:t>
      </w:r>
      <w:bookmarkEnd w:id="330"/>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115</w:t>
      </w:r>
      <w:r w:rsidRPr="00F55305">
        <w:rPr>
          <w:lang w:val="en-GB"/>
        </w:rPr>
        <w:fldChar w:fldCharType="end"/>
      </w:r>
      <w:r w:rsidRPr="00F55305">
        <w:rPr>
          <w:lang w:val="en-GB"/>
        </w:rPr>
        <w:t>.  </w:t>
      </w:r>
      <w:bookmarkStart w:name="lt_pId457" w:id="331"/>
      <w:r w:rsidRPr="00F55305" w:rsidR="006652EF">
        <w:rPr>
          <w:lang w:val="en-GB"/>
        </w:rPr>
        <w:t>I</w:t>
      </w:r>
      <w:r w:rsidRPr="00F55305">
        <w:rPr>
          <w:lang w:val="en-GB"/>
        </w:rPr>
        <w:t xml:space="preserve">n conclusion, </w:t>
      </w:r>
      <w:r w:rsidRPr="00F55305" w:rsidR="008C1A2E">
        <w:rPr>
          <w:lang w:val="en-GB"/>
        </w:rPr>
        <w:t>the Court</w:t>
      </w:r>
      <w:r w:rsidRPr="00F55305">
        <w:rPr>
          <w:lang w:val="en-GB"/>
        </w:rPr>
        <w:t xml:space="preserve"> </w:t>
      </w:r>
      <w:r w:rsidRPr="00F55305" w:rsidR="006652EF">
        <w:rPr>
          <w:lang w:val="en-GB"/>
        </w:rPr>
        <w:t xml:space="preserve">considers that the </w:t>
      </w:r>
      <w:r w:rsidRPr="00F55305" w:rsidR="00B85879">
        <w:rPr>
          <w:lang w:val="en-GB"/>
        </w:rPr>
        <w:t>measures to which the applicant was subjected in the Podem school</w:t>
      </w:r>
      <w:r w:rsidRPr="00F55305" w:rsidR="00010F73">
        <w:rPr>
          <w:lang w:val="en-GB"/>
        </w:rPr>
        <w:t>, namely</w:t>
      </w:r>
      <w:r w:rsidRPr="00F55305" w:rsidR="00B85879">
        <w:rPr>
          <w:lang w:val="en-GB"/>
        </w:rPr>
        <w:t xml:space="preserve"> </w:t>
      </w:r>
      <w:r w:rsidRPr="00F55305" w:rsidR="00010F73">
        <w:rPr>
          <w:lang w:val="en-GB"/>
        </w:rPr>
        <w:t xml:space="preserve">the system of </w:t>
      </w:r>
      <w:r w:rsidRPr="00F55305" w:rsidR="006652EF">
        <w:rPr>
          <w:lang w:val="en-GB"/>
        </w:rPr>
        <w:t xml:space="preserve">automatic monitoring of </w:t>
      </w:r>
      <w:r w:rsidRPr="00F55305" w:rsidR="00741B53">
        <w:rPr>
          <w:lang w:val="en-GB"/>
        </w:rPr>
        <w:t>correspondence</w:t>
      </w:r>
      <w:r w:rsidRPr="00F55305" w:rsidR="00010F73">
        <w:rPr>
          <w:lang w:val="en-GB"/>
        </w:rPr>
        <w:t>,</w:t>
      </w:r>
      <w:r w:rsidRPr="00F55305">
        <w:rPr>
          <w:lang w:val="en-GB"/>
        </w:rPr>
        <w:t xml:space="preserve"> </w:t>
      </w:r>
      <w:r w:rsidRPr="00F55305" w:rsidR="00862295">
        <w:rPr>
          <w:lang w:val="en-GB"/>
        </w:rPr>
        <w:t xml:space="preserve">with no </w:t>
      </w:r>
      <w:r w:rsidRPr="00F55305">
        <w:rPr>
          <w:lang w:val="en-GB"/>
        </w:rPr>
        <w:t xml:space="preserve">distinction </w:t>
      </w:r>
      <w:r w:rsidRPr="00F55305" w:rsidR="00862295">
        <w:rPr>
          <w:lang w:val="en-GB"/>
        </w:rPr>
        <w:t xml:space="preserve">as to the type of </w:t>
      </w:r>
      <w:r w:rsidRPr="00F55305" w:rsidR="00010F73">
        <w:rPr>
          <w:lang w:val="en-GB"/>
        </w:rPr>
        <w:t>correspondence</w:t>
      </w:r>
      <w:r w:rsidRPr="00F55305" w:rsidR="00862295">
        <w:rPr>
          <w:lang w:val="en-GB"/>
        </w:rPr>
        <w:t>, and the supervision of telephone conversations,</w:t>
      </w:r>
      <w:r w:rsidRPr="00F55305" w:rsidR="00B85879">
        <w:rPr>
          <w:lang w:val="en-GB"/>
        </w:rPr>
        <w:t xml:space="preserve"> with</w:t>
      </w:r>
      <w:r w:rsidRPr="00F55305" w:rsidR="00010F73">
        <w:rPr>
          <w:lang w:val="en-GB"/>
        </w:rPr>
        <w:t>out</w:t>
      </w:r>
      <w:r w:rsidRPr="00F55305" w:rsidR="00B85879">
        <w:rPr>
          <w:lang w:val="en-GB"/>
        </w:rPr>
        <w:t xml:space="preserve"> any confidentiality, </w:t>
      </w:r>
      <w:r w:rsidRPr="00F55305" w:rsidR="006652EF">
        <w:rPr>
          <w:lang w:val="en-GB"/>
        </w:rPr>
        <w:t>cannot be regarded as</w:t>
      </w:r>
      <w:r w:rsidRPr="00F55305">
        <w:rPr>
          <w:lang w:val="en-GB"/>
        </w:rPr>
        <w:t xml:space="preserve"> </w:t>
      </w:r>
      <w:r w:rsidRPr="00F55305" w:rsidR="0092259C">
        <w:rPr>
          <w:lang w:val="en-GB"/>
        </w:rPr>
        <w:t>necessary in a democratic society</w:t>
      </w:r>
      <w:r w:rsidRPr="00F55305">
        <w:rPr>
          <w:lang w:val="en-GB"/>
        </w:rPr>
        <w:t>.</w:t>
      </w:r>
      <w:bookmarkEnd w:id="331"/>
    </w:p>
    <w:p w:rsidRPr="00F55305" w:rsidR="00711D81" w:rsidP="00F55305" w:rsidRDefault="00711D81">
      <w:pPr>
        <w:pStyle w:val="ECHRPara"/>
        <w:rPr>
          <w:lang w:val="en-GB"/>
        </w:rPr>
      </w:pPr>
      <w:r w:rsidRPr="00F55305">
        <w:rPr>
          <w:lang w:val="en-GB"/>
        </w:rPr>
        <w:fldChar w:fldCharType="begin"/>
      </w:r>
      <w:r w:rsidRPr="00F55305">
        <w:rPr>
          <w:lang w:val="en-GB"/>
        </w:rPr>
        <w:instrText xml:space="preserve"> SEQ level0 \*arabic </w:instrText>
      </w:r>
      <w:r w:rsidRPr="00F55305">
        <w:rPr>
          <w:lang w:val="en-GB"/>
        </w:rPr>
        <w:fldChar w:fldCharType="separate"/>
      </w:r>
      <w:r w:rsidR="00F55305">
        <w:rPr>
          <w:noProof/>
          <w:lang w:val="en-GB"/>
        </w:rPr>
        <w:t>116</w:t>
      </w:r>
      <w:r w:rsidRPr="00F55305">
        <w:rPr>
          <w:lang w:val="en-GB"/>
        </w:rPr>
        <w:fldChar w:fldCharType="end"/>
      </w:r>
      <w:r w:rsidRPr="00F55305">
        <w:rPr>
          <w:lang w:val="en-GB"/>
        </w:rPr>
        <w:t>.  </w:t>
      </w:r>
      <w:bookmarkStart w:name="lt_pId459" w:id="332"/>
      <w:r w:rsidRPr="00F55305">
        <w:rPr>
          <w:lang w:val="en-GB"/>
        </w:rPr>
        <w:t>There has therefore been a violation of Article 8 of the Convention.</w:t>
      </w:r>
      <w:bookmarkEnd w:id="332"/>
    </w:p>
    <w:p w:rsidRPr="00F55305" w:rsidR="00014566" w:rsidP="00F55305" w:rsidRDefault="00E5235F">
      <w:pPr>
        <w:pStyle w:val="ECHRPara"/>
        <w:rPr>
          <w:lang w:val="en-GB"/>
        </w:rPr>
      </w:pPr>
      <w:r w:rsidRPr="00F55305">
        <w:rPr>
          <w:lang w:val="en-GB"/>
        </w:rPr>
        <w:t>...</w:t>
      </w:r>
    </w:p>
    <w:p w:rsidRPr="00F55305" w:rsidR="00014566" w:rsidP="00F55305" w:rsidRDefault="00BB5883">
      <w:pPr>
        <w:pStyle w:val="ECHRTitle1"/>
        <w:rPr>
          <w:lang w:val="en-GB"/>
        </w:rPr>
      </w:pPr>
      <w:r w:rsidRPr="00F55305">
        <w:rPr>
          <w:lang w:val="en-GB"/>
        </w:rPr>
        <w:t xml:space="preserve">FOR THESE REASONS, THE </w:t>
      </w:r>
      <w:r w:rsidRPr="00F55305" w:rsidR="00E5235F">
        <w:rPr>
          <w:lang w:val="en-GB"/>
        </w:rPr>
        <w:t>COURT</w:t>
      </w:r>
    </w:p>
    <w:p w:rsidRPr="00F55305" w:rsidR="00FF2C46" w:rsidP="00F55305" w:rsidRDefault="00FF2C46">
      <w:pPr>
        <w:pStyle w:val="JuList"/>
        <w:rPr>
          <w:lang w:val="en-GB"/>
        </w:rPr>
      </w:pPr>
      <w:r w:rsidRPr="00F55305">
        <w:rPr>
          <w:lang w:val="en-GB"/>
        </w:rPr>
        <w:t>...</w:t>
      </w:r>
    </w:p>
    <w:p w:rsidRPr="00F55305" w:rsidR="00FF2C46" w:rsidP="00F55305" w:rsidRDefault="00FF2C46">
      <w:pPr>
        <w:pStyle w:val="JuList"/>
        <w:rPr>
          <w:lang w:val="en-GB"/>
        </w:rPr>
      </w:pPr>
    </w:p>
    <w:p w:rsidRPr="00F55305" w:rsidR="00014566" w:rsidP="00F55305" w:rsidRDefault="00FF2C46">
      <w:pPr>
        <w:pStyle w:val="JuList"/>
        <w:rPr>
          <w:lang w:val="en-GB"/>
        </w:rPr>
      </w:pPr>
      <w:r w:rsidRPr="00F55305">
        <w:rPr>
          <w:lang w:val="en-GB"/>
        </w:rPr>
        <w:t>2</w:t>
      </w:r>
      <w:r w:rsidRPr="00F55305" w:rsidR="00014566">
        <w:rPr>
          <w:lang w:val="en-GB"/>
        </w:rPr>
        <w:t>.  </w:t>
      </w:r>
      <w:r w:rsidRPr="00F55305" w:rsidR="00014566">
        <w:rPr>
          <w:i/>
          <w:lang w:val="en-GB"/>
        </w:rPr>
        <w:t>Holds</w:t>
      </w:r>
      <w:r w:rsidRPr="00F55305" w:rsidR="00CE7865">
        <w:rPr>
          <w:lang w:val="en-GB"/>
        </w:rPr>
        <w:t xml:space="preserve">, by </w:t>
      </w:r>
      <w:r w:rsidRPr="00F55305">
        <w:rPr>
          <w:lang w:val="en-GB"/>
        </w:rPr>
        <w:t>six</w:t>
      </w:r>
      <w:r w:rsidRPr="00F55305" w:rsidR="00CE7865">
        <w:rPr>
          <w:lang w:val="en-GB"/>
        </w:rPr>
        <w:t xml:space="preserve"> votes to </w:t>
      </w:r>
      <w:r w:rsidRPr="00F55305">
        <w:rPr>
          <w:lang w:val="en-GB"/>
        </w:rPr>
        <w:t>one,</w:t>
      </w:r>
      <w:r w:rsidRPr="00F55305" w:rsidR="00014566">
        <w:rPr>
          <w:color w:val="000000"/>
          <w:lang w:val="en-GB"/>
        </w:rPr>
        <w:t xml:space="preserve"> </w:t>
      </w:r>
      <w:r w:rsidRPr="00F55305" w:rsidR="00014566">
        <w:rPr>
          <w:lang w:val="en-GB"/>
        </w:rPr>
        <w:t xml:space="preserve">that there has been </w:t>
      </w:r>
      <w:r w:rsidRPr="00F55305">
        <w:rPr>
          <w:lang w:val="en-GB"/>
        </w:rPr>
        <w:t>no</w:t>
      </w:r>
      <w:r w:rsidRPr="00F55305" w:rsidR="00014566">
        <w:rPr>
          <w:lang w:val="en-GB"/>
        </w:rPr>
        <w:t xml:space="preserve"> violation of Article </w:t>
      </w:r>
      <w:r w:rsidRPr="00F55305">
        <w:rPr>
          <w:lang w:val="en-GB"/>
        </w:rPr>
        <w:t>5</w:t>
      </w:r>
      <w:r w:rsidRPr="00F55305" w:rsidR="00014566">
        <w:rPr>
          <w:lang w:val="en-GB"/>
        </w:rPr>
        <w:t xml:space="preserve"> </w:t>
      </w:r>
      <w:r w:rsidRPr="00F55305">
        <w:rPr>
          <w:lang w:val="en-GB"/>
        </w:rPr>
        <w:t xml:space="preserve">§ 1 </w:t>
      </w:r>
      <w:r w:rsidRPr="00F55305" w:rsidR="00014566">
        <w:rPr>
          <w:lang w:val="en-GB"/>
        </w:rPr>
        <w:t>of the Convention;</w:t>
      </w:r>
    </w:p>
    <w:p w:rsidRPr="00F55305" w:rsidR="00014566" w:rsidP="00F55305" w:rsidRDefault="00014566">
      <w:pPr>
        <w:pStyle w:val="JuList"/>
        <w:rPr>
          <w:lang w:val="en-GB"/>
        </w:rPr>
      </w:pPr>
    </w:p>
    <w:p w:rsidRPr="00F55305" w:rsidR="00014566" w:rsidP="00F55305" w:rsidRDefault="00FF2C46">
      <w:pPr>
        <w:pStyle w:val="JuList"/>
        <w:rPr>
          <w:lang w:val="en-GB"/>
        </w:rPr>
      </w:pPr>
      <w:r w:rsidRPr="00F55305">
        <w:rPr>
          <w:lang w:val="en-GB"/>
        </w:rPr>
        <w:t>3</w:t>
      </w:r>
      <w:r w:rsidRPr="00F55305" w:rsidR="00014566">
        <w:rPr>
          <w:lang w:val="en-GB"/>
        </w:rPr>
        <w:t>.  </w:t>
      </w:r>
      <w:r w:rsidRPr="00F55305">
        <w:rPr>
          <w:i/>
          <w:lang w:val="en-GB"/>
        </w:rPr>
        <w:t>Holds</w:t>
      </w:r>
      <w:r w:rsidRPr="00F55305">
        <w:rPr>
          <w:lang w:val="en-GB"/>
        </w:rPr>
        <w:t>, unanimously,</w:t>
      </w:r>
      <w:r w:rsidRPr="00F55305">
        <w:rPr>
          <w:color w:val="000000"/>
          <w:lang w:val="en-GB"/>
        </w:rPr>
        <w:t xml:space="preserve"> </w:t>
      </w:r>
      <w:r w:rsidRPr="00F55305">
        <w:rPr>
          <w:lang w:val="en-GB"/>
        </w:rPr>
        <w:t>that there has been a violation of Article 5 § 4 of the Convention</w:t>
      </w:r>
      <w:r w:rsidRPr="00F55305" w:rsidR="00014566">
        <w:rPr>
          <w:lang w:val="en-GB"/>
        </w:rPr>
        <w:t>;</w:t>
      </w:r>
    </w:p>
    <w:p w:rsidRPr="00F55305" w:rsidR="00014566" w:rsidP="00F55305" w:rsidRDefault="00014566">
      <w:pPr>
        <w:pStyle w:val="JuList"/>
        <w:rPr>
          <w:lang w:val="en-GB"/>
        </w:rPr>
      </w:pPr>
    </w:p>
    <w:p w:rsidRPr="00F55305" w:rsidR="00014566" w:rsidP="00F55305" w:rsidRDefault="00FF2C46">
      <w:pPr>
        <w:pStyle w:val="JuList"/>
        <w:rPr>
          <w:lang w:val="en-GB"/>
        </w:rPr>
      </w:pPr>
      <w:r w:rsidRPr="00F55305">
        <w:rPr>
          <w:lang w:val="en-GB"/>
        </w:rPr>
        <w:t>4</w:t>
      </w:r>
      <w:r w:rsidRPr="00F55305" w:rsidR="00014566">
        <w:rPr>
          <w:lang w:val="en-GB"/>
        </w:rPr>
        <w:t>.  </w:t>
      </w:r>
      <w:r w:rsidRPr="00F55305" w:rsidR="00014566">
        <w:rPr>
          <w:i/>
          <w:lang w:val="en-GB"/>
        </w:rPr>
        <w:t>Holds</w:t>
      </w:r>
      <w:r w:rsidRPr="00F55305" w:rsidR="00CE7865">
        <w:rPr>
          <w:lang w:val="en-GB"/>
        </w:rPr>
        <w:t>, unanimously,</w:t>
      </w:r>
      <w:r w:rsidRPr="00F55305" w:rsidR="00014566">
        <w:rPr>
          <w:color w:val="000000"/>
          <w:lang w:val="en-GB"/>
        </w:rPr>
        <w:t xml:space="preserve"> </w:t>
      </w:r>
      <w:r w:rsidRPr="00F55305" w:rsidR="00014566">
        <w:rPr>
          <w:lang w:val="en-GB"/>
        </w:rPr>
        <w:t xml:space="preserve">that there has been a violation of Article </w:t>
      </w:r>
      <w:r w:rsidRPr="00F55305">
        <w:rPr>
          <w:lang w:val="en-GB"/>
        </w:rPr>
        <w:t>8</w:t>
      </w:r>
      <w:r w:rsidRPr="00F55305" w:rsidR="00014566">
        <w:rPr>
          <w:lang w:val="en-GB"/>
        </w:rPr>
        <w:t xml:space="preserve"> of the Convention;</w:t>
      </w:r>
    </w:p>
    <w:p w:rsidRPr="00F55305" w:rsidR="00014566" w:rsidP="00F55305" w:rsidRDefault="00014566">
      <w:pPr>
        <w:pStyle w:val="JuList"/>
        <w:rPr>
          <w:lang w:val="en-GB"/>
        </w:rPr>
      </w:pPr>
    </w:p>
    <w:p w:rsidRPr="00F55305" w:rsidR="00F55305" w:rsidP="00F55305" w:rsidRDefault="00FF2C46">
      <w:pPr>
        <w:pStyle w:val="JuList"/>
        <w:rPr>
          <w:lang w:val="en-GB"/>
        </w:rPr>
      </w:pPr>
      <w:r w:rsidRPr="00F55305">
        <w:rPr>
          <w:lang w:val="en-GB"/>
        </w:rPr>
        <w:t>...</w:t>
      </w:r>
    </w:p>
    <w:p w:rsidRPr="00F55305" w:rsidR="00014566" w:rsidP="00F55305" w:rsidRDefault="00014566">
      <w:pPr>
        <w:pStyle w:val="JuParaLast"/>
        <w:rPr>
          <w:lang w:val="en-GB"/>
        </w:rPr>
      </w:pPr>
      <w:r w:rsidRPr="00F55305">
        <w:rPr>
          <w:lang w:val="en-GB"/>
        </w:rPr>
        <w:t xml:space="preserve">Done in </w:t>
      </w:r>
      <w:r w:rsidRPr="00F55305" w:rsidR="00B6561A">
        <w:rPr>
          <w:lang w:val="en-GB"/>
        </w:rPr>
        <w:t>French</w:t>
      </w:r>
      <w:r w:rsidRPr="00F55305">
        <w:rPr>
          <w:lang w:val="en-GB"/>
        </w:rPr>
        <w:t xml:space="preserve">, and notified in writing on </w:t>
      </w:r>
      <w:r w:rsidRPr="00F55305" w:rsidR="00B6561A">
        <w:rPr>
          <w:lang w:val="en-GB"/>
        </w:rPr>
        <w:t>19 May 2016</w:t>
      </w:r>
      <w:r w:rsidRPr="00F55305" w:rsidR="00C915FB">
        <w:rPr>
          <w:lang w:val="en-GB"/>
        </w:rPr>
        <w:t>, pursuant to Ru</w:t>
      </w:r>
      <w:r w:rsidRPr="00F55305" w:rsidR="00FF0FEB">
        <w:rPr>
          <w:lang w:val="en-GB"/>
        </w:rPr>
        <w:t>le</w:t>
      </w:r>
      <w:r w:rsidRPr="00F55305" w:rsidR="000F2B78">
        <w:rPr>
          <w:lang w:val="en-GB"/>
        </w:rPr>
        <w:t xml:space="preserve"> 7</w:t>
      </w:r>
      <w:r w:rsidRPr="00F55305">
        <w:rPr>
          <w:lang w:val="en-GB"/>
        </w:rPr>
        <w:t>7</w:t>
      </w:r>
      <w:r w:rsidRPr="00F55305" w:rsidR="00C915FB">
        <w:rPr>
          <w:lang w:val="en-GB"/>
        </w:rPr>
        <w:t> </w:t>
      </w:r>
      <w:r w:rsidRPr="00F55305">
        <w:rPr>
          <w:lang w:val="en-GB"/>
        </w:rPr>
        <w:t>§§</w:t>
      </w:r>
      <w:r w:rsidRPr="00F55305" w:rsidR="00C915FB">
        <w:rPr>
          <w:lang w:val="en-GB"/>
        </w:rPr>
        <w:t> </w:t>
      </w:r>
      <w:r w:rsidRPr="00F55305">
        <w:rPr>
          <w:lang w:val="en-GB"/>
        </w:rPr>
        <w:t>2 and 3 of the Rules of Court.</w:t>
      </w:r>
    </w:p>
    <w:p w:rsidRPr="00F55305" w:rsidR="00014566" w:rsidP="00F55305" w:rsidRDefault="00014566">
      <w:pPr>
        <w:pStyle w:val="JuSigned"/>
        <w:rPr>
          <w:lang w:val="en-GB"/>
        </w:rPr>
      </w:pPr>
      <w:r w:rsidRPr="00F55305">
        <w:rPr>
          <w:lang w:val="en-GB"/>
        </w:rPr>
        <w:tab/>
      </w:r>
      <w:r w:rsidRPr="00F55305" w:rsidR="00AF2FFC">
        <w:rPr>
          <w:lang w:val="en-GB"/>
        </w:rPr>
        <w:t>Milan Bla</w:t>
      </w:r>
      <w:r w:rsidRPr="00F55305" w:rsidR="00AF2FFC">
        <w:rPr>
          <w:rFonts w:cstheme="minorHAnsi"/>
          <w:lang w:val="en-GB"/>
        </w:rPr>
        <w:t>š</w:t>
      </w:r>
      <w:r w:rsidRPr="00F55305" w:rsidR="00AF2FFC">
        <w:rPr>
          <w:lang w:val="en-GB"/>
        </w:rPr>
        <w:t>ko</w:t>
      </w:r>
      <w:r w:rsidRPr="00F55305">
        <w:rPr>
          <w:lang w:val="en-GB"/>
        </w:rPr>
        <w:tab/>
      </w:r>
      <w:r w:rsidRPr="00F55305" w:rsidR="00CE7865">
        <w:rPr>
          <w:szCs w:val="24"/>
          <w:lang w:val="en-GB"/>
        </w:rPr>
        <w:t>Angelika Nußberger</w:t>
      </w:r>
      <w:r w:rsidRPr="00F55305" w:rsidR="00E1557C">
        <w:rPr>
          <w:szCs w:val="24"/>
          <w:lang w:val="en-GB"/>
        </w:rPr>
        <w:br/>
      </w:r>
      <w:r w:rsidRPr="00F55305">
        <w:rPr>
          <w:lang w:val="en-GB"/>
        </w:rPr>
        <w:tab/>
      </w:r>
      <w:r w:rsidRPr="00F55305" w:rsidR="00AF2FFC">
        <w:rPr>
          <w:lang w:val="en-GB"/>
        </w:rPr>
        <w:t xml:space="preserve">Deputy </w:t>
      </w:r>
      <w:r w:rsidRPr="00F55305" w:rsidR="00CE7865">
        <w:rPr>
          <w:iCs/>
          <w:lang w:val="en-GB"/>
        </w:rPr>
        <w:t>Registrar</w:t>
      </w:r>
      <w:r w:rsidRPr="00F55305">
        <w:rPr>
          <w:lang w:val="en-GB"/>
        </w:rPr>
        <w:tab/>
        <w:t>President</w:t>
      </w:r>
    </w:p>
    <w:p w:rsidRPr="00F55305" w:rsidR="006A5D0A" w:rsidP="00F55305" w:rsidRDefault="006A5D0A">
      <w:pPr>
        <w:pStyle w:val="JuParaLast"/>
        <w:rPr>
          <w:lang w:val="en-GB"/>
        </w:rPr>
      </w:pPr>
      <w:r w:rsidRPr="00F55305">
        <w:rPr>
          <w:lang w:val="en-GB"/>
        </w:rPr>
        <w:t>In accordance with Article 45 § 2 of the Convention and Rule 74 § 2 of the Rules of Court, the separate opinion of Judge O</w:t>
      </w:r>
      <w:r w:rsidRPr="00F55305" w:rsidR="00F55305">
        <w:rPr>
          <w:lang w:val="en-GB"/>
        </w:rPr>
        <w:t>’</w:t>
      </w:r>
      <w:r w:rsidRPr="00F55305">
        <w:rPr>
          <w:lang w:val="en-GB"/>
        </w:rPr>
        <w:t>Leary is annexed to this judgment.</w:t>
      </w:r>
    </w:p>
    <w:p w:rsidRPr="00F55305" w:rsidR="007D6F41" w:rsidP="00F55305" w:rsidRDefault="006A5D0A">
      <w:pPr>
        <w:pStyle w:val="JuInitialled"/>
        <w:rPr>
          <w:lang w:val="en-GB"/>
        </w:rPr>
        <w:sectPr w:rsidRPr="00F55305" w:rsidR="007D6F41" w:rsidSect="00CE7865">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pPr>
      <w:r w:rsidRPr="00F55305">
        <w:rPr>
          <w:lang w:val="en-GB"/>
        </w:rPr>
        <w:t>A.N.</w:t>
      </w:r>
      <w:r w:rsidRPr="00F55305">
        <w:rPr>
          <w:lang w:val="en-GB"/>
        </w:rPr>
        <w:br/>
        <w:t>M.B.</w:t>
      </w:r>
    </w:p>
    <w:p w:rsidRPr="00F55305" w:rsidR="007D6F41" w:rsidP="00F55305" w:rsidRDefault="007D6F41">
      <w:pPr>
        <w:pStyle w:val="ECHRTitleCentre1"/>
        <w:rPr>
          <w:lang w:val="en-GB"/>
        </w:rPr>
      </w:pPr>
      <w:r w:rsidRPr="00F55305">
        <w:rPr>
          <w:lang w:val="en-GB"/>
        </w:rPr>
        <w:t>DISSENTING OPINION OF JUDGE O</w:t>
      </w:r>
      <w:r w:rsidRPr="00F55305" w:rsidR="00F55305">
        <w:rPr>
          <w:lang w:val="en-GB"/>
        </w:rPr>
        <w:t>’</w:t>
      </w:r>
      <w:r w:rsidRPr="00F55305">
        <w:rPr>
          <w:lang w:val="en-GB"/>
        </w:rPr>
        <w:t>LEARY</w:t>
      </w:r>
    </w:p>
    <w:p w:rsidRPr="00F55305" w:rsidR="007D6F41" w:rsidP="00F55305" w:rsidRDefault="001B24F2">
      <w:pPr>
        <w:pStyle w:val="OpiPara"/>
        <w:rPr>
          <w:lang w:val="en-GB"/>
        </w:rPr>
      </w:pPr>
      <w:r w:rsidRPr="00F55305">
        <w:rPr>
          <w:lang w:val="en-GB"/>
        </w:rPr>
        <w:t>1.  </w:t>
      </w:r>
      <w:r w:rsidRPr="00F55305" w:rsidR="007D6F41">
        <w:rPr>
          <w:lang w:val="en-GB"/>
        </w:rPr>
        <w:t>In the present case, while I subscribe fully to the majority finding that there has been a violation of Articles 5 § 4 and 8 of the Convention, I respectfully disagree with their decision regarding the lawfulness of the applicant</w:t>
      </w:r>
      <w:r w:rsidRPr="00F55305" w:rsidR="00F55305">
        <w:rPr>
          <w:lang w:val="en-GB"/>
        </w:rPr>
        <w:t>’</w:t>
      </w:r>
      <w:r w:rsidRPr="00F55305" w:rsidR="007D6F41">
        <w:rPr>
          <w:lang w:val="en-GB"/>
        </w:rPr>
        <w:t>s detention pursuant to Article 5 § 1 (d).</w:t>
      </w:r>
    </w:p>
    <w:p w:rsidRPr="00F55305" w:rsidR="007D6F41" w:rsidP="00F55305" w:rsidRDefault="001B24F2">
      <w:pPr>
        <w:pStyle w:val="OpiHA"/>
        <w:rPr>
          <w:lang w:val="en-GB"/>
        </w:rPr>
      </w:pPr>
      <w:r w:rsidRPr="00F55305">
        <w:rPr>
          <w:lang w:val="en-GB"/>
        </w:rPr>
        <w:t>A.  </w:t>
      </w:r>
      <w:r w:rsidRPr="00F55305" w:rsidR="007D6F41">
        <w:rPr>
          <w:lang w:val="en-GB"/>
        </w:rPr>
        <w:t>The principles established in the case-law on Article 5 § 1 (d)</w:t>
      </w:r>
    </w:p>
    <w:p w:rsidRPr="00F55305" w:rsidR="007D6F41" w:rsidP="00F55305" w:rsidRDefault="001B24F2">
      <w:pPr>
        <w:pStyle w:val="OpiPara"/>
        <w:rPr>
          <w:lang w:val="en-GB"/>
        </w:rPr>
      </w:pPr>
      <w:r w:rsidRPr="00F55305">
        <w:rPr>
          <w:lang w:val="en-GB"/>
        </w:rPr>
        <w:t>2.  </w:t>
      </w:r>
      <w:r w:rsidRPr="00F55305" w:rsidR="007D6F41">
        <w:rPr>
          <w:lang w:val="en-GB"/>
        </w:rPr>
        <w:t xml:space="preserve">It will be recalled, briefly, that the list of exceptions to the right to liberty set out in Article 5 § 1 is an exhaustive one and only a narrow interpretation of those exceptions is consistent with the aim of that provision, namely to ensure that no one is arbitrarily deprived of his liberty. The Court has never formulated a global definition as to what types of conduct on the part of national authorities might constitute </w:t>
      </w:r>
      <w:r w:rsidRPr="00F55305" w:rsidR="00142AD9">
        <w:rPr>
          <w:lang w:val="en-GB"/>
        </w:rPr>
        <w:t>“</w:t>
      </w:r>
      <w:r w:rsidRPr="00F55305" w:rsidR="007D6F41">
        <w:rPr>
          <w:lang w:val="en-GB"/>
        </w:rPr>
        <w:t>arbitrariness</w:t>
      </w:r>
      <w:r w:rsidRPr="00F55305" w:rsidR="00142AD9">
        <w:rPr>
          <w:lang w:val="en-GB"/>
        </w:rPr>
        <w:t>”</w:t>
      </w:r>
      <w:r w:rsidRPr="00F55305" w:rsidR="007D6F41">
        <w:rPr>
          <w:lang w:val="en-GB"/>
        </w:rPr>
        <w:t>. It has, however, developed key principles on a case-by-case basis. The order to detain and the execution of the detention must genuinely conform with the purpose of the restrictions permitted by the relevant sub-paragraph of Article 5 § 1. There must, in addition, be some relationship between the ground of permitted deprivation of liberty relied on and the place and conditions of detention.</w:t>
      </w:r>
      <w:r w:rsidRPr="00F55305" w:rsidR="007D6F41">
        <w:rPr>
          <w:vertAlign w:val="superscript"/>
          <w:lang w:val="en-GB"/>
        </w:rPr>
        <w:footnoteReference w:id="1"/>
      </w:r>
    </w:p>
    <w:p w:rsidRPr="00F55305" w:rsidR="007D6F41" w:rsidP="00F55305" w:rsidRDefault="001B24F2">
      <w:pPr>
        <w:pStyle w:val="OpiPara"/>
        <w:rPr>
          <w:lang w:val="en-GB"/>
        </w:rPr>
      </w:pPr>
      <w:r w:rsidRPr="00F55305">
        <w:rPr>
          <w:lang w:val="en-GB"/>
        </w:rPr>
        <w:t>3.  </w:t>
      </w:r>
      <w:r w:rsidRPr="00F55305" w:rsidR="007D6F41">
        <w:rPr>
          <w:lang w:val="en-GB"/>
        </w:rPr>
        <w:t xml:space="preserve">As regards the detention of minors pursuant to Article 5 § 1 (d), according to the case-law, the words </w:t>
      </w:r>
      <w:r w:rsidRPr="00F55305" w:rsidR="00142AD9">
        <w:rPr>
          <w:lang w:val="en-GB"/>
        </w:rPr>
        <w:t>“</w:t>
      </w:r>
      <w:r w:rsidRPr="00F55305" w:rsidR="007D6F41">
        <w:rPr>
          <w:lang w:val="en-GB"/>
        </w:rPr>
        <w:t>educational supervision</w:t>
      </w:r>
      <w:r w:rsidRPr="00F55305" w:rsidR="00142AD9">
        <w:rPr>
          <w:lang w:val="en-GB"/>
        </w:rPr>
        <w:t>”</w:t>
      </w:r>
      <w:r w:rsidRPr="00F55305">
        <w:rPr>
          <w:lang w:val="en-GB"/>
        </w:rPr>
        <w:t xml:space="preserve"> must not</w:t>
      </w:r>
      <w:r w:rsidRPr="00F55305" w:rsidR="007D6F41">
        <w:rPr>
          <w:lang w:val="en-GB"/>
        </w:rPr>
        <w:t xml:space="preserve"> be equated rigidly with notions of classroom teaching. In the context of a young person in local authority care, educational supervision must embrace many aspects of the exercise, by the local authority, of parental rights for the benefit and protection of the person concerned.</w:t>
      </w:r>
      <w:r w:rsidRPr="00F55305" w:rsidR="007D6F41">
        <w:rPr>
          <w:vertAlign w:val="superscript"/>
          <w:lang w:val="en-GB"/>
        </w:rPr>
        <w:footnoteReference w:id="2"/>
      </w:r>
      <w:r w:rsidRPr="00F55305" w:rsidR="007D6F41">
        <w:rPr>
          <w:lang w:val="en-GB"/>
        </w:rPr>
        <w:t xml:space="preserve"> Furthermore, detention for educational supervision pursuant to this provision of the Convention must take place in an appropriate facility with the resources to meet the necessary educational objectives and security requirements.</w:t>
      </w:r>
      <w:r w:rsidRPr="00F55305" w:rsidR="007D6F41">
        <w:rPr>
          <w:vertAlign w:val="superscript"/>
          <w:lang w:val="en-GB"/>
        </w:rPr>
        <w:footnoteReference w:id="3"/>
      </w:r>
      <w:r w:rsidRPr="00F55305" w:rsidR="007D6F41">
        <w:rPr>
          <w:lang w:val="en-GB"/>
        </w:rPr>
        <w:t xml:space="preserve"> In </w:t>
      </w:r>
      <w:r w:rsidRPr="00F55305" w:rsidR="007D6F41">
        <w:rPr>
          <w:i/>
          <w:lang w:val="en-GB"/>
        </w:rPr>
        <w:t>Blokhin</w:t>
      </w:r>
      <w:r w:rsidRPr="00F55305" w:rsidR="007D6F41">
        <w:rPr>
          <w:lang w:val="en-GB"/>
        </w:rPr>
        <w:t xml:space="preserve">, the Grand Chamber recently stressed that any placement which is justified with reference to Article 5 § 1 (d) must be </w:t>
      </w:r>
      <w:r w:rsidRPr="00F55305" w:rsidR="00142AD9">
        <w:rPr>
          <w:lang w:val="en-GB"/>
        </w:rPr>
        <w:t>“</w:t>
      </w:r>
      <w:r w:rsidRPr="00F55305" w:rsidR="007D6F41">
        <w:rPr>
          <w:lang w:val="en-GB"/>
        </w:rPr>
        <w:t>for the purpose</w:t>
      </w:r>
      <w:r w:rsidRPr="00F55305" w:rsidR="00142AD9">
        <w:rPr>
          <w:lang w:val="en-GB"/>
        </w:rPr>
        <w:t>”</w:t>
      </w:r>
      <w:r w:rsidRPr="00F55305" w:rsidR="007D6F41">
        <w:rPr>
          <w:lang w:val="en-GB"/>
        </w:rPr>
        <w:t xml:space="preserve"> of educational supervision and be characterised by the quality of the schooling and care provided as distinct from simply providing a disciplinary regime.</w:t>
      </w:r>
      <w:r w:rsidRPr="00F55305" w:rsidR="007D6F41">
        <w:rPr>
          <w:vertAlign w:val="superscript"/>
          <w:lang w:val="en-GB"/>
        </w:rPr>
        <w:footnoteReference w:id="4"/>
      </w:r>
    </w:p>
    <w:p w:rsidRPr="00F55305" w:rsidR="00F55305" w:rsidP="00F55305" w:rsidRDefault="007D6F41">
      <w:pPr>
        <w:pStyle w:val="OpiPara"/>
        <w:rPr>
          <w:lang w:val="en-GB"/>
        </w:rPr>
      </w:pPr>
      <w:r w:rsidRPr="00F55305">
        <w:rPr>
          <w:lang w:val="en-GB"/>
        </w:rPr>
        <w:t>4.</w:t>
      </w:r>
      <w:r w:rsidRPr="00F55305" w:rsidR="001B24F2">
        <w:rPr>
          <w:lang w:val="en-GB"/>
        </w:rPr>
        <w:t>  </w:t>
      </w:r>
      <w:r w:rsidRPr="00F55305">
        <w:rPr>
          <w:lang w:val="en-GB"/>
        </w:rPr>
        <w:t xml:space="preserve">It is true that the Court has already examined the Bulgarian system of detention in closed educational institutions, which the Court in </w:t>
      </w:r>
      <w:r w:rsidRPr="00F55305">
        <w:rPr>
          <w:i/>
          <w:lang w:val="en-GB"/>
        </w:rPr>
        <w:t>Blokhin</w:t>
      </w:r>
      <w:r w:rsidRPr="00F55305">
        <w:rPr>
          <w:lang w:val="en-GB"/>
        </w:rPr>
        <w:t xml:space="preserve"> distinguished from the temporary detention centres at issue in that case, finding no violation of Article 5 § 1 (d).</w:t>
      </w:r>
      <w:r w:rsidRPr="00F55305">
        <w:rPr>
          <w:vertAlign w:val="superscript"/>
          <w:lang w:val="en-GB"/>
        </w:rPr>
        <w:footnoteReference w:id="5"/>
      </w:r>
      <w:r w:rsidRPr="00F55305">
        <w:rPr>
          <w:lang w:val="en-GB"/>
        </w:rPr>
        <w:t xml:space="preserve"> I will elaborate later why I think </w:t>
      </w:r>
      <w:r w:rsidRPr="00F55305">
        <w:rPr>
          <w:i/>
          <w:lang w:val="en-GB"/>
        </w:rPr>
        <w:t xml:space="preserve">A. and </w:t>
      </w:r>
      <w:r w:rsidRPr="00F55305" w:rsidR="00EB74CE">
        <w:rPr>
          <w:i/>
          <w:lang w:val="en-GB"/>
        </w:rPr>
        <w:t>O</w:t>
      </w:r>
      <w:r w:rsidRPr="00F55305">
        <w:rPr>
          <w:i/>
          <w:lang w:val="en-GB"/>
        </w:rPr>
        <w:t>thers v.</w:t>
      </w:r>
      <w:r w:rsidRPr="00F55305">
        <w:rPr>
          <w:lang w:val="en-GB"/>
        </w:rPr>
        <w:t xml:space="preserve"> </w:t>
      </w:r>
      <w:r w:rsidRPr="00F55305">
        <w:rPr>
          <w:i/>
          <w:lang w:val="en-GB"/>
        </w:rPr>
        <w:t>Bulgaria</w:t>
      </w:r>
      <w:r w:rsidRPr="00F55305">
        <w:rPr>
          <w:lang w:val="en-GB"/>
        </w:rPr>
        <w:t xml:space="preserve"> should be distinguished from the present case and why the Court should be much stricter in its assessment of </w:t>
      </w:r>
      <w:r w:rsidRPr="00F55305" w:rsidR="00142AD9">
        <w:rPr>
          <w:lang w:val="en-GB"/>
        </w:rPr>
        <w:t>“</w:t>
      </w:r>
      <w:r w:rsidRPr="00F55305">
        <w:rPr>
          <w:lang w:val="en-GB"/>
        </w:rPr>
        <w:t>arbitrariness</w:t>
      </w:r>
      <w:r w:rsidRPr="00F55305" w:rsidR="00142AD9">
        <w:rPr>
          <w:lang w:val="en-GB"/>
        </w:rPr>
        <w:t>”</w:t>
      </w:r>
      <w:r w:rsidRPr="00F55305">
        <w:rPr>
          <w:lang w:val="en-GB"/>
        </w:rPr>
        <w:t xml:space="preserve"> when it comes to the detention of minors, pursuant to Article 5 § 1 (d), examining not just form but also where and in what conditions educational supervision is provided in practice.</w:t>
      </w:r>
    </w:p>
    <w:p w:rsidRPr="00F55305" w:rsidR="007D6F41" w:rsidP="00F55305" w:rsidRDefault="001B24F2">
      <w:pPr>
        <w:pStyle w:val="OpiHA"/>
        <w:rPr>
          <w:lang w:val="en-GB"/>
        </w:rPr>
      </w:pPr>
      <w:r w:rsidRPr="00F55305">
        <w:rPr>
          <w:lang w:val="en-GB"/>
        </w:rPr>
        <w:t>B.  </w:t>
      </w:r>
      <w:r w:rsidRPr="00F55305" w:rsidR="007D6F41">
        <w:rPr>
          <w:lang w:val="en-GB"/>
        </w:rPr>
        <w:t>Application of those principles in the instant case</w:t>
      </w:r>
    </w:p>
    <w:p w:rsidRPr="00F55305" w:rsidR="00F55305" w:rsidP="00F55305" w:rsidRDefault="007D6F41">
      <w:pPr>
        <w:pStyle w:val="OpiPara"/>
        <w:rPr>
          <w:lang w:val="en-GB"/>
        </w:rPr>
      </w:pPr>
      <w:r w:rsidRPr="00F55305">
        <w:rPr>
          <w:lang w:val="en-GB"/>
        </w:rPr>
        <w:t>5. The lawfulness of the applicant</w:t>
      </w:r>
      <w:r w:rsidRPr="00F55305" w:rsidR="00F55305">
        <w:rPr>
          <w:lang w:val="en-GB"/>
        </w:rPr>
        <w:t>’</w:t>
      </w:r>
      <w:r w:rsidRPr="00F55305">
        <w:rPr>
          <w:lang w:val="en-GB"/>
        </w:rPr>
        <w:t>s detention under national law is confirmed by the majority judgment. It was ordered by a domestic court on a statutory basis. As regards its lawfulness under the Convention, it appears that an educational programme of sorts was provided to detainees. In addition, the impugned detention order was made against the background of undeniable efforts by various domestic authorities to deal with the applicant. The majority judgment goes to considerable lengths to underline the procedural propriety of the decisions taken by the do</w:t>
      </w:r>
      <w:r w:rsidRPr="00F55305" w:rsidR="001B24F2">
        <w:rPr>
          <w:lang w:val="en-GB"/>
        </w:rPr>
        <w:t>mestic authorities and the last-</w:t>
      </w:r>
      <w:r w:rsidRPr="00F55305">
        <w:rPr>
          <w:lang w:val="en-GB"/>
        </w:rPr>
        <w:t>resort nature of the detention measure imposed.</w:t>
      </w:r>
      <w:r w:rsidRPr="00F55305">
        <w:rPr>
          <w:vertAlign w:val="superscript"/>
          <w:lang w:val="en-GB"/>
        </w:rPr>
        <w:footnoteReference w:id="6"/>
      </w:r>
    </w:p>
    <w:p w:rsidRPr="00F55305" w:rsidR="007D6F41" w:rsidP="00F55305" w:rsidRDefault="001B24F2">
      <w:pPr>
        <w:pStyle w:val="OpiPara"/>
        <w:rPr>
          <w:lang w:val="en-GB"/>
        </w:rPr>
      </w:pPr>
      <w:r w:rsidRPr="00F55305">
        <w:rPr>
          <w:lang w:val="en-GB"/>
        </w:rPr>
        <w:t>6.  </w:t>
      </w:r>
      <w:r w:rsidRPr="00F55305" w:rsidR="007D6F41">
        <w:rPr>
          <w:lang w:val="en-GB"/>
        </w:rPr>
        <w:t xml:space="preserve">Why then propose a violation of Article 5 </w:t>
      </w:r>
      <w:r w:rsidRPr="00F55305" w:rsidR="00915A8E">
        <w:rPr>
          <w:lang w:val="en-GB"/>
        </w:rPr>
        <w:t>§ 1? As is clear from the Court</w:t>
      </w:r>
      <w:r w:rsidRPr="00F55305" w:rsidR="00F55305">
        <w:rPr>
          <w:lang w:val="en-GB"/>
        </w:rPr>
        <w:t>’</w:t>
      </w:r>
      <w:r w:rsidRPr="00F55305" w:rsidR="007D6F41">
        <w:rPr>
          <w:lang w:val="en-GB"/>
        </w:rPr>
        <w:t>s case-law, if the Bulgarian State chose a system of educational supervision implemented through court orders to deal with juvenile delinquency, it was obliged to put in place appropriate institutional facilities which met the security and educational demands of the system so established in order to satisfy the requirements of Article 5 § 1 (d).</w:t>
      </w:r>
      <w:r w:rsidRPr="00F55305" w:rsidR="007D6F41">
        <w:rPr>
          <w:vertAlign w:val="superscript"/>
          <w:lang w:val="en-GB"/>
        </w:rPr>
        <w:footnoteReference w:id="7"/>
      </w:r>
      <w:r w:rsidRPr="00F55305" w:rsidR="007D6F41">
        <w:rPr>
          <w:lang w:val="en-GB"/>
        </w:rPr>
        <w:t xml:space="preserve"> In other words, the primary if not exclusive purpose of the system should be educational and the supervision provided, as well as the context in which it is provided, must be fit for purpose. As indicated previously, in </w:t>
      </w:r>
      <w:r w:rsidRPr="00F55305" w:rsidR="007D6F41">
        <w:rPr>
          <w:i/>
          <w:lang w:val="en-GB"/>
        </w:rPr>
        <w:t>Blokhin</w:t>
      </w:r>
      <w:r w:rsidRPr="00F55305" w:rsidR="007D6F41">
        <w:rPr>
          <w:lang w:val="en-GB"/>
        </w:rPr>
        <w:t xml:space="preserve"> the Court referred to the need, in order for Article 5 § 1 (d) to apply, for </w:t>
      </w:r>
      <w:r w:rsidRPr="00F55305" w:rsidR="00142AD9">
        <w:rPr>
          <w:lang w:val="en-GB"/>
        </w:rPr>
        <w:t>“</w:t>
      </w:r>
      <w:r w:rsidRPr="00F55305" w:rsidR="007D6F41">
        <w:rPr>
          <w:lang w:val="en-GB"/>
        </w:rPr>
        <w:t>a regime of educat</w:t>
      </w:r>
      <w:r w:rsidRPr="00F55305" w:rsidR="00EB74CE">
        <w:rPr>
          <w:lang w:val="en-GB"/>
        </w:rPr>
        <w:t>ional supervision in a setting ...</w:t>
      </w:r>
      <w:r w:rsidRPr="00F55305" w:rsidR="007D6F41">
        <w:rPr>
          <w:lang w:val="en-GB"/>
        </w:rPr>
        <w:t xml:space="preserve"> designed – with sufficient resources – for the purpose</w:t>
      </w:r>
      <w:r w:rsidRPr="00F55305" w:rsidR="00142AD9">
        <w:rPr>
          <w:lang w:val="en-GB"/>
        </w:rPr>
        <w:t>”</w:t>
      </w:r>
      <w:r w:rsidRPr="00F55305" w:rsidR="007D6F41">
        <w:rPr>
          <w:lang w:val="en-GB"/>
        </w:rPr>
        <w:t>.</w:t>
      </w:r>
      <w:r w:rsidRPr="00F55305" w:rsidR="007D6F41">
        <w:rPr>
          <w:vertAlign w:val="superscript"/>
          <w:lang w:val="en-GB"/>
        </w:rPr>
        <w:footnoteReference w:id="8"/>
      </w:r>
    </w:p>
    <w:p w:rsidRPr="00F55305" w:rsidR="007D6F41" w:rsidP="00F55305" w:rsidRDefault="007D6F41">
      <w:pPr>
        <w:pStyle w:val="OpiPara"/>
        <w:rPr>
          <w:lang w:val="en-GB"/>
        </w:rPr>
      </w:pPr>
      <w:r w:rsidRPr="00F55305">
        <w:rPr>
          <w:lang w:val="en-GB"/>
        </w:rPr>
        <w:t>7.</w:t>
      </w:r>
      <w:r w:rsidRPr="00F55305" w:rsidR="001B24F2">
        <w:rPr>
          <w:lang w:val="en-GB"/>
        </w:rPr>
        <w:t>  </w:t>
      </w:r>
      <w:r w:rsidRPr="00F55305">
        <w:rPr>
          <w:lang w:val="en-GB"/>
        </w:rPr>
        <w:t>A careful reading of the case file in the instant case makes it difficult to conclude that these conditions were fulfilled as regards the detention of the applicant child.</w:t>
      </w:r>
    </w:p>
    <w:p w:rsidRPr="00F55305" w:rsidR="007D6F41" w:rsidP="00F55305" w:rsidRDefault="001B24F2">
      <w:pPr>
        <w:pStyle w:val="OpiHA"/>
        <w:rPr>
          <w:lang w:val="en-GB"/>
        </w:rPr>
      </w:pPr>
      <w:r w:rsidRPr="00F55305">
        <w:rPr>
          <w:lang w:val="en-GB"/>
        </w:rPr>
        <w:t>C.  </w:t>
      </w:r>
      <w:r w:rsidRPr="00F55305" w:rsidR="007D6F41">
        <w:rPr>
          <w:lang w:val="en-GB"/>
        </w:rPr>
        <w:t>The underlying punitive or criminal character of the applicant</w:t>
      </w:r>
      <w:r w:rsidRPr="00F55305" w:rsidR="00F55305">
        <w:rPr>
          <w:lang w:val="en-GB"/>
        </w:rPr>
        <w:t>’</w:t>
      </w:r>
      <w:r w:rsidRPr="00F55305" w:rsidR="007D6F41">
        <w:rPr>
          <w:lang w:val="en-GB"/>
        </w:rPr>
        <w:t>s detention</w:t>
      </w:r>
    </w:p>
    <w:p w:rsidRPr="00F55305" w:rsidR="007D6F41" w:rsidP="00F55305" w:rsidRDefault="001B24F2">
      <w:pPr>
        <w:pStyle w:val="OpiPara"/>
        <w:rPr>
          <w:lang w:val="en-GB"/>
        </w:rPr>
      </w:pPr>
      <w:r w:rsidRPr="00F55305">
        <w:rPr>
          <w:lang w:val="en-GB"/>
        </w:rPr>
        <w:t>8.  </w:t>
      </w:r>
      <w:r w:rsidRPr="00F55305" w:rsidR="007D6F41">
        <w:rPr>
          <w:lang w:val="en-GB"/>
        </w:rPr>
        <w:t xml:space="preserve">Firstly, the latter complains, like the applicants in </w:t>
      </w:r>
      <w:r w:rsidRPr="00F55305" w:rsidR="009020D5">
        <w:rPr>
          <w:i/>
          <w:lang w:val="en-GB"/>
        </w:rPr>
        <w:t>A</w:t>
      </w:r>
      <w:r w:rsidRPr="00F55305">
        <w:rPr>
          <w:i/>
          <w:lang w:val="en-GB"/>
        </w:rPr>
        <w:t>.</w:t>
      </w:r>
      <w:r w:rsidRPr="00F55305" w:rsidR="009020D5">
        <w:rPr>
          <w:i/>
          <w:lang w:val="en-GB"/>
        </w:rPr>
        <w:t xml:space="preserve"> and O</w:t>
      </w:r>
      <w:r w:rsidRPr="00F55305" w:rsidR="00C365DB">
        <w:rPr>
          <w:i/>
          <w:lang w:val="en-GB"/>
        </w:rPr>
        <w:t>thers v. </w:t>
      </w:r>
      <w:r w:rsidRPr="00F55305" w:rsidR="007D6F41">
        <w:rPr>
          <w:i/>
          <w:lang w:val="en-GB"/>
        </w:rPr>
        <w:t>Bulgaria</w:t>
      </w:r>
      <w:r w:rsidRPr="00F55305" w:rsidR="007D6F41">
        <w:rPr>
          <w:lang w:val="en-GB"/>
        </w:rPr>
        <w:t>, that, despite not having been convicted of any crime, she was detained in the Podem centre for a purpose which was not simply educational but also for purposes which she variously describes as punitive, correctional or deterrent.</w:t>
      </w:r>
    </w:p>
    <w:p w:rsidRPr="00F55305" w:rsidR="007D6F41" w:rsidP="00F55305" w:rsidRDefault="007D6F41">
      <w:pPr>
        <w:pStyle w:val="OpiPara"/>
        <w:rPr>
          <w:lang w:val="en-GB"/>
        </w:rPr>
      </w:pPr>
      <w:r w:rsidRPr="00F55305">
        <w:rPr>
          <w:lang w:val="en-GB"/>
        </w:rPr>
        <w:t>9.</w:t>
      </w:r>
      <w:r w:rsidRPr="00F55305" w:rsidR="001B24F2">
        <w:rPr>
          <w:lang w:val="en-GB"/>
        </w:rPr>
        <w:t>  </w:t>
      </w:r>
      <w:r w:rsidRPr="00F55305">
        <w:rPr>
          <w:lang w:val="en-GB"/>
        </w:rPr>
        <w:t>The majority judgment does not deny the criminal character of the Bulgarian regime and it is very hard to dispel the impression that the applicant, a victim, from the age of twelve, of grooming, was being punished for the crimes of others. There is no indication in the file that those responsible for or involved in her grooming and subsequent prostitution were investigated, charged or brought to justice. Instead, the applicant repeatedly found herself before the criminal branch of the District Court, first the subject of barring orders (admittedly for her own protection), but subsequently of a detention order, confining her, for an unspecified period of time, up to a maximum of three years, to the Podem centre.</w:t>
      </w:r>
    </w:p>
    <w:p w:rsidRPr="00F55305" w:rsidR="007D6F41" w:rsidP="00F55305" w:rsidRDefault="007D6F41">
      <w:pPr>
        <w:pStyle w:val="OpiPara"/>
        <w:rPr>
          <w:lang w:val="en-GB"/>
        </w:rPr>
      </w:pPr>
      <w:r w:rsidRPr="00F55305">
        <w:rPr>
          <w:lang w:val="en-GB"/>
        </w:rPr>
        <w:t>10.</w:t>
      </w:r>
      <w:r w:rsidRPr="00F55305" w:rsidR="001B24F2">
        <w:rPr>
          <w:lang w:val="en-GB"/>
        </w:rPr>
        <w:t>  </w:t>
      </w:r>
      <w:r w:rsidRPr="00F55305">
        <w:rPr>
          <w:lang w:val="en-GB"/>
        </w:rPr>
        <w:t xml:space="preserve">The wording of the majority judgment concedes the correctional, punitive and deterrent purpose of the detention when it refers to the fact that her detention was ordered </w:t>
      </w:r>
      <w:r w:rsidRPr="00F55305" w:rsidR="00142AD9">
        <w:rPr>
          <w:lang w:val="en-GB"/>
        </w:rPr>
        <w:t>“</w:t>
      </w:r>
      <w:r w:rsidRPr="00F55305">
        <w:rPr>
          <w:lang w:val="en-GB"/>
        </w:rPr>
        <w:t xml:space="preserve">to </w:t>
      </w:r>
      <w:r w:rsidRPr="00F55305" w:rsidR="000E1167">
        <w:rPr>
          <w:lang w:val="en-GB"/>
        </w:rPr>
        <w:t>correct her behaviour, which was deemed contrary to social norms</w:t>
      </w:r>
      <w:r w:rsidRPr="00F55305" w:rsidR="00142AD9">
        <w:rPr>
          <w:lang w:val="en-GB"/>
        </w:rPr>
        <w:t>”</w:t>
      </w:r>
      <w:r w:rsidRPr="00F55305" w:rsidR="009020D5">
        <w:rPr>
          <w:lang w:val="en-GB"/>
        </w:rPr>
        <w:t>. It also characteris</w:t>
      </w:r>
      <w:r w:rsidRPr="00F55305">
        <w:rPr>
          <w:lang w:val="en-GB"/>
        </w:rPr>
        <w:t xml:space="preserve">es the Bulgarian care system as </w:t>
      </w:r>
      <w:r w:rsidRPr="00F55305" w:rsidR="00142AD9">
        <w:rPr>
          <w:lang w:val="en-GB"/>
        </w:rPr>
        <w:t>“</w:t>
      </w:r>
      <w:r w:rsidRPr="00F55305">
        <w:rPr>
          <w:lang w:val="en-GB"/>
        </w:rPr>
        <w:t>obsolete</w:t>
      </w:r>
      <w:r w:rsidRPr="00F55305" w:rsidR="00142AD9">
        <w:rPr>
          <w:lang w:val="en-GB"/>
        </w:rPr>
        <w:t>”</w:t>
      </w:r>
      <w:r w:rsidRPr="00F55305">
        <w:rPr>
          <w:lang w:val="en-GB"/>
        </w:rPr>
        <w:t xml:space="preserve"> and as being punitive in origin and philosophy.</w:t>
      </w:r>
      <w:r w:rsidRPr="00F55305">
        <w:rPr>
          <w:vertAlign w:val="superscript"/>
          <w:lang w:val="en-GB"/>
        </w:rPr>
        <w:footnoteReference w:id="9"/>
      </w:r>
      <w:r w:rsidRPr="00F55305">
        <w:rPr>
          <w:lang w:val="en-GB"/>
        </w:rPr>
        <w:t xml:space="preserve"> The educational and protective purpose of the detention, without which the deprivation of the applicant</w:t>
      </w:r>
      <w:r w:rsidRPr="00F55305" w:rsidR="00F55305">
        <w:rPr>
          <w:lang w:val="en-GB"/>
        </w:rPr>
        <w:t>’</w:t>
      </w:r>
      <w:r w:rsidRPr="00F55305">
        <w:rPr>
          <w:lang w:val="en-GB"/>
        </w:rPr>
        <w:t xml:space="preserve">s liberty pursuant to Article 5 § 1 (d) cannot be justified, is obscured if not lost. While the situation of the applicant in the </w:t>
      </w:r>
      <w:r w:rsidRPr="00F55305">
        <w:rPr>
          <w:i/>
          <w:lang w:val="en-GB"/>
        </w:rPr>
        <w:t>Blokhin</w:t>
      </w:r>
      <w:r w:rsidRPr="00F55305">
        <w:rPr>
          <w:lang w:val="en-GB"/>
        </w:rPr>
        <w:t xml:space="preserve"> case can be factually distinguished – he was placed in a temporary detention centre for juvenile offenders – the Court found his detention unlawful both because of the absence of an adequate schooling programme and, more importantly, because his detention was for </w:t>
      </w:r>
      <w:r w:rsidRPr="00F55305" w:rsidR="00142AD9">
        <w:rPr>
          <w:lang w:val="en-GB"/>
        </w:rPr>
        <w:t>“</w:t>
      </w:r>
      <w:r w:rsidRPr="00F55305" w:rsidR="00F55305">
        <w:rPr>
          <w:lang w:val="en-GB"/>
        </w:rPr>
        <w:t>‘</w:t>
      </w:r>
      <w:r w:rsidRPr="00F55305">
        <w:rPr>
          <w:lang w:val="en-GB"/>
        </w:rPr>
        <w:t>behaviour correction</w:t>
      </w:r>
      <w:r w:rsidRPr="00F55305" w:rsidR="00F55305">
        <w:rPr>
          <w:lang w:val="en-GB"/>
        </w:rPr>
        <w:t>’</w:t>
      </w:r>
      <w:r w:rsidRPr="00F55305">
        <w:rPr>
          <w:lang w:val="en-GB"/>
        </w:rPr>
        <w:t xml:space="preserve"> and the need to prevent him from committing further delinquent acts</w:t>
      </w:r>
      <w:r w:rsidRPr="00F55305" w:rsidR="00142AD9">
        <w:rPr>
          <w:lang w:val="en-GB"/>
        </w:rPr>
        <w:t>”</w:t>
      </w:r>
      <w:r w:rsidRPr="00F55305">
        <w:rPr>
          <w:lang w:val="en-GB"/>
        </w:rPr>
        <w:t>, neither of which the Grand Chamber considered a valid ground covered by Article 5 § 1 (d).</w:t>
      </w:r>
      <w:r w:rsidRPr="00F55305">
        <w:rPr>
          <w:vertAlign w:val="superscript"/>
          <w:lang w:val="en-GB"/>
        </w:rPr>
        <w:footnoteReference w:id="10"/>
      </w:r>
      <w:r w:rsidRPr="00F55305">
        <w:rPr>
          <w:lang w:val="en-GB"/>
        </w:rPr>
        <w:t xml:space="preserve"> The applicant demonstrates that both the procedure and the philosophy behind the placement of children in Bulgarian closed institutions is essentially criminal or punitive in character, referring to the reasoning in several District Court decisions, including that of the Pleven District Court which ordered her detention.</w:t>
      </w:r>
    </w:p>
    <w:p w:rsidRPr="00F55305" w:rsidR="007D6F41" w:rsidP="00F55305" w:rsidRDefault="000E1167">
      <w:pPr>
        <w:pStyle w:val="OpiHA"/>
        <w:rPr>
          <w:lang w:val="en-GB"/>
        </w:rPr>
      </w:pPr>
      <w:r w:rsidRPr="00F55305">
        <w:rPr>
          <w:lang w:val="en-GB"/>
        </w:rPr>
        <w:t>D.  </w:t>
      </w:r>
      <w:r w:rsidRPr="00F55305" w:rsidR="007D6F41">
        <w:rPr>
          <w:lang w:val="en-GB"/>
        </w:rPr>
        <w:t>The need for educational supervision which complies with the requirements of Article 5 § 1 (d) in practice</w:t>
      </w:r>
    </w:p>
    <w:p w:rsidRPr="00F55305" w:rsidR="007D6F41" w:rsidP="00F55305" w:rsidRDefault="007D6F41">
      <w:pPr>
        <w:pStyle w:val="OpiPara"/>
        <w:rPr>
          <w:lang w:val="en-GB"/>
        </w:rPr>
      </w:pPr>
      <w:r w:rsidRPr="00F55305">
        <w:rPr>
          <w:lang w:val="en-GB"/>
        </w:rPr>
        <w:t>11.</w:t>
      </w:r>
      <w:r w:rsidRPr="00F55305" w:rsidR="000E1167">
        <w:rPr>
          <w:lang w:val="en-GB"/>
        </w:rPr>
        <w:t>  </w:t>
      </w:r>
      <w:r w:rsidRPr="00F55305">
        <w:rPr>
          <w:lang w:val="en-GB"/>
        </w:rPr>
        <w:t xml:space="preserve">Secondly, even if the purpose of the detention could be regarded </w:t>
      </w:r>
      <w:r w:rsidRPr="00F55305">
        <w:rPr>
          <w:i/>
          <w:lang w:val="en-GB"/>
        </w:rPr>
        <w:t>formally</w:t>
      </w:r>
      <w:r w:rsidRPr="00F55305">
        <w:rPr>
          <w:lang w:val="en-GB"/>
        </w:rPr>
        <w:t xml:space="preserve"> as being in conformity with Article 5 § 1 (d) – the punitive origins and philosophy of the regime being simply a historical hangover − the Court</w:t>
      </w:r>
      <w:r w:rsidRPr="00F55305" w:rsidR="00F55305">
        <w:rPr>
          <w:lang w:val="en-GB"/>
        </w:rPr>
        <w:t>’</w:t>
      </w:r>
      <w:r w:rsidRPr="00F55305">
        <w:rPr>
          <w:lang w:val="en-GB"/>
        </w:rPr>
        <w:t>s jurisprudence also requires an examination of the proportionality of the detention measure. The means chosen must constitute a last resort but must also be appropriate for the achievement of the objectives pursued. The conditions established by the Court</w:t>
      </w:r>
      <w:r w:rsidRPr="00F55305" w:rsidR="00F55305">
        <w:rPr>
          <w:lang w:val="en-GB"/>
        </w:rPr>
        <w:t>’</w:t>
      </w:r>
      <w:r w:rsidRPr="00F55305">
        <w:rPr>
          <w:lang w:val="en-GB"/>
        </w:rPr>
        <w:t xml:space="preserve">s case-law in this regard are set out in detail in </w:t>
      </w:r>
      <w:r w:rsidRPr="00F55305" w:rsidR="009020D5">
        <w:rPr>
          <w:lang w:val="en-GB"/>
        </w:rPr>
        <w:t>paragraph</w:t>
      </w:r>
      <w:r w:rsidRPr="00F55305">
        <w:rPr>
          <w:lang w:val="en-GB"/>
        </w:rPr>
        <w:t xml:space="preserve"> 3 above.</w:t>
      </w:r>
      <w:r w:rsidRPr="00F55305">
        <w:rPr>
          <w:vertAlign w:val="superscript"/>
          <w:lang w:val="en-GB"/>
        </w:rPr>
        <w:footnoteReference w:id="11"/>
      </w:r>
      <w:r w:rsidRPr="00F55305">
        <w:rPr>
          <w:lang w:val="en-GB"/>
        </w:rPr>
        <w:t xml:space="preserve"> On the basis of the evidence before the Court, it does not appear that the Podem centre (or the system of which it forms a part) fulfils these conditions.</w:t>
      </w:r>
    </w:p>
    <w:p w:rsidRPr="00F55305" w:rsidR="007D6F41" w:rsidP="00F55305" w:rsidRDefault="000E1167">
      <w:pPr>
        <w:pStyle w:val="OpiPara"/>
        <w:rPr>
          <w:lang w:val="en-GB"/>
        </w:rPr>
      </w:pPr>
      <w:r w:rsidRPr="00F55305">
        <w:rPr>
          <w:lang w:val="en-GB"/>
        </w:rPr>
        <w:t>12.  </w:t>
      </w:r>
      <w:r w:rsidRPr="00F55305" w:rsidR="007D6F41">
        <w:rPr>
          <w:lang w:val="en-GB"/>
        </w:rPr>
        <w:t xml:space="preserve">The inadequacy of the Bulgarian network of closed educational institutions, both from the perspective of educational provision and the material conditions of life for detainees, is well-documented. Since 2009, the </w:t>
      </w:r>
      <w:r w:rsidRPr="00F55305">
        <w:rPr>
          <w:lang w:val="en-GB"/>
        </w:rPr>
        <w:t>State</w:t>
      </w:r>
      <w:r w:rsidRPr="00F55305" w:rsidR="007D6F41">
        <w:rPr>
          <w:lang w:val="en-GB"/>
        </w:rPr>
        <w:t xml:space="preserve"> Agency for </w:t>
      </w:r>
      <w:r w:rsidRPr="00F55305">
        <w:rPr>
          <w:lang w:val="en-GB"/>
        </w:rPr>
        <w:t xml:space="preserve">Child </w:t>
      </w:r>
      <w:r w:rsidRPr="00F55305" w:rsidR="007D6F41">
        <w:rPr>
          <w:lang w:val="en-GB"/>
        </w:rPr>
        <w:t xml:space="preserve">Protection and, subsequently, the national Ombudsman have repeatedly highlighted the problems which beset the system, including, </w:t>
      </w:r>
      <w:r w:rsidRPr="00F55305" w:rsidR="007D6F41">
        <w:rPr>
          <w:i/>
          <w:lang w:val="en-GB"/>
        </w:rPr>
        <w:t>inter alia</w:t>
      </w:r>
      <w:r w:rsidRPr="00F55305" w:rsidR="007D6F41">
        <w:rPr>
          <w:lang w:val="en-GB"/>
        </w:rPr>
        <w:t>: the educational programmes provided are not methodologically suited to vulnerable children; individual plans suited to each child are not followed up; no contact with families is encouraged or, in some cases, allowed; violence is prevalent and suicide rates are high; staff numbers are insufficient to cater for the children detained, and staff are not trained to correctly address their psycho</w:t>
      </w:r>
      <w:r w:rsidRPr="00F55305">
        <w:rPr>
          <w:lang w:val="en-GB"/>
        </w:rPr>
        <w:t>logical needs. In 2013-2014, 52</w:t>
      </w:r>
      <w:r w:rsidRPr="00F55305" w:rsidR="007D6F41">
        <w:rPr>
          <w:lang w:val="en-GB"/>
        </w:rPr>
        <w:t>% of minors detained in Bulgarian closed educational institutions achieved no educational qualifications.</w:t>
      </w:r>
      <w:r w:rsidRPr="00F55305" w:rsidR="007D6F41">
        <w:rPr>
          <w:vertAlign w:val="superscript"/>
          <w:lang w:val="en-GB"/>
        </w:rPr>
        <w:footnoteReference w:id="12"/>
      </w:r>
      <w:r w:rsidRPr="00F55305" w:rsidR="007D6F41">
        <w:rPr>
          <w:lang w:val="en-GB"/>
        </w:rPr>
        <w:t xml:space="preserve"> For the Ombudsman, the placement of children in these centres and the conditions which they encounter there violate certain human and children</w:t>
      </w:r>
      <w:r w:rsidRPr="00F55305" w:rsidR="00F55305">
        <w:rPr>
          <w:lang w:val="en-GB"/>
        </w:rPr>
        <w:t>’</w:t>
      </w:r>
      <w:r w:rsidRPr="00F55305" w:rsidR="007D6F41">
        <w:rPr>
          <w:lang w:val="en-GB"/>
        </w:rPr>
        <w:t>s rights.</w:t>
      </w:r>
    </w:p>
    <w:p w:rsidRPr="00F55305" w:rsidR="007D6F41" w:rsidP="00F55305" w:rsidRDefault="007D6F41">
      <w:pPr>
        <w:pStyle w:val="OpiPara"/>
        <w:rPr>
          <w:lang w:val="en-GB"/>
        </w:rPr>
      </w:pPr>
      <w:r w:rsidRPr="00F55305">
        <w:rPr>
          <w:lang w:val="en-GB"/>
        </w:rPr>
        <w:t>13.</w:t>
      </w:r>
      <w:r w:rsidRPr="00F55305" w:rsidR="000E1167">
        <w:rPr>
          <w:lang w:val="en-GB"/>
        </w:rPr>
        <w:t>  </w:t>
      </w:r>
      <w:r w:rsidRPr="00F55305">
        <w:rPr>
          <w:lang w:val="en-GB"/>
        </w:rPr>
        <w:t xml:space="preserve">While these reports bear witness to the operation of and conditions in the centres in general, I respectfully disagree with the majority when they suggest that the applicant is requesting the Court to engage in an </w:t>
      </w:r>
      <w:r w:rsidRPr="00F55305">
        <w:rPr>
          <w:i/>
          <w:lang w:val="en-GB"/>
        </w:rPr>
        <w:t>abstracto</w:t>
      </w:r>
      <w:r w:rsidRPr="00F55305">
        <w:rPr>
          <w:lang w:val="en-GB"/>
        </w:rPr>
        <w:t xml:space="preserve"> review of the Bulgarian system.</w:t>
      </w:r>
      <w:r w:rsidRPr="00F55305">
        <w:rPr>
          <w:vertAlign w:val="superscript"/>
          <w:lang w:val="en-GB"/>
        </w:rPr>
        <w:footnoteReference w:id="13"/>
      </w:r>
      <w:r w:rsidRPr="00F55305">
        <w:rPr>
          <w:lang w:val="en-GB"/>
        </w:rPr>
        <w:t xml:space="preserve"> On the contrary, her application clearly details why, in her particular case, the system was not fit for purpose; a claim supported by the numerous reports cited in the majority judgment and summarised above, which date back to 2009.</w:t>
      </w:r>
    </w:p>
    <w:p w:rsidRPr="00F55305" w:rsidR="007D6F41" w:rsidP="00F55305" w:rsidRDefault="000E1167">
      <w:pPr>
        <w:pStyle w:val="OpiPara"/>
        <w:rPr>
          <w:lang w:val="en-GB"/>
        </w:rPr>
      </w:pPr>
      <w:r w:rsidRPr="00F55305">
        <w:rPr>
          <w:lang w:val="en-GB"/>
        </w:rPr>
        <w:t>14.  </w:t>
      </w:r>
      <w:r w:rsidRPr="00F55305" w:rsidR="007D6F41">
        <w:rPr>
          <w:lang w:val="en-GB"/>
        </w:rPr>
        <w:t>When the detention of the applicant in the Podem centre was first requested by the competent local authority in April 2013, the District Court denied the request due to what it regarded as the unfavourable environment in that centre and the risk which detention would pose for the applicant</w:t>
      </w:r>
      <w:r w:rsidRPr="00F55305" w:rsidR="00F55305">
        <w:rPr>
          <w:lang w:val="en-GB"/>
        </w:rPr>
        <w:t>’</w:t>
      </w:r>
      <w:r w:rsidRPr="00F55305" w:rsidR="007D6F41">
        <w:rPr>
          <w:lang w:val="en-GB"/>
        </w:rPr>
        <w:t>s psychological and social development.</w:t>
      </w:r>
      <w:r w:rsidRPr="00F55305" w:rsidR="007D6F41">
        <w:rPr>
          <w:vertAlign w:val="superscript"/>
          <w:lang w:val="en-GB"/>
        </w:rPr>
        <w:footnoteReference w:id="14"/>
      </w:r>
      <w:r w:rsidRPr="00F55305" w:rsidR="007D6F41">
        <w:rPr>
          <w:lang w:val="en-GB"/>
        </w:rPr>
        <w:t xml:space="preserve"> Two months later, the detention order was granted, despite the fact that the psychological and social work done in the less restrictive care facility had been producing positive results and that the applicant</w:t>
      </w:r>
      <w:r w:rsidRPr="00F55305" w:rsidR="00F55305">
        <w:rPr>
          <w:lang w:val="en-GB"/>
        </w:rPr>
        <w:t>’</w:t>
      </w:r>
      <w:r w:rsidRPr="00F55305" w:rsidR="007D6F41">
        <w:rPr>
          <w:lang w:val="en-GB"/>
        </w:rPr>
        <w:t>s behaviour seemed to deteriorate around the time of the detention hearing.</w:t>
      </w:r>
      <w:r w:rsidRPr="00F55305" w:rsidR="007D6F41">
        <w:rPr>
          <w:vertAlign w:val="superscript"/>
          <w:lang w:val="en-GB"/>
        </w:rPr>
        <w:footnoteReference w:id="15"/>
      </w:r>
      <w:r w:rsidRPr="00F55305" w:rsidR="007D6F41">
        <w:rPr>
          <w:lang w:val="en-GB"/>
        </w:rPr>
        <w:t xml:space="preserve"> The applicant attempted suicide after her detention was ordered; an attempt which she succeeded in repeating while in detention. Remarkably, a minor </w:t>
      </w:r>
      <w:r w:rsidRPr="00F55305" w:rsidR="00CE7B8F">
        <w:rPr>
          <w:lang w:val="en-GB"/>
        </w:rPr>
        <w:t>who had attempted suicide on 13 </w:t>
      </w:r>
      <w:r w:rsidRPr="00F55305" w:rsidR="007D6F41">
        <w:rPr>
          <w:lang w:val="en-GB"/>
        </w:rPr>
        <w:t>September 2013 and who was medically certified as being in a fragile state was detained just two days later for an undisclosed period, without the possibility of review (see the complaint in relation t</w:t>
      </w:r>
      <w:r w:rsidRPr="00F55305" w:rsidR="00C8147D">
        <w:rPr>
          <w:lang w:val="en-GB"/>
        </w:rPr>
        <w:t>o Article 5 § 4, upheld by the C</w:t>
      </w:r>
      <w:r w:rsidRPr="00F55305" w:rsidR="007D6F41">
        <w:rPr>
          <w:lang w:val="en-GB"/>
        </w:rPr>
        <w:t>hamber unanimously) and without, it would seem, any further assessment of her psychological state or needs.</w:t>
      </w:r>
      <w:r w:rsidRPr="00F55305" w:rsidR="007D6F41">
        <w:rPr>
          <w:vertAlign w:val="superscript"/>
          <w:lang w:val="en-GB"/>
        </w:rPr>
        <w:footnoteReference w:id="16"/>
      </w:r>
      <w:r w:rsidRPr="00F55305" w:rsidR="007D6F41">
        <w:rPr>
          <w:lang w:val="en-GB"/>
        </w:rPr>
        <w:t xml:space="preserve"> Before being detained, the applicant appealed the detention order, complaining that the length of her detention had not been specified and that her mother had not been heard. The majority judgment regrets the absence of any reference by the District Court to the length and possibility of review of the detention but states that the applicant</w:t>
      </w:r>
      <w:r w:rsidRPr="00F55305" w:rsidR="00F55305">
        <w:rPr>
          <w:lang w:val="en-GB"/>
        </w:rPr>
        <w:t>’</w:t>
      </w:r>
      <w:r w:rsidRPr="00F55305" w:rsidR="007D6F41">
        <w:rPr>
          <w:lang w:val="en-GB"/>
        </w:rPr>
        <w:t xml:space="preserve">s mother could have requested to be heard by that </w:t>
      </w:r>
      <w:r w:rsidRPr="00F55305" w:rsidR="00CE7B8F">
        <w:rPr>
          <w:lang w:val="en-GB"/>
        </w:rPr>
        <w:t>c</w:t>
      </w:r>
      <w:r w:rsidRPr="00F55305" w:rsidR="007D6F41">
        <w:rPr>
          <w:lang w:val="en-GB"/>
        </w:rPr>
        <w:t>ourt, desp</w:t>
      </w:r>
      <w:r w:rsidRPr="00F55305" w:rsidR="00CE7B8F">
        <w:rPr>
          <w:lang w:val="en-GB"/>
        </w:rPr>
        <w:t>ite the fact that the Regional C</w:t>
      </w:r>
      <w:r w:rsidRPr="00F55305" w:rsidR="007D6F41">
        <w:rPr>
          <w:lang w:val="en-GB"/>
        </w:rPr>
        <w:t>ourt had held that hearing the mother was not required by national law.</w:t>
      </w:r>
      <w:r w:rsidRPr="00F55305" w:rsidR="007D6F41">
        <w:rPr>
          <w:vertAlign w:val="superscript"/>
          <w:lang w:val="en-GB"/>
        </w:rPr>
        <w:footnoteReference w:id="17"/>
      </w:r>
      <w:r w:rsidRPr="00F55305" w:rsidR="007D6F41">
        <w:rPr>
          <w:lang w:val="en-GB"/>
        </w:rPr>
        <w:t xml:space="preserve"> Regarding the detention itself, the applicant emphasi</w:t>
      </w:r>
      <w:r w:rsidRPr="00F55305" w:rsidR="009020D5">
        <w:rPr>
          <w:lang w:val="en-GB"/>
        </w:rPr>
        <w:t>s</w:t>
      </w:r>
      <w:r w:rsidRPr="00F55305" w:rsidR="007D6F41">
        <w:rPr>
          <w:lang w:val="en-GB"/>
        </w:rPr>
        <w:t>es that the educational council of the Podem centre did not evaluate any student positively in 2012 and 2013, either from an educational or a behavioural perspective, which meant no student could be considered for release. The applicant claims that she continued to be threatened by her traffickers while in detention; an allegation not contested by the respondent Government. Violent outbreaks in Bulgaria</w:t>
      </w:r>
      <w:r w:rsidRPr="00F55305" w:rsidR="00F55305">
        <w:rPr>
          <w:lang w:val="en-GB"/>
        </w:rPr>
        <w:t>’</w:t>
      </w:r>
      <w:r w:rsidRPr="00F55305" w:rsidR="007D6F41">
        <w:rPr>
          <w:lang w:val="en-GB"/>
        </w:rPr>
        <w:t xml:space="preserve">s closed educational institutions led to a </w:t>
      </w:r>
      <w:r w:rsidRPr="00F55305" w:rsidR="00C8147D">
        <w:rPr>
          <w:lang w:val="en-GB"/>
        </w:rPr>
        <w:t>c</w:t>
      </w:r>
      <w:r w:rsidRPr="00F55305" w:rsidR="007D6F41">
        <w:rPr>
          <w:lang w:val="en-GB"/>
        </w:rPr>
        <w:t>ourt</w:t>
      </w:r>
      <w:r w:rsidRPr="00F55305" w:rsidR="00C8147D">
        <w:rPr>
          <w:lang w:val="en-GB"/>
        </w:rPr>
        <w:t>-</w:t>
      </w:r>
      <w:r w:rsidRPr="00F55305" w:rsidR="007D6F41">
        <w:rPr>
          <w:lang w:val="en-GB"/>
        </w:rPr>
        <w:t>ordered review of all of them, including the Podem centre. While in detention, the applicant could not request that her deprivation of liberty be periodically reviewed. Furthermore, her communications with her family were subject to automatic and undifferentiated control by the centre</w:t>
      </w:r>
      <w:r w:rsidRPr="00F55305" w:rsidR="00F55305">
        <w:rPr>
          <w:lang w:val="en-GB"/>
        </w:rPr>
        <w:t>’</w:t>
      </w:r>
      <w:r w:rsidRPr="00F55305" w:rsidR="007D6F41">
        <w:rPr>
          <w:lang w:val="en-GB"/>
        </w:rPr>
        <w:t>s authorities, although such contact is recognised as essential for the psychological and social development of minors and what should be the primary purpose of their educational supervision for it to be considered as coming within the scope of Article 5 § 1 (d), namely education, rehabilitation and reintegration into society.</w:t>
      </w:r>
    </w:p>
    <w:p w:rsidRPr="00F55305" w:rsidR="007D6F41" w:rsidP="00F55305" w:rsidRDefault="003077B0">
      <w:pPr>
        <w:pStyle w:val="OpiPara"/>
        <w:rPr>
          <w:lang w:val="en-GB"/>
        </w:rPr>
      </w:pPr>
      <w:r w:rsidRPr="00F55305">
        <w:rPr>
          <w:lang w:val="en-GB"/>
        </w:rPr>
        <w:t>15.  </w:t>
      </w:r>
      <w:r w:rsidRPr="00F55305" w:rsidR="007D6F41">
        <w:rPr>
          <w:lang w:val="en-GB"/>
        </w:rPr>
        <w:t>Despite the general details available regarding the operation of the educational supervision centres at issue in this case and the specific details of her own detention provided by the applicant, the majority judgment indicates that the detention order imposed by the District Court was with a view to protecting her interests as an adolescent in full social and psychological development and that the Court cannot interfere with the conclusions of the national authorities. As stated previously, while I would not contest that the applicant</w:t>
      </w:r>
      <w:r w:rsidRPr="00F55305" w:rsidR="00F55305">
        <w:rPr>
          <w:lang w:val="en-GB"/>
        </w:rPr>
        <w:t>’</w:t>
      </w:r>
      <w:r w:rsidRPr="00F55305" w:rsidR="007D6F41">
        <w:rPr>
          <w:lang w:val="en-GB"/>
        </w:rPr>
        <w:t xml:space="preserve">s detention may appear </w:t>
      </w:r>
      <w:r w:rsidRPr="00F55305" w:rsidR="007D6F41">
        <w:rPr>
          <w:i/>
          <w:lang w:val="en-GB"/>
        </w:rPr>
        <w:t>formally</w:t>
      </w:r>
      <w:r w:rsidRPr="00F55305" w:rsidR="007D6F41">
        <w:rPr>
          <w:lang w:val="en-GB"/>
        </w:rPr>
        <w:t xml:space="preserve"> regular and that other measures had been tried, it is impossible, on the basis of the information in the case file</w:t>
      </w:r>
      <w:r w:rsidRPr="00F55305">
        <w:rPr>
          <w:lang w:val="en-GB"/>
        </w:rPr>
        <w:t>,</w:t>
      </w:r>
      <w:r w:rsidRPr="00F55305" w:rsidR="007D6F41">
        <w:rPr>
          <w:lang w:val="en-GB"/>
        </w:rPr>
        <w:t xml:space="preserve"> to conclude that the means chosen were fit for purpose and capable of being judged appropriate for the achievement of the aims pursued. The Court</w:t>
      </w:r>
      <w:r w:rsidRPr="00F55305" w:rsidR="00F55305">
        <w:rPr>
          <w:lang w:val="en-GB"/>
        </w:rPr>
        <w:t>’</w:t>
      </w:r>
      <w:r w:rsidRPr="00F55305" w:rsidR="007D6F41">
        <w:rPr>
          <w:lang w:val="en-GB"/>
        </w:rPr>
        <w:t>s existing case-law on Article 5 § 1 (d) suggests that when an institution formally ticks this provision</w:t>
      </w:r>
      <w:r w:rsidRPr="00F55305" w:rsidR="00F55305">
        <w:rPr>
          <w:lang w:val="en-GB"/>
        </w:rPr>
        <w:t>’</w:t>
      </w:r>
      <w:r w:rsidRPr="00F55305" w:rsidR="007D6F41">
        <w:rPr>
          <w:lang w:val="en-GB"/>
        </w:rPr>
        <w:t>s boxes, the Court will not engage in a qualitative assessment of the supervision provided.</w:t>
      </w:r>
      <w:r w:rsidRPr="00F55305" w:rsidR="007D6F41">
        <w:rPr>
          <w:vertAlign w:val="superscript"/>
          <w:lang w:val="en-GB"/>
        </w:rPr>
        <w:footnoteReference w:id="18"/>
      </w:r>
      <w:r w:rsidRPr="00F55305" w:rsidR="007D6F41">
        <w:rPr>
          <w:lang w:val="en-GB"/>
        </w:rPr>
        <w:t xml:space="preserve"> Given the age and vulnerability of those whose deprivation of liberty is sought to be justified under this sub-paragraph, and given the Court</w:t>
      </w:r>
      <w:r w:rsidRPr="00F55305" w:rsidR="00F55305">
        <w:rPr>
          <w:lang w:val="en-GB"/>
        </w:rPr>
        <w:t>’</w:t>
      </w:r>
      <w:r w:rsidRPr="00F55305" w:rsidR="007D6F41">
        <w:rPr>
          <w:lang w:val="en-GB"/>
        </w:rPr>
        <w:t xml:space="preserve">s own tests for assessing arbitrariness and proportionality (see </w:t>
      </w:r>
      <w:r w:rsidRPr="00F55305" w:rsidR="00CE7B8F">
        <w:rPr>
          <w:lang w:val="en-GB"/>
        </w:rPr>
        <w:t>paragraphs</w:t>
      </w:r>
      <w:r w:rsidRPr="00F55305" w:rsidR="007D6F41">
        <w:rPr>
          <w:lang w:val="en-GB"/>
        </w:rPr>
        <w:t xml:space="preserve"> 2, 3 and 11 above), this is to be regretted.</w:t>
      </w:r>
    </w:p>
    <w:p w:rsidRPr="00F55305" w:rsidR="007D6F41" w:rsidP="00F55305" w:rsidRDefault="007D6F41">
      <w:pPr>
        <w:pStyle w:val="OpiPara"/>
        <w:rPr>
          <w:lang w:val="en-GB"/>
        </w:rPr>
      </w:pPr>
      <w:r w:rsidRPr="00F55305">
        <w:rPr>
          <w:lang w:val="en-GB"/>
        </w:rPr>
        <w:t>16.</w:t>
      </w:r>
      <w:r w:rsidRPr="00F55305" w:rsidR="003077B0">
        <w:rPr>
          <w:lang w:val="en-GB"/>
        </w:rPr>
        <w:t>  </w:t>
      </w:r>
      <w:r w:rsidRPr="00F55305">
        <w:rPr>
          <w:lang w:val="en-GB"/>
        </w:rPr>
        <w:t>The system</w:t>
      </w:r>
      <w:r w:rsidRPr="00F55305" w:rsidR="00F55305">
        <w:rPr>
          <w:lang w:val="en-GB"/>
        </w:rPr>
        <w:t>’</w:t>
      </w:r>
      <w:r w:rsidRPr="00F55305">
        <w:rPr>
          <w:lang w:val="en-GB"/>
        </w:rPr>
        <w:t>s unfitness for purpose – certainly in the specific case of the applicant – is clinched by the violations of Articles 5 § 4 and 8. One can of course view these complaints separately and with clinical judicial detachment; but the fact remains that a 14-year-old girl was detained, without the possibility of review, in conditions not conducive to her social and psychological development, while contact with her family was interfered with or denied. The Court has of course held that Article 5 §§ 1 and 4 are separate provisions, such that the observance of one does not necessarily entail observance of the other.</w:t>
      </w:r>
      <w:r w:rsidRPr="00F55305">
        <w:rPr>
          <w:vertAlign w:val="superscript"/>
          <w:lang w:val="en-GB"/>
        </w:rPr>
        <w:footnoteReference w:id="19"/>
      </w:r>
      <w:r w:rsidRPr="00F55305">
        <w:rPr>
          <w:lang w:val="en-GB"/>
        </w:rPr>
        <w:t xml:space="preserve"> Nevertheless, when examining whether the detention of a minor can be considered </w:t>
      </w:r>
      <w:r w:rsidRPr="00F55305" w:rsidR="00142AD9">
        <w:rPr>
          <w:lang w:val="en-GB"/>
        </w:rPr>
        <w:t>“</w:t>
      </w:r>
      <w:r w:rsidRPr="00F55305">
        <w:rPr>
          <w:lang w:val="en-GB"/>
        </w:rPr>
        <w:t>arbitrary</w:t>
      </w:r>
      <w:r w:rsidRPr="00F55305" w:rsidR="00142AD9">
        <w:rPr>
          <w:lang w:val="en-GB"/>
        </w:rPr>
        <w:t>”</w:t>
      </w:r>
      <w:r w:rsidRPr="00F55305">
        <w:rPr>
          <w:lang w:val="en-GB"/>
        </w:rPr>
        <w:t xml:space="preserve"> for the purposes of Article 5 § 1 (d), the extent and nature of the separate, but related, violations of Article 5 § 4 and </w:t>
      </w:r>
      <w:r w:rsidRPr="00F55305" w:rsidR="00CE7B8F">
        <w:rPr>
          <w:lang w:val="en-GB"/>
        </w:rPr>
        <w:t xml:space="preserve">Article </w:t>
      </w:r>
      <w:r w:rsidRPr="00F55305">
        <w:rPr>
          <w:lang w:val="en-GB"/>
        </w:rPr>
        <w:t>8 can hardly be considered irrelevant.</w:t>
      </w:r>
      <w:r w:rsidRPr="00F55305">
        <w:rPr>
          <w:vertAlign w:val="superscript"/>
          <w:lang w:val="en-GB"/>
        </w:rPr>
        <w:footnoteReference w:id="20"/>
      </w:r>
    </w:p>
    <w:p w:rsidRPr="00F55305" w:rsidR="007D6F41" w:rsidP="00F55305" w:rsidRDefault="003077B0">
      <w:pPr>
        <w:pStyle w:val="OpiHA"/>
        <w:rPr>
          <w:lang w:val="en-GB"/>
        </w:rPr>
      </w:pPr>
      <w:r w:rsidRPr="00F55305">
        <w:rPr>
          <w:lang w:val="en-GB"/>
        </w:rPr>
        <w:t>E.  </w:t>
      </w:r>
      <w:r w:rsidRPr="00F55305" w:rsidR="007D6F41">
        <w:rPr>
          <w:lang w:val="en-GB"/>
        </w:rPr>
        <w:t>Conclusions</w:t>
      </w:r>
    </w:p>
    <w:p w:rsidRPr="00F55305" w:rsidR="00F55305" w:rsidP="00F55305" w:rsidRDefault="003077B0">
      <w:pPr>
        <w:pStyle w:val="OpiPara"/>
        <w:rPr>
          <w:lang w:val="en-GB"/>
        </w:rPr>
      </w:pPr>
      <w:r w:rsidRPr="00F55305">
        <w:rPr>
          <w:lang w:val="en-GB"/>
        </w:rPr>
        <w:t>17.  </w:t>
      </w:r>
      <w:r w:rsidRPr="00F55305" w:rsidR="007D6F41">
        <w:rPr>
          <w:lang w:val="en-GB"/>
        </w:rPr>
        <w:t>There is no doubt that States, called on to fulfil their positive obligation to protect minors from neglectful or abusive home or local environments</w:t>
      </w:r>
      <w:r w:rsidRPr="00F55305">
        <w:rPr>
          <w:lang w:val="en-GB"/>
        </w:rPr>
        <w:t>,</w:t>
      </w:r>
      <w:r w:rsidRPr="00F55305" w:rsidR="007D6F41">
        <w:rPr>
          <w:lang w:val="en-GB"/>
        </w:rPr>
        <w:t xml:space="preserve"> face difficult, and sometimes costly, decisions. It is tempting perhaps to conclude that, while the Bulgarian system is not perfect, it is better than nothing. Further comfort could be drawn from the action plan formulated by the responsible Minister but not acted upon to date. However, to deprive someone of their liberty is to deprive them of a fundamental right considered by the Court to be of primary importance in a democracy.</w:t>
      </w:r>
      <w:r w:rsidRPr="00F55305" w:rsidR="007D6F41">
        <w:rPr>
          <w:vertAlign w:val="superscript"/>
          <w:lang w:val="en-GB"/>
        </w:rPr>
        <w:footnoteReference w:id="21"/>
      </w:r>
      <w:r w:rsidRPr="00F55305" w:rsidR="007D6F41">
        <w:rPr>
          <w:lang w:val="en-GB"/>
        </w:rPr>
        <w:t xml:space="preserve"> Unlike the applicants in </w:t>
      </w:r>
      <w:r w:rsidRPr="00F55305" w:rsidR="007D6F41">
        <w:rPr>
          <w:i/>
          <w:lang w:val="en-GB"/>
        </w:rPr>
        <w:t>A</w:t>
      </w:r>
      <w:r w:rsidRPr="00F55305" w:rsidR="001B24F2">
        <w:rPr>
          <w:i/>
          <w:lang w:val="en-GB"/>
        </w:rPr>
        <w:t>.</w:t>
      </w:r>
      <w:r w:rsidRPr="00F55305" w:rsidR="007D6F41">
        <w:rPr>
          <w:i/>
          <w:lang w:val="en-GB"/>
        </w:rPr>
        <w:t xml:space="preserve"> and </w:t>
      </w:r>
      <w:r w:rsidRPr="00F55305" w:rsidR="00EB74CE">
        <w:rPr>
          <w:i/>
          <w:lang w:val="en-GB"/>
        </w:rPr>
        <w:t>O</w:t>
      </w:r>
      <w:r w:rsidRPr="00F55305" w:rsidR="007D6F41">
        <w:rPr>
          <w:i/>
          <w:lang w:val="en-GB"/>
        </w:rPr>
        <w:t>thers</w:t>
      </w:r>
      <w:r w:rsidRPr="00F55305" w:rsidR="00EB74CE">
        <w:rPr>
          <w:i/>
          <w:lang w:val="en-GB"/>
        </w:rPr>
        <w:t xml:space="preserve"> v.</w:t>
      </w:r>
      <w:r w:rsidRPr="00F55305" w:rsidR="007D6F41">
        <w:rPr>
          <w:i/>
          <w:lang w:val="en-GB"/>
        </w:rPr>
        <w:t xml:space="preserve"> </w:t>
      </w:r>
      <w:r w:rsidRPr="00F55305" w:rsidR="00EB74CE">
        <w:rPr>
          <w:i/>
          <w:lang w:val="en-GB"/>
        </w:rPr>
        <w:t>B</w:t>
      </w:r>
      <w:r w:rsidRPr="00F55305" w:rsidR="007D6F41">
        <w:rPr>
          <w:i/>
          <w:lang w:val="en-GB"/>
        </w:rPr>
        <w:t>ulgaria</w:t>
      </w:r>
      <w:r w:rsidRPr="00F55305" w:rsidR="007D6F41">
        <w:rPr>
          <w:lang w:val="en-GB"/>
        </w:rPr>
        <w:t xml:space="preserve">, who were detained between 2008 </w:t>
      </w:r>
      <w:r w:rsidRPr="00F55305">
        <w:rPr>
          <w:lang w:val="en-GB"/>
        </w:rPr>
        <w:t>and</w:t>
      </w:r>
      <w:r w:rsidRPr="00F55305" w:rsidR="007D6F41">
        <w:rPr>
          <w:lang w:val="en-GB"/>
        </w:rPr>
        <w:t xml:space="preserve"> 2010, when the problems besetting the Bulgarian centres for educational supervision were not yet known or only coming to light, the applicant was detained in September 2013, when those problems were well-documented and severe. The majority judgment refers to case-law and international instruments which require that the child</w:t>
      </w:r>
      <w:r w:rsidRPr="00F55305" w:rsidR="00F55305">
        <w:rPr>
          <w:lang w:val="en-GB"/>
        </w:rPr>
        <w:t>’</w:t>
      </w:r>
      <w:r w:rsidRPr="00F55305" w:rsidR="007D6F41">
        <w:rPr>
          <w:lang w:val="en-GB"/>
        </w:rPr>
        <w:t>s best interests be the primary consideration of decision-makers in circumstances such as these.</w:t>
      </w:r>
      <w:r w:rsidRPr="00F55305" w:rsidR="007D6F41">
        <w:rPr>
          <w:vertAlign w:val="superscript"/>
          <w:lang w:val="en-GB"/>
        </w:rPr>
        <w:footnoteReference w:id="22"/>
      </w:r>
      <w:r w:rsidRPr="00F55305" w:rsidR="007D6F41">
        <w:rPr>
          <w:lang w:val="en-GB"/>
        </w:rPr>
        <w:t xml:space="preserve"> The recent Grand Chamber judgment in </w:t>
      </w:r>
      <w:r w:rsidRPr="00F55305" w:rsidR="007D6F41">
        <w:rPr>
          <w:i/>
          <w:lang w:val="en-GB"/>
        </w:rPr>
        <w:t>Blokhin</w:t>
      </w:r>
      <w:r w:rsidRPr="00F55305" w:rsidR="007D6F41">
        <w:rPr>
          <w:lang w:val="en-GB"/>
        </w:rPr>
        <w:t xml:space="preserve"> is even more prolific in this regard.</w:t>
      </w:r>
      <w:r w:rsidRPr="00F55305" w:rsidR="007D6F41">
        <w:rPr>
          <w:vertAlign w:val="superscript"/>
          <w:lang w:val="en-GB"/>
        </w:rPr>
        <w:footnoteReference w:id="23"/>
      </w:r>
      <w:r w:rsidRPr="00F55305" w:rsidR="007D6F41">
        <w:rPr>
          <w:lang w:val="en-GB"/>
        </w:rPr>
        <w:t xml:space="preserve"> However, if the Court fails, when required, to condemn systems which ostensibly seek to protect children but which, in their organisation and functioning, fail to do so then these references are neither necessary nor useful.</w:t>
      </w:r>
    </w:p>
    <w:p w:rsidRPr="00F55305" w:rsidR="004D15F3" w:rsidP="00F55305" w:rsidRDefault="004D15F3">
      <w:pPr>
        <w:pStyle w:val="OpiPara"/>
        <w:rPr>
          <w:lang w:val="en-GB"/>
        </w:rPr>
      </w:pPr>
    </w:p>
    <w:sectPr w:rsidRPr="00F55305" w:rsidR="004D15F3" w:rsidSect="007D6F41">
      <w:headerReference w:type="even" r:id="rId13"/>
      <w:headerReference w:type="default" r:id="rId14"/>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F7" w:rsidRPr="00E4133A" w:rsidRDefault="002774F7" w:rsidP="00014566">
      <w:pPr>
        <w:rPr>
          <w:lang w:val="en-GB"/>
        </w:rPr>
      </w:pPr>
      <w:r w:rsidRPr="00E4133A">
        <w:rPr>
          <w:lang w:val="en-GB"/>
        </w:rPr>
        <w:separator/>
      </w:r>
    </w:p>
  </w:endnote>
  <w:endnote w:type="continuationSeparator" w:id="0">
    <w:p w:rsidR="002774F7" w:rsidRPr="00E4133A" w:rsidRDefault="002774F7" w:rsidP="00014566">
      <w:pPr>
        <w:rPr>
          <w:lang w:val="en-GB"/>
        </w:rPr>
      </w:pPr>
      <w:r w:rsidRPr="00E4133A">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orm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150BFA" w:rsidRDefault="002774F7" w:rsidP="001718E8">
    <w:pPr>
      <w:jc w:val="center"/>
    </w:pPr>
    <w:r>
      <w:rPr>
        <w:noProof/>
        <w:lang w:eastAsia="ja-JP"/>
      </w:rPr>
      <w:drawing>
        <wp:inline distT="0" distB="0" distL="0" distR="0" wp14:anchorId="43EAA64C" wp14:editId="1BFA8455">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774F7" w:rsidRDefault="00277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F7" w:rsidRPr="00E4133A" w:rsidRDefault="002774F7" w:rsidP="00014566">
      <w:pPr>
        <w:rPr>
          <w:lang w:val="en-GB"/>
        </w:rPr>
      </w:pPr>
      <w:r w:rsidRPr="00E4133A">
        <w:rPr>
          <w:lang w:val="en-GB"/>
        </w:rPr>
        <w:separator/>
      </w:r>
    </w:p>
  </w:footnote>
  <w:footnote w:type="continuationSeparator" w:id="0">
    <w:p w:rsidR="002774F7" w:rsidRPr="00E4133A" w:rsidRDefault="002774F7" w:rsidP="00014566">
      <w:pPr>
        <w:rPr>
          <w:lang w:val="en-GB"/>
        </w:rPr>
      </w:pPr>
      <w:r w:rsidRPr="00E4133A">
        <w:rPr>
          <w:lang w:val="en-GB"/>
        </w:rPr>
        <w:continuationSeparator/>
      </w:r>
    </w:p>
  </w:footnote>
  <w:footnote w:id="1">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for example, </w:t>
      </w:r>
      <w:r w:rsidRPr="009020D5">
        <w:rPr>
          <w:rFonts w:ascii="Times New Roman" w:hAnsi="Times New Roman" w:cs="Times New Roman"/>
          <w:i/>
          <w:lang w:val="en-GB"/>
        </w:rPr>
        <w:t>Saadi</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the</w:t>
      </w:r>
      <w:r w:rsidRPr="009020D5">
        <w:rPr>
          <w:rFonts w:ascii="Times New Roman" w:hAnsi="Times New Roman" w:cs="Times New Roman"/>
          <w:lang w:val="en-GB"/>
        </w:rPr>
        <w:t xml:space="preserve"> </w:t>
      </w:r>
      <w:r w:rsidRPr="009020D5">
        <w:rPr>
          <w:rFonts w:ascii="Times New Roman" w:hAnsi="Times New Roman" w:cs="Times New Roman"/>
          <w:i/>
          <w:lang w:val="en-GB"/>
        </w:rPr>
        <w:t>United Kingdom</w:t>
      </w:r>
      <w:r w:rsidRPr="009020D5">
        <w:rPr>
          <w:rFonts w:ascii="Times New Roman" w:hAnsi="Times New Roman" w:cs="Times New Roman"/>
          <w:lang w:val="en-GB"/>
        </w:rPr>
        <w:t xml:space="preserve"> [GC], no. 13229/03, §§ 68-69, ECHR 2008, with further references.</w:t>
      </w:r>
    </w:p>
  </w:footnote>
  <w:footnote w:id="2">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variously, </w:t>
      </w:r>
      <w:r w:rsidRPr="009020D5">
        <w:rPr>
          <w:rFonts w:ascii="Times New Roman" w:hAnsi="Times New Roman" w:cs="Times New Roman"/>
          <w:i/>
          <w:lang w:val="en-GB"/>
        </w:rPr>
        <w:t>Blokhin</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Russia</w:t>
      </w:r>
      <w:r w:rsidRPr="009020D5">
        <w:rPr>
          <w:rFonts w:ascii="Times New Roman" w:hAnsi="Times New Roman" w:cs="Times New Roman"/>
          <w:lang w:val="en-GB"/>
        </w:rPr>
        <w:t xml:space="preserve"> [GC], no. 47152/06, § 166, ECHR 2016; </w:t>
      </w:r>
      <w:r w:rsidRPr="009020D5">
        <w:rPr>
          <w:rFonts w:ascii="Times New Roman" w:hAnsi="Times New Roman" w:cs="Times New Roman"/>
          <w:i/>
          <w:lang w:val="en-GB"/>
        </w:rPr>
        <w:t>P. and S.</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Pr>
          <w:rFonts w:ascii="Times New Roman" w:hAnsi="Times New Roman" w:cs="Times New Roman"/>
          <w:lang w:val="en-GB"/>
        </w:rPr>
        <w:t> </w:t>
      </w:r>
      <w:r w:rsidRPr="009020D5">
        <w:rPr>
          <w:rFonts w:ascii="Times New Roman" w:hAnsi="Times New Roman" w:cs="Times New Roman"/>
          <w:i/>
          <w:lang w:val="en-GB"/>
        </w:rPr>
        <w:t>Poland</w:t>
      </w:r>
      <w:r w:rsidRPr="009020D5">
        <w:rPr>
          <w:rFonts w:ascii="Times New Roman" w:hAnsi="Times New Roman" w:cs="Times New Roman"/>
          <w:lang w:val="en-GB"/>
        </w:rPr>
        <w:t xml:space="preserve">, no. 57375/08, § 147, 30 October 2012; </w:t>
      </w:r>
      <w:r w:rsidRPr="009020D5">
        <w:rPr>
          <w:rFonts w:ascii="Times New Roman" w:hAnsi="Times New Roman" w:cs="Times New Roman"/>
          <w:i/>
          <w:lang w:val="en-GB"/>
        </w:rPr>
        <w:t>D.G.</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Ireland</w:t>
      </w:r>
      <w:r w:rsidRPr="009020D5">
        <w:rPr>
          <w:rFonts w:ascii="Times New Roman" w:hAnsi="Times New Roman" w:cs="Times New Roman"/>
          <w:lang w:val="en-GB"/>
        </w:rPr>
        <w:t xml:space="preserve">, no. 39474/98, § 80, ECHR 2002-III; and </w:t>
      </w:r>
      <w:r w:rsidRPr="009020D5">
        <w:rPr>
          <w:rFonts w:ascii="Times New Roman" w:hAnsi="Times New Roman" w:cs="Times New Roman"/>
          <w:i/>
          <w:lang w:val="en-GB"/>
        </w:rPr>
        <w:t>Koniarska</w:t>
      </w:r>
      <w:r w:rsidRPr="009020D5">
        <w:rPr>
          <w:rFonts w:ascii="Times New Roman" w:hAnsi="Times New Roman" w:cs="Times New Roman"/>
          <w:lang w:val="en-GB"/>
        </w:rPr>
        <w:t xml:space="preserve"> </w:t>
      </w:r>
      <w:r w:rsidRPr="001B24F2">
        <w:rPr>
          <w:rFonts w:ascii="Times New Roman" w:hAnsi="Times New Roman" w:cs="Times New Roman"/>
          <w:i/>
          <w:lang w:val="en-GB"/>
        </w:rPr>
        <w:t>v. the United</w:t>
      </w:r>
      <w:r w:rsidRPr="009020D5">
        <w:rPr>
          <w:rFonts w:ascii="Times New Roman" w:hAnsi="Times New Roman" w:cs="Times New Roman"/>
          <w:i/>
          <w:lang w:val="en-GB"/>
        </w:rPr>
        <w:t xml:space="preserve"> Kingdom</w:t>
      </w:r>
      <w:r w:rsidRPr="009020D5">
        <w:rPr>
          <w:rFonts w:ascii="Times New Roman" w:hAnsi="Times New Roman" w:cs="Times New Roman"/>
          <w:lang w:val="en-GB"/>
        </w:rPr>
        <w:t xml:space="preserve"> (dec.), no. 33670/96, 12 October 2000.</w:t>
      </w:r>
    </w:p>
  </w:footnote>
  <w:footnote w:id="3">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Blokhin</w:t>
      </w:r>
      <w:r w:rsidRPr="009020D5">
        <w:rPr>
          <w:rFonts w:ascii="Times New Roman" w:hAnsi="Times New Roman" w:cs="Times New Roman"/>
          <w:lang w:val="en-GB"/>
        </w:rPr>
        <w:t>, cited above, § 167.</w:t>
      </w:r>
    </w:p>
  </w:footnote>
  <w:footnote w:id="4">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Ibid., § 170.</w:t>
      </w:r>
    </w:p>
  </w:footnote>
  <w:footnote w:id="5">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w:t>
      </w:r>
      <w:r w:rsidRPr="009020D5">
        <w:rPr>
          <w:rFonts w:ascii="Times New Roman" w:hAnsi="Times New Roman" w:cs="Times New Roman"/>
          <w:i/>
          <w:lang w:val="en-GB"/>
        </w:rPr>
        <w:t>A. and Others</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Bulgaria</w:t>
      </w:r>
      <w:r w:rsidRPr="009020D5">
        <w:rPr>
          <w:rFonts w:ascii="Times New Roman" w:hAnsi="Times New Roman" w:cs="Times New Roman"/>
          <w:lang w:val="en-GB"/>
        </w:rPr>
        <w:t>, no. 51776/08, §§ 66-74, 29 November 2011.</w:t>
      </w:r>
    </w:p>
  </w:footnote>
  <w:footnote w:id="6">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the majority judgment, §§ 78-80.</w:t>
      </w:r>
    </w:p>
  </w:footnote>
  <w:footnote w:id="7">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w:t>
      </w:r>
      <w:r w:rsidRPr="009020D5">
        <w:rPr>
          <w:rFonts w:ascii="Times New Roman" w:hAnsi="Times New Roman" w:cs="Times New Roman"/>
          <w:i/>
          <w:lang w:val="en-GB"/>
        </w:rPr>
        <w:t>A. and Others v. Bulgaria</w:t>
      </w:r>
      <w:r w:rsidR="008C352A">
        <w:rPr>
          <w:rFonts w:ascii="Times New Roman" w:hAnsi="Times New Roman" w:cs="Times New Roman"/>
          <w:lang w:val="en-GB"/>
        </w:rPr>
        <w:t>, cited above § 69, and</w:t>
      </w:r>
      <w:r w:rsidRPr="009020D5">
        <w:rPr>
          <w:rFonts w:ascii="Times New Roman" w:hAnsi="Times New Roman" w:cs="Times New Roman"/>
          <w:lang w:val="en-GB"/>
        </w:rPr>
        <w:t xml:space="preserve"> </w:t>
      </w:r>
      <w:r w:rsidRPr="009020D5">
        <w:rPr>
          <w:rFonts w:ascii="Times New Roman" w:hAnsi="Times New Roman" w:cs="Times New Roman"/>
          <w:i/>
          <w:lang w:val="en-GB"/>
        </w:rPr>
        <w:t>D.G.</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Ireland</w:t>
      </w:r>
      <w:r w:rsidRPr="009020D5">
        <w:rPr>
          <w:rFonts w:ascii="Times New Roman" w:hAnsi="Times New Roman" w:cs="Times New Roman"/>
          <w:lang w:val="en-GB"/>
        </w:rPr>
        <w:t>, cited above, § 79.</w:t>
      </w:r>
    </w:p>
  </w:footnote>
  <w:footnote w:id="8">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Blokhin</w:t>
      </w:r>
      <w:r w:rsidRPr="009020D5">
        <w:rPr>
          <w:rFonts w:ascii="Times New Roman" w:hAnsi="Times New Roman" w:cs="Times New Roman"/>
          <w:lang w:val="en-GB"/>
        </w:rPr>
        <w:t xml:space="preserve">, cited above, § 167, and previously, </w:t>
      </w:r>
      <w:r w:rsidRPr="009020D5">
        <w:rPr>
          <w:rFonts w:ascii="Times New Roman" w:hAnsi="Times New Roman" w:cs="Times New Roman"/>
          <w:i/>
          <w:lang w:val="en-GB"/>
        </w:rPr>
        <w:t>Bouamar v. Belgium</w:t>
      </w:r>
      <w:r w:rsidRPr="009020D5">
        <w:rPr>
          <w:rFonts w:ascii="Times New Roman" w:hAnsi="Times New Roman" w:cs="Times New Roman"/>
          <w:lang w:val="en-GB"/>
        </w:rPr>
        <w:t xml:space="preserve">, 28 February 1988, §§ 50 and 52, Series A no. 129, or </w:t>
      </w:r>
      <w:r w:rsidRPr="009020D5">
        <w:rPr>
          <w:rFonts w:ascii="Times New Roman" w:hAnsi="Times New Roman" w:cs="Times New Roman"/>
          <w:i/>
          <w:lang w:val="en-GB"/>
        </w:rPr>
        <w:t>James, Wells and Lee</w:t>
      </w:r>
      <w:r w:rsidR="008C352A">
        <w:rPr>
          <w:rFonts w:ascii="Times New Roman" w:hAnsi="Times New Roman" w:cs="Times New Roman"/>
          <w:i/>
          <w:lang w:val="en-GB"/>
        </w:rPr>
        <w:t xml:space="preserve"> v. the </w:t>
      </w:r>
      <w:r w:rsidRPr="009020D5">
        <w:rPr>
          <w:rFonts w:ascii="Times New Roman" w:hAnsi="Times New Roman" w:cs="Times New Roman"/>
          <w:i/>
          <w:lang w:val="en-GB"/>
        </w:rPr>
        <w:t>United Kingdom</w:t>
      </w:r>
      <w:r w:rsidRPr="009020D5">
        <w:rPr>
          <w:rFonts w:ascii="Times New Roman" w:hAnsi="Times New Roman" w:cs="Times New Roman"/>
          <w:lang w:val="en-GB"/>
        </w:rPr>
        <w:t>, nos. 25119/09, 57715/09 and 57877/09, §§ 193-94, 18 September 2012.</w:t>
      </w:r>
    </w:p>
  </w:footnote>
  <w:footnote w:id="9">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w:t>
      </w:r>
      <w:r>
        <w:rPr>
          <w:rFonts w:ascii="Times New Roman" w:hAnsi="Times New Roman" w:cs="Times New Roman"/>
          <w:lang w:val="en-GB"/>
        </w:rPr>
        <w:t xml:space="preserve"> paragraphs</w:t>
      </w:r>
      <w:r w:rsidRPr="009020D5">
        <w:rPr>
          <w:rFonts w:ascii="Times New Roman" w:hAnsi="Times New Roman" w:cs="Times New Roman"/>
          <w:lang w:val="en-GB"/>
        </w:rPr>
        <w:t xml:space="preserve"> 73, 76 and 89 of the majority judgment; the wording of the detention order of the District Court of 10 June 2013, cited in </w:t>
      </w:r>
      <w:r>
        <w:rPr>
          <w:rFonts w:ascii="Times New Roman" w:hAnsi="Times New Roman" w:cs="Times New Roman"/>
          <w:lang w:val="en-GB"/>
        </w:rPr>
        <w:t>paragraph</w:t>
      </w:r>
      <w:r w:rsidRPr="009020D5">
        <w:rPr>
          <w:rFonts w:ascii="Times New Roman" w:hAnsi="Times New Roman" w:cs="Times New Roman"/>
          <w:lang w:val="en-GB"/>
        </w:rPr>
        <w:t xml:space="preserve"> 13, and the report of the Ombudsman on the corrective nature of th</w:t>
      </w:r>
      <w:r>
        <w:rPr>
          <w:rFonts w:ascii="Times New Roman" w:hAnsi="Times New Roman" w:cs="Times New Roman"/>
          <w:lang w:val="en-GB"/>
        </w:rPr>
        <w:t>is type of detention, cited in paragraph</w:t>
      </w:r>
      <w:r w:rsidRPr="009020D5">
        <w:rPr>
          <w:rFonts w:ascii="Times New Roman" w:hAnsi="Times New Roman" w:cs="Times New Roman"/>
          <w:lang w:val="en-GB"/>
        </w:rPr>
        <w:t xml:space="preserve"> 52</w:t>
      </w:r>
      <w:r>
        <w:rPr>
          <w:rFonts w:ascii="Times New Roman" w:hAnsi="Times New Roman" w:cs="Times New Roman"/>
          <w:lang w:val="en-GB"/>
        </w:rPr>
        <w:t xml:space="preserve"> [of the French version of the judgment]</w:t>
      </w:r>
      <w:r w:rsidRPr="009020D5">
        <w:rPr>
          <w:rFonts w:ascii="Times New Roman" w:hAnsi="Times New Roman" w:cs="Times New Roman"/>
          <w:lang w:val="en-GB"/>
        </w:rPr>
        <w:t>.</w:t>
      </w:r>
    </w:p>
  </w:footnote>
  <w:footnote w:id="10">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Blokhin</w:t>
      </w:r>
      <w:r w:rsidRPr="009020D5">
        <w:rPr>
          <w:rFonts w:ascii="Times New Roman" w:hAnsi="Times New Roman" w:cs="Times New Roman"/>
          <w:lang w:val="en-GB"/>
        </w:rPr>
        <w:t xml:space="preserve">, </w:t>
      </w:r>
      <w:r>
        <w:rPr>
          <w:rFonts w:ascii="Times New Roman" w:hAnsi="Times New Roman" w:cs="Times New Roman"/>
          <w:lang w:val="en-GB"/>
        </w:rPr>
        <w:t xml:space="preserve">cited above, </w:t>
      </w:r>
      <w:r w:rsidRPr="009020D5">
        <w:rPr>
          <w:rFonts w:ascii="Times New Roman" w:hAnsi="Times New Roman" w:cs="Times New Roman"/>
          <w:lang w:val="en-GB"/>
        </w:rPr>
        <w:t>§§ 168 and 171.</w:t>
      </w:r>
    </w:p>
  </w:footnote>
  <w:footnote w:id="11">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also </w:t>
      </w:r>
      <w:r w:rsidRPr="009020D5">
        <w:rPr>
          <w:rFonts w:ascii="Times New Roman" w:hAnsi="Times New Roman" w:cs="Times New Roman"/>
          <w:i/>
          <w:lang w:val="en-GB"/>
        </w:rPr>
        <w:t>D.G.</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Ireland</w:t>
      </w:r>
      <w:r w:rsidRPr="009020D5">
        <w:rPr>
          <w:rFonts w:ascii="Times New Roman" w:hAnsi="Times New Roman" w:cs="Times New Roman"/>
          <w:lang w:val="en-GB"/>
        </w:rPr>
        <w:t xml:space="preserve">, § 79; </w:t>
      </w:r>
      <w:r>
        <w:rPr>
          <w:rFonts w:ascii="Times New Roman" w:hAnsi="Times New Roman" w:cs="Times New Roman"/>
          <w:i/>
          <w:lang w:val="en-GB"/>
        </w:rPr>
        <w:t>A. and O</w:t>
      </w:r>
      <w:r w:rsidRPr="009020D5">
        <w:rPr>
          <w:rFonts w:ascii="Times New Roman" w:hAnsi="Times New Roman" w:cs="Times New Roman"/>
          <w:i/>
          <w:lang w:val="en-GB"/>
        </w:rPr>
        <w:t>thers</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Bulgaria</w:t>
      </w:r>
      <w:r w:rsidRPr="009020D5">
        <w:rPr>
          <w:rFonts w:ascii="Times New Roman" w:hAnsi="Times New Roman" w:cs="Times New Roman"/>
          <w:lang w:val="en-GB"/>
        </w:rPr>
        <w:t>, § 69</w:t>
      </w:r>
      <w:r>
        <w:rPr>
          <w:rFonts w:ascii="Times New Roman" w:hAnsi="Times New Roman" w:cs="Times New Roman"/>
          <w:lang w:val="en-GB"/>
        </w:rPr>
        <w:t>;</w:t>
      </w:r>
      <w:r w:rsidRPr="009020D5">
        <w:rPr>
          <w:rFonts w:ascii="Times New Roman" w:hAnsi="Times New Roman" w:cs="Times New Roman"/>
          <w:lang w:val="en-GB"/>
        </w:rPr>
        <w:t xml:space="preserve"> and </w:t>
      </w:r>
      <w:r>
        <w:rPr>
          <w:rFonts w:ascii="Times New Roman" w:hAnsi="Times New Roman" w:cs="Times New Roman"/>
          <w:lang w:val="en-GB"/>
        </w:rPr>
        <w:t>paragraph</w:t>
      </w:r>
      <w:r w:rsidRPr="009020D5">
        <w:rPr>
          <w:rFonts w:ascii="Times New Roman" w:hAnsi="Times New Roman" w:cs="Times New Roman"/>
          <w:lang w:val="en-GB"/>
        </w:rPr>
        <w:t xml:space="preserve"> 74 of the majority judgment.</w:t>
      </w:r>
    </w:p>
  </w:footnote>
  <w:footnote w:id="12">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the details in the reports of the </w:t>
      </w:r>
      <w:r>
        <w:rPr>
          <w:rFonts w:ascii="Times New Roman" w:hAnsi="Times New Roman" w:cs="Times New Roman"/>
          <w:lang w:val="en-GB"/>
        </w:rPr>
        <w:t xml:space="preserve">State </w:t>
      </w:r>
      <w:r w:rsidRPr="009020D5">
        <w:rPr>
          <w:rFonts w:ascii="Times New Roman" w:hAnsi="Times New Roman" w:cs="Times New Roman"/>
          <w:lang w:val="en-GB"/>
        </w:rPr>
        <w:t>Agency</w:t>
      </w:r>
      <w:r>
        <w:rPr>
          <w:rFonts w:ascii="Times New Roman" w:hAnsi="Times New Roman" w:cs="Times New Roman"/>
          <w:lang w:val="en-GB"/>
        </w:rPr>
        <w:t xml:space="preserve"> for</w:t>
      </w:r>
      <w:r w:rsidRPr="009020D5">
        <w:rPr>
          <w:rFonts w:ascii="Times New Roman" w:hAnsi="Times New Roman" w:cs="Times New Roman"/>
          <w:lang w:val="en-GB"/>
        </w:rPr>
        <w:t xml:space="preserve"> </w:t>
      </w:r>
      <w:r>
        <w:rPr>
          <w:rFonts w:ascii="Times New Roman" w:hAnsi="Times New Roman" w:cs="Times New Roman"/>
          <w:lang w:val="en-GB"/>
        </w:rPr>
        <w:t>Child</w:t>
      </w:r>
      <w:r w:rsidRPr="009020D5">
        <w:rPr>
          <w:rFonts w:ascii="Times New Roman" w:hAnsi="Times New Roman" w:cs="Times New Roman"/>
          <w:lang w:val="en-GB"/>
        </w:rPr>
        <w:t xml:space="preserve"> Protection reprod</w:t>
      </w:r>
      <w:r>
        <w:rPr>
          <w:rFonts w:ascii="Times New Roman" w:hAnsi="Times New Roman" w:cs="Times New Roman"/>
          <w:lang w:val="en-GB"/>
        </w:rPr>
        <w:t xml:space="preserve">uced in paragraphs </w:t>
      </w:r>
      <w:r w:rsidRPr="009020D5">
        <w:rPr>
          <w:rFonts w:ascii="Times New Roman" w:hAnsi="Times New Roman" w:cs="Times New Roman"/>
          <w:lang w:val="en-GB"/>
        </w:rPr>
        <w:t>32</w:t>
      </w:r>
      <w:r>
        <w:rPr>
          <w:rFonts w:ascii="Times New Roman" w:hAnsi="Times New Roman" w:cs="Times New Roman"/>
          <w:lang w:val="en-GB"/>
        </w:rPr>
        <w:t>-</w:t>
      </w:r>
      <w:r w:rsidRPr="009020D5">
        <w:rPr>
          <w:rFonts w:ascii="Times New Roman" w:hAnsi="Times New Roman" w:cs="Times New Roman"/>
          <w:lang w:val="en-GB"/>
        </w:rPr>
        <w:t>39 of the majority judgment.</w:t>
      </w:r>
    </w:p>
  </w:footnote>
  <w:footnote w:id="13">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the majority judgment, § 76.</w:t>
      </w:r>
    </w:p>
  </w:footnote>
  <w:footnote w:id="14">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Ibid</w:t>
      </w:r>
      <w:r>
        <w:rPr>
          <w:rFonts w:ascii="Times New Roman" w:hAnsi="Times New Roman" w:cs="Times New Roman"/>
          <w:lang w:val="en-GB"/>
        </w:rPr>
        <w:t>.</w:t>
      </w:r>
      <w:r w:rsidRPr="009020D5">
        <w:rPr>
          <w:rFonts w:ascii="Times New Roman" w:hAnsi="Times New Roman" w:cs="Times New Roman"/>
          <w:lang w:val="en-GB"/>
        </w:rPr>
        <w:t>, §§ 9 and 76.</w:t>
      </w:r>
    </w:p>
  </w:footnote>
  <w:footnote w:id="15">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Ibid</w:t>
      </w:r>
      <w:r>
        <w:rPr>
          <w:rFonts w:ascii="Times New Roman" w:hAnsi="Times New Roman" w:cs="Times New Roman"/>
          <w:lang w:val="en-GB"/>
        </w:rPr>
        <w:t>.</w:t>
      </w:r>
      <w:r w:rsidRPr="009020D5">
        <w:rPr>
          <w:rFonts w:ascii="Times New Roman" w:hAnsi="Times New Roman" w:cs="Times New Roman"/>
          <w:lang w:val="en-GB"/>
        </w:rPr>
        <w:t>, § 11.</w:t>
      </w:r>
    </w:p>
  </w:footnote>
  <w:footnote w:id="16">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Ibid</w:t>
      </w:r>
      <w:r>
        <w:rPr>
          <w:rFonts w:ascii="Times New Roman" w:hAnsi="Times New Roman" w:cs="Times New Roman"/>
          <w:lang w:val="en-GB"/>
        </w:rPr>
        <w:t>.</w:t>
      </w:r>
      <w:r w:rsidRPr="009020D5">
        <w:rPr>
          <w:rFonts w:ascii="Times New Roman" w:hAnsi="Times New Roman" w:cs="Times New Roman"/>
          <w:lang w:val="en-GB"/>
        </w:rPr>
        <w:t>, §§ 17-19.</w:t>
      </w:r>
    </w:p>
  </w:footnote>
  <w:footnote w:id="17">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in this order, </w:t>
      </w:r>
      <w:r>
        <w:rPr>
          <w:rFonts w:ascii="Times New Roman" w:hAnsi="Times New Roman" w:cs="Times New Roman"/>
          <w:lang w:val="en-GB"/>
        </w:rPr>
        <w:t>paragraphs</w:t>
      </w:r>
      <w:r w:rsidRPr="009020D5">
        <w:rPr>
          <w:rFonts w:ascii="Times New Roman" w:hAnsi="Times New Roman" w:cs="Times New Roman"/>
          <w:lang w:val="en-GB"/>
        </w:rPr>
        <w:t xml:space="preserve"> 80, 79 and 15 of the majority judgment.</w:t>
      </w:r>
    </w:p>
  </w:footnote>
  <w:footnote w:id="18">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w:t>
      </w:r>
      <w:r w:rsidRPr="009020D5">
        <w:rPr>
          <w:rFonts w:ascii="Times New Roman" w:hAnsi="Times New Roman" w:cs="Times New Roman"/>
          <w:i/>
          <w:lang w:val="en-GB"/>
        </w:rPr>
        <w:t>Koniarska</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the United Kingdom</w:t>
      </w:r>
      <w:r w:rsidRPr="009020D5">
        <w:rPr>
          <w:rFonts w:ascii="Times New Roman" w:hAnsi="Times New Roman" w:cs="Times New Roman"/>
          <w:lang w:val="en-GB"/>
        </w:rPr>
        <w:t xml:space="preserve"> is a rare exception. Qualitative assessments seem to occur only where minors are detained in remand prisons or certain types of juvenile detention centres – see, for example, </w:t>
      </w:r>
      <w:r w:rsidRPr="009020D5">
        <w:rPr>
          <w:rFonts w:ascii="Times New Roman" w:hAnsi="Times New Roman" w:cs="Times New Roman"/>
          <w:i/>
          <w:lang w:val="en-GB"/>
        </w:rPr>
        <w:t>Bouamar</w:t>
      </w:r>
      <w:r w:rsidRPr="009020D5">
        <w:rPr>
          <w:rFonts w:ascii="Times New Roman" w:hAnsi="Times New Roman" w:cs="Times New Roman"/>
          <w:lang w:val="en-GB"/>
        </w:rPr>
        <w:t xml:space="preserve">, </w:t>
      </w:r>
      <w:r w:rsidRPr="009020D5">
        <w:rPr>
          <w:rFonts w:ascii="Times New Roman" w:hAnsi="Times New Roman" w:cs="Times New Roman"/>
          <w:i/>
          <w:lang w:val="en-GB"/>
        </w:rPr>
        <w:t>D.G.</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 xml:space="preserve">Ireland </w:t>
      </w:r>
      <w:r w:rsidRPr="009020D5">
        <w:rPr>
          <w:rFonts w:ascii="Times New Roman" w:hAnsi="Times New Roman" w:cs="Times New Roman"/>
          <w:lang w:val="en-GB"/>
        </w:rPr>
        <w:t xml:space="preserve">and </w:t>
      </w:r>
      <w:r w:rsidRPr="009020D5">
        <w:rPr>
          <w:rFonts w:ascii="Times New Roman" w:hAnsi="Times New Roman" w:cs="Times New Roman"/>
          <w:i/>
          <w:lang w:val="en-GB"/>
        </w:rPr>
        <w:t xml:space="preserve">Blokhin ‒ </w:t>
      </w:r>
      <w:r w:rsidRPr="009020D5">
        <w:rPr>
          <w:rFonts w:ascii="Times New Roman" w:hAnsi="Times New Roman" w:cs="Times New Roman"/>
          <w:lang w:val="en-GB"/>
        </w:rPr>
        <w:t>in other words</w:t>
      </w:r>
      <w:r>
        <w:rPr>
          <w:rFonts w:ascii="Times New Roman" w:hAnsi="Times New Roman" w:cs="Times New Roman"/>
          <w:lang w:val="en-GB"/>
        </w:rPr>
        <w:t>,</w:t>
      </w:r>
      <w:r w:rsidRPr="009020D5">
        <w:rPr>
          <w:rFonts w:ascii="Times New Roman" w:hAnsi="Times New Roman" w:cs="Times New Roman"/>
          <w:lang w:val="en-GB"/>
        </w:rPr>
        <w:t xml:space="preserve"> in institutions which do not even formally comply with Article 5 § 1 (d).</w:t>
      </w:r>
    </w:p>
  </w:footnote>
  <w:footnote w:id="19">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Douiyeb</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sidRPr="009020D5">
        <w:rPr>
          <w:rFonts w:ascii="Times New Roman" w:hAnsi="Times New Roman" w:cs="Times New Roman"/>
          <w:lang w:val="en-GB"/>
        </w:rPr>
        <w:t xml:space="preserve"> </w:t>
      </w:r>
      <w:r w:rsidRPr="009020D5">
        <w:rPr>
          <w:rFonts w:ascii="Times New Roman" w:hAnsi="Times New Roman" w:cs="Times New Roman"/>
          <w:i/>
          <w:lang w:val="en-GB"/>
        </w:rPr>
        <w:t>Netherlands</w:t>
      </w:r>
      <w:r w:rsidRPr="009020D5">
        <w:rPr>
          <w:rFonts w:ascii="Times New Roman" w:hAnsi="Times New Roman" w:cs="Times New Roman"/>
          <w:lang w:val="en-GB"/>
        </w:rPr>
        <w:t xml:space="preserve"> [GC], no. 31464/96, § 57, 4 August 1999, and </w:t>
      </w:r>
      <w:r w:rsidRPr="009020D5">
        <w:rPr>
          <w:rFonts w:ascii="Times New Roman" w:hAnsi="Times New Roman" w:cs="Times New Roman"/>
          <w:i/>
          <w:lang w:val="en-GB"/>
        </w:rPr>
        <w:t>Kolompar</w:t>
      </w:r>
      <w:r w:rsidRPr="009020D5">
        <w:rPr>
          <w:rFonts w:ascii="Times New Roman" w:hAnsi="Times New Roman" w:cs="Times New Roman"/>
          <w:lang w:val="en-GB"/>
        </w:rPr>
        <w:t xml:space="preserve"> </w:t>
      </w:r>
      <w:r w:rsidRPr="009020D5">
        <w:rPr>
          <w:rFonts w:ascii="Times New Roman" w:hAnsi="Times New Roman" w:cs="Times New Roman"/>
          <w:i/>
          <w:lang w:val="en-GB"/>
        </w:rPr>
        <w:t>v.</w:t>
      </w:r>
      <w:r>
        <w:rPr>
          <w:rFonts w:ascii="Times New Roman" w:hAnsi="Times New Roman" w:cs="Times New Roman"/>
          <w:lang w:val="en-GB"/>
        </w:rPr>
        <w:t> </w:t>
      </w:r>
      <w:r w:rsidRPr="009020D5">
        <w:rPr>
          <w:rFonts w:ascii="Times New Roman" w:hAnsi="Times New Roman" w:cs="Times New Roman"/>
          <w:i/>
          <w:lang w:val="en-GB"/>
        </w:rPr>
        <w:t>Belgium</w:t>
      </w:r>
      <w:r w:rsidRPr="009020D5">
        <w:rPr>
          <w:rFonts w:ascii="Times New Roman" w:hAnsi="Times New Roman" w:cs="Times New Roman"/>
          <w:lang w:val="en-GB"/>
        </w:rPr>
        <w:t>, 24 September 1992, § 45</w:t>
      </w:r>
      <w:r>
        <w:rPr>
          <w:rFonts w:ascii="Times New Roman" w:hAnsi="Times New Roman" w:cs="Times New Roman"/>
          <w:lang w:val="en-GB"/>
        </w:rPr>
        <w:t xml:space="preserve">, </w:t>
      </w:r>
      <w:r w:rsidRPr="00CE7B8F">
        <w:rPr>
          <w:rFonts w:ascii="Times New Roman" w:hAnsi="Times New Roman" w:cs="Times New Roman"/>
          <w:lang w:val="en-GB"/>
        </w:rPr>
        <w:t>Series A no. 235</w:t>
      </w:r>
      <w:r w:rsidRPr="00CE7B8F">
        <w:rPr>
          <w:rFonts w:ascii="Times New Roman" w:hAnsi="Times New Roman" w:cs="Times New Roman"/>
          <w:lang w:val="en-GB"/>
        </w:rPr>
        <w:noBreakHyphen/>
        <w:t>C</w:t>
      </w:r>
      <w:r w:rsidRPr="009020D5">
        <w:rPr>
          <w:rFonts w:ascii="Times New Roman" w:hAnsi="Times New Roman" w:cs="Times New Roman"/>
          <w:lang w:val="en-GB"/>
        </w:rPr>
        <w:t>.</w:t>
      </w:r>
    </w:p>
  </w:footnote>
  <w:footnote w:id="20">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Pr>
          <w:rFonts w:ascii="Times New Roman" w:hAnsi="Times New Roman" w:cs="Times New Roman"/>
          <w:lang w:val="en-GB"/>
        </w:rPr>
        <w:t xml:space="preserve"> The relevance of the A</w:t>
      </w:r>
      <w:r w:rsidRPr="009020D5">
        <w:rPr>
          <w:rFonts w:ascii="Times New Roman" w:hAnsi="Times New Roman" w:cs="Times New Roman"/>
          <w:lang w:val="en-GB"/>
        </w:rPr>
        <w:t>rticle 8 violation is inadvertently conceded in §§ 104 and 111 of the majority judgment when it is recognised that the social and psychological development of the detained minors and their successful reintegration into society depended on provision being made for contact with their families, something which was not done.</w:t>
      </w:r>
    </w:p>
  </w:footnote>
  <w:footnote w:id="21">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Ichin v. Ukraine</w:t>
      </w:r>
      <w:r w:rsidRPr="009020D5">
        <w:rPr>
          <w:rFonts w:ascii="Times New Roman" w:hAnsi="Times New Roman" w:cs="Times New Roman"/>
          <w:lang w:val="en-GB"/>
        </w:rPr>
        <w:t xml:space="preserve">, nos. 28189/04 and 28192/04, </w:t>
      </w:r>
      <w:r>
        <w:rPr>
          <w:rFonts w:ascii="Times New Roman" w:hAnsi="Times New Roman" w:cs="Times New Roman"/>
          <w:lang w:val="en-GB"/>
        </w:rPr>
        <w:t xml:space="preserve">§ 31, </w:t>
      </w:r>
      <w:r w:rsidRPr="009020D5">
        <w:rPr>
          <w:rFonts w:ascii="Times New Roman" w:hAnsi="Times New Roman" w:cs="Times New Roman"/>
          <w:lang w:val="en-GB"/>
        </w:rPr>
        <w:t>21 December 2010</w:t>
      </w:r>
      <w:r>
        <w:rPr>
          <w:rFonts w:ascii="Times New Roman" w:hAnsi="Times New Roman" w:cs="Times New Roman"/>
          <w:lang w:val="en-GB"/>
        </w:rPr>
        <w:t>.</w:t>
      </w:r>
    </w:p>
  </w:footnote>
  <w:footnote w:id="22">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the majority judgment</w:t>
      </w:r>
      <w:r>
        <w:rPr>
          <w:rFonts w:ascii="Times New Roman" w:hAnsi="Times New Roman" w:cs="Times New Roman"/>
          <w:lang w:val="en-GB"/>
        </w:rPr>
        <w:t>,</w:t>
      </w:r>
      <w:r w:rsidRPr="009020D5">
        <w:rPr>
          <w:rFonts w:ascii="Times New Roman" w:hAnsi="Times New Roman" w:cs="Times New Roman"/>
          <w:lang w:val="en-GB"/>
        </w:rPr>
        <w:t xml:space="preserve"> §§ 53-58.</w:t>
      </w:r>
    </w:p>
  </w:footnote>
  <w:footnote w:id="23">
    <w:p w:rsidR="002774F7" w:rsidRPr="009020D5" w:rsidRDefault="002774F7" w:rsidP="007D6F41">
      <w:pPr>
        <w:pStyle w:val="FootnoteText"/>
        <w:rPr>
          <w:rFonts w:ascii="Times New Roman" w:hAnsi="Times New Roman" w:cs="Times New Roman"/>
          <w:lang w:val="en-GB"/>
        </w:rPr>
      </w:pPr>
      <w:r w:rsidRPr="009020D5">
        <w:rPr>
          <w:rStyle w:val="FootnoteReference"/>
          <w:rFonts w:ascii="Times New Roman" w:hAnsi="Times New Roman" w:cs="Times New Roman"/>
          <w:lang w:val="en-GB"/>
        </w:rPr>
        <w:footnoteRef/>
      </w:r>
      <w:r w:rsidRPr="009020D5">
        <w:rPr>
          <w:rFonts w:ascii="Times New Roman" w:hAnsi="Times New Roman" w:cs="Times New Roman"/>
          <w:lang w:val="en-GB"/>
        </w:rPr>
        <w:t xml:space="preserve"> See </w:t>
      </w:r>
      <w:r w:rsidRPr="009020D5">
        <w:rPr>
          <w:rFonts w:ascii="Times New Roman" w:hAnsi="Times New Roman" w:cs="Times New Roman"/>
          <w:i/>
          <w:lang w:val="en-GB"/>
        </w:rPr>
        <w:t>Blokhin</w:t>
      </w:r>
      <w:r w:rsidRPr="009020D5">
        <w:rPr>
          <w:rFonts w:ascii="Times New Roman" w:hAnsi="Times New Roman" w:cs="Times New Roman"/>
          <w:lang w:val="en-GB"/>
        </w:rPr>
        <w:t xml:space="preserve">, </w:t>
      </w:r>
      <w:r>
        <w:rPr>
          <w:rFonts w:ascii="Times New Roman" w:hAnsi="Times New Roman" w:cs="Times New Roman"/>
          <w:lang w:val="en-GB"/>
        </w:rPr>
        <w:t xml:space="preserve">cited above, </w:t>
      </w:r>
      <w:r w:rsidRPr="009020D5">
        <w:rPr>
          <w:rFonts w:ascii="Times New Roman" w:hAnsi="Times New Roman" w:cs="Times New Roman"/>
          <w:lang w:val="en-GB"/>
        </w:rPr>
        <w:t>§§ 77-89.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CE7865" w:rsidRDefault="002774F7" w:rsidP="00CE786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A45145" w:rsidRDefault="002774F7" w:rsidP="001718E8">
    <w:pPr>
      <w:jc w:val="center"/>
    </w:pPr>
    <w:r>
      <w:rPr>
        <w:noProof/>
        <w:lang w:eastAsia="ja-JP"/>
      </w:rPr>
      <w:drawing>
        <wp:inline distT="0" distB="0" distL="0" distR="0" wp14:anchorId="282EBBC2" wp14:editId="23E5DA0B">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774F7" w:rsidRDefault="002774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E4133A" w:rsidRDefault="002774F7"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5305">
      <w:rPr>
        <w:rStyle w:val="PageNumber"/>
        <w:noProof/>
        <w:szCs w:val="18"/>
        <w:lang w:val="en-GB"/>
      </w:rPr>
      <w:t>24</w:t>
    </w:r>
    <w:r>
      <w:rPr>
        <w:rStyle w:val="PageNumber"/>
        <w:szCs w:val="18"/>
        <w:lang w:val="en-GB"/>
      </w:rPr>
      <w:fldChar w:fldCharType="end"/>
    </w:r>
    <w:r w:rsidRPr="00E4133A">
      <w:rPr>
        <w:lang w:val="en-GB"/>
      </w:rPr>
      <w:tab/>
    </w:r>
    <w:r>
      <w:rPr>
        <w:lang w:val="en-GB"/>
      </w:rPr>
      <w:t>D.L. v. BULGARIA</w:t>
    </w:r>
    <w:r w:rsidRPr="00E4133A">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E4133A" w:rsidRDefault="002774F7" w:rsidP="00D60D87">
    <w:pPr>
      <w:pStyle w:val="ECHRHeader"/>
      <w:rPr>
        <w:lang w:val="en-GB"/>
      </w:rPr>
    </w:pPr>
    <w:r w:rsidRPr="00E4133A">
      <w:rPr>
        <w:lang w:val="en-GB"/>
      </w:rPr>
      <w:tab/>
    </w:r>
    <w:r>
      <w:rPr>
        <w:lang w:val="en-GB"/>
      </w:rPr>
      <w:t>D.L. v. BULGARIA</w:t>
    </w:r>
    <w:r w:rsidRPr="00E4133A">
      <w:rPr>
        <w:lang w:val="en-GB"/>
      </w:rPr>
      <w:t xml:space="preserve"> </w:t>
    </w:r>
    <w:r>
      <w:rPr>
        <w:lang w:val="en-GB"/>
      </w:rPr>
      <w:t>JUDGMENT</w:t>
    </w:r>
    <w:r w:rsidRPr="00E4133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5305">
      <w:rPr>
        <w:rStyle w:val="PageNumber"/>
        <w:noProof/>
        <w:szCs w:val="18"/>
        <w:lang w:val="en-GB"/>
      </w:rPr>
      <w:t>1</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E4133A" w:rsidRDefault="002774F7"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5305">
      <w:rPr>
        <w:rStyle w:val="PageNumber"/>
        <w:noProof/>
        <w:szCs w:val="18"/>
        <w:lang w:val="en-GB"/>
      </w:rPr>
      <w:t>32</w:t>
    </w:r>
    <w:r>
      <w:rPr>
        <w:rStyle w:val="PageNumber"/>
        <w:szCs w:val="18"/>
        <w:lang w:val="en-GB"/>
      </w:rPr>
      <w:fldChar w:fldCharType="end"/>
    </w:r>
    <w:r w:rsidRPr="00E4133A">
      <w:rPr>
        <w:lang w:val="en-GB"/>
      </w:rPr>
      <w:tab/>
    </w:r>
    <w:r>
      <w:rPr>
        <w:lang w:val="en-GB"/>
      </w:rPr>
      <w:t>D.L. v. BULGARIA</w:t>
    </w:r>
    <w:r w:rsidRPr="00E4133A">
      <w:rPr>
        <w:lang w:val="en-GB"/>
      </w:rPr>
      <w:t xml:space="preserve"> </w:t>
    </w:r>
    <w:r>
      <w:rPr>
        <w:lang w:val="en-GB"/>
      </w:rPr>
      <w:t>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F7" w:rsidRPr="00E4133A" w:rsidRDefault="002774F7" w:rsidP="00D60D87">
    <w:pPr>
      <w:pStyle w:val="ECHRHeader"/>
      <w:rPr>
        <w:lang w:val="en-GB"/>
      </w:rPr>
    </w:pPr>
    <w:r w:rsidRPr="00E4133A">
      <w:rPr>
        <w:lang w:val="en-GB"/>
      </w:rPr>
      <w:tab/>
    </w:r>
    <w:r>
      <w:rPr>
        <w:lang w:val="en-GB"/>
      </w:rPr>
      <w:t>D.L. v. BULGARIA</w:t>
    </w:r>
    <w:r w:rsidRPr="00E4133A">
      <w:rPr>
        <w:lang w:val="en-GB"/>
      </w:rPr>
      <w:t xml:space="preserve"> </w:t>
    </w:r>
    <w:r>
      <w:rPr>
        <w:lang w:val="en-GB"/>
      </w:rPr>
      <w:t>JUDGMENT – SEPARATE OPINION</w:t>
    </w:r>
    <w:r w:rsidRPr="00E4133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5305">
      <w:rPr>
        <w:rStyle w:val="PageNumber"/>
        <w:noProof/>
        <w:szCs w:val="18"/>
        <w:lang w:val="en-GB"/>
      </w:rPr>
      <w:t>31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CE7865"/>
    <w:rsid w:val="00000067"/>
    <w:rsid w:val="000010ED"/>
    <w:rsid w:val="000015E1"/>
    <w:rsid w:val="000041F8"/>
    <w:rsid w:val="000042A8"/>
    <w:rsid w:val="00004308"/>
    <w:rsid w:val="00005BF0"/>
    <w:rsid w:val="00007154"/>
    <w:rsid w:val="00007CC6"/>
    <w:rsid w:val="000103AE"/>
    <w:rsid w:val="00010F73"/>
    <w:rsid w:val="00011D69"/>
    <w:rsid w:val="00012AD3"/>
    <w:rsid w:val="00014566"/>
    <w:rsid w:val="00015C2D"/>
    <w:rsid w:val="00015F00"/>
    <w:rsid w:val="00022C1D"/>
    <w:rsid w:val="00034987"/>
    <w:rsid w:val="000350E3"/>
    <w:rsid w:val="00035D6A"/>
    <w:rsid w:val="00037AAD"/>
    <w:rsid w:val="00054FEE"/>
    <w:rsid w:val="000602DF"/>
    <w:rsid w:val="00060B40"/>
    <w:rsid w:val="00061B05"/>
    <w:rsid w:val="0006239C"/>
    <w:rsid w:val="00062973"/>
    <w:rsid w:val="00062D5D"/>
    <w:rsid w:val="000632D5"/>
    <w:rsid w:val="00064286"/>
    <w:rsid w:val="000644EE"/>
    <w:rsid w:val="00066F84"/>
    <w:rsid w:val="00071ABC"/>
    <w:rsid w:val="00075C13"/>
    <w:rsid w:val="00076D12"/>
    <w:rsid w:val="00080191"/>
    <w:rsid w:val="000856D7"/>
    <w:rsid w:val="000902AD"/>
    <w:rsid w:val="000925AD"/>
    <w:rsid w:val="00097566"/>
    <w:rsid w:val="000A24EB"/>
    <w:rsid w:val="000A60FB"/>
    <w:rsid w:val="000B5540"/>
    <w:rsid w:val="000B6923"/>
    <w:rsid w:val="000C033C"/>
    <w:rsid w:val="000C3243"/>
    <w:rsid w:val="000C53FB"/>
    <w:rsid w:val="000C5F3C"/>
    <w:rsid w:val="000C6455"/>
    <w:rsid w:val="000C6DCC"/>
    <w:rsid w:val="000C6E35"/>
    <w:rsid w:val="000D47AA"/>
    <w:rsid w:val="000D721F"/>
    <w:rsid w:val="000E069B"/>
    <w:rsid w:val="000E0E82"/>
    <w:rsid w:val="000E1167"/>
    <w:rsid w:val="000E1DC5"/>
    <w:rsid w:val="000E223F"/>
    <w:rsid w:val="000E35AC"/>
    <w:rsid w:val="000E7D45"/>
    <w:rsid w:val="000F2B78"/>
    <w:rsid w:val="000F501C"/>
    <w:rsid w:val="000F7851"/>
    <w:rsid w:val="00104A77"/>
    <w:rsid w:val="00104E23"/>
    <w:rsid w:val="00106EC3"/>
    <w:rsid w:val="00110701"/>
    <w:rsid w:val="00111B0C"/>
    <w:rsid w:val="0011310B"/>
    <w:rsid w:val="00120D6C"/>
    <w:rsid w:val="00123B64"/>
    <w:rsid w:val="001257EC"/>
    <w:rsid w:val="00126FC6"/>
    <w:rsid w:val="001279E6"/>
    <w:rsid w:val="00132C6A"/>
    <w:rsid w:val="00133D33"/>
    <w:rsid w:val="00134D64"/>
    <w:rsid w:val="00135A30"/>
    <w:rsid w:val="0013612C"/>
    <w:rsid w:val="00137FF6"/>
    <w:rsid w:val="00141650"/>
    <w:rsid w:val="00142AD9"/>
    <w:rsid w:val="001457D8"/>
    <w:rsid w:val="00147FD4"/>
    <w:rsid w:val="00162A12"/>
    <w:rsid w:val="00166530"/>
    <w:rsid w:val="001718E8"/>
    <w:rsid w:val="00172556"/>
    <w:rsid w:val="0017351E"/>
    <w:rsid w:val="0017456E"/>
    <w:rsid w:val="00181C1E"/>
    <w:rsid w:val="001832BD"/>
    <w:rsid w:val="00187F41"/>
    <w:rsid w:val="0019319C"/>
    <w:rsid w:val="001943B5"/>
    <w:rsid w:val="00195134"/>
    <w:rsid w:val="001A00CB"/>
    <w:rsid w:val="001A145B"/>
    <w:rsid w:val="001A674C"/>
    <w:rsid w:val="001B0C43"/>
    <w:rsid w:val="001B24F2"/>
    <w:rsid w:val="001B3B24"/>
    <w:rsid w:val="001C0F98"/>
    <w:rsid w:val="001C2A42"/>
    <w:rsid w:val="001D31E4"/>
    <w:rsid w:val="001D63ED"/>
    <w:rsid w:val="001D7348"/>
    <w:rsid w:val="001E035B"/>
    <w:rsid w:val="001E0961"/>
    <w:rsid w:val="001E3EAE"/>
    <w:rsid w:val="001E5348"/>
    <w:rsid w:val="001E6F32"/>
    <w:rsid w:val="001F1959"/>
    <w:rsid w:val="001F2145"/>
    <w:rsid w:val="001F6262"/>
    <w:rsid w:val="001F67B0"/>
    <w:rsid w:val="001F7B3D"/>
    <w:rsid w:val="00205F9F"/>
    <w:rsid w:val="00210338"/>
    <w:rsid w:val="002115FC"/>
    <w:rsid w:val="002133F8"/>
    <w:rsid w:val="0021423C"/>
    <w:rsid w:val="00221E3A"/>
    <w:rsid w:val="002260BC"/>
    <w:rsid w:val="00230C0F"/>
    <w:rsid w:val="00230D00"/>
    <w:rsid w:val="00231DF7"/>
    <w:rsid w:val="00231FD1"/>
    <w:rsid w:val="002339E0"/>
    <w:rsid w:val="00233CF8"/>
    <w:rsid w:val="0023575D"/>
    <w:rsid w:val="00237148"/>
    <w:rsid w:val="0024222D"/>
    <w:rsid w:val="00243FA3"/>
    <w:rsid w:val="00244B0E"/>
    <w:rsid w:val="00244F6C"/>
    <w:rsid w:val="00247622"/>
    <w:rsid w:val="002532C5"/>
    <w:rsid w:val="00260472"/>
    <w:rsid w:val="00260C03"/>
    <w:rsid w:val="0026238F"/>
    <w:rsid w:val="00262EDA"/>
    <w:rsid w:val="00264BDF"/>
    <w:rsid w:val="0026540E"/>
    <w:rsid w:val="0027225C"/>
    <w:rsid w:val="002723F1"/>
    <w:rsid w:val="00272E95"/>
    <w:rsid w:val="00275123"/>
    <w:rsid w:val="002774F7"/>
    <w:rsid w:val="002809C4"/>
    <w:rsid w:val="00282240"/>
    <w:rsid w:val="00285433"/>
    <w:rsid w:val="0028572A"/>
    <w:rsid w:val="002948AD"/>
    <w:rsid w:val="00294C05"/>
    <w:rsid w:val="00294C92"/>
    <w:rsid w:val="00295CAB"/>
    <w:rsid w:val="00297E3D"/>
    <w:rsid w:val="002A01CC"/>
    <w:rsid w:val="002A199C"/>
    <w:rsid w:val="002A1E7F"/>
    <w:rsid w:val="002A5BD6"/>
    <w:rsid w:val="002A61B1"/>
    <w:rsid w:val="002A663C"/>
    <w:rsid w:val="002B19F9"/>
    <w:rsid w:val="002B1E6C"/>
    <w:rsid w:val="002B2FDF"/>
    <w:rsid w:val="002B444B"/>
    <w:rsid w:val="002B5887"/>
    <w:rsid w:val="002C0692"/>
    <w:rsid w:val="002C0E27"/>
    <w:rsid w:val="002C3040"/>
    <w:rsid w:val="002D022D"/>
    <w:rsid w:val="002D24BB"/>
    <w:rsid w:val="002D38E0"/>
    <w:rsid w:val="002F171B"/>
    <w:rsid w:val="002F2AF7"/>
    <w:rsid w:val="002F7E1C"/>
    <w:rsid w:val="00301A75"/>
    <w:rsid w:val="003027FC"/>
    <w:rsid w:val="00302F70"/>
    <w:rsid w:val="0030336F"/>
    <w:rsid w:val="0030375E"/>
    <w:rsid w:val="00306274"/>
    <w:rsid w:val="00306941"/>
    <w:rsid w:val="003077B0"/>
    <w:rsid w:val="0031102C"/>
    <w:rsid w:val="00312A30"/>
    <w:rsid w:val="00320F72"/>
    <w:rsid w:val="0032463E"/>
    <w:rsid w:val="00326224"/>
    <w:rsid w:val="0032676F"/>
    <w:rsid w:val="00331EAC"/>
    <w:rsid w:val="00337EE4"/>
    <w:rsid w:val="00340FFD"/>
    <w:rsid w:val="00347F78"/>
    <w:rsid w:val="003506B1"/>
    <w:rsid w:val="00354BB6"/>
    <w:rsid w:val="00356AC7"/>
    <w:rsid w:val="003609FA"/>
    <w:rsid w:val="003632B7"/>
    <w:rsid w:val="00364659"/>
    <w:rsid w:val="003710C8"/>
    <w:rsid w:val="003750BE"/>
    <w:rsid w:val="003759CD"/>
    <w:rsid w:val="00381E90"/>
    <w:rsid w:val="00382896"/>
    <w:rsid w:val="003865FD"/>
    <w:rsid w:val="00387B9D"/>
    <w:rsid w:val="0039364F"/>
    <w:rsid w:val="00394562"/>
    <w:rsid w:val="00396686"/>
    <w:rsid w:val="0039778E"/>
    <w:rsid w:val="003A2BD3"/>
    <w:rsid w:val="003A3BD0"/>
    <w:rsid w:val="003A441D"/>
    <w:rsid w:val="003A73D6"/>
    <w:rsid w:val="003B0060"/>
    <w:rsid w:val="003B4941"/>
    <w:rsid w:val="003B5A4F"/>
    <w:rsid w:val="003B5A7E"/>
    <w:rsid w:val="003C5714"/>
    <w:rsid w:val="003C6B9F"/>
    <w:rsid w:val="003C6E2A"/>
    <w:rsid w:val="003D0299"/>
    <w:rsid w:val="003D0AE9"/>
    <w:rsid w:val="003D46EF"/>
    <w:rsid w:val="003D494B"/>
    <w:rsid w:val="003D5F38"/>
    <w:rsid w:val="003E2F05"/>
    <w:rsid w:val="003E470A"/>
    <w:rsid w:val="003E6D80"/>
    <w:rsid w:val="003F05FA"/>
    <w:rsid w:val="003F244A"/>
    <w:rsid w:val="003F30B8"/>
    <w:rsid w:val="003F4C45"/>
    <w:rsid w:val="003F4DE0"/>
    <w:rsid w:val="003F5949"/>
    <w:rsid w:val="003F5F7B"/>
    <w:rsid w:val="003F7D64"/>
    <w:rsid w:val="00405700"/>
    <w:rsid w:val="00407904"/>
    <w:rsid w:val="00407E57"/>
    <w:rsid w:val="00410A97"/>
    <w:rsid w:val="00414300"/>
    <w:rsid w:val="0041559F"/>
    <w:rsid w:val="00415961"/>
    <w:rsid w:val="00425C67"/>
    <w:rsid w:val="00426A97"/>
    <w:rsid w:val="00427E7A"/>
    <w:rsid w:val="00431EFB"/>
    <w:rsid w:val="00436307"/>
    <w:rsid w:val="00436C49"/>
    <w:rsid w:val="00445366"/>
    <w:rsid w:val="00447F5B"/>
    <w:rsid w:val="00450978"/>
    <w:rsid w:val="004509A8"/>
    <w:rsid w:val="00450D01"/>
    <w:rsid w:val="00454048"/>
    <w:rsid w:val="00461DB0"/>
    <w:rsid w:val="00463926"/>
    <w:rsid w:val="00464097"/>
    <w:rsid w:val="004646E0"/>
    <w:rsid w:val="00464C9A"/>
    <w:rsid w:val="00474D5D"/>
    <w:rsid w:val="00474F3D"/>
    <w:rsid w:val="00475583"/>
    <w:rsid w:val="00477E3A"/>
    <w:rsid w:val="00483E5F"/>
    <w:rsid w:val="00485FF9"/>
    <w:rsid w:val="004907F0"/>
    <w:rsid w:val="0049140B"/>
    <w:rsid w:val="004923A5"/>
    <w:rsid w:val="00496BFB"/>
    <w:rsid w:val="004A15C7"/>
    <w:rsid w:val="004B013B"/>
    <w:rsid w:val="004B0BBE"/>
    <w:rsid w:val="004B112B"/>
    <w:rsid w:val="004B5584"/>
    <w:rsid w:val="004B7C60"/>
    <w:rsid w:val="004C01E4"/>
    <w:rsid w:val="004C086C"/>
    <w:rsid w:val="004C166B"/>
    <w:rsid w:val="004C1F56"/>
    <w:rsid w:val="004C27BC"/>
    <w:rsid w:val="004C7442"/>
    <w:rsid w:val="004C798F"/>
    <w:rsid w:val="004D15F3"/>
    <w:rsid w:val="004D347F"/>
    <w:rsid w:val="004D5311"/>
    <w:rsid w:val="004D5DCC"/>
    <w:rsid w:val="004E0B74"/>
    <w:rsid w:val="004E6163"/>
    <w:rsid w:val="004E6466"/>
    <w:rsid w:val="004F10AF"/>
    <w:rsid w:val="004F11A4"/>
    <w:rsid w:val="004F2389"/>
    <w:rsid w:val="004F304D"/>
    <w:rsid w:val="004F5DE8"/>
    <w:rsid w:val="004F61BE"/>
    <w:rsid w:val="004F66B1"/>
    <w:rsid w:val="00502A0D"/>
    <w:rsid w:val="00505525"/>
    <w:rsid w:val="00510229"/>
    <w:rsid w:val="00511C07"/>
    <w:rsid w:val="00512D5D"/>
    <w:rsid w:val="005154B9"/>
    <w:rsid w:val="005173A6"/>
    <w:rsid w:val="00520BAA"/>
    <w:rsid w:val="00520F09"/>
    <w:rsid w:val="00525208"/>
    <w:rsid w:val="005257A5"/>
    <w:rsid w:val="005264C0"/>
    <w:rsid w:val="00526524"/>
    <w:rsid w:val="00526A8A"/>
    <w:rsid w:val="00530586"/>
    <w:rsid w:val="00531D9C"/>
    <w:rsid w:val="00531DF2"/>
    <w:rsid w:val="00533CF7"/>
    <w:rsid w:val="00535187"/>
    <w:rsid w:val="00535BB8"/>
    <w:rsid w:val="00537657"/>
    <w:rsid w:val="005442EE"/>
    <w:rsid w:val="00547353"/>
    <w:rsid w:val="005474E7"/>
    <w:rsid w:val="005512A3"/>
    <w:rsid w:val="00555C7F"/>
    <w:rsid w:val="00556C2C"/>
    <w:rsid w:val="005578CE"/>
    <w:rsid w:val="00562781"/>
    <w:rsid w:val="00563E83"/>
    <w:rsid w:val="00566A4B"/>
    <w:rsid w:val="00571BCF"/>
    <w:rsid w:val="0057271C"/>
    <w:rsid w:val="00572845"/>
    <w:rsid w:val="005842D0"/>
    <w:rsid w:val="00592772"/>
    <w:rsid w:val="005949EC"/>
    <w:rsid w:val="0059574A"/>
    <w:rsid w:val="005A1B9B"/>
    <w:rsid w:val="005A6751"/>
    <w:rsid w:val="005B092E"/>
    <w:rsid w:val="005B152C"/>
    <w:rsid w:val="005B1EE0"/>
    <w:rsid w:val="005B2B24"/>
    <w:rsid w:val="005B428D"/>
    <w:rsid w:val="005B4425"/>
    <w:rsid w:val="005B4B94"/>
    <w:rsid w:val="005B6937"/>
    <w:rsid w:val="005C3EE8"/>
    <w:rsid w:val="005D170E"/>
    <w:rsid w:val="005D20EF"/>
    <w:rsid w:val="005D34F9"/>
    <w:rsid w:val="005D4190"/>
    <w:rsid w:val="005D67A3"/>
    <w:rsid w:val="005E2024"/>
    <w:rsid w:val="005E2988"/>
    <w:rsid w:val="005E2A43"/>
    <w:rsid w:val="005E3085"/>
    <w:rsid w:val="005E438A"/>
    <w:rsid w:val="005F24F1"/>
    <w:rsid w:val="005F2985"/>
    <w:rsid w:val="005F51E1"/>
    <w:rsid w:val="005F6157"/>
    <w:rsid w:val="006044FE"/>
    <w:rsid w:val="00611C80"/>
    <w:rsid w:val="00620692"/>
    <w:rsid w:val="006242CA"/>
    <w:rsid w:val="00627507"/>
    <w:rsid w:val="00633717"/>
    <w:rsid w:val="00633E63"/>
    <w:rsid w:val="006344E1"/>
    <w:rsid w:val="00653E4F"/>
    <w:rsid w:val="006545C4"/>
    <w:rsid w:val="006610E0"/>
    <w:rsid w:val="00661908"/>
    <w:rsid w:val="00661971"/>
    <w:rsid w:val="00661CE8"/>
    <w:rsid w:val="006623D9"/>
    <w:rsid w:val="006652EF"/>
    <w:rsid w:val="0066550C"/>
    <w:rsid w:val="00666486"/>
    <w:rsid w:val="006716F2"/>
    <w:rsid w:val="00672BBF"/>
    <w:rsid w:val="006746E7"/>
    <w:rsid w:val="00682BF2"/>
    <w:rsid w:val="006859CE"/>
    <w:rsid w:val="006901CA"/>
    <w:rsid w:val="00691005"/>
    <w:rsid w:val="0069106B"/>
    <w:rsid w:val="00691270"/>
    <w:rsid w:val="00694BA8"/>
    <w:rsid w:val="006A037C"/>
    <w:rsid w:val="006A36F4"/>
    <w:rsid w:val="006A406F"/>
    <w:rsid w:val="006A5D0A"/>
    <w:rsid w:val="006A5D3A"/>
    <w:rsid w:val="006A75A6"/>
    <w:rsid w:val="006B79A4"/>
    <w:rsid w:val="006C23D4"/>
    <w:rsid w:val="006C6D72"/>
    <w:rsid w:val="006C7BB0"/>
    <w:rsid w:val="006C7C1E"/>
    <w:rsid w:val="006D3237"/>
    <w:rsid w:val="006E2E37"/>
    <w:rsid w:val="006E330D"/>
    <w:rsid w:val="006E3CF1"/>
    <w:rsid w:val="006E53BE"/>
    <w:rsid w:val="006E56E1"/>
    <w:rsid w:val="006E7E80"/>
    <w:rsid w:val="006F1DF9"/>
    <w:rsid w:val="006F24DB"/>
    <w:rsid w:val="006F48CA"/>
    <w:rsid w:val="006F5BCC"/>
    <w:rsid w:val="006F64DD"/>
    <w:rsid w:val="007000A7"/>
    <w:rsid w:val="00711D81"/>
    <w:rsid w:val="00715127"/>
    <w:rsid w:val="007154E6"/>
    <w:rsid w:val="00715E8E"/>
    <w:rsid w:val="00716072"/>
    <w:rsid w:val="00723580"/>
    <w:rsid w:val="00723755"/>
    <w:rsid w:val="00727CA3"/>
    <w:rsid w:val="0073136C"/>
    <w:rsid w:val="00731F0F"/>
    <w:rsid w:val="00733250"/>
    <w:rsid w:val="00737CBA"/>
    <w:rsid w:val="00741404"/>
    <w:rsid w:val="00741B53"/>
    <w:rsid w:val="007449E5"/>
    <w:rsid w:val="00746C5A"/>
    <w:rsid w:val="00747FF0"/>
    <w:rsid w:val="00747FF6"/>
    <w:rsid w:val="007509D5"/>
    <w:rsid w:val="0075203B"/>
    <w:rsid w:val="00754799"/>
    <w:rsid w:val="00764D4E"/>
    <w:rsid w:val="00764EEE"/>
    <w:rsid w:val="00765A1F"/>
    <w:rsid w:val="00765CFF"/>
    <w:rsid w:val="007703E4"/>
    <w:rsid w:val="00774A6E"/>
    <w:rsid w:val="00775B6D"/>
    <w:rsid w:val="00776D68"/>
    <w:rsid w:val="007850EE"/>
    <w:rsid w:val="00785B95"/>
    <w:rsid w:val="007877F2"/>
    <w:rsid w:val="00790E96"/>
    <w:rsid w:val="00793366"/>
    <w:rsid w:val="00796BDD"/>
    <w:rsid w:val="007A08F7"/>
    <w:rsid w:val="007A0DF7"/>
    <w:rsid w:val="007A716F"/>
    <w:rsid w:val="007B270A"/>
    <w:rsid w:val="007B3406"/>
    <w:rsid w:val="007B4E04"/>
    <w:rsid w:val="007B5401"/>
    <w:rsid w:val="007C0695"/>
    <w:rsid w:val="007C419A"/>
    <w:rsid w:val="007C45F3"/>
    <w:rsid w:val="007C46B5"/>
    <w:rsid w:val="007C4CC8"/>
    <w:rsid w:val="007C5426"/>
    <w:rsid w:val="007C5798"/>
    <w:rsid w:val="007D4832"/>
    <w:rsid w:val="007D6F41"/>
    <w:rsid w:val="007E21B2"/>
    <w:rsid w:val="007E2C4E"/>
    <w:rsid w:val="007F1905"/>
    <w:rsid w:val="0080048F"/>
    <w:rsid w:val="00801209"/>
    <w:rsid w:val="00801300"/>
    <w:rsid w:val="00801A93"/>
    <w:rsid w:val="00802627"/>
    <w:rsid w:val="00802C64"/>
    <w:rsid w:val="00805E52"/>
    <w:rsid w:val="008061D0"/>
    <w:rsid w:val="0080700F"/>
    <w:rsid w:val="008108E2"/>
    <w:rsid w:val="00810B38"/>
    <w:rsid w:val="008161D2"/>
    <w:rsid w:val="008204C7"/>
    <w:rsid w:val="00820992"/>
    <w:rsid w:val="00823602"/>
    <w:rsid w:val="008251A4"/>
    <w:rsid w:val="008255F5"/>
    <w:rsid w:val="0083014E"/>
    <w:rsid w:val="0083214A"/>
    <w:rsid w:val="00834220"/>
    <w:rsid w:val="00845723"/>
    <w:rsid w:val="00851EF9"/>
    <w:rsid w:val="008523D4"/>
    <w:rsid w:val="008577FD"/>
    <w:rsid w:val="00860B03"/>
    <w:rsid w:val="00862295"/>
    <w:rsid w:val="0086497A"/>
    <w:rsid w:val="008666E0"/>
    <w:rsid w:val="008713A1"/>
    <w:rsid w:val="008754AB"/>
    <w:rsid w:val="00877C51"/>
    <w:rsid w:val="0088060C"/>
    <w:rsid w:val="00880B07"/>
    <w:rsid w:val="00893576"/>
    <w:rsid w:val="00893E73"/>
    <w:rsid w:val="008A43C4"/>
    <w:rsid w:val="008B02DC"/>
    <w:rsid w:val="008B52FD"/>
    <w:rsid w:val="008B57CE"/>
    <w:rsid w:val="008B5D9C"/>
    <w:rsid w:val="008B659F"/>
    <w:rsid w:val="008B7822"/>
    <w:rsid w:val="008C1A2E"/>
    <w:rsid w:val="008C26DE"/>
    <w:rsid w:val="008C352A"/>
    <w:rsid w:val="008D0725"/>
    <w:rsid w:val="008D17F9"/>
    <w:rsid w:val="008D2225"/>
    <w:rsid w:val="008D32CF"/>
    <w:rsid w:val="008D4752"/>
    <w:rsid w:val="008D5474"/>
    <w:rsid w:val="008D552A"/>
    <w:rsid w:val="008E1BFD"/>
    <w:rsid w:val="008E271C"/>
    <w:rsid w:val="008E418E"/>
    <w:rsid w:val="008E5BC6"/>
    <w:rsid w:val="008E6A25"/>
    <w:rsid w:val="008F2E37"/>
    <w:rsid w:val="008F4E10"/>
    <w:rsid w:val="008F5193"/>
    <w:rsid w:val="009013A7"/>
    <w:rsid w:val="009017FB"/>
    <w:rsid w:val="009017FC"/>
    <w:rsid w:val="009020D5"/>
    <w:rsid w:val="00903B43"/>
    <w:rsid w:val="0090422D"/>
    <w:rsid w:val="00904BAD"/>
    <w:rsid w:val="0090506B"/>
    <w:rsid w:val="009050C9"/>
    <w:rsid w:val="009066FC"/>
    <w:rsid w:val="009073BE"/>
    <w:rsid w:val="00911608"/>
    <w:rsid w:val="009120C0"/>
    <w:rsid w:val="009140A3"/>
    <w:rsid w:val="009144A2"/>
    <w:rsid w:val="0091510C"/>
    <w:rsid w:val="00915A8E"/>
    <w:rsid w:val="0092259C"/>
    <w:rsid w:val="009259AC"/>
    <w:rsid w:val="00926F38"/>
    <w:rsid w:val="00930DE6"/>
    <w:rsid w:val="00934301"/>
    <w:rsid w:val="00936CD1"/>
    <w:rsid w:val="00941747"/>
    <w:rsid w:val="00941EFB"/>
    <w:rsid w:val="009425CD"/>
    <w:rsid w:val="00947AFB"/>
    <w:rsid w:val="00951D7D"/>
    <w:rsid w:val="00952C12"/>
    <w:rsid w:val="009617B6"/>
    <w:rsid w:val="009630C7"/>
    <w:rsid w:val="0096470D"/>
    <w:rsid w:val="00970134"/>
    <w:rsid w:val="00972B55"/>
    <w:rsid w:val="009743B7"/>
    <w:rsid w:val="00981407"/>
    <w:rsid w:val="00981ED7"/>
    <w:rsid w:val="0098228B"/>
    <w:rsid w:val="009828DA"/>
    <w:rsid w:val="00985BAB"/>
    <w:rsid w:val="00996139"/>
    <w:rsid w:val="00997F03"/>
    <w:rsid w:val="009A46DF"/>
    <w:rsid w:val="009A76F4"/>
    <w:rsid w:val="009B02A6"/>
    <w:rsid w:val="009B038B"/>
    <w:rsid w:val="009B1B5F"/>
    <w:rsid w:val="009B1E23"/>
    <w:rsid w:val="009B2EC2"/>
    <w:rsid w:val="009B3D16"/>
    <w:rsid w:val="009B65F4"/>
    <w:rsid w:val="009B6673"/>
    <w:rsid w:val="009C191B"/>
    <w:rsid w:val="009C2BD6"/>
    <w:rsid w:val="009C35B7"/>
    <w:rsid w:val="009D3A50"/>
    <w:rsid w:val="009E1676"/>
    <w:rsid w:val="009E1F32"/>
    <w:rsid w:val="009E2365"/>
    <w:rsid w:val="009E5829"/>
    <w:rsid w:val="009E776C"/>
    <w:rsid w:val="00A130B4"/>
    <w:rsid w:val="00A1726E"/>
    <w:rsid w:val="00A204CF"/>
    <w:rsid w:val="00A23D49"/>
    <w:rsid w:val="00A25EFC"/>
    <w:rsid w:val="00A27004"/>
    <w:rsid w:val="00A30C29"/>
    <w:rsid w:val="00A34DD6"/>
    <w:rsid w:val="00A34F8C"/>
    <w:rsid w:val="00A36819"/>
    <w:rsid w:val="00A36989"/>
    <w:rsid w:val="00A42553"/>
    <w:rsid w:val="00A42AA4"/>
    <w:rsid w:val="00A43628"/>
    <w:rsid w:val="00A459A7"/>
    <w:rsid w:val="00A533C6"/>
    <w:rsid w:val="00A54192"/>
    <w:rsid w:val="00A5792E"/>
    <w:rsid w:val="00A6035E"/>
    <w:rsid w:val="00A6144C"/>
    <w:rsid w:val="00A63BE2"/>
    <w:rsid w:val="00A65999"/>
    <w:rsid w:val="00A66617"/>
    <w:rsid w:val="00A671F8"/>
    <w:rsid w:val="00A673A4"/>
    <w:rsid w:val="00A724AE"/>
    <w:rsid w:val="00A73329"/>
    <w:rsid w:val="00A771F7"/>
    <w:rsid w:val="00A82359"/>
    <w:rsid w:val="00A85076"/>
    <w:rsid w:val="00A865D2"/>
    <w:rsid w:val="00A901A6"/>
    <w:rsid w:val="00A93749"/>
    <w:rsid w:val="00A94C20"/>
    <w:rsid w:val="00A96ED6"/>
    <w:rsid w:val="00AA227F"/>
    <w:rsid w:val="00AA3BC7"/>
    <w:rsid w:val="00AA700C"/>
    <w:rsid w:val="00AA754A"/>
    <w:rsid w:val="00AB099E"/>
    <w:rsid w:val="00AB4328"/>
    <w:rsid w:val="00AB57ED"/>
    <w:rsid w:val="00AB5FA0"/>
    <w:rsid w:val="00AC7741"/>
    <w:rsid w:val="00AD34D3"/>
    <w:rsid w:val="00AD4725"/>
    <w:rsid w:val="00AE0A2E"/>
    <w:rsid w:val="00AE354C"/>
    <w:rsid w:val="00AF2FFC"/>
    <w:rsid w:val="00AF34DE"/>
    <w:rsid w:val="00AF4B07"/>
    <w:rsid w:val="00AF5245"/>
    <w:rsid w:val="00AF6186"/>
    <w:rsid w:val="00AF7A3A"/>
    <w:rsid w:val="00B0438E"/>
    <w:rsid w:val="00B05092"/>
    <w:rsid w:val="00B108A0"/>
    <w:rsid w:val="00B160DB"/>
    <w:rsid w:val="00B17C59"/>
    <w:rsid w:val="00B20836"/>
    <w:rsid w:val="00B235BB"/>
    <w:rsid w:val="00B27A44"/>
    <w:rsid w:val="00B30BBF"/>
    <w:rsid w:val="00B33C03"/>
    <w:rsid w:val="00B348D2"/>
    <w:rsid w:val="00B37177"/>
    <w:rsid w:val="00B4130A"/>
    <w:rsid w:val="00B44E56"/>
    <w:rsid w:val="00B45151"/>
    <w:rsid w:val="00B46543"/>
    <w:rsid w:val="00B47D33"/>
    <w:rsid w:val="00B52BE0"/>
    <w:rsid w:val="00B54133"/>
    <w:rsid w:val="00B542FB"/>
    <w:rsid w:val="00B637B9"/>
    <w:rsid w:val="00B64B8C"/>
    <w:rsid w:val="00B6561A"/>
    <w:rsid w:val="00B701ED"/>
    <w:rsid w:val="00B72A08"/>
    <w:rsid w:val="00B75B47"/>
    <w:rsid w:val="00B8086C"/>
    <w:rsid w:val="00B8143D"/>
    <w:rsid w:val="00B85879"/>
    <w:rsid w:val="00B861B4"/>
    <w:rsid w:val="00B86DFE"/>
    <w:rsid w:val="00B90990"/>
    <w:rsid w:val="00B922FF"/>
    <w:rsid w:val="00B92491"/>
    <w:rsid w:val="00B9281E"/>
    <w:rsid w:val="00B93925"/>
    <w:rsid w:val="00B94935"/>
    <w:rsid w:val="00B95187"/>
    <w:rsid w:val="00B9735C"/>
    <w:rsid w:val="00BA0140"/>
    <w:rsid w:val="00BA2D55"/>
    <w:rsid w:val="00BA71B1"/>
    <w:rsid w:val="00BB0637"/>
    <w:rsid w:val="00BB0921"/>
    <w:rsid w:val="00BB345F"/>
    <w:rsid w:val="00BB5883"/>
    <w:rsid w:val="00BB68EA"/>
    <w:rsid w:val="00BC0B54"/>
    <w:rsid w:val="00BC1C27"/>
    <w:rsid w:val="00BC6BBF"/>
    <w:rsid w:val="00BD1572"/>
    <w:rsid w:val="00BD277E"/>
    <w:rsid w:val="00BE14E3"/>
    <w:rsid w:val="00BE3774"/>
    <w:rsid w:val="00BE41E5"/>
    <w:rsid w:val="00BE6B53"/>
    <w:rsid w:val="00BF0BBB"/>
    <w:rsid w:val="00BF4109"/>
    <w:rsid w:val="00BF4CC3"/>
    <w:rsid w:val="00BF4E5A"/>
    <w:rsid w:val="00C054C7"/>
    <w:rsid w:val="00C057B5"/>
    <w:rsid w:val="00C17252"/>
    <w:rsid w:val="00C206AD"/>
    <w:rsid w:val="00C22687"/>
    <w:rsid w:val="00C32963"/>
    <w:rsid w:val="00C32E4D"/>
    <w:rsid w:val="00C333A0"/>
    <w:rsid w:val="00C365DB"/>
    <w:rsid w:val="00C36A81"/>
    <w:rsid w:val="00C37AFC"/>
    <w:rsid w:val="00C41974"/>
    <w:rsid w:val="00C42149"/>
    <w:rsid w:val="00C447AD"/>
    <w:rsid w:val="00C53A11"/>
    <w:rsid w:val="00C53F4A"/>
    <w:rsid w:val="00C54125"/>
    <w:rsid w:val="00C55B54"/>
    <w:rsid w:val="00C60439"/>
    <w:rsid w:val="00C6098E"/>
    <w:rsid w:val="00C6152C"/>
    <w:rsid w:val="00C621C2"/>
    <w:rsid w:val="00C634DC"/>
    <w:rsid w:val="00C7115B"/>
    <w:rsid w:val="00C74788"/>
    <w:rsid w:val="00C74810"/>
    <w:rsid w:val="00C8147D"/>
    <w:rsid w:val="00C90D68"/>
    <w:rsid w:val="00C915FB"/>
    <w:rsid w:val="00C939FE"/>
    <w:rsid w:val="00C97AB7"/>
    <w:rsid w:val="00CA4BDA"/>
    <w:rsid w:val="00CB1F66"/>
    <w:rsid w:val="00CB2951"/>
    <w:rsid w:val="00CD282B"/>
    <w:rsid w:val="00CD388B"/>
    <w:rsid w:val="00CD4C35"/>
    <w:rsid w:val="00CD7369"/>
    <w:rsid w:val="00CE0B0E"/>
    <w:rsid w:val="00CE2F1E"/>
    <w:rsid w:val="00CE3831"/>
    <w:rsid w:val="00CE5DA2"/>
    <w:rsid w:val="00CE7865"/>
    <w:rsid w:val="00CE7B8F"/>
    <w:rsid w:val="00CF0091"/>
    <w:rsid w:val="00CF030B"/>
    <w:rsid w:val="00CF1B7B"/>
    <w:rsid w:val="00CF4644"/>
    <w:rsid w:val="00D00ABB"/>
    <w:rsid w:val="00D01ED8"/>
    <w:rsid w:val="00D02EEC"/>
    <w:rsid w:val="00D03551"/>
    <w:rsid w:val="00D06A63"/>
    <w:rsid w:val="00D071D5"/>
    <w:rsid w:val="00D07E0E"/>
    <w:rsid w:val="00D11478"/>
    <w:rsid w:val="00D15ED0"/>
    <w:rsid w:val="00D21B3E"/>
    <w:rsid w:val="00D21E05"/>
    <w:rsid w:val="00D21FED"/>
    <w:rsid w:val="00D24251"/>
    <w:rsid w:val="00D26770"/>
    <w:rsid w:val="00D30657"/>
    <w:rsid w:val="00D343E2"/>
    <w:rsid w:val="00D361A2"/>
    <w:rsid w:val="00D44C2E"/>
    <w:rsid w:val="00D45414"/>
    <w:rsid w:val="00D53C0F"/>
    <w:rsid w:val="00D566BD"/>
    <w:rsid w:val="00D57A4D"/>
    <w:rsid w:val="00D60AA7"/>
    <w:rsid w:val="00D60D87"/>
    <w:rsid w:val="00D627E0"/>
    <w:rsid w:val="00D63F6B"/>
    <w:rsid w:val="00D6435F"/>
    <w:rsid w:val="00D64A7C"/>
    <w:rsid w:val="00D75E28"/>
    <w:rsid w:val="00D77270"/>
    <w:rsid w:val="00D772C2"/>
    <w:rsid w:val="00D8008E"/>
    <w:rsid w:val="00D82C45"/>
    <w:rsid w:val="00D835EA"/>
    <w:rsid w:val="00D908A8"/>
    <w:rsid w:val="00D91216"/>
    <w:rsid w:val="00D977B6"/>
    <w:rsid w:val="00DA1CD2"/>
    <w:rsid w:val="00DA2E69"/>
    <w:rsid w:val="00DA4A31"/>
    <w:rsid w:val="00DA61F2"/>
    <w:rsid w:val="00DA7B04"/>
    <w:rsid w:val="00DB36C2"/>
    <w:rsid w:val="00DB65B3"/>
    <w:rsid w:val="00DB7196"/>
    <w:rsid w:val="00DC169B"/>
    <w:rsid w:val="00DC2AB9"/>
    <w:rsid w:val="00DC468F"/>
    <w:rsid w:val="00DC5F3C"/>
    <w:rsid w:val="00DC63F0"/>
    <w:rsid w:val="00DC7569"/>
    <w:rsid w:val="00DD0B47"/>
    <w:rsid w:val="00DD2675"/>
    <w:rsid w:val="00DD696A"/>
    <w:rsid w:val="00DD6EE5"/>
    <w:rsid w:val="00DE1A13"/>
    <w:rsid w:val="00DE1B8E"/>
    <w:rsid w:val="00DE386C"/>
    <w:rsid w:val="00DE4D35"/>
    <w:rsid w:val="00DF0549"/>
    <w:rsid w:val="00DF098B"/>
    <w:rsid w:val="00DF11C4"/>
    <w:rsid w:val="00DF210C"/>
    <w:rsid w:val="00DF4B6A"/>
    <w:rsid w:val="00DF5B69"/>
    <w:rsid w:val="00DF5C82"/>
    <w:rsid w:val="00E02C09"/>
    <w:rsid w:val="00E03816"/>
    <w:rsid w:val="00E04D59"/>
    <w:rsid w:val="00E07DA1"/>
    <w:rsid w:val="00E123CB"/>
    <w:rsid w:val="00E127E6"/>
    <w:rsid w:val="00E1557C"/>
    <w:rsid w:val="00E20E13"/>
    <w:rsid w:val="00E2162C"/>
    <w:rsid w:val="00E21DBC"/>
    <w:rsid w:val="00E275D7"/>
    <w:rsid w:val="00E27DBE"/>
    <w:rsid w:val="00E32AB1"/>
    <w:rsid w:val="00E35C54"/>
    <w:rsid w:val="00E36C71"/>
    <w:rsid w:val="00E36F07"/>
    <w:rsid w:val="00E40404"/>
    <w:rsid w:val="00E4133A"/>
    <w:rsid w:val="00E42B68"/>
    <w:rsid w:val="00E459C6"/>
    <w:rsid w:val="00E47589"/>
    <w:rsid w:val="00E476CB"/>
    <w:rsid w:val="00E506E7"/>
    <w:rsid w:val="00E5235F"/>
    <w:rsid w:val="00E6471B"/>
    <w:rsid w:val="00E64915"/>
    <w:rsid w:val="00E661D4"/>
    <w:rsid w:val="00E70091"/>
    <w:rsid w:val="00E720F5"/>
    <w:rsid w:val="00E76D47"/>
    <w:rsid w:val="00E849F7"/>
    <w:rsid w:val="00E90302"/>
    <w:rsid w:val="00E954B9"/>
    <w:rsid w:val="00E9597F"/>
    <w:rsid w:val="00E96F7A"/>
    <w:rsid w:val="00E97396"/>
    <w:rsid w:val="00EA185E"/>
    <w:rsid w:val="00EA46F0"/>
    <w:rsid w:val="00EA592A"/>
    <w:rsid w:val="00EA737F"/>
    <w:rsid w:val="00EB029B"/>
    <w:rsid w:val="00EB14E4"/>
    <w:rsid w:val="00EB32A5"/>
    <w:rsid w:val="00EB34ED"/>
    <w:rsid w:val="00EB6D3D"/>
    <w:rsid w:val="00EB74CE"/>
    <w:rsid w:val="00EB7BE0"/>
    <w:rsid w:val="00EC2DE4"/>
    <w:rsid w:val="00EC315E"/>
    <w:rsid w:val="00EC40B1"/>
    <w:rsid w:val="00ED077C"/>
    <w:rsid w:val="00ED1190"/>
    <w:rsid w:val="00ED6544"/>
    <w:rsid w:val="00EE0277"/>
    <w:rsid w:val="00EE1DA9"/>
    <w:rsid w:val="00EE314B"/>
    <w:rsid w:val="00EE3913"/>
    <w:rsid w:val="00EE3E00"/>
    <w:rsid w:val="00EE5DD2"/>
    <w:rsid w:val="00EF0073"/>
    <w:rsid w:val="00EF41F1"/>
    <w:rsid w:val="00EF4F08"/>
    <w:rsid w:val="00EF573B"/>
    <w:rsid w:val="00F00A79"/>
    <w:rsid w:val="00F00E86"/>
    <w:rsid w:val="00F00F8B"/>
    <w:rsid w:val="00F00F9C"/>
    <w:rsid w:val="00F04923"/>
    <w:rsid w:val="00F07C1E"/>
    <w:rsid w:val="00F105DB"/>
    <w:rsid w:val="00F132BC"/>
    <w:rsid w:val="00F13D80"/>
    <w:rsid w:val="00F14FB1"/>
    <w:rsid w:val="00F16AAA"/>
    <w:rsid w:val="00F21161"/>
    <w:rsid w:val="00F218EF"/>
    <w:rsid w:val="00F21BC7"/>
    <w:rsid w:val="00F240A5"/>
    <w:rsid w:val="00F2483B"/>
    <w:rsid w:val="00F266A2"/>
    <w:rsid w:val="00F32269"/>
    <w:rsid w:val="00F3753D"/>
    <w:rsid w:val="00F44483"/>
    <w:rsid w:val="00F4457E"/>
    <w:rsid w:val="00F55305"/>
    <w:rsid w:val="00F56A6F"/>
    <w:rsid w:val="00F5709C"/>
    <w:rsid w:val="00F64EF1"/>
    <w:rsid w:val="00F67EE0"/>
    <w:rsid w:val="00F71DFA"/>
    <w:rsid w:val="00F72A7A"/>
    <w:rsid w:val="00F73960"/>
    <w:rsid w:val="00F752E1"/>
    <w:rsid w:val="00F807E7"/>
    <w:rsid w:val="00F82BD9"/>
    <w:rsid w:val="00F8765F"/>
    <w:rsid w:val="00F90767"/>
    <w:rsid w:val="00F92ED7"/>
    <w:rsid w:val="00F93454"/>
    <w:rsid w:val="00F949DD"/>
    <w:rsid w:val="00FA1646"/>
    <w:rsid w:val="00FA4F3E"/>
    <w:rsid w:val="00FA685B"/>
    <w:rsid w:val="00FB0C01"/>
    <w:rsid w:val="00FB7819"/>
    <w:rsid w:val="00FC18F2"/>
    <w:rsid w:val="00FC33BC"/>
    <w:rsid w:val="00FC39E5"/>
    <w:rsid w:val="00FC3A78"/>
    <w:rsid w:val="00FC5FFE"/>
    <w:rsid w:val="00FD1005"/>
    <w:rsid w:val="00FD3180"/>
    <w:rsid w:val="00FD3D1D"/>
    <w:rsid w:val="00FD6C75"/>
    <w:rsid w:val="00FD79AA"/>
    <w:rsid w:val="00FE71B3"/>
    <w:rsid w:val="00FF0FEB"/>
    <w:rsid w:val="00FF2AC9"/>
    <w:rsid w:val="00FF2C46"/>
    <w:rsid w:val="00FF3B56"/>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6409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6409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640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640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464097"/>
    <w:rPr>
      <w:i/>
      <w:iCs/>
      <w:smallCaps/>
      <w:spacing w:val="5"/>
    </w:rPr>
  </w:style>
  <w:style w:type="paragraph" w:customStyle="1" w:styleId="ECHRHeader">
    <w:name w:val="ECHR_Header"/>
    <w:aliases w:val="Ju_Header"/>
    <w:basedOn w:val="Header"/>
    <w:uiPriority w:val="4"/>
    <w:qFormat/>
    <w:rsid w:val="0046409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464097"/>
    <w:rPr>
      <w:b/>
      <w:bCs/>
    </w:rPr>
  </w:style>
  <w:style w:type="paragraph" w:styleId="NoSpacing">
    <w:name w:val="No Spacing"/>
    <w:basedOn w:val="Normal"/>
    <w:link w:val="NoSpacingChar"/>
    <w:semiHidden/>
    <w:qFormat/>
    <w:rsid w:val="00464097"/>
    <w:rPr>
      <w:sz w:val="22"/>
    </w:rPr>
  </w:style>
  <w:style w:type="character" w:customStyle="1" w:styleId="NoSpacingChar">
    <w:name w:val="No Spacing Char"/>
    <w:basedOn w:val="DefaultParagraphFont"/>
    <w:link w:val="NoSpacing"/>
    <w:semiHidden/>
    <w:rsid w:val="00464097"/>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64097"/>
    <w:pPr>
      <w:numPr>
        <w:numId w:val="16"/>
      </w:numPr>
      <w:jc w:val="left"/>
    </w:pPr>
    <w:rPr>
      <w:b/>
    </w:rPr>
  </w:style>
  <w:style w:type="paragraph" w:customStyle="1" w:styleId="OpiPara">
    <w:name w:val="Opi_Para"/>
    <w:basedOn w:val="ECHRPara"/>
    <w:uiPriority w:val="46"/>
    <w:qFormat/>
    <w:rsid w:val="00464097"/>
  </w:style>
  <w:style w:type="paragraph" w:customStyle="1" w:styleId="JuParaSub">
    <w:name w:val="Ju_Para_Sub"/>
    <w:basedOn w:val="ECHRPara"/>
    <w:uiPriority w:val="13"/>
    <w:qFormat/>
    <w:rsid w:val="00464097"/>
    <w:pPr>
      <w:ind w:left="284"/>
    </w:pPr>
  </w:style>
  <w:style w:type="paragraph" w:customStyle="1" w:styleId="ECHRTitleCentre3">
    <w:name w:val="ECHR_Title_Centre_3"/>
    <w:aliases w:val="Ju_H_Article"/>
    <w:basedOn w:val="Normal"/>
    <w:next w:val="ECHRParaQuote"/>
    <w:uiPriority w:val="27"/>
    <w:qFormat/>
    <w:rsid w:val="0046409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64097"/>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64097"/>
  </w:style>
  <w:style w:type="paragraph" w:customStyle="1" w:styleId="OpiQuot">
    <w:name w:val="Opi_Quot"/>
    <w:basedOn w:val="ECHRParaQuote"/>
    <w:uiPriority w:val="48"/>
    <w:qFormat/>
    <w:rsid w:val="00464097"/>
  </w:style>
  <w:style w:type="paragraph" w:customStyle="1" w:styleId="OpiQuotSub">
    <w:name w:val="Opi_Quot_Sub"/>
    <w:basedOn w:val="JuQuotSub"/>
    <w:uiPriority w:val="49"/>
    <w:qFormat/>
    <w:rsid w:val="00464097"/>
  </w:style>
  <w:style w:type="paragraph" w:customStyle="1" w:styleId="ECHRTitleCentre2">
    <w:name w:val="ECHR_Title_Centre_2"/>
    <w:aliases w:val="Dec_H_Case"/>
    <w:basedOn w:val="Normal"/>
    <w:next w:val="ECHRPara"/>
    <w:uiPriority w:val="8"/>
    <w:qFormat/>
    <w:rsid w:val="00464097"/>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464097"/>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640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6409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link w:val="JuH1Char"/>
    <w:uiPriority w:val="21"/>
    <w:qFormat/>
    <w:rsid w:val="0046409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6409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6409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64097"/>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464097"/>
    <w:pPr>
      <w:keepNext/>
      <w:keepLines/>
      <w:spacing w:before="240" w:after="120"/>
      <w:ind w:left="1236"/>
    </w:pPr>
    <w:rPr>
      <w:sz w:val="20"/>
    </w:rPr>
  </w:style>
  <w:style w:type="paragraph" w:customStyle="1" w:styleId="JuQuotSub">
    <w:name w:val="Ju_Quot_Sub"/>
    <w:basedOn w:val="ECHRParaQuote"/>
    <w:uiPriority w:val="15"/>
    <w:qFormat/>
    <w:rsid w:val="00464097"/>
    <w:pPr>
      <w:ind w:left="567"/>
    </w:pPr>
  </w:style>
  <w:style w:type="paragraph" w:customStyle="1" w:styleId="JuInitialled">
    <w:name w:val="Ju_Initialled"/>
    <w:basedOn w:val="Normal"/>
    <w:qFormat/>
    <w:rsid w:val="00464097"/>
    <w:pPr>
      <w:tabs>
        <w:tab w:val="center" w:pos="6407"/>
      </w:tabs>
      <w:spacing w:before="720"/>
      <w:jc w:val="right"/>
    </w:pPr>
  </w:style>
  <w:style w:type="paragraph" w:customStyle="1" w:styleId="OpiHA">
    <w:name w:val="Opi_H_A"/>
    <w:basedOn w:val="ECHRHeading1"/>
    <w:next w:val="OpiPara"/>
    <w:uiPriority w:val="41"/>
    <w:qFormat/>
    <w:rsid w:val="00464097"/>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6409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link w:val="JuHAChar"/>
    <w:uiPriority w:val="20"/>
    <w:qFormat/>
    <w:rsid w:val="0046409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464097"/>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64097"/>
    <w:rPr>
      <w:rFonts w:asciiTheme="majorHAnsi" w:eastAsiaTheme="majorEastAsia" w:hAnsiTheme="majorHAnsi" w:cstheme="majorBidi"/>
      <w:b/>
      <w:bCs/>
      <w:color w:val="808080"/>
    </w:rPr>
  </w:style>
  <w:style w:type="character" w:styleId="SubtleEmphasis">
    <w:name w:val="Subtle Emphasis"/>
    <w:uiPriority w:val="99"/>
    <w:semiHidden/>
    <w:qFormat/>
    <w:rsid w:val="0046409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Title_L_1"/>
    <w:basedOn w:val="Normal"/>
    <w:next w:val="ECHRPara"/>
    <w:uiPriority w:val="18"/>
    <w:qFormat/>
    <w:rsid w:val="00464097"/>
    <w:pPr>
      <w:keepNext/>
      <w:keepLines/>
      <w:spacing w:before="720" w:after="240"/>
      <w:outlineLvl w:val="0"/>
    </w:pPr>
    <w:rPr>
      <w:rFonts w:asciiTheme="majorHAnsi" w:hAnsiTheme="majorHAnsi"/>
      <w:sz w:val="28"/>
    </w:rPr>
  </w:style>
  <w:style w:type="character" w:styleId="Emphasis">
    <w:name w:val="Emphasis"/>
    <w:uiPriority w:val="99"/>
    <w:semiHidden/>
    <w:qFormat/>
    <w:rsid w:val="00464097"/>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6409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6409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6409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464097"/>
    <w:rPr>
      <w:b/>
      <w:bCs/>
    </w:rPr>
  </w:style>
  <w:style w:type="paragraph" w:styleId="IntenseQuote">
    <w:name w:val="Intense Quote"/>
    <w:basedOn w:val="Normal"/>
    <w:next w:val="Normal"/>
    <w:link w:val="IntenseQuoteChar"/>
    <w:uiPriority w:val="99"/>
    <w:semiHidden/>
    <w:qFormat/>
    <w:rsid w:val="0046409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64097"/>
    <w:rPr>
      <w:rFonts w:eastAsiaTheme="minorEastAsia"/>
      <w:b/>
      <w:bCs/>
      <w:i/>
      <w:iCs/>
      <w:lang w:bidi="en-US"/>
    </w:rPr>
  </w:style>
  <w:style w:type="character" w:styleId="IntenseReference">
    <w:name w:val="Intense Reference"/>
    <w:uiPriority w:val="99"/>
    <w:semiHidden/>
    <w:qFormat/>
    <w:rsid w:val="00464097"/>
    <w:rPr>
      <w:smallCaps/>
      <w:spacing w:val="5"/>
      <w:u w:val="single"/>
    </w:rPr>
  </w:style>
  <w:style w:type="paragraph" w:styleId="ListParagraph">
    <w:name w:val="List Paragraph"/>
    <w:basedOn w:val="Normal"/>
    <w:uiPriority w:val="99"/>
    <w:semiHidden/>
    <w:qFormat/>
    <w:rsid w:val="0046409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64097"/>
    <w:pPr>
      <w:spacing w:before="200"/>
      <w:ind w:left="360" w:right="360"/>
    </w:pPr>
    <w:rPr>
      <w:i/>
      <w:iCs/>
      <w:sz w:val="22"/>
      <w:lang w:bidi="en-US"/>
    </w:rPr>
  </w:style>
  <w:style w:type="character" w:customStyle="1" w:styleId="QuoteChar">
    <w:name w:val="Quote Char"/>
    <w:basedOn w:val="DefaultParagraphFont"/>
    <w:link w:val="Quote"/>
    <w:uiPriority w:val="99"/>
    <w:semiHidden/>
    <w:rsid w:val="00464097"/>
    <w:rPr>
      <w:rFonts w:eastAsiaTheme="minorEastAsia"/>
      <w:i/>
      <w:iCs/>
      <w:lang w:bidi="en-US"/>
    </w:rPr>
  </w:style>
  <w:style w:type="character" w:styleId="SubtleReference">
    <w:name w:val="Subtle Reference"/>
    <w:uiPriority w:val="99"/>
    <w:semiHidden/>
    <w:qFormat/>
    <w:rsid w:val="00464097"/>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6409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Para_Quote"/>
    <w:basedOn w:val="Normal"/>
    <w:uiPriority w:val="14"/>
    <w:qFormat/>
    <w:rsid w:val="00464097"/>
    <w:pPr>
      <w:spacing w:before="120" w:after="120"/>
      <w:ind w:left="425" w:firstLine="142"/>
    </w:pPr>
    <w:rPr>
      <w:sz w:val="20"/>
    </w:rPr>
  </w:style>
  <w:style w:type="paragraph" w:customStyle="1" w:styleId="ECHRPara">
    <w:name w:val="ECHR_Para"/>
    <w:aliases w:val="Ju_Para"/>
    <w:basedOn w:val="Normal"/>
    <w:link w:val="ECHRParaChar"/>
    <w:uiPriority w:val="12"/>
    <w:qFormat/>
    <w:rsid w:val="0046409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6409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64097"/>
    <w:pPr>
      <w:ind w:left="340" w:hanging="340"/>
    </w:pPr>
  </w:style>
  <w:style w:type="paragraph" w:customStyle="1" w:styleId="JuSigned">
    <w:name w:val="Ju_Signed"/>
    <w:basedOn w:val="Normal"/>
    <w:next w:val="JuParaLast"/>
    <w:uiPriority w:val="32"/>
    <w:qFormat/>
    <w:rsid w:val="00464097"/>
    <w:pPr>
      <w:tabs>
        <w:tab w:val="center" w:pos="851"/>
        <w:tab w:val="center" w:pos="6407"/>
      </w:tabs>
      <w:spacing w:before="720"/>
      <w:jc w:val="left"/>
    </w:pPr>
  </w:style>
  <w:style w:type="paragraph" w:customStyle="1" w:styleId="JuParaLast">
    <w:name w:val="Ju_Para_Last"/>
    <w:basedOn w:val="Normal"/>
    <w:next w:val="ECHRPara"/>
    <w:qFormat/>
    <w:rsid w:val="00464097"/>
    <w:pPr>
      <w:keepNext/>
      <w:keepLines/>
      <w:spacing w:before="240"/>
      <w:ind w:firstLine="284"/>
    </w:pPr>
  </w:style>
  <w:style w:type="paragraph" w:customStyle="1" w:styleId="JuCourt">
    <w:name w:val="Ju_Court"/>
    <w:basedOn w:val="Normal"/>
    <w:next w:val="Normal"/>
    <w:uiPriority w:val="16"/>
    <w:qFormat/>
    <w:rsid w:val="0046409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64097"/>
    <w:pPr>
      <w:ind w:left="346" w:firstLine="0"/>
    </w:pPr>
  </w:style>
  <w:style w:type="paragraph" w:customStyle="1" w:styleId="JuListi">
    <w:name w:val="Ju_List_i"/>
    <w:basedOn w:val="Normal"/>
    <w:next w:val="JuLista"/>
    <w:uiPriority w:val="28"/>
    <w:qFormat/>
    <w:rsid w:val="00464097"/>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uiPriority w:val="99"/>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464097"/>
    <w:rPr>
      <w:vanish w:val="0"/>
      <w:color w:val="auto"/>
      <w:sz w:val="14"/>
      <w:bdr w:val="none" w:sz="0" w:space="0" w:color="auto"/>
      <w:shd w:val="clear" w:color="auto" w:fill="BEE5FF" w:themeFill="background1" w:themeFillTint="33"/>
    </w:rPr>
  </w:style>
  <w:style w:type="paragraph" w:styleId="Subtitle">
    <w:name w:val="Subtitle"/>
    <w:basedOn w:val="Normal"/>
    <w:next w:val="Normal"/>
    <w:link w:val="SubtitleChar"/>
    <w:uiPriority w:val="99"/>
    <w:semiHidden/>
    <w:qFormat/>
    <w:rsid w:val="0046409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6409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464097"/>
    <w:pPr>
      <w:jc w:val="center"/>
      <w:outlineLvl w:val="0"/>
    </w:pPr>
    <w:rPr>
      <w:i/>
    </w:rPr>
  </w:style>
  <w:style w:type="paragraph" w:customStyle="1" w:styleId="DecHTitle">
    <w:name w:val="Dec_H_Title"/>
    <w:basedOn w:val="ECHRTitleCentre1"/>
    <w:uiPriority w:val="7"/>
    <w:qFormat/>
    <w:rsid w:val="00464097"/>
  </w:style>
  <w:style w:type="paragraph" w:customStyle="1" w:styleId="DecList">
    <w:name w:val="Dec_List"/>
    <w:basedOn w:val="Normal"/>
    <w:uiPriority w:val="9"/>
    <w:qFormat/>
    <w:rsid w:val="00464097"/>
    <w:pPr>
      <w:spacing w:before="240"/>
      <w:ind w:left="284"/>
    </w:pPr>
  </w:style>
  <w:style w:type="paragraph" w:customStyle="1" w:styleId="OpiH1">
    <w:name w:val="Opi_H_1"/>
    <w:basedOn w:val="ECHRHeading2"/>
    <w:uiPriority w:val="42"/>
    <w:qFormat/>
    <w:rsid w:val="00464097"/>
    <w:pPr>
      <w:ind w:left="635" w:hanging="357"/>
      <w:outlineLvl w:val="2"/>
    </w:pPr>
  </w:style>
  <w:style w:type="paragraph" w:customStyle="1" w:styleId="OpiHa0">
    <w:name w:val="Opi_H_a"/>
    <w:basedOn w:val="ECHRHeading3"/>
    <w:uiPriority w:val="43"/>
    <w:qFormat/>
    <w:rsid w:val="00464097"/>
    <w:pPr>
      <w:ind w:left="833" w:hanging="357"/>
      <w:outlineLvl w:val="3"/>
    </w:pPr>
    <w:rPr>
      <w:b/>
      <w:i w:val="0"/>
      <w:sz w:val="20"/>
    </w:rPr>
  </w:style>
  <w:style w:type="paragraph" w:customStyle="1" w:styleId="OpiHi">
    <w:name w:val="Opi_H_i"/>
    <w:basedOn w:val="ECHRHeading4"/>
    <w:uiPriority w:val="44"/>
    <w:qFormat/>
    <w:rsid w:val="00464097"/>
    <w:pPr>
      <w:ind w:left="1037" w:hanging="357"/>
      <w:outlineLvl w:val="4"/>
    </w:pPr>
    <w:rPr>
      <w:b w:val="0"/>
      <w:i/>
    </w:rPr>
  </w:style>
  <w:style w:type="paragraph" w:customStyle="1" w:styleId="DummyStyle">
    <w:name w:val="Dummy_Style"/>
    <w:basedOn w:val="Normal"/>
    <w:semiHidden/>
    <w:qFormat/>
    <w:rsid w:val="00464097"/>
    <w:rPr>
      <w:color w:val="00B050"/>
    </w:rPr>
  </w:style>
  <w:style w:type="paragraph" w:customStyle="1" w:styleId="JuHeaderLandscape">
    <w:name w:val="Ju_Header_Landscape"/>
    <w:basedOn w:val="ECHRHeader"/>
    <w:uiPriority w:val="4"/>
    <w:qFormat/>
    <w:rsid w:val="00464097"/>
    <w:pPr>
      <w:tabs>
        <w:tab w:val="clear" w:pos="3686"/>
        <w:tab w:val="clear" w:pos="7371"/>
        <w:tab w:val="center" w:pos="6146"/>
        <w:tab w:val="right" w:pos="12293"/>
      </w:tabs>
    </w:pPr>
  </w:style>
  <w:style w:type="character" w:customStyle="1" w:styleId="ECHRParaChar">
    <w:name w:val="ECHR_Para Char"/>
    <w:aliases w:val="Ju_Para Char"/>
    <w:basedOn w:val="DefaultParagraphFont"/>
    <w:link w:val="ECHRPara"/>
    <w:uiPriority w:val="12"/>
    <w:rsid w:val="00711D81"/>
    <w:rPr>
      <w:rFonts w:eastAsiaTheme="minorEastAsia"/>
      <w:sz w:val="24"/>
    </w:rPr>
  </w:style>
  <w:style w:type="character" w:customStyle="1" w:styleId="JuH1Char">
    <w:name w:val="Ju_H_1. Char"/>
    <w:basedOn w:val="DefaultParagraphFont"/>
    <w:link w:val="ECHRHeading3"/>
    <w:uiPriority w:val="21"/>
    <w:rsid w:val="00711D81"/>
    <w:rPr>
      <w:rFonts w:asciiTheme="majorHAnsi" w:eastAsiaTheme="majorEastAsia" w:hAnsiTheme="majorHAnsi" w:cstheme="majorBidi"/>
      <w:bCs/>
      <w:i/>
      <w:sz w:val="24"/>
    </w:rPr>
  </w:style>
  <w:style w:type="character" w:customStyle="1" w:styleId="JuHAChar">
    <w:name w:val="Ju_H_A Char"/>
    <w:basedOn w:val="DefaultParagraphFont"/>
    <w:link w:val="ECHRHeading2"/>
    <w:uiPriority w:val="20"/>
    <w:rsid w:val="00711D81"/>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407150238">
      <w:bodyDiv w:val="1"/>
      <w:marLeft w:val="0"/>
      <w:marRight w:val="0"/>
      <w:marTop w:val="0"/>
      <w:marBottom w:val="0"/>
      <w:divBdr>
        <w:top w:val="none" w:sz="0" w:space="0" w:color="auto"/>
        <w:left w:val="none" w:sz="0" w:space="0" w:color="auto"/>
        <w:bottom w:val="none" w:sz="0" w:space="0" w:color="auto"/>
        <w:right w:val="none" w:sz="0" w:space="0" w:color="auto"/>
      </w:divBdr>
      <w:divsChild>
        <w:div w:id="88817484">
          <w:marLeft w:val="0"/>
          <w:marRight w:val="0"/>
          <w:marTop w:val="0"/>
          <w:marBottom w:val="0"/>
          <w:divBdr>
            <w:top w:val="none" w:sz="0" w:space="0" w:color="auto"/>
            <w:left w:val="none" w:sz="0" w:space="0" w:color="auto"/>
            <w:bottom w:val="none" w:sz="0" w:space="0" w:color="auto"/>
            <w:right w:val="none" w:sz="0" w:space="0" w:color="auto"/>
          </w:divBdr>
          <w:divsChild>
            <w:div w:id="1861502117">
              <w:marLeft w:val="0"/>
              <w:marRight w:val="0"/>
              <w:marTop w:val="0"/>
              <w:marBottom w:val="0"/>
              <w:divBdr>
                <w:top w:val="none" w:sz="0" w:space="0" w:color="auto"/>
                <w:left w:val="none" w:sz="0" w:space="0" w:color="auto"/>
                <w:bottom w:val="none" w:sz="0" w:space="0" w:color="auto"/>
                <w:right w:val="none" w:sz="0" w:space="0" w:color="auto"/>
              </w:divBdr>
              <w:divsChild>
                <w:div w:id="147946317">
                  <w:marLeft w:val="0"/>
                  <w:marRight w:val="0"/>
                  <w:marTop w:val="0"/>
                  <w:marBottom w:val="0"/>
                  <w:divBdr>
                    <w:top w:val="none" w:sz="0" w:space="0" w:color="auto"/>
                    <w:left w:val="none" w:sz="0" w:space="0" w:color="auto"/>
                    <w:bottom w:val="none" w:sz="0" w:space="0" w:color="auto"/>
                    <w:right w:val="none" w:sz="0" w:space="0" w:color="auto"/>
                  </w:divBdr>
                  <w:divsChild>
                    <w:div w:id="49116749">
                      <w:marLeft w:val="0"/>
                      <w:marRight w:val="0"/>
                      <w:marTop w:val="0"/>
                      <w:marBottom w:val="0"/>
                      <w:divBdr>
                        <w:top w:val="none" w:sz="0" w:space="0" w:color="auto"/>
                        <w:left w:val="none" w:sz="0" w:space="0" w:color="auto"/>
                        <w:bottom w:val="none" w:sz="0" w:space="0" w:color="auto"/>
                        <w:right w:val="none" w:sz="0" w:space="0" w:color="auto"/>
                      </w:divBdr>
                      <w:divsChild>
                        <w:div w:id="444229783">
                          <w:marLeft w:val="0"/>
                          <w:marRight w:val="0"/>
                          <w:marTop w:val="0"/>
                          <w:marBottom w:val="0"/>
                          <w:divBdr>
                            <w:top w:val="none" w:sz="0" w:space="0" w:color="auto"/>
                            <w:left w:val="none" w:sz="0" w:space="0" w:color="auto"/>
                            <w:bottom w:val="none" w:sz="0" w:space="0" w:color="auto"/>
                            <w:right w:val="none" w:sz="0" w:space="0" w:color="auto"/>
                          </w:divBdr>
                          <w:divsChild>
                            <w:div w:id="9122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41A5D-C492-48EE-BF7A-0310527EB9C4}"/>
</file>

<file path=customXml/itemProps2.xml><?xml version="1.0" encoding="utf-8"?>
<ds:datastoreItem xmlns:ds="http://schemas.openxmlformats.org/officeDocument/2006/customXml" ds:itemID="{2AFCF862-20EB-46BC-A768-2D46B68B47FE}"/>
</file>

<file path=customXml/itemProps3.xml><?xml version="1.0" encoding="utf-8"?>
<ds:datastoreItem xmlns:ds="http://schemas.openxmlformats.org/officeDocument/2006/customXml" ds:itemID="{5200FFB7-BC46-475C-B5F1-B708D54896F0}"/>
</file>

<file path=customXml/itemProps4.xml><?xml version="1.0" encoding="utf-8"?>
<ds:datastoreItem xmlns:ds="http://schemas.openxmlformats.org/officeDocument/2006/customXml" ds:itemID="{1717E9C7-469D-49BD-9BEE-4D7235F11216}"/>
</file>

<file path=docProps/app.xml><?xml version="1.0" encoding="utf-8"?>
<Properties xmlns="http://schemas.openxmlformats.org/officeDocument/2006/extended-properties" xmlns:vt="http://schemas.openxmlformats.org/officeDocument/2006/docPropsVTypes">
  <Template>Normal.dotm</Template>
  <TotalTime>1</TotalTime>
  <Pages>1</Pages>
  <Words>13220</Words>
  <Characters>75360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88404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2</cp:revision>
  <dcterms:created xsi:type="dcterms:W3CDTF">2017-12-21T08:25:00Z</dcterms:created>
  <dcterms:modified xsi:type="dcterms:W3CDTF">2017-12-21T08:25:00Z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7472/14</vt:lpwstr>
  </property>
  <property fmtid="{D5CDD505-2E9C-101B-9397-08002B2CF9AE}" pid="4" name="CASEID">
    <vt:lpwstr>969207</vt:lpwstr>
  </property>
  <property fmtid="{D5CDD505-2E9C-101B-9397-08002B2CF9AE}" pid="5" name="ContentTypeId">
    <vt:lpwstr>0x010100558EB02BDB9E204AB350EDD385B68E10</vt:lpwstr>
  </property>
</Properties>
</file>