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5.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056BE4" w:rsidR="00246BF9" w:rsidP="00056BE4" w:rsidRDefault="00246BF9">
      <w:pPr>
        <w:jc w:val="center"/>
      </w:pPr>
      <w:bookmarkStart w:name="_GoBack" w:id="0"/>
      <w:bookmarkEnd w:id="0"/>
    </w:p>
    <w:p w:rsidRPr="00056BE4" w:rsidR="00246BF9" w:rsidP="00056BE4" w:rsidRDefault="00246BF9">
      <w:pPr>
        <w:jc w:val="center"/>
      </w:pPr>
    </w:p>
    <w:p w:rsidRPr="00056BE4" w:rsidR="00246BF9" w:rsidP="00056BE4" w:rsidRDefault="00246BF9">
      <w:pPr>
        <w:jc w:val="center"/>
      </w:pPr>
    </w:p>
    <w:p w:rsidRPr="00056BE4" w:rsidR="00014566" w:rsidP="00056BE4" w:rsidRDefault="004875ED">
      <w:pPr>
        <w:jc w:val="center"/>
      </w:pPr>
      <w:r w:rsidRPr="00056BE4">
        <w:t>SECOND SECTION</w:t>
      </w:r>
    </w:p>
    <w:p w:rsidRPr="00056BE4" w:rsidR="00014566" w:rsidP="00056BE4" w:rsidRDefault="00014566">
      <w:pPr>
        <w:jc w:val="center"/>
      </w:pPr>
    </w:p>
    <w:p w:rsidRPr="00056BE4" w:rsidR="00246BF9" w:rsidP="00056BE4" w:rsidRDefault="00246BF9">
      <w:pPr>
        <w:jc w:val="center"/>
      </w:pPr>
    </w:p>
    <w:p w:rsidRPr="00056BE4" w:rsidR="00246BF9" w:rsidP="00056BE4" w:rsidRDefault="00246BF9">
      <w:pPr>
        <w:jc w:val="center"/>
      </w:pPr>
    </w:p>
    <w:p w:rsidRPr="00056BE4" w:rsidR="00246BF9" w:rsidP="00056BE4" w:rsidRDefault="00246BF9">
      <w:pPr>
        <w:jc w:val="center"/>
      </w:pPr>
    </w:p>
    <w:p w:rsidRPr="00056BE4" w:rsidR="00246BF9" w:rsidP="00056BE4" w:rsidRDefault="00246BF9">
      <w:pPr>
        <w:jc w:val="center"/>
      </w:pPr>
    </w:p>
    <w:p w:rsidRPr="00056BE4" w:rsidR="00246BF9" w:rsidP="00056BE4" w:rsidRDefault="00246BF9">
      <w:pPr>
        <w:jc w:val="center"/>
      </w:pPr>
    </w:p>
    <w:p w:rsidRPr="00056BE4" w:rsidR="00014566" w:rsidP="00056BE4" w:rsidRDefault="00014566">
      <w:pPr>
        <w:jc w:val="center"/>
        <w:rPr>
          <w:b/>
          <w:lang w:val="en-GB"/>
        </w:rPr>
      </w:pPr>
      <w:bookmarkStart w:name="To" w:id="1"/>
      <w:r w:rsidRPr="00056BE4">
        <w:rPr>
          <w:b/>
          <w:lang w:val="en-GB"/>
        </w:rPr>
        <w:t xml:space="preserve">CASE OF </w:t>
      </w:r>
      <w:bookmarkEnd w:id="1"/>
      <w:r w:rsidRPr="00056BE4" w:rsidR="004875ED">
        <w:rPr>
          <w:b/>
          <w:lang w:val="en-GB"/>
        </w:rPr>
        <w:t>İNC</w:t>
      </w:r>
      <w:r w:rsidRPr="00056BE4" w:rsidR="00F70827">
        <w:rPr>
          <w:b/>
          <w:lang w:val="en-GB"/>
        </w:rPr>
        <w:t>İ</w:t>
      </w:r>
      <w:r w:rsidRPr="00056BE4" w:rsidR="004875ED">
        <w:rPr>
          <w:b/>
          <w:lang w:val="en-GB"/>
        </w:rPr>
        <w:t>N v. TURKEY</w:t>
      </w:r>
    </w:p>
    <w:p w:rsidRPr="00056BE4" w:rsidR="00014566" w:rsidP="00056BE4" w:rsidRDefault="00014566">
      <w:pPr>
        <w:jc w:val="center"/>
        <w:rPr>
          <w:lang w:val="en-GB"/>
        </w:rPr>
      </w:pPr>
    </w:p>
    <w:p w:rsidRPr="00056BE4" w:rsidR="00014566" w:rsidP="00056BE4" w:rsidRDefault="00014566">
      <w:pPr>
        <w:jc w:val="center"/>
        <w:rPr>
          <w:i/>
          <w:lang w:val="en-GB"/>
        </w:rPr>
      </w:pPr>
      <w:r w:rsidRPr="00056BE4">
        <w:rPr>
          <w:i/>
          <w:lang w:val="en-GB"/>
        </w:rPr>
        <w:t>(</w:t>
      </w:r>
      <w:r w:rsidRPr="00056BE4" w:rsidR="004875ED">
        <w:rPr>
          <w:i/>
          <w:lang w:val="en-GB"/>
        </w:rPr>
        <w:t>Application no. 3534/06</w:t>
      </w:r>
      <w:r w:rsidRPr="00056BE4">
        <w:rPr>
          <w:i/>
          <w:lang w:val="en-GB"/>
        </w:rPr>
        <w:t>)</w:t>
      </w:r>
    </w:p>
    <w:p w:rsidRPr="00056BE4" w:rsidR="00246BF9" w:rsidP="00056BE4" w:rsidRDefault="00246BF9">
      <w:pPr>
        <w:jc w:val="center"/>
      </w:pPr>
    </w:p>
    <w:p w:rsidRPr="00056BE4" w:rsidR="00246BF9" w:rsidP="00056BE4" w:rsidRDefault="00246BF9">
      <w:pPr>
        <w:jc w:val="center"/>
      </w:pPr>
    </w:p>
    <w:p w:rsidRPr="00056BE4" w:rsidR="00246BF9" w:rsidP="00056BE4" w:rsidRDefault="00246BF9">
      <w:pPr>
        <w:jc w:val="center"/>
      </w:pPr>
    </w:p>
    <w:p w:rsidRPr="00056BE4" w:rsidR="00246BF9" w:rsidP="00056BE4" w:rsidRDefault="00246BF9">
      <w:pPr>
        <w:jc w:val="center"/>
      </w:pPr>
    </w:p>
    <w:p w:rsidRPr="00056BE4" w:rsidR="00246BF9" w:rsidP="00056BE4" w:rsidRDefault="00246BF9">
      <w:pPr>
        <w:jc w:val="center"/>
      </w:pPr>
    </w:p>
    <w:p w:rsidRPr="00056BE4" w:rsidR="00246BF9" w:rsidP="00056BE4" w:rsidRDefault="00246BF9">
      <w:pPr>
        <w:jc w:val="center"/>
      </w:pPr>
    </w:p>
    <w:p w:rsidRPr="00056BE4" w:rsidR="00246BF9" w:rsidP="00056BE4" w:rsidRDefault="00246BF9">
      <w:pPr>
        <w:jc w:val="center"/>
      </w:pPr>
    </w:p>
    <w:p w:rsidRPr="00056BE4" w:rsidR="00246BF9" w:rsidP="00056BE4" w:rsidRDefault="00246BF9">
      <w:pPr>
        <w:jc w:val="center"/>
      </w:pPr>
    </w:p>
    <w:p w:rsidRPr="00056BE4" w:rsidR="00246BF9" w:rsidP="00056BE4" w:rsidRDefault="00246BF9">
      <w:pPr>
        <w:jc w:val="center"/>
      </w:pPr>
    </w:p>
    <w:p w:rsidRPr="00056BE4" w:rsidR="00246BF9" w:rsidP="00056BE4" w:rsidRDefault="00246BF9">
      <w:pPr>
        <w:jc w:val="center"/>
      </w:pPr>
    </w:p>
    <w:p w:rsidRPr="00056BE4" w:rsidR="00113D09" w:rsidP="00056BE4" w:rsidRDefault="00246BF9">
      <w:pPr>
        <w:jc w:val="center"/>
      </w:pPr>
      <w:r w:rsidRPr="00056BE4">
        <w:t>JUDGMENT</w:t>
      </w:r>
    </w:p>
    <w:p w:rsidRPr="00056BE4" w:rsidR="00246BF9" w:rsidP="00056BE4" w:rsidRDefault="00246BF9">
      <w:pPr>
        <w:jc w:val="center"/>
      </w:pPr>
    </w:p>
    <w:p w:rsidRPr="00056BE4" w:rsidR="00246BF9" w:rsidP="00056BE4" w:rsidRDefault="00246BF9">
      <w:pPr>
        <w:jc w:val="center"/>
      </w:pPr>
    </w:p>
    <w:p w:rsidRPr="00056BE4" w:rsidR="00246BF9" w:rsidP="00056BE4" w:rsidRDefault="00246BF9">
      <w:pPr>
        <w:jc w:val="center"/>
      </w:pPr>
      <w:r w:rsidRPr="00056BE4">
        <w:t>STRASBOURG</w:t>
      </w:r>
    </w:p>
    <w:p w:rsidRPr="00056BE4" w:rsidR="00246BF9" w:rsidP="00056BE4" w:rsidRDefault="00246BF9">
      <w:pPr>
        <w:pStyle w:val="JuCase"/>
        <w:ind w:firstLine="0"/>
        <w:jc w:val="center"/>
        <w:rPr>
          <w:b w:val="0"/>
          <w:lang w:val="en-GB"/>
        </w:rPr>
      </w:pPr>
    </w:p>
    <w:p w:rsidRPr="00056BE4" w:rsidR="00246BF9" w:rsidP="00056BE4" w:rsidRDefault="00246BF9">
      <w:pPr>
        <w:jc w:val="center"/>
      </w:pPr>
      <w:r w:rsidRPr="00056BE4">
        <w:t>9 January 2018</w:t>
      </w:r>
    </w:p>
    <w:p w:rsidRPr="00056BE4" w:rsidR="00246BF9" w:rsidP="00056BE4" w:rsidRDefault="00246BF9">
      <w:pPr>
        <w:jc w:val="center"/>
      </w:pPr>
    </w:p>
    <w:p w:rsidRPr="00056BE4" w:rsidR="00246BF9" w:rsidP="00056BE4" w:rsidRDefault="00246BF9">
      <w:pPr>
        <w:jc w:val="center"/>
      </w:pPr>
    </w:p>
    <w:p w:rsidRPr="00056BE4" w:rsidR="00246BF9" w:rsidP="00056BE4" w:rsidRDefault="00246BF9">
      <w:pPr>
        <w:jc w:val="center"/>
      </w:pPr>
    </w:p>
    <w:p w:rsidRPr="00056BE4" w:rsidR="00F6299E" w:rsidP="00056BE4" w:rsidRDefault="00F6299E">
      <w:pPr>
        <w:jc w:val="center"/>
      </w:pPr>
    </w:p>
    <w:p w:rsidRPr="00056BE4" w:rsidR="00F6299E" w:rsidP="00056BE4" w:rsidRDefault="00F6299E">
      <w:pPr>
        <w:jc w:val="center"/>
      </w:pPr>
    </w:p>
    <w:p w:rsidRPr="00056BE4" w:rsidR="00246BF9" w:rsidP="00056BE4" w:rsidRDefault="00CC61AD">
      <w:pPr>
        <w:jc w:val="left"/>
        <w:rPr>
          <w:i/>
          <w:sz w:val="22"/>
          <w:lang w:val="en-GB"/>
        </w:rPr>
      </w:pPr>
      <w:r w:rsidRPr="00056BE4">
        <w:rPr>
          <w:i/>
          <w:sz w:val="22"/>
        </w:rPr>
        <w:t>This judgment will become final in the circumstances set out in Article 44 § 2 of the Convention. It may be subject to editorial revision</w:t>
      </w:r>
      <w:r w:rsidRPr="00056BE4" w:rsidR="00246BF9">
        <w:rPr>
          <w:i/>
          <w:sz w:val="22"/>
          <w:lang w:val="en-GB"/>
        </w:rPr>
        <w:t>.</w:t>
      </w:r>
    </w:p>
    <w:p w:rsidRPr="00056BE4" w:rsidR="00F6299E" w:rsidP="00056BE4" w:rsidRDefault="00F6299E">
      <w:pPr>
        <w:jc w:val="left"/>
        <w:rPr>
          <w:i/>
          <w:sz w:val="22"/>
          <w:lang w:val="en-GB"/>
        </w:rPr>
      </w:pPr>
    </w:p>
    <w:p w:rsidRPr="00056BE4" w:rsidR="00F6299E" w:rsidP="00056BE4" w:rsidRDefault="00F6299E">
      <w:pPr>
        <w:jc w:val="left"/>
        <w:rPr>
          <w:i/>
          <w:sz w:val="22"/>
        </w:rPr>
        <w:sectPr w:rsidRPr="00056BE4" w:rsidR="00F6299E" w:rsidSect="00246BF9">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1906" w:h="16838" w:code="9"/>
          <w:pgMar w:top="2274" w:right="2274" w:bottom="2274" w:left="2274" w:header="1701" w:footer="720" w:gutter="0"/>
          <w:pgNumType w:start="1"/>
          <w:cols w:space="720"/>
          <w:titlePg/>
          <w:docGrid w:linePitch="326"/>
        </w:sectPr>
      </w:pPr>
    </w:p>
    <w:p w:rsidRPr="00056BE4" w:rsidR="00014566" w:rsidP="00056BE4" w:rsidRDefault="00014566">
      <w:pPr>
        <w:pStyle w:val="JuCase"/>
        <w:rPr>
          <w:bCs/>
          <w:lang w:val="en-GB"/>
        </w:rPr>
      </w:pPr>
      <w:r w:rsidRPr="00056BE4">
        <w:rPr>
          <w:lang w:val="en-GB"/>
        </w:rPr>
        <w:t xml:space="preserve">In the case of </w:t>
      </w:r>
      <w:r w:rsidRPr="00056BE4" w:rsidR="004875ED">
        <w:rPr>
          <w:lang w:val="en-GB"/>
        </w:rPr>
        <w:t>İncin v. Turkey</w:t>
      </w:r>
      <w:r w:rsidRPr="00056BE4">
        <w:rPr>
          <w:lang w:val="en-GB"/>
        </w:rPr>
        <w:t>,</w:t>
      </w:r>
    </w:p>
    <w:p w:rsidRPr="00056BE4" w:rsidR="00014566" w:rsidP="00056BE4" w:rsidRDefault="00014566">
      <w:pPr>
        <w:pStyle w:val="ECHRPara"/>
        <w:rPr>
          <w:lang w:val="en-GB"/>
        </w:rPr>
      </w:pPr>
      <w:r w:rsidRPr="00056BE4">
        <w:rPr>
          <w:lang w:val="en-GB"/>
        </w:rPr>
        <w:t>The European Court of Human Rights (</w:t>
      </w:r>
      <w:r w:rsidRPr="00056BE4" w:rsidR="004875ED">
        <w:rPr>
          <w:lang w:val="en-GB"/>
        </w:rPr>
        <w:t>Second Section</w:t>
      </w:r>
      <w:r w:rsidRPr="00056BE4">
        <w:rPr>
          <w:lang w:val="en-GB"/>
        </w:rPr>
        <w:t xml:space="preserve">), sitting as a </w:t>
      </w:r>
      <w:r w:rsidRPr="00056BE4" w:rsidR="004875ED">
        <w:rPr>
          <w:lang w:val="en-GB"/>
        </w:rPr>
        <w:t>Chamber</w:t>
      </w:r>
      <w:r w:rsidRPr="00056BE4">
        <w:rPr>
          <w:lang w:val="en-GB"/>
        </w:rPr>
        <w:t xml:space="preserve"> composed of:</w:t>
      </w:r>
    </w:p>
    <w:p w:rsidRPr="00056BE4" w:rsidR="00014566" w:rsidP="00056BE4" w:rsidRDefault="00246BF9">
      <w:pPr>
        <w:pStyle w:val="ECHRDecisionBody"/>
        <w:rPr>
          <w:lang w:val="en-GB"/>
        </w:rPr>
      </w:pPr>
      <w:r w:rsidRPr="00056BE4">
        <w:tab/>
        <w:t>Robert Spano,</w:t>
      </w:r>
      <w:r w:rsidRPr="00056BE4">
        <w:rPr>
          <w:i/>
        </w:rPr>
        <w:t xml:space="preserve"> President,</w:t>
      </w:r>
      <w:r w:rsidRPr="00056BE4">
        <w:rPr>
          <w:i/>
        </w:rPr>
        <w:br/>
      </w:r>
      <w:r w:rsidRPr="00056BE4">
        <w:tab/>
        <w:t>Julia Laffranque,</w:t>
      </w:r>
      <w:r w:rsidRPr="00056BE4">
        <w:rPr>
          <w:i/>
        </w:rPr>
        <w:br/>
      </w:r>
      <w:r w:rsidRPr="00056BE4">
        <w:tab/>
        <w:t>Işıl Karakaş,</w:t>
      </w:r>
      <w:r w:rsidRPr="00056BE4">
        <w:rPr>
          <w:i/>
        </w:rPr>
        <w:br/>
      </w:r>
      <w:r w:rsidRPr="00056BE4">
        <w:tab/>
        <w:t>Nebojša Vučinić,</w:t>
      </w:r>
      <w:r w:rsidRPr="00056BE4">
        <w:rPr>
          <w:i/>
        </w:rPr>
        <w:br/>
      </w:r>
      <w:r w:rsidRPr="00056BE4">
        <w:tab/>
        <w:t>Paul Lemmens,</w:t>
      </w:r>
      <w:r w:rsidRPr="00056BE4">
        <w:rPr>
          <w:i/>
        </w:rPr>
        <w:br/>
      </w:r>
      <w:r w:rsidRPr="00056BE4">
        <w:tab/>
        <w:t>Jon Fridrik Kjølbro,</w:t>
      </w:r>
      <w:r w:rsidRPr="00056BE4">
        <w:rPr>
          <w:i/>
        </w:rPr>
        <w:br/>
      </w:r>
      <w:r w:rsidRPr="00056BE4">
        <w:tab/>
        <w:t>Stéphanie Mourou-Vikström,</w:t>
      </w:r>
      <w:r w:rsidRPr="00056BE4">
        <w:rPr>
          <w:i/>
        </w:rPr>
        <w:t xml:space="preserve"> judges,</w:t>
      </w:r>
      <w:r w:rsidRPr="00056BE4">
        <w:rPr>
          <w:i/>
        </w:rPr>
        <w:br/>
      </w:r>
      <w:r w:rsidRPr="00056BE4" w:rsidR="00014566">
        <w:rPr>
          <w:lang w:val="en-GB"/>
        </w:rPr>
        <w:t xml:space="preserve">and </w:t>
      </w:r>
      <w:r w:rsidRPr="00056BE4">
        <w:rPr>
          <w:lang w:val="en-GB"/>
        </w:rPr>
        <w:t>Hasan Bakırcı</w:t>
      </w:r>
      <w:r w:rsidRPr="00056BE4" w:rsidR="00014566">
        <w:rPr>
          <w:lang w:val="en-GB"/>
        </w:rPr>
        <w:t xml:space="preserve">, </w:t>
      </w:r>
      <w:r w:rsidRPr="00056BE4">
        <w:rPr>
          <w:i/>
          <w:lang w:val="en-GB"/>
        </w:rPr>
        <w:t>Deputy</w:t>
      </w:r>
      <w:r w:rsidRPr="00056BE4">
        <w:rPr>
          <w:lang w:val="en-GB"/>
        </w:rPr>
        <w:t xml:space="preserve"> </w:t>
      </w:r>
      <w:r w:rsidRPr="00056BE4" w:rsidR="004875ED">
        <w:rPr>
          <w:i/>
          <w:lang w:val="en-GB"/>
        </w:rPr>
        <w:t xml:space="preserve">Section </w:t>
      </w:r>
      <w:r w:rsidRPr="00056BE4" w:rsidR="004875ED">
        <w:rPr>
          <w:i/>
          <w:iCs/>
          <w:lang w:val="en-GB"/>
        </w:rPr>
        <w:t>Registrar</w:t>
      </w:r>
      <w:r w:rsidRPr="00056BE4" w:rsidR="00014566">
        <w:rPr>
          <w:i/>
          <w:lang w:val="en-GB"/>
        </w:rPr>
        <w:t>,</w:t>
      </w:r>
    </w:p>
    <w:p w:rsidRPr="00056BE4" w:rsidR="00014566" w:rsidP="00056BE4" w:rsidRDefault="00014566">
      <w:pPr>
        <w:pStyle w:val="ECHRPara"/>
        <w:rPr>
          <w:lang w:val="en-GB"/>
        </w:rPr>
      </w:pPr>
      <w:r w:rsidRPr="00056BE4">
        <w:rPr>
          <w:lang w:val="en-GB"/>
        </w:rPr>
        <w:t xml:space="preserve">Having deliberated in private on </w:t>
      </w:r>
      <w:r w:rsidRPr="00056BE4" w:rsidR="00246BF9">
        <w:rPr>
          <w:lang w:val="en-GB"/>
        </w:rPr>
        <w:t>5 December 2017</w:t>
      </w:r>
      <w:r w:rsidRPr="00056BE4">
        <w:rPr>
          <w:lang w:val="en-GB"/>
        </w:rPr>
        <w:t>,</w:t>
      </w:r>
    </w:p>
    <w:p w:rsidRPr="00056BE4" w:rsidR="00014566" w:rsidP="00056BE4" w:rsidRDefault="00014566">
      <w:pPr>
        <w:pStyle w:val="ECHRPara"/>
        <w:rPr>
          <w:lang w:val="en-GB"/>
        </w:rPr>
      </w:pPr>
      <w:r w:rsidRPr="00056BE4">
        <w:rPr>
          <w:lang w:val="en-GB"/>
        </w:rPr>
        <w:t>Delivers the following judgment, which was adopted on that date:</w:t>
      </w:r>
    </w:p>
    <w:p w:rsidRPr="00056BE4" w:rsidR="00014566" w:rsidP="00056BE4" w:rsidRDefault="00014566">
      <w:pPr>
        <w:pStyle w:val="ECHRTitle1"/>
        <w:rPr>
          <w:lang w:val="en-GB"/>
        </w:rPr>
      </w:pPr>
      <w:r w:rsidRPr="00056BE4">
        <w:rPr>
          <w:lang w:val="en-GB"/>
        </w:rPr>
        <w:t>PROCEDURE</w:t>
      </w:r>
    </w:p>
    <w:p w:rsidRPr="00056BE4" w:rsidR="004875ED" w:rsidP="00056BE4" w:rsidRDefault="004F4DD8">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1</w:t>
      </w:r>
      <w:r w:rsidRPr="00056BE4">
        <w:rPr>
          <w:lang w:val="en-GB"/>
        </w:rPr>
        <w:fldChar w:fldCharType="end"/>
      </w:r>
      <w:r w:rsidRPr="00056BE4">
        <w:rPr>
          <w:lang w:val="en-GB"/>
        </w:rPr>
        <w:t>.  </w:t>
      </w:r>
      <w:r w:rsidRPr="00056BE4" w:rsidR="00014566">
        <w:rPr>
          <w:lang w:val="en-GB"/>
        </w:rPr>
        <w:t xml:space="preserve">The case originated in </w:t>
      </w:r>
      <w:r w:rsidRPr="00056BE4" w:rsidR="004875ED">
        <w:rPr>
          <w:lang w:val="en-GB"/>
        </w:rPr>
        <w:t>an application (no. 3534/06)</w:t>
      </w:r>
      <w:r w:rsidRPr="00056BE4" w:rsidR="00014566">
        <w:rPr>
          <w:lang w:val="en-GB"/>
        </w:rPr>
        <w:t xml:space="preserve"> against </w:t>
      </w:r>
      <w:r w:rsidRPr="00056BE4" w:rsidR="004875ED">
        <w:rPr>
          <w:lang w:val="en-GB"/>
        </w:rPr>
        <w:t>the Republic of Turkey</w:t>
      </w:r>
      <w:r w:rsidRPr="00056BE4" w:rsidR="00014566">
        <w:rPr>
          <w:lang w:val="en-GB"/>
        </w:rPr>
        <w:t xml:space="preserve"> lodged with the </w:t>
      </w:r>
      <w:r w:rsidRPr="00056BE4" w:rsidR="004875ED">
        <w:rPr>
          <w:lang w:val="en-GB"/>
        </w:rPr>
        <w:t>Court un</w:t>
      </w:r>
      <w:r w:rsidRPr="00056BE4" w:rsidR="00F34E49">
        <w:rPr>
          <w:lang w:val="en-GB"/>
        </w:rPr>
        <w:t xml:space="preserve">der Article </w:t>
      </w:r>
      <w:r w:rsidRPr="00056BE4" w:rsidR="004875ED">
        <w:rPr>
          <w:lang w:val="en-GB"/>
        </w:rPr>
        <w:t>34</w:t>
      </w:r>
      <w:r w:rsidRPr="00056BE4" w:rsidR="00014566">
        <w:rPr>
          <w:lang w:val="en-GB"/>
        </w:rPr>
        <w:t xml:space="preserve"> of the Convention for the Protection of Human Rights and Fundamental Freedoms (“the Convention”) by </w:t>
      </w:r>
      <w:r w:rsidRPr="00056BE4" w:rsidR="002E00C9">
        <w:rPr>
          <w:lang w:val="en-GB"/>
        </w:rPr>
        <w:t>fifteen</w:t>
      </w:r>
      <w:r w:rsidRPr="00056BE4" w:rsidR="004875ED">
        <w:rPr>
          <w:lang w:val="en-GB"/>
        </w:rPr>
        <w:t xml:space="preserve"> Turkish</w:t>
      </w:r>
      <w:r w:rsidRPr="00056BE4" w:rsidR="002E00C9">
        <w:rPr>
          <w:lang w:val="en-GB"/>
        </w:rPr>
        <w:t xml:space="preserve"> </w:t>
      </w:r>
      <w:r w:rsidRPr="00056BE4" w:rsidR="004875ED">
        <w:rPr>
          <w:lang w:val="en-GB"/>
        </w:rPr>
        <w:t xml:space="preserve">nationals </w:t>
      </w:r>
      <w:r w:rsidRPr="00056BE4" w:rsidR="00325774">
        <w:rPr>
          <w:lang w:val="en-GB"/>
        </w:rPr>
        <w:t xml:space="preserve">(“the applicants”) </w:t>
      </w:r>
      <w:r w:rsidRPr="00056BE4" w:rsidR="004875ED">
        <w:rPr>
          <w:lang w:val="en-GB"/>
        </w:rPr>
        <w:t>on 27</w:t>
      </w:r>
      <w:r w:rsidRPr="00056BE4" w:rsidR="000460E2">
        <w:rPr>
          <w:lang w:val="en-GB"/>
        </w:rPr>
        <w:t> </w:t>
      </w:r>
      <w:r w:rsidRPr="00056BE4" w:rsidR="004875ED">
        <w:rPr>
          <w:lang w:val="en-GB"/>
        </w:rPr>
        <w:t>December 2005</w:t>
      </w:r>
      <w:r w:rsidRPr="00056BE4" w:rsidR="00014566">
        <w:rPr>
          <w:lang w:val="en-GB"/>
        </w:rPr>
        <w:t>.</w:t>
      </w:r>
    </w:p>
    <w:p w:rsidRPr="00056BE4" w:rsidR="004875ED" w:rsidP="00056BE4" w:rsidRDefault="004875ED">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2</w:t>
      </w:r>
      <w:r w:rsidRPr="00056BE4">
        <w:rPr>
          <w:lang w:val="en-GB"/>
        </w:rPr>
        <w:fldChar w:fldCharType="end"/>
      </w:r>
      <w:r w:rsidRPr="00056BE4" w:rsidR="00014566">
        <w:rPr>
          <w:lang w:val="en-GB"/>
        </w:rPr>
        <w:t>.  </w:t>
      </w:r>
      <w:r w:rsidRPr="00056BE4">
        <w:rPr>
          <w:lang w:val="en-GB"/>
        </w:rPr>
        <w:t xml:space="preserve">The applicants, </w:t>
      </w:r>
      <w:r w:rsidRPr="00056BE4" w:rsidR="00E44696">
        <w:rPr>
          <w:lang w:val="en-GB"/>
        </w:rPr>
        <w:t>whose names</w:t>
      </w:r>
      <w:r w:rsidRPr="00056BE4" w:rsidR="00325774">
        <w:rPr>
          <w:lang w:val="en-GB"/>
        </w:rPr>
        <w:t>,</w:t>
      </w:r>
      <w:r w:rsidRPr="00056BE4" w:rsidR="00E44696">
        <w:rPr>
          <w:lang w:val="en-GB"/>
        </w:rPr>
        <w:t xml:space="preserve"> dates of birth </w:t>
      </w:r>
      <w:r w:rsidRPr="00056BE4" w:rsidR="00325774">
        <w:rPr>
          <w:lang w:val="en-GB"/>
        </w:rPr>
        <w:t xml:space="preserve">and places of residence </w:t>
      </w:r>
      <w:r w:rsidRPr="00056BE4" w:rsidR="00E44696">
        <w:rPr>
          <w:lang w:val="en-GB"/>
        </w:rPr>
        <w:t xml:space="preserve">are set out in the attached table, </w:t>
      </w:r>
      <w:r w:rsidRPr="00056BE4" w:rsidR="002E00C9">
        <w:rPr>
          <w:lang w:val="en-GB"/>
        </w:rPr>
        <w:t>were represented by</w:t>
      </w:r>
      <w:r w:rsidRPr="00056BE4">
        <w:rPr>
          <w:lang w:val="en-GB"/>
        </w:rPr>
        <w:t xml:space="preserve"> Mr C</w:t>
      </w:r>
      <w:r w:rsidRPr="00056BE4" w:rsidR="002E00C9">
        <w:rPr>
          <w:lang w:val="en-GB"/>
        </w:rPr>
        <w:t>emal</w:t>
      </w:r>
      <w:r w:rsidRPr="00056BE4">
        <w:rPr>
          <w:lang w:val="en-GB"/>
        </w:rPr>
        <w:t xml:space="preserve"> Demir, a lawyer practising in Van. </w:t>
      </w:r>
      <w:r w:rsidRPr="00056BE4" w:rsidR="00014566">
        <w:rPr>
          <w:lang w:val="en-GB"/>
        </w:rPr>
        <w:t xml:space="preserve">The </w:t>
      </w:r>
      <w:r w:rsidRPr="00056BE4">
        <w:rPr>
          <w:lang w:val="en-GB"/>
        </w:rPr>
        <w:t>Turkish</w:t>
      </w:r>
      <w:r w:rsidRPr="00056BE4" w:rsidR="00014566">
        <w:rPr>
          <w:lang w:val="en-GB"/>
        </w:rPr>
        <w:t xml:space="preserve"> Government (“the Government”) were represented by their Agent.</w:t>
      </w:r>
    </w:p>
    <w:p w:rsidRPr="00056BE4" w:rsidR="00014566" w:rsidP="00056BE4" w:rsidRDefault="004875ED">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3</w:t>
      </w:r>
      <w:r w:rsidRPr="00056BE4">
        <w:rPr>
          <w:lang w:val="en-GB"/>
        </w:rPr>
        <w:fldChar w:fldCharType="end"/>
      </w:r>
      <w:r w:rsidRPr="00056BE4">
        <w:rPr>
          <w:lang w:val="en-GB"/>
        </w:rPr>
        <w:t>.  The applicants alleged, in particular,</w:t>
      </w:r>
      <w:r w:rsidRPr="00056BE4" w:rsidR="002E00C9">
        <w:rPr>
          <w:lang w:val="en-GB"/>
        </w:rPr>
        <w:t xml:space="preserve"> that the investigation and the trial concerning the killing of their relative in </w:t>
      </w:r>
      <w:r w:rsidRPr="00056BE4" w:rsidR="00C47D86">
        <w:rPr>
          <w:lang w:val="en-GB"/>
        </w:rPr>
        <w:t xml:space="preserve">June </w:t>
      </w:r>
      <w:r w:rsidRPr="00056BE4" w:rsidR="002E00C9">
        <w:rPr>
          <w:lang w:val="en-GB"/>
        </w:rPr>
        <w:t>1995 had been in breach of the procedural obligation inherent in Article 2 of the Convention</w:t>
      </w:r>
      <w:r w:rsidRPr="00056BE4">
        <w:rPr>
          <w:lang w:val="en-GB"/>
        </w:rPr>
        <w:t>.</w:t>
      </w:r>
    </w:p>
    <w:p w:rsidRPr="00056BE4" w:rsidR="00014566" w:rsidP="00056BE4" w:rsidRDefault="004875ED">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4</w:t>
      </w:r>
      <w:r w:rsidRPr="00056BE4">
        <w:rPr>
          <w:lang w:val="en-GB"/>
        </w:rPr>
        <w:fldChar w:fldCharType="end"/>
      </w:r>
      <w:r w:rsidRPr="00056BE4" w:rsidR="00014566">
        <w:rPr>
          <w:lang w:val="en-GB"/>
        </w:rPr>
        <w:t>.  </w:t>
      </w:r>
      <w:r w:rsidRPr="00056BE4">
        <w:rPr>
          <w:lang w:val="en-GB"/>
        </w:rPr>
        <w:t>On 10 November 2015</w:t>
      </w:r>
      <w:r w:rsidRPr="00056BE4" w:rsidR="00014566">
        <w:rPr>
          <w:lang w:val="en-GB"/>
        </w:rPr>
        <w:t xml:space="preserve"> the </w:t>
      </w:r>
      <w:r w:rsidRPr="00056BE4">
        <w:rPr>
          <w:lang w:val="en-GB"/>
        </w:rPr>
        <w:t xml:space="preserve">complaint </w:t>
      </w:r>
      <w:r w:rsidRPr="00056BE4" w:rsidR="002E00C9">
        <w:rPr>
          <w:lang w:val="en-GB"/>
        </w:rPr>
        <w:t>under</w:t>
      </w:r>
      <w:r w:rsidRPr="00056BE4" w:rsidR="00BE4AAB">
        <w:rPr>
          <w:lang w:val="en-GB"/>
        </w:rPr>
        <w:t xml:space="preserve"> Article </w:t>
      </w:r>
      <w:r w:rsidRPr="00056BE4" w:rsidR="002E00C9">
        <w:rPr>
          <w:lang w:val="en-GB"/>
        </w:rPr>
        <w:t xml:space="preserve">2 of the Convention </w:t>
      </w:r>
      <w:r w:rsidRPr="00056BE4">
        <w:rPr>
          <w:lang w:val="en-GB"/>
        </w:rPr>
        <w:t xml:space="preserve">concerning </w:t>
      </w:r>
      <w:r w:rsidRPr="00056BE4" w:rsidR="002E00C9">
        <w:rPr>
          <w:lang w:val="en-GB"/>
        </w:rPr>
        <w:t>the effectiveness of the investigation and trial conducted</w:t>
      </w:r>
      <w:r w:rsidRPr="00056BE4">
        <w:rPr>
          <w:lang w:val="en-GB"/>
        </w:rPr>
        <w:t xml:space="preserve"> </w:t>
      </w:r>
      <w:r w:rsidRPr="00056BE4" w:rsidR="002E00C9">
        <w:rPr>
          <w:lang w:val="en-GB"/>
        </w:rPr>
        <w:t xml:space="preserve">after 22 March 2005 </w:t>
      </w:r>
      <w:r w:rsidRPr="00056BE4">
        <w:rPr>
          <w:lang w:val="en-GB"/>
        </w:rPr>
        <w:t>was communicated to the Government and the remainder of the application was declared inadmissible</w:t>
      </w:r>
      <w:r w:rsidRPr="00056BE4" w:rsidR="007509D5">
        <w:rPr>
          <w:lang w:val="en-GB"/>
        </w:rPr>
        <w:t>.</w:t>
      </w:r>
    </w:p>
    <w:p w:rsidRPr="00056BE4" w:rsidR="00014566" w:rsidP="00056BE4" w:rsidRDefault="00014566">
      <w:pPr>
        <w:pStyle w:val="ECHRTitle1"/>
        <w:rPr>
          <w:lang w:val="en-GB"/>
        </w:rPr>
      </w:pPr>
      <w:r w:rsidRPr="00056BE4">
        <w:rPr>
          <w:lang w:val="en-GB"/>
        </w:rPr>
        <w:t>THE FACTS</w:t>
      </w:r>
    </w:p>
    <w:p w:rsidRPr="00056BE4" w:rsidR="00014566" w:rsidP="00056BE4" w:rsidRDefault="00014566">
      <w:pPr>
        <w:pStyle w:val="ECHRHeading1"/>
        <w:rPr>
          <w:lang w:val="en-GB"/>
        </w:rPr>
      </w:pPr>
      <w:r w:rsidRPr="00056BE4">
        <w:rPr>
          <w:lang w:val="en-GB"/>
        </w:rPr>
        <w:t>THE CIRCUMSTANCES OF THE CASE</w:t>
      </w:r>
    </w:p>
    <w:p w:rsidRPr="00056BE4" w:rsidR="00AF4A48" w:rsidP="00056BE4" w:rsidRDefault="00DB371A">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5</w:t>
      </w:r>
      <w:r w:rsidRPr="00056BE4">
        <w:rPr>
          <w:lang w:val="en-GB"/>
        </w:rPr>
        <w:fldChar w:fldCharType="end"/>
      </w:r>
      <w:r w:rsidRPr="00056BE4">
        <w:rPr>
          <w:lang w:val="en-GB"/>
        </w:rPr>
        <w:t>.  </w:t>
      </w:r>
      <w:r w:rsidRPr="00056BE4" w:rsidR="00014566">
        <w:rPr>
          <w:lang w:val="en-GB"/>
        </w:rPr>
        <w:t>The</w:t>
      </w:r>
      <w:r w:rsidRPr="00056BE4" w:rsidR="00AF4A48">
        <w:rPr>
          <w:lang w:val="en-GB"/>
        </w:rPr>
        <w:t xml:space="preserve"> first applicant</w:t>
      </w:r>
      <w:r w:rsidRPr="00056BE4" w:rsidR="00947D77">
        <w:rPr>
          <w:lang w:val="en-GB"/>
        </w:rPr>
        <w:t>,</w:t>
      </w:r>
      <w:r w:rsidRPr="00056BE4" w:rsidR="00AF4A48">
        <w:rPr>
          <w:lang w:val="en-GB"/>
        </w:rPr>
        <w:t xml:space="preserve"> Habibe İncin</w:t>
      </w:r>
      <w:r w:rsidRPr="00056BE4" w:rsidR="00947D77">
        <w:rPr>
          <w:lang w:val="en-GB"/>
        </w:rPr>
        <w:t>,</w:t>
      </w:r>
      <w:r w:rsidRPr="00056BE4" w:rsidR="00AF4A48">
        <w:rPr>
          <w:lang w:val="en-GB"/>
        </w:rPr>
        <w:t xml:space="preserve"> is the wife</w:t>
      </w:r>
      <w:r w:rsidRPr="00056BE4" w:rsidR="00063BD0">
        <w:rPr>
          <w:lang w:val="en-GB"/>
        </w:rPr>
        <w:t xml:space="preserve"> of Kerim İncin</w:t>
      </w:r>
      <w:r w:rsidRPr="00056BE4" w:rsidR="00991A3A">
        <w:rPr>
          <w:lang w:val="en-GB"/>
        </w:rPr>
        <w:t>;</w:t>
      </w:r>
      <w:r w:rsidRPr="00056BE4" w:rsidR="00AF4A48">
        <w:rPr>
          <w:lang w:val="en-GB"/>
        </w:rPr>
        <w:t xml:space="preserve"> the </w:t>
      </w:r>
      <w:r w:rsidRPr="00056BE4" w:rsidR="00991A3A">
        <w:rPr>
          <w:lang w:val="en-GB"/>
        </w:rPr>
        <w:t xml:space="preserve">second to seventh </w:t>
      </w:r>
      <w:r w:rsidRPr="00056BE4" w:rsidR="00AF4A48">
        <w:rPr>
          <w:lang w:val="en-GB"/>
        </w:rPr>
        <w:t xml:space="preserve">applicants are </w:t>
      </w:r>
      <w:r w:rsidRPr="00056BE4" w:rsidR="00063BD0">
        <w:rPr>
          <w:lang w:val="en-GB"/>
        </w:rPr>
        <w:t xml:space="preserve">his </w:t>
      </w:r>
      <w:r w:rsidRPr="00056BE4" w:rsidR="00AF4A48">
        <w:rPr>
          <w:lang w:val="en-GB"/>
        </w:rPr>
        <w:t>children</w:t>
      </w:r>
      <w:r w:rsidRPr="00056BE4" w:rsidR="00991A3A">
        <w:rPr>
          <w:lang w:val="en-GB"/>
        </w:rPr>
        <w:t>; t</w:t>
      </w:r>
      <w:r w:rsidRPr="00056BE4" w:rsidR="00AF4A48">
        <w:rPr>
          <w:lang w:val="en-GB"/>
        </w:rPr>
        <w:t>he eight</w:t>
      </w:r>
      <w:r w:rsidRPr="00056BE4" w:rsidR="00991A3A">
        <w:rPr>
          <w:lang w:val="en-GB"/>
        </w:rPr>
        <w:t>h</w:t>
      </w:r>
      <w:r w:rsidRPr="00056BE4" w:rsidR="00AF4A48">
        <w:rPr>
          <w:lang w:val="en-GB"/>
        </w:rPr>
        <w:t xml:space="preserve"> applicant is </w:t>
      </w:r>
      <w:r w:rsidRPr="00056BE4" w:rsidR="00063BD0">
        <w:rPr>
          <w:lang w:val="en-GB"/>
        </w:rPr>
        <w:t xml:space="preserve">his </w:t>
      </w:r>
      <w:r w:rsidRPr="00056BE4" w:rsidR="00AF4A48">
        <w:rPr>
          <w:lang w:val="en-GB"/>
        </w:rPr>
        <w:t>mother and the remaining seven applicants are the siblings of Kerim İncin.</w:t>
      </w:r>
    </w:p>
    <w:p w:rsidRPr="00056BE4" w:rsidR="00987FE9" w:rsidP="00056BE4" w:rsidRDefault="004875ED">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6</w:t>
      </w:r>
      <w:r w:rsidRPr="00056BE4">
        <w:rPr>
          <w:lang w:val="en-GB"/>
        </w:rPr>
        <w:fldChar w:fldCharType="end"/>
      </w:r>
      <w:r w:rsidRPr="00056BE4" w:rsidR="00014566">
        <w:rPr>
          <w:lang w:val="en-GB"/>
        </w:rPr>
        <w:t>.  </w:t>
      </w:r>
      <w:r w:rsidRPr="00056BE4" w:rsidR="0096523F">
        <w:rPr>
          <w:lang w:val="en-GB"/>
        </w:rPr>
        <w:t>On 22 March 2005 the applicants Halim</w:t>
      </w:r>
      <w:r w:rsidRPr="00056BE4" w:rsidR="00F77DC7">
        <w:rPr>
          <w:lang w:val="en-GB"/>
        </w:rPr>
        <w:t>a</w:t>
      </w:r>
      <w:r w:rsidRPr="00056BE4" w:rsidR="0096523F">
        <w:rPr>
          <w:lang w:val="en-GB"/>
        </w:rPr>
        <w:t xml:space="preserve"> İncin and Hazım İncin</w:t>
      </w:r>
      <w:r w:rsidRPr="00056BE4" w:rsidR="006F4D90">
        <w:rPr>
          <w:lang w:val="en-GB"/>
        </w:rPr>
        <w:t>, with the assistance of</w:t>
      </w:r>
      <w:r w:rsidRPr="00056BE4" w:rsidR="0096523F">
        <w:rPr>
          <w:lang w:val="en-GB"/>
        </w:rPr>
        <w:t xml:space="preserve"> </w:t>
      </w:r>
      <w:r w:rsidRPr="00056BE4" w:rsidR="006F4D90">
        <w:rPr>
          <w:lang w:val="en-GB"/>
        </w:rPr>
        <w:t xml:space="preserve">their lawyer, </w:t>
      </w:r>
      <w:r w:rsidRPr="00056BE4" w:rsidR="0096523F">
        <w:rPr>
          <w:lang w:val="en-GB"/>
        </w:rPr>
        <w:t xml:space="preserve">submitted a </w:t>
      </w:r>
      <w:r w:rsidRPr="00056BE4" w:rsidR="00F632FA">
        <w:rPr>
          <w:lang w:val="en-GB"/>
        </w:rPr>
        <w:t xml:space="preserve">petition </w:t>
      </w:r>
      <w:r w:rsidRPr="00056BE4" w:rsidR="0096523F">
        <w:rPr>
          <w:lang w:val="en-GB"/>
        </w:rPr>
        <w:t>to the Hakkari prosecutor. In the</w:t>
      </w:r>
      <w:r w:rsidRPr="00056BE4" w:rsidR="00DB371A">
        <w:rPr>
          <w:lang w:val="en-GB"/>
        </w:rPr>
        <w:t>ir</w:t>
      </w:r>
      <w:r w:rsidRPr="00056BE4" w:rsidR="0096523F">
        <w:rPr>
          <w:lang w:val="en-GB"/>
        </w:rPr>
        <w:t xml:space="preserve"> petition the</w:t>
      </w:r>
      <w:r w:rsidRPr="00056BE4" w:rsidR="00DB371A">
        <w:rPr>
          <w:lang w:val="en-GB"/>
        </w:rPr>
        <w:t xml:space="preserve"> </w:t>
      </w:r>
      <w:r w:rsidRPr="00056BE4" w:rsidR="00CA3BAE">
        <w:rPr>
          <w:lang w:val="en-GB"/>
        </w:rPr>
        <w:t xml:space="preserve">two </w:t>
      </w:r>
      <w:r w:rsidRPr="00056BE4" w:rsidR="00DB371A">
        <w:rPr>
          <w:lang w:val="en-GB"/>
        </w:rPr>
        <w:t>applicants</w:t>
      </w:r>
      <w:r w:rsidRPr="00056BE4" w:rsidR="0096523F">
        <w:rPr>
          <w:lang w:val="en-GB"/>
        </w:rPr>
        <w:t xml:space="preserve"> alleged that af</w:t>
      </w:r>
      <w:r w:rsidRPr="00056BE4" w:rsidR="00063BD0">
        <w:rPr>
          <w:lang w:val="en-GB"/>
        </w:rPr>
        <w:t>ter</w:t>
      </w:r>
      <w:r w:rsidRPr="00056BE4" w:rsidR="0096523F">
        <w:rPr>
          <w:lang w:val="en-GB"/>
        </w:rPr>
        <w:t xml:space="preserve"> severe </w:t>
      </w:r>
      <w:r w:rsidRPr="00056BE4" w:rsidR="00EE42C3">
        <w:rPr>
          <w:lang w:val="en-GB"/>
        </w:rPr>
        <w:t xml:space="preserve">military </w:t>
      </w:r>
      <w:r w:rsidRPr="00056BE4" w:rsidR="0096523F">
        <w:rPr>
          <w:lang w:val="en-GB"/>
        </w:rPr>
        <w:t>clashes</w:t>
      </w:r>
      <w:r w:rsidRPr="00056BE4" w:rsidR="00063BD0">
        <w:rPr>
          <w:lang w:val="en-GB"/>
        </w:rPr>
        <w:t xml:space="preserve"> had taken place</w:t>
      </w:r>
      <w:r w:rsidRPr="00056BE4" w:rsidR="0096523F">
        <w:rPr>
          <w:lang w:val="en-GB"/>
        </w:rPr>
        <w:t xml:space="preserve"> in the vicinity of their village</w:t>
      </w:r>
      <w:r w:rsidRPr="00056BE4" w:rsidR="00DB371A">
        <w:rPr>
          <w:lang w:val="en-GB"/>
        </w:rPr>
        <w:t>,</w:t>
      </w:r>
      <w:r w:rsidRPr="00056BE4" w:rsidR="006F4D90">
        <w:rPr>
          <w:lang w:val="en-GB"/>
        </w:rPr>
        <w:t xml:space="preserve"> in 1994</w:t>
      </w:r>
      <w:r w:rsidRPr="00056BE4" w:rsidR="0096523F">
        <w:rPr>
          <w:lang w:val="en-GB"/>
        </w:rPr>
        <w:t xml:space="preserve"> they </w:t>
      </w:r>
      <w:r w:rsidRPr="00056BE4" w:rsidR="00FA4251">
        <w:rPr>
          <w:lang w:val="en-GB"/>
        </w:rPr>
        <w:t xml:space="preserve">and their family members </w:t>
      </w:r>
      <w:r w:rsidRPr="00056BE4" w:rsidR="0096523F">
        <w:rPr>
          <w:lang w:val="en-GB"/>
        </w:rPr>
        <w:t xml:space="preserve">had left Turkey and moved </w:t>
      </w:r>
      <w:r w:rsidRPr="00056BE4" w:rsidR="00063BD0">
        <w:rPr>
          <w:lang w:val="en-GB"/>
        </w:rPr>
        <w:t xml:space="preserve">to live </w:t>
      </w:r>
      <w:r w:rsidRPr="00056BE4" w:rsidR="0096523F">
        <w:rPr>
          <w:lang w:val="en-GB"/>
        </w:rPr>
        <w:t xml:space="preserve">with their relatives in Iraq. </w:t>
      </w:r>
      <w:r w:rsidRPr="00056BE4" w:rsidR="00FA4251">
        <w:rPr>
          <w:lang w:val="en-GB"/>
        </w:rPr>
        <w:t xml:space="preserve">In June 1995 </w:t>
      </w:r>
      <w:r w:rsidRPr="00056BE4" w:rsidR="0096523F">
        <w:rPr>
          <w:lang w:val="en-GB"/>
        </w:rPr>
        <w:t>Kerim İncin had</w:t>
      </w:r>
      <w:r w:rsidRPr="00056BE4" w:rsidR="008A7153">
        <w:rPr>
          <w:lang w:val="en-GB"/>
        </w:rPr>
        <w:t xml:space="preserve"> </w:t>
      </w:r>
      <w:r w:rsidRPr="00056BE4" w:rsidR="009236CC">
        <w:rPr>
          <w:lang w:val="en-GB"/>
        </w:rPr>
        <w:t>gone</w:t>
      </w:r>
      <w:r w:rsidRPr="00056BE4" w:rsidR="008A7153">
        <w:rPr>
          <w:lang w:val="en-GB"/>
        </w:rPr>
        <w:t xml:space="preserve"> back to their village </w:t>
      </w:r>
      <w:r w:rsidRPr="00056BE4" w:rsidR="009236CC">
        <w:rPr>
          <w:lang w:val="en-GB"/>
        </w:rPr>
        <w:t xml:space="preserve">in Turkey </w:t>
      </w:r>
      <w:r w:rsidRPr="00056BE4" w:rsidR="008A7153">
        <w:rPr>
          <w:lang w:val="en-GB"/>
        </w:rPr>
        <w:t xml:space="preserve">to collect </w:t>
      </w:r>
      <w:r w:rsidRPr="00056BE4" w:rsidR="00DB371A">
        <w:rPr>
          <w:lang w:val="en-GB"/>
        </w:rPr>
        <w:t xml:space="preserve">a sum of </w:t>
      </w:r>
      <w:r w:rsidRPr="00056BE4" w:rsidR="008A7153">
        <w:rPr>
          <w:lang w:val="en-GB"/>
        </w:rPr>
        <w:t>mon</w:t>
      </w:r>
      <w:r w:rsidRPr="00056BE4" w:rsidR="00EE42C3">
        <w:rPr>
          <w:lang w:val="en-GB"/>
        </w:rPr>
        <w:t>e</w:t>
      </w:r>
      <w:r w:rsidRPr="00056BE4" w:rsidR="00DB371A">
        <w:rPr>
          <w:lang w:val="en-GB"/>
        </w:rPr>
        <w:t>y</w:t>
      </w:r>
      <w:r w:rsidRPr="00056BE4" w:rsidR="008A7153">
        <w:rPr>
          <w:lang w:val="en-GB"/>
        </w:rPr>
        <w:t xml:space="preserve"> he was owed. While he was having dinner in the village headman</w:t>
      </w:r>
      <w:r w:rsidRPr="00056BE4" w:rsidR="00056BE4">
        <w:rPr>
          <w:lang w:val="en-GB"/>
        </w:rPr>
        <w:t>’</w:t>
      </w:r>
      <w:r w:rsidRPr="00056BE4" w:rsidR="008A7153">
        <w:rPr>
          <w:lang w:val="en-GB"/>
        </w:rPr>
        <w:t xml:space="preserve">s house, village guards had arrived and taken him to the nearby Geçimli military station. While at the military station </w:t>
      </w:r>
      <w:r w:rsidRPr="00056BE4" w:rsidR="006F4D90">
        <w:rPr>
          <w:lang w:val="en-GB"/>
        </w:rPr>
        <w:t>Kerim İncin</w:t>
      </w:r>
      <w:r w:rsidRPr="00056BE4" w:rsidR="008A7153">
        <w:rPr>
          <w:lang w:val="en-GB"/>
        </w:rPr>
        <w:t xml:space="preserve"> had been questioned and subjected to ill-treatment. After having detained him at the station </w:t>
      </w:r>
      <w:r w:rsidRPr="00056BE4" w:rsidR="00987FE9">
        <w:rPr>
          <w:lang w:val="en-GB"/>
        </w:rPr>
        <w:t>for a week</w:t>
      </w:r>
      <w:r w:rsidRPr="00056BE4" w:rsidR="009236CC">
        <w:rPr>
          <w:lang w:val="en-GB"/>
        </w:rPr>
        <w:t>,</w:t>
      </w:r>
      <w:r w:rsidRPr="00056BE4" w:rsidR="00987FE9">
        <w:rPr>
          <w:lang w:val="en-GB"/>
        </w:rPr>
        <w:t xml:space="preserve"> </w:t>
      </w:r>
      <w:r w:rsidRPr="00056BE4" w:rsidR="008A7153">
        <w:rPr>
          <w:lang w:val="en-GB"/>
        </w:rPr>
        <w:t xml:space="preserve">the soldiers had </w:t>
      </w:r>
      <w:r w:rsidRPr="00056BE4" w:rsidR="009236CC">
        <w:rPr>
          <w:lang w:val="en-GB"/>
        </w:rPr>
        <w:t>taken</w:t>
      </w:r>
      <w:r w:rsidRPr="00056BE4" w:rsidR="008A7153">
        <w:rPr>
          <w:lang w:val="en-GB"/>
        </w:rPr>
        <w:t xml:space="preserve"> him back to the village</w:t>
      </w:r>
      <w:r w:rsidRPr="00056BE4" w:rsidR="00EE42C3">
        <w:rPr>
          <w:lang w:val="en-GB"/>
        </w:rPr>
        <w:t>,</w:t>
      </w:r>
      <w:r w:rsidRPr="00056BE4" w:rsidR="008A7153">
        <w:rPr>
          <w:lang w:val="en-GB"/>
        </w:rPr>
        <w:t xml:space="preserve"> where they </w:t>
      </w:r>
      <w:r w:rsidRPr="00056BE4" w:rsidR="00947D77">
        <w:rPr>
          <w:lang w:val="en-GB"/>
        </w:rPr>
        <w:t xml:space="preserve">had </w:t>
      </w:r>
      <w:r w:rsidRPr="00056BE4" w:rsidR="008A7153">
        <w:rPr>
          <w:lang w:val="en-GB"/>
        </w:rPr>
        <w:t>shot him and buried him.</w:t>
      </w:r>
    </w:p>
    <w:p w:rsidRPr="00056BE4" w:rsidR="00014566" w:rsidP="00056BE4" w:rsidRDefault="00987FE9">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7</w:t>
      </w:r>
      <w:r w:rsidRPr="00056BE4">
        <w:rPr>
          <w:lang w:val="en-GB"/>
        </w:rPr>
        <w:fldChar w:fldCharType="end"/>
      </w:r>
      <w:r w:rsidRPr="00056BE4">
        <w:rPr>
          <w:lang w:val="en-GB"/>
        </w:rPr>
        <w:t xml:space="preserve">.  In the petition the </w:t>
      </w:r>
      <w:r w:rsidRPr="00056BE4" w:rsidR="00DF716C">
        <w:rPr>
          <w:lang w:val="en-GB"/>
        </w:rPr>
        <w:t xml:space="preserve">lawyer representing the applicants stated that the </w:t>
      </w:r>
      <w:r w:rsidRPr="00056BE4">
        <w:rPr>
          <w:lang w:val="en-GB"/>
        </w:rPr>
        <w:t>applicant</w:t>
      </w:r>
      <w:r w:rsidRPr="00056BE4" w:rsidR="00DF716C">
        <w:rPr>
          <w:lang w:val="en-GB"/>
        </w:rPr>
        <w:t xml:space="preserve"> Hazım İncin</w:t>
      </w:r>
      <w:r w:rsidRPr="00056BE4">
        <w:rPr>
          <w:lang w:val="en-GB"/>
        </w:rPr>
        <w:t xml:space="preserve"> </w:t>
      </w:r>
      <w:r w:rsidRPr="00056BE4" w:rsidR="00DF716C">
        <w:rPr>
          <w:lang w:val="en-GB"/>
        </w:rPr>
        <w:t xml:space="preserve">had </w:t>
      </w:r>
      <w:r w:rsidRPr="00056BE4" w:rsidR="00063BD0">
        <w:rPr>
          <w:lang w:val="en-GB"/>
        </w:rPr>
        <w:t xml:space="preserve">recently </w:t>
      </w:r>
      <w:r w:rsidRPr="00056BE4" w:rsidR="00DF716C">
        <w:rPr>
          <w:lang w:val="en-GB"/>
        </w:rPr>
        <w:t xml:space="preserve">returned to Turkey from Iraq and wanted to </w:t>
      </w:r>
      <w:r w:rsidRPr="00056BE4" w:rsidR="00063BD0">
        <w:rPr>
          <w:lang w:val="en-GB"/>
        </w:rPr>
        <w:t>lodge an</w:t>
      </w:r>
      <w:r w:rsidRPr="00056BE4" w:rsidR="00BC487F">
        <w:rPr>
          <w:lang w:val="en-GB"/>
        </w:rPr>
        <w:t xml:space="preserve"> </w:t>
      </w:r>
      <w:r w:rsidRPr="00056BE4" w:rsidR="00DF716C">
        <w:rPr>
          <w:lang w:val="en-GB"/>
        </w:rPr>
        <w:t xml:space="preserve">official complaint concerning the killing of his father. </w:t>
      </w:r>
      <w:r w:rsidRPr="00056BE4" w:rsidR="00351C56">
        <w:rPr>
          <w:lang w:val="en-GB"/>
        </w:rPr>
        <w:t>In their</w:t>
      </w:r>
      <w:r w:rsidRPr="00056BE4" w:rsidR="00DF716C">
        <w:rPr>
          <w:lang w:val="en-GB"/>
        </w:rPr>
        <w:t xml:space="preserve"> petition the two applicants also </w:t>
      </w:r>
      <w:r w:rsidRPr="00056BE4">
        <w:rPr>
          <w:lang w:val="en-GB"/>
        </w:rPr>
        <w:t xml:space="preserve">gave </w:t>
      </w:r>
      <w:r w:rsidRPr="00056BE4" w:rsidR="00DF716C">
        <w:rPr>
          <w:lang w:val="en-GB"/>
        </w:rPr>
        <w:t xml:space="preserve">the prosecutor </w:t>
      </w:r>
      <w:r w:rsidRPr="00056BE4">
        <w:rPr>
          <w:lang w:val="en-GB"/>
        </w:rPr>
        <w:t>the names of a number of people who they alleged had witnessed the incident in question. They asked the prosecutor to carry out an investigation,</w:t>
      </w:r>
      <w:r w:rsidRPr="00056BE4" w:rsidR="00063BD0">
        <w:rPr>
          <w:lang w:val="en-GB"/>
        </w:rPr>
        <w:t xml:space="preserve"> to</w:t>
      </w:r>
      <w:r w:rsidRPr="00056BE4">
        <w:rPr>
          <w:lang w:val="en-GB"/>
        </w:rPr>
        <w:t xml:space="preserve"> identify and question all</w:t>
      </w:r>
      <w:r w:rsidRPr="00056BE4" w:rsidR="00EE42C3">
        <w:rPr>
          <w:lang w:val="en-GB"/>
        </w:rPr>
        <w:t xml:space="preserve"> the</w:t>
      </w:r>
      <w:r w:rsidRPr="00056BE4">
        <w:rPr>
          <w:lang w:val="en-GB"/>
        </w:rPr>
        <w:t xml:space="preserve"> eyewitnesses, </w:t>
      </w:r>
      <w:r w:rsidRPr="00056BE4" w:rsidR="00063BD0">
        <w:rPr>
          <w:lang w:val="en-GB"/>
        </w:rPr>
        <w:t xml:space="preserve">to </w:t>
      </w:r>
      <w:r w:rsidRPr="00056BE4">
        <w:rPr>
          <w:lang w:val="en-GB"/>
        </w:rPr>
        <w:t xml:space="preserve">exhume the body of Kerim İncin and </w:t>
      </w:r>
      <w:r w:rsidRPr="00056BE4" w:rsidR="00063BD0">
        <w:rPr>
          <w:lang w:val="en-GB"/>
        </w:rPr>
        <w:t xml:space="preserve">to </w:t>
      </w:r>
      <w:r w:rsidRPr="00056BE4">
        <w:rPr>
          <w:lang w:val="en-GB"/>
        </w:rPr>
        <w:t xml:space="preserve">find </w:t>
      </w:r>
      <w:r w:rsidRPr="00056BE4" w:rsidR="006F4D90">
        <w:rPr>
          <w:lang w:val="en-GB"/>
        </w:rPr>
        <w:t xml:space="preserve">and punish </w:t>
      </w:r>
      <w:r w:rsidRPr="00056BE4">
        <w:rPr>
          <w:lang w:val="en-GB"/>
        </w:rPr>
        <w:t>those responsible for the killing.</w:t>
      </w:r>
    </w:p>
    <w:p w:rsidRPr="00056BE4" w:rsidR="00875D35" w:rsidP="00056BE4" w:rsidRDefault="00351C56">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8</w:t>
      </w:r>
      <w:r w:rsidRPr="00056BE4">
        <w:rPr>
          <w:lang w:val="en-GB"/>
        </w:rPr>
        <w:fldChar w:fldCharType="end"/>
      </w:r>
      <w:r w:rsidRPr="00056BE4">
        <w:rPr>
          <w:lang w:val="en-GB"/>
        </w:rPr>
        <w:t>.  </w:t>
      </w:r>
      <w:r w:rsidRPr="00056BE4" w:rsidR="00AB47AD">
        <w:rPr>
          <w:lang w:val="en-GB"/>
        </w:rPr>
        <w:t>The prosecutor started an investigation into the applicants</w:t>
      </w:r>
      <w:r w:rsidRPr="00056BE4" w:rsidR="00056BE4">
        <w:rPr>
          <w:lang w:val="en-GB"/>
        </w:rPr>
        <w:t>’</w:t>
      </w:r>
      <w:r w:rsidRPr="00056BE4" w:rsidR="00AB47AD">
        <w:rPr>
          <w:lang w:val="en-GB"/>
        </w:rPr>
        <w:t xml:space="preserve"> allegations</w:t>
      </w:r>
      <w:r w:rsidRPr="00056BE4" w:rsidR="009236CC">
        <w:rPr>
          <w:lang w:val="en-GB"/>
        </w:rPr>
        <w:t xml:space="preserve"> immediately</w:t>
      </w:r>
      <w:r w:rsidRPr="00056BE4" w:rsidR="00AB47AD">
        <w:rPr>
          <w:lang w:val="en-GB"/>
        </w:rPr>
        <w:t>. In the course of the investigation</w:t>
      </w:r>
      <w:r w:rsidRPr="00056BE4" w:rsidR="00843E75">
        <w:rPr>
          <w:lang w:val="en-GB"/>
        </w:rPr>
        <w:t>, between 2005 and 2006</w:t>
      </w:r>
      <w:r w:rsidRPr="00056BE4" w:rsidR="00AB47AD">
        <w:rPr>
          <w:lang w:val="en-GB"/>
        </w:rPr>
        <w:t xml:space="preserve"> the prosecutor questioned the applicants and other members of their family. </w:t>
      </w:r>
      <w:r w:rsidRPr="00056BE4" w:rsidR="00843E75">
        <w:rPr>
          <w:lang w:val="en-GB"/>
        </w:rPr>
        <w:t>During the same period t</w:t>
      </w:r>
      <w:r w:rsidRPr="00056BE4" w:rsidR="00AB47AD">
        <w:rPr>
          <w:lang w:val="en-GB"/>
        </w:rPr>
        <w:t xml:space="preserve">he prosecutor also identified, summoned and questioned a large number of witnesses and members of the military who </w:t>
      </w:r>
      <w:r w:rsidRPr="00056BE4" w:rsidR="009236CC">
        <w:rPr>
          <w:lang w:val="en-GB"/>
        </w:rPr>
        <w:t xml:space="preserve">had </w:t>
      </w:r>
      <w:r w:rsidRPr="00056BE4" w:rsidR="00AB47AD">
        <w:rPr>
          <w:lang w:val="en-GB"/>
        </w:rPr>
        <w:t xml:space="preserve">lived or worked in the region at the </w:t>
      </w:r>
      <w:r w:rsidRPr="00056BE4" w:rsidR="009236CC">
        <w:rPr>
          <w:lang w:val="en-GB"/>
        </w:rPr>
        <w:t>time of the events</w:t>
      </w:r>
      <w:r w:rsidRPr="00056BE4" w:rsidR="005558AB">
        <w:rPr>
          <w:lang w:val="en-GB"/>
        </w:rPr>
        <w:t xml:space="preserve"> but </w:t>
      </w:r>
      <w:r w:rsidRPr="00056BE4" w:rsidR="005558AB">
        <w:t>who, in the years that had elapsed since the killing</w:t>
      </w:r>
      <w:r w:rsidRPr="00056BE4" w:rsidR="00B84ABF">
        <w:t>,</w:t>
      </w:r>
      <w:r w:rsidRPr="00056BE4" w:rsidR="005558AB">
        <w:t xml:space="preserve"> </w:t>
      </w:r>
      <w:r w:rsidRPr="00056BE4" w:rsidR="004F3EAB">
        <w:t xml:space="preserve">had </w:t>
      </w:r>
      <w:r w:rsidRPr="00056BE4" w:rsidR="005558AB">
        <w:t>moved to different parts of the country.</w:t>
      </w:r>
      <w:r w:rsidRPr="00056BE4" w:rsidR="00AB47AD">
        <w:rPr>
          <w:lang w:val="en-GB"/>
        </w:rPr>
        <w:t xml:space="preserve"> A number of witnesses told the prosecutor that they had seen Kerim İncin being taken away from the village by the soldiers and added that shortly afterwards a large-scale military operation had been conducted in the area and they had heard that Kerim İncin had been killed in the course of that operation.</w:t>
      </w:r>
    </w:p>
    <w:p w:rsidRPr="00056BE4" w:rsidR="00AB47AD" w:rsidP="00056BE4" w:rsidRDefault="00843E75">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9</w:t>
      </w:r>
      <w:r w:rsidRPr="00056BE4">
        <w:rPr>
          <w:lang w:val="en-GB"/>
        </w:rPr>
        <w:fldChar w:fldCharType="end"/>
      </w:r>
      <w:r w:rsidRPr="00056BE4">
        <w:rPr>
          <w:lang w:val="en-GB"/>
        </w:rPr>
        <w:t>.  </w:t>
      </w:r>
      <w:r w:rsidRPr="00056BE4" w:rsidR="00AB47AD">
        <w:rPr>
          <w:lang w:val="en-GB"/>
        </w:rPr>
        <w:t xml:space="preserve">Some members of the military </w:t>
      </w:r>
      <w:r w:rsidRPr="00056BE4" w:rsidR="00EE42C3">
        <w:rPr>
          <w:lang w:val="en-GB"/>
        </w:rPr>
        <w:t xml:space="preserve">forces </w:t>
      </w:r>
      <w:r w:rsidRPr="00056BE4" w:rsidR="00AB47AD">
        <w:rPr>
          <w:lang w:val="en-GB"/>
        </w:rPr>
        <w:t>told the prosecutor during their questioning that they had no recollection of the events while others stated that no such incident had taken place.</w:t>
      </w:r>
    </w:p>
    <w:p w:rsidRPr="00056BE4" w:rsidR="00246BF9" w:rsidP="00056BE4" w:rsidRDefault="00AB47AD">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10</w:t>
      </w:r>
      <w:r w:rsidRPr="00056BE4">
        <w:rPr>
          <w:lang w:val="en-GB"/>
        </w:rPr>
        <w:fldChar w:fldCharType="end"/>
      </w:r>
      <w:r w:rsidRPr="00056BE4">
        <w:rPr>
          <w:lang w:val="en-GB"/>
        </w:rPr>
        <w:t>.  </w:t>
      </w:r>
      <w:r w:rsidRPr="00056BE4" w:rsidR="0061652B">
        <w:rPr>
          <w:lang w:val="en-GB"/>
        </w:rPr>
        <w:t xml:space="preserve">As a result of the questioning the prosecutor </w:t>
      </w:r>
      <w:r w:rsidRPr="00056BE4" w:rsidR="00843E75">
        <w:rPr>
          <w:lang w:val="en-GB"/>
        </w:rPr>
        <w:t xml:space="preserve">found it established that </w:t>
      </w:r>
      <w:r w:rsidRPr="00056BE4" w:rsidR="0061652B">
        <w:rPr>
          <w:lang w:val="en-GB"/>
        </w:rPr>
        <w:t>Kerim İncin</w:t>
      </w:r>
      <w:r w:rsidRPr="00056BE4" w:rsidR="00351C56">
        <w:rPr>
          <w:lang w:val="en-GB"/>
        </w:rPr>
        <w:t xml:space="preserve"> had indeed been killed and that his</w:t>
      </w:r>
      <w:r w:rsidRPr="00056BE4" w:rsidR="00843E75">
        <w:rPr>
          <w:lang w:val="en-GB"/>
        </w:rPr>
        <w:t xml:space="preserve"> body had been buried in Taşbaşı village cemetery</w:t>
      </w:r>
      <w:r w:rsidRPr="00056BE4" w:rsidR="00351C56">
        <w:rPr>
          <w:lang w:val="en-GB"/>
        </w:rPr>
        <w:t>.</w:t>
      </w:r>
    </w:p>
    <w:p w:rsidRPr="00056BE4" w:rsidR="00647ADC" w:rsidP="00056BE4" w:rsidRDefault="00351C56">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11</w:t>
      </w:r>
      <w:r w:rsidRPr="00056BE4">
        <w:rPr>
          <w:lang w:val="en-GB"/>
        </w:rPr>
        <w:fldChar w:fldCharType="end"/>
      </w:r>
      <w:r w:rsidRPr="00056BE4">
        <w:rPr>
          <w:lang w:val="en-GB"/>
        </w:rPr>
        <w:t>.  O</w:t>
      </w:r>
      <w:r w:rsidRPr="00056BE4" w:rsidR="00843E75">
        <w:rPr>
          <w:lang w:val="en-GB"/>
        </w:rPr>
        <w:t xml:space="preserve">n 26 May 2006 </w:t>
      </w:r>
      <w:r w:rsidRPr="00056BE4">
        <w:rPr>
          <w:lang w:val="en-GB"/>
        </w:rPr>
        <w:t>t</w:t>
      </w:r>
      <w:r w:rsidRPr="00056BE4" w:rsidR="00843E75">
        <w:rPr>
          <w:lang w:val="en-GB"/>
        </w:rPr>
        <w:t xml:space="preserve">he </w:t>
      </w:r>
      <w:r w:rsidRPr="00056BE4">
        <w:rPr>
          <w:lang w:val="en-GB"/>
        </w:rPr>
        <w:t xml:space="preserve">prosecutor </w:t>
      </w:r>
      <w:r w:rsidRPr="00056BE4" w:rsidR="00843E75">
        <w:rPr>
          <w:lang w:val="en-GB"/>
        </w:rPr>
        <w:t xml:space="preserve">asked the Hakkari Gendarmerie Command whether there would be any security concerns if he were to visit that cemetery with a view to exhuming a body. The prosecutor was informed in reply that it was not a good idea </w:t>
      </w:r>
      <w:r w:rsidRPr="00056BE4" w:rsidR="00647ADC">
        <w:rPr>
          <w:lang w:val="en-GB"/>
        </w:rPr>
        <w:t>to do so because the security forces conducted spontaneous operations in the area during the summer months.</w:t>
      </w:r>
    </w:p>
    <w:p w:rsidRPr="00056BE4" w:rsidR="00843E75" w:rsidP="00056BE4" w:rsidRDefault="00647ADC">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12</w:t>
      </w:r>
      <w:r w:rsidRPr="00056BE4">
        <w:rPr>
          <w:lang w:val="en-GB"/>
        </w:rPr>
        <w:fldChar w:fldCharType="end"/>
      </w:r>
      <w:r w:rsidRPr="00056BE4">
        <w:rPr>
          <w:lang w:val="en-GB"/>
        </w:rPr>
        <w:t xml:space="preserve">.  The prosecutor continued to request security updates from the military until 2009 and </w:t>
      </w:r>
      <w:r w:rsidRPr="00056BE4" w:rsidR="003C5643">
        <w:rPr>
          <w:lang w:val="en-GB"/>
        </w:rPr>
        <w:t xml:space="preserve">sent approximately </w:t>
      </w:r>
      <w:r w:rsidRPr="00056BE4" w:rsidR="00063BD0">
        <w:rPr>
          <w:lang w:val="en-GB"/>
        </w:rPr>
        <w:t xml:space="preserve">twenty </w:t>
      </w:r>
      <w:r w:rsidRPr="00056BE4" w:rsidR="003C5643">
        <w:rPr>
          <w:lang w:val="en-GB"/>
        </w:rPr>
        <w:t xml:space="preserve">letters requesting </w:t>
      </w:r>
      <w:r w:rsidRPr="00056BE4" w:rsidR="00063BD0">
        <w:rPr>
          <w:lang w:val="en-GB"/>
        </w:rPr>
        <w:t xml:space="preserve">that </w:t>
      </w:r>
      <w:r w:rsidRPr="00056BE4" w:rsidR="003C5643">
        <w:rPr>
          <w:lang w:val="en-GB"/>
        </w:rPr>
        <w:t>the</w:t>
      </w:r>
      <w:r w:rsidRPr="00056BE4" w:rsidR="00351C56">
        <w:rPr>
          <w:lang w:val="en-GB"/>
        </w:rPr>
        <w:t xml:space="preserve"> military</w:t>
      </w:r>
      <w:r w:rsidRPr="00056BE4" w:rsidR="003C5643">
        <w:rPr>
          <w:lang w:val="en-GB"/>
        </w:rPr>
        <w:t xml:space="preserve"> inform him as soon as it was possible to visit the village. In</w:t>
      </w:r>
      <w:r w:rsidRPr="00056BE4">
        <w:rPr>
          <w:lang w:val="en-GB"/>
        </w:rPr>
        <w:t xml:space="preserve"> respect of </w:t>
      </w:r>
      <w:r w:rsidRPr="00056BE4" w:rsidR="00351C56">
        <w:rPr>
          <w:lang w:val="en-GB"/>
        </w:rPr>
        <w:t xml:space="preserve">the </w:t>
      </w:r>
      <w:r w:rsidRPr="00056BE4">
        <w:rPr>
          <w:lang w:val="en-GB"/>
        </w:rPr>
        <w:t>request</w:t>
      </w:r>
      <w:r w:rsidRPr="00056BE4" w:rsidR="003C5643">
        <w:rPr>
          <w:lang w:val="en-GB"/>
        </w:rPr>
        <w:t>s made during winter months</w:t>
      </w:r>
      <w:r w:rsidRPr="00056BE4">
        <w:rPr>
          <w:lang w:val="en-GB"/>
        </w:rPr>
        <w:t xml:space="preserve"> the military informed </w:t>
      </w:r>
      <w:r w:rsidRPr="00056BE4" w:rsidR="003C5643">
        <w:rPr>
          <w:lang w:val="en-GB"/>
        </w:rPr>
        <w:t>the prosecutor</w:t>
      </w:r>
      <w:r w:rsidRPr="00056BE4">
        <w:rPr>
          <w:lang w:val="en-GB"/>
        </w:rPr>
        <w:t xml:space="preserve"> that </w:t>
      </w:r>
      <w:r w:rsidRPr="00056BE4" w:rsidR="00404C46">
        <w:rPr>
          <w:lang w:val="en-GB"/>
        </w:rPr>
        <w:t>it woul</w:t>
      </w:r>
      <w:r w:rsidRPr="00056BE4" w:rsidR="00EF51DB">
        <w:rPr>
          <w:lang w:val="en-GB"/>
        </w:rPr>
        <w:t xml:space="preserve">d not be safe to go to the area </w:t>
      </w:r>
      <w:r w:rsidRPr="00056BE4" w:rsidR="003C5643">
        <w:rPr>
          <w:lang w:val="en-GB"/>
        </w:rPr>
        <w:t xml:space="preserve">because of adverse weather conditions. In their replies during </w:t>
      </w:r>
      <w:r w:rsidRPr="00056BE4" w:rsidR="006F5164">
        <w:rPr>
          <w:lang w:val="en-GB"/>
        </w:rPr>
        <w:t>spring, summer and autumn</w:t>
      </w:r>
      <w:r w:rsidRPr="00056BE4" w:rsidR="00351C56">
        <w:rPr>
          <w:lang w:val="en-GB"/>
        </w:rPr>
        <w:t xml:space="preserve"> months</w:t>
      </w:r>
      <w:r w:rsidRPr="00056BE4" w:rsidR="006F5164">
        <w:rPr>
          <w:lang w:val="en-GB"/>
        </w:rPr>
        <w:t xml:space="preserve">, the soldiers </w:t>
      </w:r>
      <w:r w:rsidRPr="00056BE4" w:rsidR="00351C56">
        <w:rPr>
          <w:lang w:val="en-GB"/>
        </w:rPr>
        <w:t>informed</w:t>
      </w:r>
      <w:r w:rsidRPr="00056BE4" w:rsidR="006F5164">
        <w:rPr>
          <w:lang w:val="en-GB"/>
        </w:rPr>
        <w:t xml:space="preserve"> the prosecutor that it was not a good idea </w:t>
      </w:r>
      <w:r w:rsidRPr="00056BE4" w:rsidR="00351C56">
        <w:rPr>
          <w:lang w:val="en-GB"/>
        </w:rPr>
        <w:t xml:space="preserve">to go to the area in question </w:t>
      </w:r>
      <w:r w:rsidRPr="00056BE4" w:rsidR="006F5164">
        <w:rPr>
          <w:lang w:val="en-GB"/>
        </w:rPr>
        <w:t xml:space="preserve">because </w:t>
      </w:r>
      <w:r w:rsidRPr="00056BE4" w:rsidR="00351C56">
        <w:rPr>
          <w:lang w:val="en-GB"/>
        </w:rPr>
        <w:t>a</w:t>
      </w:r>
      <w:r w:rsidRPr="00056BE4" w:rsidR="006F5164">
        <w:rPr>
          <w:lang w:val="en-GB"/>
        </w:rPr>
        <w:t xml:space="preserve"> military operation could be conducted </w:t>
      </w:r>
      <w:r w:rsidRPr="00056BE4" w:rsidR="00351C56">
        <w:rPr>
          <w:lang w:val="en-GB"/>
        </w:rPr>
        <w:t xml:space="preserve">there </w:t>
      </w:r>
      <w:r w:rsidRPr="00056BE4" w:rsidR="006F5164">
        <w:rPr>
          <w:lang w:val="en-GB"/>
        </w:rPr>
        <w:t>at any time</w:t>
      </w:r>
      <w:r w:rsidRPr="00056BE4" w:rsidR="00EF51DB">
        <w:rPr>
          <w:lang w:val="en-GB"/>
        </w:rPr>
        <w:t>.</w:t>
      </w:r>
    </w:p>
    <w:p w:rsidRPr="00056BE4" w:rsidR="006F5164" w:rsidP="00056BE4" w:rsidRDefault="00404C46">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13</w:t>
      </w:r>
      <w:r w:rsidRPr="00056BE4">
        <w:rPr>
          <w:lang w:val="en-GB"/>
        </w:rPr>
        <w:fldChar w:fldCharType="end"/>
      </w:r>
      <w:r w:rsidRPr="00056BE4">
        <w:rPr>
          <w:lang w:val="en-GB"/>
        </w:rPr>
        <w:t xml:space="preserve">.  Finally, on 11 June 2009 the prosecutor </w:t>
      </w:r>
      <w:r w:rsidRPr="00056BE4" w:rsidR="006F5164">
        <w:rPr>
          <w:lang w:val="en-GB"/>
        </w:rPr>
        <w:t xml:space="preserve">informed the </w:t>
      </w:r>
      <w:r w:rsidRPr="00056BE4">
        <w:rPr>
          <w:lang w:val="en-GB"/>
        </w:rPr>
        <w:t xml:space="preserve">military </w:t>
      </w:r>
      <w:r w:rsidRPr="00056BE4" w:rsidR="00351C56">
        <w:rPr>
          <w:lang w:val="en-GB"/>
        </w:rPr>
        <w:t xml:space="preserve">of his intention to go </w:t>
      </w:r>
      <w:r w:rsidRPr="00056BE4" w:rsidR="006F5164">
        <w:rPr>
          <w:lang w:val="en-GB"/>
        </w:rPr>
        <w:t xml:space="preserve">to the cemetery on 18 June 2009 and instructed the military </w:t>
      </w:r>
      <w:r w:rsidRPr="00056BE4">
        <w:rPr>
          <w:lang w:val="en-GB"/>
        </w:rPr>
        <w:t xml:space="preserve">to take the necessary security measures for his </w:t>
      </w:r>
      <w:r w:rsidRPr="00056BE4" w:rsidR="00EF51DB">
        <w:rPr>
          <w:lang w:val="en-GB"/>
        </w:rPr>
        <w:t xml:space="preserve">planned </w:t>
      </w:r>
      <w:r w:rsidRPr="00056BE4">
        <w:rPr>
          <w:lang w:val="en-GB"/>
        </w:rPr>
        <w:t>visit</w:t>
      </w:r>
      <w:r w:rsidRPr="00056BE4" w:rsidR="006F5164">
        <w:rPr>
          <w:lang w:val="en-GB"/>
        </w:rPr>
        <w:t>.</w:t>
      </w:r>
    </w:p>
    <w:p w:rsidRPr="00056BE4" w:rsidR="00AB47AD" w:rsidP="00056BE4" w:rsidRDefault="006F5164">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14</w:t>
      </w:r>
      <w:r w:rsidRPr="00056BE4">
        <w:rPr>
          <w:lang w:val="en-GB"/>
        </w:rPr>
        <w:fldChar w:fldCharType="end"/>
      </w:r>
      <w:r w:rsidRPr="00056BE4">
        <w:rPr>
          <w:lang w:val="en-GB"/>
        </w:rPr>
        <w:t>.  </w:t>
      </w:r>
      <w:r w:rsidRPr="00056BE4" w:rsidR="00ED4616">
        <w:rPr>
          <w:lang w:val="en-GB"/>
        </w:rPr>
        <w:t>On 18 June 2009</w:t>
      </w:r>
      <w:r w:rsidRPr="00056BE4" w:rsidR="00351C56">
        <w:rPr>
          <w:lang w:val="en-GB"/>
        </w:rPr>
        <w:t xml:space="preserve"> the prosecutor went to the cemetery in question and </w:t>
      </w:r>
      <w:r w:rsidRPr="00056BE4" w:rsidR="00ED4616">
        <w:rPr>
          <w:lang w:val="en-GB"/>
        </w:rPr>
        <w:t xml:space="preserve">a body was exhumed from a grave in </w:t>
      </w:r>
      <w:r w:rsidRPr="00056BE4" w:rsidR="00351C56">
        <w:rPr>
          <w:lang w:val="en-GB"/>
        </w:rPr>
        <w:t>his</w:t>
      </w:r>
      <w:r w:rsidRPr="00056BE4" w:rsidR="00ED4616">
        <w:rPr>
          <w:lang w:val="en-GB"/>
        </w:rPr>
        <w:t xml:space="preserve"> presence</w:t>
      </w:r>
      <w:r w:rsidRPr="00056BE4" w:rsidR="00351C56">
        <w:rPr>
          <w:lang w:val="en-GB"/>
        </w:rPr>
        <w:t>.</w:t>
      </w:r>
      <w:r w:rsidRPr="00056BE4" w:rsidR="00ED4616">
        <w:rPr>
          <w:lang w:val="en-GB"/>
        </w:rPr>
        <w:t xml:space="preserve"> </w:t>
      </w:r>
      <w:r w:rsidRPr="00056BE4" w:rsidR="00351C56">
        <w:rPr>
          <w:lang w:val="en-GB"/>
        </w:rPr>
        <w:t>It</w:t>
      </w:r>
      <w:r w:rsidRPr="00056BE4" w:rsidR="00ED4616">
        <w:rPr>
          <w:lang w:val="en-GB"/>
        </w:rPr>
        <w:t xml:space="preserve"> was subsequently established by DNA analysis that it was </w:t>
      </w:r>
      <w:r w:rsidRPr="00056BE4" w:rsidR="00404C46">
        <w:rPr>
          <w:lang w:val="en-GB"/>
        </w:rPr>
        <w:t>t</w:t>
      </w:r>
      <w:r w:rsidRPr="00056BE4" w:rsidR="00ED4616">
        <w:rPr>
          <w:lang w:val="en-GB"/>
        </w:rPr>
        <w:t>he body of Kerim İncin.</w:t>
      </w:r>
      <w:r w:rsidRPr="00056BE4" w:rsidR="00D751B3">
        <w:rPr>
          <w:lang w:val="en-GB"/>
        </w:rPr>
        <w:t xml:space="preserve"> </w:t>
      </w:r>
      <w:r w:rsidRPr="00056BE4" w:rsidR="00A73B5B">
        <w:rPr>
          <w:lang w:val="en-GB"/>
        </w:rPr>
        <w:t xml:space="preserve">Forensic examinations </w:t>
      </w:r>
      <w:r w:rsidRPr="00056BE4" w:rsidR="00D751B3">
        <w:rPr>
          <w:lang w:val="en-GB"/>
        </w:rPr>
        <w:t xml:space="preserve">showed that </w:t>
      </w:r>
      <w:r w:rsidRPr="00056BE4" w:rsidR="00A73B5B">
        <w:rPr>
          <w:lang w:val="en-GB"/>
        </w:rPr>
        <w:t xml:space="preserve">there were ten holes </w:t>
      </w:r>
      <w:r w:rsidRPr="00056BE4" w:rsidR="00947D77">
        <w:rPr>
          <w:lang w:val="en-GB"/>
        </w:rPr>
        <w:t>i</w:t>
      </w:r>
      <w:r w:rsidRPr="00056BE4" w:rsidR="00A73B5B">
        <w:rPr>
          <w:lang w:val="en-GB"/>
        </w:rPr>
        <w:t xml:space="preserve">n the clothes </w:t>
      </w:r>
      <w:r w:rsidRPr="00056BE4" w:rsidR="00063BD0">
        <w:rPr>
          <w:lang w:val="en-GB"/>
        </w:rPr>
        <w:t xml:space="preserve">in </w:t>
      </w:r>
      <w:r w:rsidRPr="00056BE4" w:rsidR="00A73B5B">
        <w:rPr>
          <w:lang w:val="en-GB"/>
        </w:rPr>
        <w:t xml:space="preserve">which Kerim İncin had been buried and that </w:t>
      </w:r>
      <w:r w:rsidRPr="00056BE4" w:rsidR="00EF51DB">
        <w:rPr>
          <w:lang w:val="en-GB"/>
        </w:rPr>
        <w:t xml:space="preserve">the </w:t>
      </w:r>
      <w:r w:rsidRPr="00056BE4" w:rsidR="00A73B5B">
        <w:rPr>
          <w:lang w:val="en-GB"/>
        </w:rPr>
        <w:t xml:space="preserve">cause of death had been </w:t>
      </w:r>
      <w:r w:rsidRPr="00056BE4" w:rsidR="00E577D4">
        <w:rPr>
          <w:lang w:val="en-GB"/>
        </w:rPr>
        <w:t xml:space="preserve">numerous </w:t>
      </w:r>
      <w:r w:rsidRPr="00056BE4" w:rsidR="00A73B5B">
        <w:rPr>
          <w:lang w:val="en-GB"/>
        </w:rPr>
        <w:t>firearm</w:t>
      </w:r>
      <w:r w:rsidRPr="00056BE4" w:rsidR="005D7C01">
        <w:rPr>
          <w:lang w:val="en-GB"/>
        </w:rPr>
        <w:t>s</w:t>
      </w:r>
      <w:r w:rsidRPr="00056BE4" w:rsidR="00A73B5B">
        <w:rPr>
          <w:lang w:val="en-GB"/>
        </w:rPr>
        <w:t xml:space="preserve"> injuries </w:t>
      </w:r>
      <w:r w:rsidRPr="00056BE4" w:rsidR="0020762E">
        <w:rPr>
          <w:lang w:val="en-GB"/>
        </w:rPr>
        <w:t xml:space="preserve">inflicted </w:t>
      </w:r>
      <w:r w:rsidRPr="00056BE4" w:rsidR="00A73B5B">
        <w:rPr>
          <w:lang w:val="en-GB"/>
        </w:rPr>
        <w:t>on his body and skull.</w:t>
      </w:r>
    </w:p>
    <w:p w:rsidRPr="00056BE4" w:rsidR="000E1B26" w:rsidP="00056BE4" w:rsidRDefault="000E1B26">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15</w:t>
      </w:r>
      <w:r w:rsidRPr="00056BE4">
        <w:rPr>
          <w:lang w:val="en-GB"/>
        </w:rPr>
        <w:fldChar w:fldCharType="end"/>
      </w:r>
      <w:r w:rsidRPr="00056BE4">
        <w:rPr>
          <w:lang w:val="en-GB"/>
        </w:rPr>
        <w:t>.  On 25 March 2010 the prosecutor took a decision not to prosecute ten of the suspects who had been working as members of the military at the time of the events</w:t>
      </w:r>
      <w:r w:rsidRPr="00056BE4" w:rsidR="00947D77">
        <w:rPr>
          <w:lang w:val="en-GB"/>
        </w:rPr>
        <w:t>,</w:t>
      </w:r>
      <w:r w:rsidRPr="00056BE4" w:rsidR="001B74A9">
        <w:rPr>
          <w:lang w:val="en-GB"/>
        </w:rPr>
        <w:t xml:space="preserve"> for lack of evidence</w:t>
      </w:r>
      <w:r w:rsidRPr="00056BE4">
        <w:rPr>
          <w:lang w:val="en-GB"/>
        </w:rPr>
        <w:t>. The following day the prosecutor prepared an indictment and charged Y.K.</w:t>
      </w:r>
      <w:r w:rsidRPr="00056BE4" w:rsidR="00063BD0">
        <w:rPr>
          <w:lang w:val="en-GB"/>
        </w:rPr>
        <w:t xml:space="preserve"> </w:t>
      </w:r>
      <w:r w:rsidRPr="00056BE4" w:rsidR="00063BD0">
        <w:rPr>
          <w:rFonts w:cstheme="minorHAnsi"/>
          <w:lang w:val="en-GB"/>
        </w:rPr>
        <w:t>−</w:t>
      </w:r>
      <w:r w:rsidRPr="00056BE4">
        <w:rPr>
          <w:lang w:val="en-GB"/>
        </w:rPr>
        <w:t xml:space="preserve"> who had been the commander of the Geçimli military station where Kerim İncin had allegedly </w:t>
      </w:r>
      <w:r w:rsidRPr="00056BE4" w:rsidR="00351C56">
        <w:rPr>
          <w:lang w:val="en-GB"/>
        </w:rPr>
        <w:t xml:space="preserve">been </w:t>
      </w:r>
      <w:r w:rsidRPr="00056BE4">
        <w:rPr>
          <w:lang w:val="en-GB"/>
        </w:rPr>
        <w:t>taken at the time of the events</w:t>
      </w:r>
      <w:r w:rsidRPr="00056BE4" w:rsidR="00063BD0">
        <w:rPr>
          <w:lang w:val="en-GB"/>
        </w:rPr>
        <w:t xml:space="preserve"> </w:t>
      </w:r>
      <w:r w:rsidRPr="00056BE4" w:rsidR="00063BD0">
        <w:rPr>
          <w:rFonts w:cstheme="minorHAnsi"/>
          <w:lang w:val="en-GB"/>
        </w:rPr>
        <w:t>−</w:t>
      </w:r>
      <w:r w:rsidRPr="00056BE4" w:rsidR="001B74A9">
        <w:rPr>
          <w:lang w:val="en-GB"/>
        </w:rPr>
        <w:t xml:space="preserve"> with the offence of murder</w:t>
      </w:r>
      <w:r w:rsidRPr="00056BE4">
        <w:rPr>
          <w:lang w:val="en-GB"/>
        </w:rPr>
        <w:t>.</w:t>
      </w:r>
    </w:p>
    <w:p w:rsidRPr="00056BE4" w:rsidR="000E1B26" w:rsidP="00056BE4" w:rsidRDefault="000E1B26">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16</w:t>
      </w:r>
      <w:r w:rsidRPr="00056BE4">
        <w:rPr>
          <w:lang w:val="en-GB"/>
        </w:rPr>
        <w:fldChar w:fldCharType="end"/>
      </w:r>
      <w:r w:rsidRPr="00056BE4">
        <w:rPr>
          <w:lang w:val="en-GB"/>
        </w:rPr>
        <w:t>.  </w:t>
      </w:r>
      <w:r w:rsidRPr="00056BE4" w:rsidR="001B74A9">
        <w:rPr>
          <w:lang w:val="en-GB"/>
        </w:rPr>
        <w:t xml:space="preserve">The trial before the Hakkari Assize Court </w:t>
      </w:r>
      <w:r w:rsidRPr="00056BE4" w:rsidR="00C80DA9">
        <w:rPr>
          <w:lang w:val="en-GB"/>
        </w:rPr>
        <w:t xml:space="preserve">started </w:t>
      </w:r>
      <w:r w:rsidRPr="00056BE4" w:rsidR="00F34E49">
        <w:rPr>
          <w:lang w:val="en-GB"/>
        </w:rPr>
        <w:t xml:space="preserve">on 12 </w:t>
      </w:r>
      <w:r w:rsidRPr="00056BE4" w:rsidR="001B74A9">
        <w:rPr>
          <w:lang w:val="en-GB"/>
        </w:rPr>
        <w:t xml:space="preserve">April 2010. </w:t>
      </w:r>
      <w:r w:rsidRPr="00056BE4" w:rsidR="002B4DC5">
        <w:rPr>
          <w:lang w:val="en-GB"/>
        </w:rPr>
        <w:t xml:space="preserve">The two applicants who had introduced the complaint with the prosecutor on 22 March 2005 (see paragraph 6 above), namely Halima İncin and Hazım İncin, </w:t>
      </w:r>
      <w:r w:rsidRPr="00056BE4" w:rsidR="00E86EB5">
        <w:rPr>
          <w:lang w:val="en-GB"/>
        </w:rPr>
        <w:t xml:space="preserve">joined the criminal proceedings as interveners. </w:t>
      </w:r>
      <w:r w:rsidRPr="00056BE4" w:rsidR="001B74A9">
        <w:rPr>
          <w:lang w:val="en-GB"/>
        </w:rPr>
        <w:t>In the course of the trial a total of twenty hearings were held. On 27</w:t>
      </w:r>
      <w:r w:rsidRPr="00056BE4" w:rsidR="005F6D79">
        <w:rPr>
          <w:lang w:val="en-GB"/>
        </w:rPr>
        <w:t> </w:t>
      </w:r>
      <w:r w:rsidRPr="00056BE4" w:rsidR="001B74A9">
        <w:rPr>
          <w:lang w:val="en-GB"/>
        </w:rPr>
        <w:t>November 2014 the Hakkari Assize Court acquitted Y.K. for lack of evidence</w:t>
      </w:r>
      <w:r w:rsidRPr="00056BE4" w:rsidR="00DB0425">
        <w:rPr>
          <w:lang w:val="en-GB"/>
        </w:rPr>
        <w:t xml:space="preserve">. The </w:t>
      </w:r>
      <w:r w:rsidRPr="00056BE4" w:rsidR="00986359">
        <w:rPr>
          <w:lang w:val="en-GB"/>
        </w:rPr>
        <w:t xml:space="preserve">same day the </w:t>
      </w:r>
      <w:r w:rsidRPr="00056BE4" w:rsidR="00DB0425">
        <w:rPr>
          <w:lang w:val="en-GB"/>
        </w:rPr>
        <w:t xml:space="preserve">applicants appealed </w:t>
      </w:r>
      <w:r w:rsidRPr="00056BE4" w:rsidR="00063BD0">
        <w:rPr>
          <w:lang w:val="en-GB"/>
        </w:rPr>
        <w:t xml:space="preserve">against </w:t>
      </w:r>
      <w:r w:rsidRPr="00056BE4" w:rsidR="00DB0425">
        <w:rPr>
          <w:lang w:val="en-GB"/>
        </w:rPr>
        <w:t>the judgment acquitting Y.K. and the proceedings before the Court of Cassation are still pending.</w:t>
      </w:r>
    </w:p>
    <w:p w:rsidRPr="00056BE4" w:rsidR="00D02512" w:rsidP="00056BE4" w:rsidRDefault="00D02512">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17</w:t>
      </w:r>
      <w:r w:rsidRPr="00056BE4">
        <w:rPr>
          <w:lang w:val="en-GB"/>
        </w:rPr>
        <w:fldChar w:fldCharType="end"/>
      </w:r>
      <w:r w:rsidRPr="00056BE4">
        <w:rPr>
          <w:lang w:val="en-GB"/>
        </w:rPr>
        <w:t xml:space="preserve">.  At the request of the Court, the Government </w:t>
      </w:r>
      <w:r w:rsidRPr="00056BE4" w:rsidR="00063BD0">
        <w:rPr>
          <w:lang w:val="en-GB"/>
        </w:rPr>
        <w:t>stat</w:t>
      </w:r>
      <w:r w:rsidRPr="00056BE4">
        <w:rPr>
          <w:lang w:val="en-GB"/>
        </w:rPr>
        <w:t>ed that</w:t>
      </w:r>
      <w:r w:rsidRPr="00056BE4" w:rsidR="00EF51DB">
        <w:rPr>
          <w:lang w:val="en-GB"/>
        </w:rPr>
        <w:t xml:space="preserve">, in accordance with the applicable statute of limitations, </w:t>
      </w:r>
      <w:r w:rsidRPr="00056BE4">
        <w:rPr>
          <w:lang w:val="en-GB"/>
        </w:rPr>
        <w:t>the criminal proceedings against Y.K. would not be</w:t>
      </w:r>
      <w:r w:rsidRPr="00056BE4" w:rsidR="00EF51DB">
        <w:rPr>
          <w:lang w:val="en-GB"/>
        </w:rPr>
        <w:t>come</w:t>
      </w:r>
      <w:r w:rsidRPr="00056BE4">
        <w:rPr>
          <w:lang w:val="en-GB"/>
        </w:rPr>
        <w:t xml:space="preserve"> time-barred until 2025.</w:t>
      </w:r>
    </w:p>
    <w:p w:rsidRPr="00056BE4" w:rsidR="00014566" w:rsidP="00056BE4" w:rsidRDefault="00014566">
      <w:pPr>
        <w:pStyle w:val="ECHRTitle1"/>
        <w:rPr>
          <w:lang w:val="en-GB"/>
        </w:rPr>
      </w:pPr>
      <w:r w:rsidRPr="00056BE4">
        <w:rPr>
          <w:lang w:val="en-GB"/>
        </w:rPr>
        <w:t>THE LAW</w:t>
      </w:r>
    </w:p>
    <w:p w:rsidRPr="00056BE4" w:rsidR="00014566" w:rsidP="00056BE4" w:rsidRDefault="00014566">
      <w:pPr>
        <w:pStyle w:val="ECHRHeading1"/>
        <w:rPr>
          <w:lang w:val="en-GB"/>
        </w:rPr>
      </w:pPr>
      <w:r w:rsidRPr="00056BE4">
        <w:rPr>
          <w:lang w:val="en-GB"/>
        </w:rPr>
        <w:t xml:space="preserve">I.  ALLEGED VIOLATION OF ARTICLE </w:t>
      </w:r>
      <w:r w:rsidRPr="00056BE4" w:rsidR="00E35E76">
        <w:rPr>
          <w:lang w:val="en-GB"/>
        </w:rPr>
        <w:t>2</w:t>
      </w:r>
      <w:r w:rsidRPr="00056BE4">
        <w:rPr>
          <w:lang w:val="en-GB"/>
        </w:rPr>
        <w:t xml:space="preserve"> OF THE CONVENTION</w:t>
      </w:r>
    </w:p>
    <w:p w:rsidRPr="00056BE4" w:rsidR="00014566" w:rsidP="00056BE4" w:rsidRDefault="004875ED">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18</w:t>
      </w:r>
      <w:r w:rsidRPr="00056BE4">
        <w:rPr>
          <w:lang w:val="en-GB"/>
        </w:rPr>
        <w:fldChar w:fldCharType="end"/>
      </w:r>
      <w:r w:rsidRPr="00056BE4" w:rsidR="00014566">
        <w:rPr>
          <w:lang w:val="en-GB"/>
        </w:rPr>
        <w:t>.  </w:t>
      </w:r>
      <w:r w:rsidRPr="00056BE4" w:rsidR="00405CBF">
        <w:rPr>
          <w:lang w:val="en-GB"/>
        </w:rPr>
        <w:t>Relying on Article 2 of the Convention t</w:t>
      </w:r>
      <w:r w:rsidRPr="00056BE4" w:rsidR="00014566">
        <w:rPr>
          <w:lang w:val="en-GB"/>
        </w:rPr>
        <w:t>he applicant</w:t>
      </w:r>
      <w:r w:rsidRPr="00056BE4">
        <w:rPr>
          <w:lang w:val="en-GB"/>
        </w:rPr>
        <w:t>s</w:t>
      </w:r>
      <w:r w:rsidRPr="00056BE4" w:rsidR="00014566">
        <w:rPr>
          <w:lang w:val="en-GB"/>
        </w:rPr>
        <w:t xml:space="preserve"> complained that </w:t>
      </w:r>
      <w:r w:rsidRPr="00056BE4" w:rsidR="00D02512">
        <w:rPr>
          <w:lang w:val="en-GB"/>
        </w:rPr>
        <w:t xml:space="preserve">the </w:t>
      </w:r>
      <w:r w:rsidRPr="00056BE4" w:rsidR="00405CBF">
        <w:rPr>
          <w:lang w:val="en-GB"/>
        </w:rPr>
        <w:t>right to life of their relative Kerim İncin had been breached. They also alleged that, notwithstanding the</w:t>
      </w:r>
      <w:r w:rsidRPr="00056BE4" w:rsidR="00063BD0">
        <w:rPr>
          <w:lang w:val="en-GB"/>
        </w:rPr>
        <w:t>ir</w:t>
      </w:r>
      <w:r w:rsidRPr="00056BE4" w:rsidR="003826C2">
        <w:rPr>
          <w:lang w:val="en-GB"/>
        </w:rPr>
        <w:t xml:space="preserve"> statutory</w:t>
      </w:r>
      <w:r w:rsidRPr="00056BE4" w:rsidR="00405CBF">
        <w:rPr>
          <w:lang w:val="en-GB"/>
        </w:rPr>
        <w:t xml:space="preserve"> obligation to start an investigation, the authorities had not taken any steps to investigate the killing until the</w:t>
      </w:r>
      <w:r w:rsidRPr="00056BE4" w:rsidR="003826C2">
        <w:rPr>
          <w:lang w:val="en-GB"/>
        </w:rPr>
        <w:t xml:space="preserve"> family </w:t>
      </w:r>
      <w:r w:rsidRPr="00056BE4" w:rsidR="00405CBF">
        <w:rPr>
          <w:lang w:val="en-GB"/>
        </w:rPr>
        <w:t xml:space="preserve">lodged </w:t>
      </w:r>
      <w:r w:rsidRPr="00056BE4" w:rsidR="005D7C01">
        <w:rPr>
          <w:lang w:val="en-GB"/>
        </w:rPr>
        <w:t xml:space="preserve">their </w:t>
      </w:r>
      <w:r w:rsidRPr="00056BE4" w:rsidR="00405CBF">
        <w:rPr>
          <w:lang w:val="en-GB"/>
        </w:rPr>
        <w:t xml:space="preserve">official complaint in 2005. The investigation that was started after their complaint </w:t>
      </w:r>
      <w:r w:rsidRPr="00056BE4" w:rsidR="005D7C01">
        <w:rPr>
          <w:lang w:val="en-GB"/>
        </w:rPr>
        <w:t xml:space="preserve">was received </w:t>
      </w:r>
      <w:r w:rsidRPr="00056BE4" w:rsidR="00405CBF">
        <w:rPr>
          <w:lang w:val="en-GB"/>
        </w:rPr>
        <w:t>in 2005 had not been con</w:t>
      </w:r>
      <w:r w:rsidRPr="00056BE4" w:rsidR="003826C2">
        <w:rPr>
          <w:lang w:val="en-GB"/>
        </w:rPr>
        <w:t>cluded</w:t>
      </w:r>
      <w:r w:rsidRPr="00056BE4" w:rsidR="00405CBF">
        <w:rPr>
          <w:lang w:val="en-GB"/>
        </w:rPr>
        <w:t xml:space="preserve"> for many years and </w:t>
      </w:r>
      <w:r w:rsidRPr="00056BE4" w:rsidR="00EF51DB">
        <w:rPr>
          <w:lang w:val="en-GB"/>
        </w:rPr>
        <w:t xml:space="preserve">that </w:t>
      </w:r>
      <w:r w:rsidRPr="00056BE4" w:rsidR="00405CBF">
        <w:rPr>
          <w:lang w:val="en-GB"/>
        </w:rPr>
        <w:t xml:space="preserve">failure had entailed the </w:t>
      </w:r>
      <w:r w:rsidRPr="00056BE4" w:rsidR="00063BD0">
        <w:rPr>
          <w:lang w:val="en-GB"/>
        </w:rPr>
        <w:t xml:space="preserve">consequence </w:t>
      </w:r>
      <w:r w:rsidRPr="00056BE4" w:rsidR="00405CBF">
        <w:rPr>
          <w:lang w:val="en-GB"/>
        </w:rPr>
        <w:t>that, despite the abundance of evidence</w:t>
      </w:r>
      <w:r w:rsidRPr="00056BE4" w:rsidR="003826C2">
        <w:rPr>
          <w:lang w:val="en-GB"/>
        </w:rPr>
        <w:t xml:space="preserve"> in the possession of the investigating authorities</w:t>
      </w:r>
      <w:r w:rsidRPr="00056BE4" w:rsidR="00405CBF">
        <w:rPr>
          <w:lang w:val="en-GB"/>
        </w:rPr>
        <w:t>, the true circumstances surrounding the killing had not been established.</w:t>
      </w:r>
    </w:p>
    <w:p w:rsidRPr="00056BE4" w:rsidR="00014566" w:rsidP="00056BE4" w:rsidRDefault="00405CBF">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19</w:t>
      </w:r>
      <w:r w:rsidRPr="00056BE4">
        <w:rPr>
          <w:lang w:val="en-GB"/>
        </w:rPr>
        <w:fldChar w:fldCharType="end"/>
      </w:r>
      <w:r w:rsidRPr="00056BE4">
        <w:rPr>
          <w:lang w:val="en-GB"/>
        </w:rPr>
        <w:t>.  </w:t>
      </w:r>
      <w:r w:rsidRPr="00056BE4" w:rsidR="00014566">
        <w:rPr>
          <w:lang w:val="en-GB"/>
        </w:rPr>
        <w:t>The Government contested that argument.</w:t>
      </w:r>
    </w:p>
    <w:p w:rsidRPr="00056BE4" w:rsidR="00014566" w:rsidP="00056BE4" w:rsidRDefault="00014566">
      <w:pPr>
        <w:pStyle w:val="ECHRHeading2"/>
        <w:rPr>
          <w:lang w:val="en-GB"/>
        </w:rPr>
      </w:pPr>
      <w:r w:rsidRPr="00056BE4">
        <w:rPr>
          <w:lang w:val="en-GB"/>
        </w:rPr>
        <w:t>A.  Admissibility</w:t>
      </w:r>
    </w:p>
    <w:p w:rsidRPr="00056BE4" w:rsidR="00E0087B" w:rsidP="00056BE4" w:rsidRDefault="00405CBF">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20</w:t>
      </w:r>
      <w:r w:rsidRPr="00056BE4">
        <w:rPr>
          <w:lang w:val="en-GB"/>
        </w:rPr>
        <w:fldChar w:fldCharType="end"/>
      </w:r>
      <w:r w:rsidRPr="00056BE4">
        <w:rPr>
          <w:lang w:val="en-GB"/>
        </w:rPr>
        <w:t xml:space="preserve">.  The Government </w:t>
      </w:r>
      <w:r w:rsidRPr="00056BE4" w:rsidR="00E7475B">
        <w:rPr>
          <w:lang w:val="en-GB"/>
        </w:rPr>
        <w:t xml:space="preserve">invited the Court to declare the application inadmissible because they </w:t>
      </w:r>
      <w:r w:rsidRPr="00056BE4" w:rsidR="00150709">
        <w:rPr>
          <w:lang w:val="en-GB"/>
        </w:rPr>
        <w:t xml:space="preserve">considered that </w:t>
      </w:r>
      <w:r w:rsidRPr="00056BE4" w:rsidR="00E7475B">
        <w:rPr>
          <w:lang w:val="en-GB"/>
        </w:rPr>
        <w:t>the applicants had failed to exhaust domestic remedies for two reasons. Firstly, the</w:t>
      </w:r>
      <w:r w:rsidRPr="00056BE4" w:rsidR="00162734">
        <w:rPr>
          <w:lang w:val="en-GB"/>
        </w:rPr>
        <w:t xml:space="preserve"> Government</w:t>
      </w:r>
      <w:r w:rsidRPr="00056BE4" w:rsidR="00E7475B">
        <w:rPr>
          <w:lang w:val="en-GB"/>
        </w:rPr>
        <w:t xml:space="preserve"> argued that the applicants had not </w:t>
      </w:r>
      <w:r w:rsidRPr="00056BE4" w:rsidR="004E1414">
        <w:rPr>
          <w:lang w:val="en-GB"/>
        </w:rPr>
        <w:t>lodged an objection against the prosecutor</w:t>
      </w:r>
      <w:r w:rsidRPr="00056BE4" w:rsidR="00056BE4">
        <w:rPr>
          <w:lang w:val="en-GB"/>
        </w:rPr>
        <w:t>’</w:t>
      </w:r>
      <w:r w:rsidRPr="00056BE4" w:rsidR="004E1414">
        <w:rPr>
          <w:lang w:val="en-GB"/>
        </w:rPr>
        <w:t xml:space="preserve">s decision of 25 March 2010 not to prosecute </w:t>
      </w:r>
      <w:r w:rsidRPr="00056BE4" w:rsidR="00F44525">
        <w:rPr>
          <w:lang w:val="en-GB"/>
        </w:rPr>
        <w:t xml:space="preserve">the </w:t>
      </w:r>
      <w:r w:rsidRPr="00056BE4" w:rsidR="004E1414">
        <w:rPr>
          <w:lang w:val="en-GB"/>
        </w:rPr>
        <w:t>ten members of the military who had been working in the area at the time of the events (see paragraph</w:t>
      </w:r>
      <w:r w:rsidRPr="00056BE4" w:rsidR="005F6D79">
        <w:rPr>
          <w:lang w:val="en-GB"/>
        </w:rPr>
        <w:t> </w:t>
      </w:r>
      <w:r w:rsidRPr="00056BE4" w:rsidR="00A66B23">
        <w:rPr>
          <w:lang w:val="en-GB"/>
        </w:rPr>
        <w:t>15</w:t>
      </w:r>
      <w:r w:rsidRPr="00056BE4" w:rsidR="004E1414">
        <w:rPr>
          <w:lang w:val="en-GB"/>
        </w:rPr>
        <w:t xml:space="preserve"> above). Secondly, as the proceedings were still pending before the Court of Cassation, the applicants</w:t>
      </w:r>
      <w:r w:rsidRPr="00056BE4" w:rsidR="00063BD0">
        <w:rPr>
          <w:lang w:val="en-GB"/>
        </w:rPr>
        <w:t xml:space="preserve"> </w:t>
      </w:r>
      <w:r w:rsidRPr="00056BE4" w:rsidR="00F632FA">
        <w:rPr>
          <w:lang w:val="en-GB"/>
        </w:rPr>
        <w:t>still had the possibility</w:t>
      </w:r>
      <w:r w:rsidRPr="00056BE4" w:rsidR="004E1414">
        <w:rPr>
          <w:lang w:val="en-GB"/>
        </w:rPr>
        <w:t xml:space="preserve"> o</w:t>
      </w:r>
      <w:r w:rsidRPr="00056BE4" w:rsidR="00F632FA">
        <w:rPr>
          <w:lang w:val="en-GB"/>
        </w:rPr>
        <w:t>f</w:t>
      </w:r>
      <w:r w:rsidRPr="00056BE4" w:rsidR="004E1414">
        <w:rPr>
          <w:lang w:val="en-GB"/>
        </w:rPr>
        <w:t xml:space="preserve"> mak</w:t>
      </w:r>
      <w:r w:rsidRPr="00056BE4" w:rsidR="00F632FA">
        <w:rPr>
          <w:lang w:val="en-GB"/>
        </w:rPr>
        <w:t>ing</w:t>
      </w:r>
      <w:r w:rsidRPr="00056BE4" w:rsidR="004E1414">
        <w:rPr>
          <w:lang w:val="en-GB"/>
        </w:rPr>
        <w:t xml:space="preserve"> an individual application to </w:t>
      </w:r>
      <w:r w:rsidRPr="00056BE4" w:rsidR="00513B6F">
        <w:rPr>
          <w:lang w:val="en-GB"/>
        </w:rPr>
        <w:t xml:space="preserve">the </w:t>
      </w:r>
      <w:r w:rsidRPr="00056BE4" w:rsidR="00E0087B">
        <w:rPr>
          <w:lang w:val="en-GB"/>
        </w:rPr>
        <w:t>Constitutional Court in Turkey.</w:t>
      </w:r>
    </w:p>
    <w:p w:rsidRPr="00056BE4" w:rsidR="0013720C" w:rsidP="00056BE4" w:rsidRDefault="00513B6F">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21</w:t>
      </w:r>
      <w:r w:rsidRPr="00056BE4">
        <w:rPr>
          <w:lang w:val="en-GB"/>
        </w:rPr>
        <w:fldChar w:fldCharType="end"/>
      </w:r>
      <w:r w:rsidRPr="00056BE4">
        <w:rPr>
          <w:lang w:val="en-GB"/>
        </w:rPr>
        <w:t>.  As for the Government</w:t>
      </w:r>
      <w:r w:rsidRPr="00056BE4" w:rsidR="00056BE4">
        <w:rPr>
          <w:lang w:val="en-GB"/>
        </w:rPr>
        <w:t>’</w:t>
      </w:r>
      <w:r w:rsidRPr="00056BE4">
        <w:rPr>
          <w:lang w:val="en-GB"/>
        </w:rPr>
        <w:t xml:space="preserve">s argument that the applicants had failed to exhaust domestic remedies by </w:t>
      </w:r>
      <w:r w:rsidRPr="00056BE4" w:rsidR="00AB1E92">
        <w:rPr>
          <w:lang w:val="en-GB"/>
        </w:rPr>
        <w:t xml:space="preserve">not lodging an objection against the decision not to prosecute the ten military personnel, </w:t>
      </w:r>
      <w:r w:rsidRPr="00056BE4" w:rsidR="003B4140">
        <w:rPr>
          <w:lang w:val="en-GB"/>
        </w:rPr>
        <w:t>it must be reiterated</w:t>
      </w:r>
      <w:r w:rsidRPr="00056BE4" w:rsidR="005908D3">
        <w:rPr>
          <w:lang w:val="en-GB"/>
        </w:rPr>
        <w:t xml:space="preserve"> </w:t>
      </w:r>
      <w:r w:rsidRPr="00056BE4" w:rsidR="0022504B">
        <w:rPr>
          <w:lang w:val="en-GB"/>
        </w:rPr>
        <w:t xml:space="preserve">that </w:t>
      </w:r>
      <w:r w:rsidRPr="00056BE4" w:rsidR="005908D3">
        <w:rPr>
          <w:lang w:val="en-GB"/>
        </w:rPr>
        <w:t>lodging objections against a prosecutor</w:t>
      </w:r>
      <w:r w:rsidRPr="00056BE4" w:rsidR="00056BE4">
        <w:rPr>
          <w:lang w:val="en-GB"/>
        </w:rPr>
        <w:t>’</w:t>
      </w:r>
      <w:r w:rsidRPr="00056BE4" w:rsidR="005908D3">
        <w:rPr>
          <w:lang w:val="en-GB"/>
        </w:rPr>
        <w:t xml:space="preserve">s decision to stop an investigation into a killing is </w:t>
      </w:r>
      <w:r w:rsidRPr="00056BE4" w:rsidR="003B4140">
        <w:rPr>
          <w:lang w:val="en-GB"/>
        </w:rPr>
        <w:t xml:space="preserve">regarded by the Court as </w:t>
      </w:r>
      <w:r w:rsidRPr="00056BE4" w:rsidR="005908D3">
        <w:rPr>
          <w:lang w:val="en-GB"/>
        </w:rPr>
        <w:t xml:space="preserve">an effective remedy in Turkish law (see, in particular, </w:t>
      </w:r>
      <w:r w:rsidRPr="00056BE4" w:rsidR="005908D3">
        <w:rPr>
          <w:i/>
          <w:lang w:val="en-GB"/>
        </w:rPr>
        <w:t>Epözdemir v. Turkey</w:t>
      </w:r>
      <w:r w:rsidRPr="00056BE4" w:rsidR="005908D3">
        <w:rPr>
          <w:lang w:val="en-GB"/>
        </w:rPr>
        <w:t xml:space="preserve"> </w:t>
      </w:r>
      <w:r w:rsidRPr="00056BE4" w:rsidR="00BE4AAB">
        <w:rPr>
          <w:lang w:val="en-GB"/>
        </w:rPr>
        <w:t>(</w:t>
      </w:r>
      <w:r w:rsidRPr="00056BE4" w:rsidR="005908D3">
        <w:rPr>
          <w:lang w:val="en-GB"/>
        </w:rPr>
        <w:t>dec.), no. 57039/00, 31 January 2002).</w:t>
      </w:r>
      <w:r w:rsidRPr="00056BE4" w:rsidR="0013720C">
        <w:rPr>
          <w:lang w:val="en-GB"/>
        </w:rPr>
        <w:t xml:space="preserve"> In the present case the Court observes</w:t>
      </w:r>
      <w:r w:rsidRPr="00056BE4" w:rsidR="003B4140">
        <w:rPr>
          <w:lang w:val="en-GB"/>
        </w:rPr>
        <w:t>, however,</w:t>
      </w:r>
      <w:r w:rsidRPr="00056BE4" w:rsidR="0013720C">
        <w:rPr>
          <w:lang w:val="en-GB"/>
        </w:rPr>
        <w:t xml:space="preserve"> that the applicants do not specifically allege that it </w:t>
      </w:r>
      <w:r w:rsidRPr="00056BE4" w:rsidR="00063BD0">
        <w:rPr>
          <w:lang w:val="en-GB"/>
        </w:rPr>
        <w:t xml:space="preserve">was </w:t>
      </w:r>
      <w:r w:rsidRPr="00056BE4" w:rsidR="0013720C">
        <w:rPr>
          <w:lang w:val="en-GB"/>
        </w:rPr>
        <w:t>those ten members of the military who had been responsible for the killing of their relative.</w:t>
      </w:r>
      <w:r w:rsidRPr="00056BE4" w:rsidR="002D7DE7">
        <w:rPr>
          <w:lang w:val="en-GB"/>
        </w:rPr>
        <w:t xml:space="preserve"> Indeed, they do not accuse any particular individual </w:t>
      </w:r>
      <w:r w:rsidRPr="00056BE4" w:rsidR="00063BD0">
        <w:rPr>
          <w:lang w:val="en-GB"/>
        </w:rPr>
        <w:t>o</w:t>
      </w:r>
      <w:r w:rsidRPr="00056BE4" w:rsidR="002D7DE7">
        <w:rPr>
          <w:lang w:val="en-GB"/>
        </w:rPr>
        <w:t>f the killing</w:t>
      </w:r>
      <w:r w:rsidRPr="00056BE4" w:rsidR="003B4140">
        <w:rPr>
          <w:lang w:val="en-GB"/>
        </w:rPr>
        <w:t>,</w:t>
      </w:r>
      <w:r w:rsidRPr="00056BE4" w:rsidR="002D7DE7">
        <w:rPr>
          <w:lang w:val="en-GB"/>
        </w:rPr>
        <w:t xml:space="preserve"> but a</w:t>
      </w:r>
      <w:r w:rsidRPr="00056BE4" w:rsidR="005D7C01">
        <w:rPr>
          <w:lang w:val="en-GB"/>
        </w:rPr>
        <w:t>sse</w:t>
      </w:r>
      <w:r w:rsidRPr="00056BE4" w:rsidR="002D7DE7">
        <w:rPr>
          <w:lang w:val="en-GB"/>
        </w:rPr>
        <w:t>r</w:t>
      </w:r>
      <w:r w:rsidRPr="00056BE4" w:rsidR="005D7C01">
        <w:rPr>
          <w:lang w:val="en-GB"/>
        </w:rPr>
        <w:t>t</w:t>
      </w:r>
      <w:r w:rsidRPr="00056BE4" w:rsidR="002D7DE7">
        <w:rPr>
          <w:lang w:val="en-GB"/>
        </w:rPr>
        <w:t xml:space="preserve"> that it </w:t>
      </w:r>
      <w:r w:rsidRPr="00056BE4" w:rsidR="00063BD0">
        <w:rPr>
          <w:lang w:val="en-GB"/>
        </w:rPr>
        <w:t>was</w:t>
      </w:r>
      <w:r w:rsidRPr="00056BE4" w:rsidR="002D7DE7">
        <w:rPr>
          <w:lang w:val="en-GB"/>
        </w:rPr>
        <w:t xml:space="preserve"> soldiers from </w:t>
      </w:r>
      <w:r w:rsidRPr="00056BE4" w:rsidR="003B4140">
        <w:rPr>
          <w:lang w:val="en-GB"/>
        </w:rPr>
        <w:t xml:space="preserve">the </w:t>
      </w:r>
      <w:r w:rsidRPr="00056BE4" w:rsidR="002D7DE7">
        <w:rPr>
          <w:lang w:val="en-GB"/>
        </w:rPr>
        <w:t xml:space="preserve">Geçimli military station who shot their relative. To that end, when the prosecutor charged the commander of the Geçimli station </w:t>
      </w:r>
      <w:r w:rsidRPr="00056BE4" w:rsidR="003B4140">
        <w:rPr>
          <w:lang w:val="en-GB"/>
        </w:rPr>
        <w:t>with the offence of murder</w:t>
      </w:r>
      <w:r w:rsidRPr="00056BE4" w:rsidR="00063BD0">
        <w:rPr>
          <w:lang w:val="en-GB"/>
        </w:rPr>
        <w:t>,</w:t>
      </w:r>
      <w:r w:rsidRPr="00056BE4" w:rsidR="003B4140">
        <w:rPr>
          <w:lang w:val="en-GB"/>
        </w:rPr>
        <w:t xml:space="preserve"> </w:t>
      </w:r>
      <w:r w:rsidRPr="00056BE4" w:rsidR="002B4DC5">
        <w:rPr>
          <w:lang w:val="en-GB"/>
        </w:rPr>
        <w:t xml:space="preserve">the </w:t>
      </w:r>
      <w:r w:rsidRPr="00056BE4" w:rsidR="00263B14">
        <w:rPr>
          <w:lang w:val="en-GB"/>
        </w:rPr>
        <w:t>applicants Halima İncin and Hazım İncin</w:t>
      </w:r>
      <w:r w:rsidRPr="00056BE4" w:rsidR="002C1013">
        <w:rPr>
          <w:lang w:val="en-GB"/>
        </w:rPr>
        <w:t>, that is the mother and the son of the deceased,</w:t>
      </w:r>
      <w:r w:rsidRPr="00056BE4" w:rsidR="002D7DE7">
        <w:rPr>
          <w:lang w:val="en-GB"/>
        </w:rPr>
        <w:t xml:space="preserve"> joined the criminal proceedings as interveners</w:t>
      </w:r>
      <w:r w:rsidRPr="00056BE4" w:rsidR="002B4DC5">
        <w:rPr>
          <w:lang w:val="en-GB"/>
        </w:rPr>
        <w:t xml:space="preserve"> (see paragraph 16 above)</w:t>
      </w:r>
      <w:r w:rsidRPr="00056BE4" w:rsidR="002D7DE7">
        <w:rPr>
          <w:lang w:val="en-GB"/>
        </w:rPr>
        <w:t xml:space="preserve"> and when the commander was acquitted, they appealed against the trial court</w:t>
      </w:r>
      <w:r w:rsidRPr="00056BE4" w:rsidR="00056BE4">
        <w:rPr>
          <w:lang w:val="en-GB"/>
        </w:rPr>
        <w:t>’</w:t>
      </w:r>
      <w:r w:rsidRPr="00056BE4" w:rsidR="002D7DE7">
        <w:rPr>
          <w:lang w:val="en-GB"/>
        </w:rPr>
        <w:t xml:space="preserve">s judgment. Thus, in </w:t>
      </w:r>
      <w:r w:rsidRPr="00056BE4" w:rsidR="003B4140">
        <w:rPr>
          <w:lang w:val="en-GB"/>
        </w:rPr>
        <w:t>the circumstances of the present case</w:t>
      </w:r>
      <w:r w:rsidRPr="00056BE4" w:rsidR="000568EE">
        <w:rPr>
          <w:lang w:val="en-GB"/>
        </w:rPr>
        <w:t>,</w:t>
      </w:r>
      <w:r w:rsidRPr="00056BE4" w:rsidR="003B4140">
        <w:rPr>
          <w:lang w:val="en-GB"/>
        </w:rPr>
        <w:t xml:space="preserve"> the Court </w:t>
      </w:r>
      <w:r w:rsidRPr="00056BE4" w:rsidR="00063BD0">
        <w:rPr>
          <w:lang w:val="en-GB"/>
        </w:rPr>
        <w:t>f</w:t>
      </w:r>
      <w:r w:rsidRPr="00056BE4" w:rsidR="003B4140">
        <w:rPr>
          <w:lang w:val="en-GB"/>
        </w:rPr>
        <w:t>i</w:t>
      </w:r>
      <w:r w:rsidRPr="00056BE4" w:rsidR="00063BD0">
        <w:rPr>
          <w:lang w:val="en-GB"/>
        </w:rPr>
        <w:t>n</w:t>
      </w:r>
      <w:r w:rsidRPr="00056BE4" w:rsidR="003B4140">
        <w:rPr>
          <w:lang w:val="en-GB"/>
        </w:rPr>
        <w:t xml:space="preserve">ds that the applicants </w:t>
      </w:r>
      <w:r w:rsidRPr="00056BE4" w:rsidR="00947D77">
        <w:rPr>
          <w:lang w:val="en-GB"/>
        </w:rPr>
        <w:t>di</w:t>
      </w:r>
      <w:r w:rsidRPr="00056BE4" w:rsidR="003B4140">
        <w:rPr>
          <w:lang w:val="en-GB"/>
        </w:rPr>
        <w:t>d not fail to comply with the requirement to exhaust domestic remedies by not lodging an objection against the prosecutor</w:t>
      </w:r>
      <w:r w:rsidRPr="00056BE4" w:rsidR="00056BE4">
        <w:rPr>
          <w:lang w:val="en-GB"/>
        </w:rPr>
        <w:t>’</w:t>
      </w:r>
      <w:r w:rsidRPr="00056BE4" w:rsidR="003B4140">
        <w:rPr>
          <w:lang w:val="en-GB"/>
        </w:rPr>
        <w:t>s decision not to prosecute the ten military personnel.</w:t>
      </w:r>
    </w:p>
    <w:p w:rsidRPr="00056BE4" w:rsidR="00F25D5B" w:rsidP="00056BE4" w:rsidRDefault="00F25D5B">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22</w:t>
      </w:r>
      <w:r w:rsidRPr="00056BE4">
        <w:rPr>
          <w:lang w:val="en-GB"/>
        </w:rPr>
        <w:fldChar w:fldCharType="end"/>
      </w:r>
      <w:r w:rsidRPr="00056BE4">
        <w:rPr>
          <w:lang w:val="en-GB"/>
        </w:rPr>
        <w:t>.  Concerning the Government</w:t>
      </w:r>
      <w:r w:rsidRPr="00056BE4" w:rsidR="00056BE4">
        <w:rPr>
          <w:lang w:val="en-GB"/>
        </w:rPr>
        <w:t>’</w:t>
      </w:r>
      <w:r w:rsidRPr="00056BE4">
        <w:rPr>
          <w:lang w:val="en-GB"/>
        </w:rPr>
        <w:t xml:space="preserve">s argument that the applicants failed to make an individual application to the Constitutional Court, the Court observes that it has already examined and dismissed </w:t>
      </w:r>
      <w:r w:rsidRPr="00056BE4" w:rsidR="003D03FC">
        <w:rPr>
          <w:lang w:val="en-GB"/>
        </w:rPr>
        <w:t xml:space="preserve">similar objections </w:t>
      </w:r>
      <w:r w:rsidRPr="00056BE4" w:rsidR="00F44525">
        <w:rPr>
          <w:lang w:val="en-GB"/>
        </w:rPr>
        <w:t xml:space="preserve">raised </w:t>
      </w:r>
      <w:r w:rsidRPr="00056BE4" w:rsidR="003D03FC">
        <w:rPr>
          <w:lang w:val="en-GB"/>
        </w:rPr>
        <w:t xml:space="preserve">by the Turkish Government in comparable cases (see, </w:t>
      </w:r>
      <w:r w:rsidRPr="00056BE4" w:rsidR="00926E6D">
        <w:rPr>
          <w:lang w:val="en-GB"/>
        </w:rPr>
        <w:t xml:space="preserve">in particular, </w:t>
      </w:r>
      <w:r w:rsidRPr="00056BE4" w:rsidR="00926E6D">
        <w:rPr>
          <w:i/>
          <w:lang w:val="en-GB"/>
        </w:rPr>
        <w:t>Şükrü Yıldız v. Turkey</w:t>
      </w:r>
      <w:r w:rsidRPr="00056BE4" w:rsidR="00926E6D">
        <w:rPr>
          <w:snapToGrid w:val="0"/>
          <w:lang w:val="en-GB"/>
        </w:rPr>
        <w:t xml:space="preserve">, </w:t>
      </w:r>
      <w:r w:rsidRPr="00056BE4" w:rsidR="00926E6D">
        <w:rPr>
          <w:lang w:val="en-GB"/>
        </w:rPr>
        <w:t>no. 4100/10</w:t>
      </w:r>
      <w:r w:rsidRPr="00056BE4" w:rsidR="00926E6D">
        <w:rPr>
          <w:snapToGrid w:val="0"/>
          <w:lang w:val="en-GB"/>
        </w:rPr>
        <w:t>, §§ 42-46</w:t>
      </w:r>
      <w:r w:rsidRPr="00056BE4" w:rsidR="00B94DBC">
        <w:rPr>
          <w:snapToGrid w:val="0"/>
          <w:lang w:val="en-GB"/>
        </w:rPr>
        <w:t>, 17 </w:t>
      </w:r>
      <w:r w:rsidRPr="00056BE4" w:rsidR="00926E6D">
        <w:rPr>
          <w:snapToGrid w:val="0"/>
          <w:lang w:val="en-GB"/>
        </w:rPr>
        <w:t xml:space="preserve">March 2015; see also, more recently, </w:t>
      </w:r>
      <w:r w:rsidRPr="00056BE4" w:rsidR="00BE4AAB">
        <w:rPr>
          <w:i/>
          <w:lang w:val="en-GB"/>
        </w:rPr>
        <w:t>Mızrak and Atay v. Turkey</w:t>
      </w:r>
      <w:r w:rsidRPr="00056BE4" w:rsidR="00BE4AAB">
        <w:rPr>
          <w:lang w:val="en-GB"/>
        </w:rPr>
        <w:t>, no. 65146/12, § 47, 18 October 2016, and</w:t>
      </w:r>
      <w:r w:rsidRPr="00056BE4" w:rsidR="00BE4AAB">
        <w:rPr>
          <w:i/>
          <w:lang w:val="en-GB"/>
        </w:rPr>
        <w:t xml:space="preserve"> </w:t>
      </w:r>
      <w:r w:rsidRPr="00056BE4" w:rsidR="00926E6D">
        <w:rPr>
          <w:i/>
          <w:lang w:val="en-GB"/>
        </w:rPr>
        <w:t>Önkol v. Turkey</w:t>
      </w:r>
      <w:r w:rsidRPr="00056BE4" w:rsidR="00926E6D">
        <w:rPr>
          <w:lang w:val="en-GB"/>
        </w:rPr>
        <w:t>, no. 24359/10, §§</w:t>
      </w:r>
      <w:r w:rsidRPr="00056BE4" w:rsidR="00BE4AAB">
        <w:rPr>
          <w:lang w:val="en-GB"/>
        </w:rPr>
        <w:t> </w:t>
      </w:r>
      <w:r w:rsidRPr="00056BE4" w:rsidR="00926E6D">
        <w:rPr>
          <w:lang w:val="en-GB"/>
        </w:rPr>
        <w:t>68-69, 17</w:t>
      </w:r>
      <w:r w:rsidRPr="00056BE4" w:rsidR="005F6D79">
        <w:rPr>
          <w:lang w:val="en-GB"/>
        </w:rPr>
        <w:t> </w:t>
      </w:r>
      <w:r w:rsidRPr="00056BE4" w:rsidR="00926E6D">
        <w:rPr>
          <w:lang w:val="en-GB"/>
        </w:rPr>
        <w:t>January 2017</w:t>
      </w:r>
      <w:r w:rsidRPr="00056BE4" w:rsidR="003D03FC">
        <w:rPr>
          <w:lang w:val="en-GB"/>
        </w:rPr>
        <w:t xml:space="preserve">). </w:t>
      </w:r>
      <w:r w:rsidRPr="00056BE4" w:rsidR="00F44525">
        <w:rPr>
          <w:lang w:val="en-GB"/>
        </w:rPr>
        <w:t>The Court</w:t>
      </w:r>
      <w:r w:rsidRPr="00056BE4" w:rsidR="00772F83">
        <w:rPr>
          <w:lang w:val="en-GB"/>
        </w:rPr>
        <w:t xml:space="preserve"> finds no particular circumstances in the instant case requiring it to depart from its findings in the above-mentioned cases. It therefore rejects the Government</w:t>
      </w:r>
      <w:r w:rsidRPr="00056BE4" w:rsidR="00056BE4">
        <w:rPr>
          <w:lang w:val="en-GB"/>
        </w:rPr>
        <w:t>’</w:t>
      </w:r>
      <w:r w:rsidRPr="00056BE4" w:rsidR="00772F83">
        <w:rPr>
          <w:lang w:val="en-GB"/>
        </w:rPr>
        <w:t>s second objection to the admissibility of the application.</w:t>
      </w:r>
    </w:p>
    <w:p w:rsidRPr="00056BE4" w:rsidR="00771207" w:rsidP="00056BE4" w:rsidRDefault="00771207">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23</w:t>
      </w:r>
      <w:r w:rsidRPr="00056BE4">
        <w:rPr>
          <w:lang w:val="en-GB"/>
        </w:rPr>
        <w:fldChar w:fldCharType="end"/>
      </w:r>
      <w:r w:rsidRPr="00056BE4">
        <w:rPr>
          <w:lang w:val="en-GB"/>
        </w:rPr>
        <w:t>.  The Court observes that the application is not manifestly ill</w:t>
      </w:r>
      <w:r w:rsidRPr="00056BE4" w:rsidR="005D7C01">
        <w:rPr>
          <w:rFonts w:ascii="MS Mincho" w:hAnsi="MS Mincho" w:eastAsia="MS Mincho" w:cs="MS Mincho"/>
          <w:lang w:val="en-GB"/>
        </w:rPr>
        <w:t>-</w:t>
      </w:r>
      <w:r w:rsidRPr="00056BE4">
        <w:rPr>
          <w:lang w:val="en-GB"/>
        </w:rPr>
        <w:t xml:space="preserve">founded within the meaning of Article 35 </w:t>
      </w:r>
      <w:r w:rsidRPr="00056BE4">
        <w:rPr>
          <w:rFonts w:ascii="Times New Roman" w:hAnsi="Times New Roman" w:cs="Times New Roman"/>
          <w:lang w:val="en-GB"/>
        </w:rPr>
        <w:t>§</w:t>
      </w:r>
      <w:r w:rsidRPr="00056BE4">
        <w:rPr>
          <w:lang w:val="en-GB"/>
        </w:rPr>
        <w:t xml:space="preserve"> 3 of the Convention. It further notes that it is not inadmissible on any other grounds. It must therefore be declared admissible.</w:t>
      </w:r>
    </w:p>
    <w:p w:rsidRPr="00056BE4" w:rsidR="00014566" w:rsidP="00056BE4" w:rsidRDefault="00014566">
      <w:pPr>
        <w:pStyle w:val="ECHRHeading2"/>
        <w:rPr>
          <w:lang w:val="en-GB"/>
        </w:rPr>
      </w:pPr>
      <w:r w:rsidRPr="00056BE4">
        <w:rPr>
          <w:lang w:val="en-GB"/>
        </w:rPr>
        <w:t>B.  Merits</w:t>
      </w:r>
    </w:p>
    <w:p w:rsidRPr="00056BE4" w:rsidR="00014566" w:rsidP="00056BE4" w:rsidRDefault="004875ED">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24</w:t>
      </w:r>
      <w:r w:rsidRPr="00056BE4">
        <w:rPr>
          <w:lang w:val="en-GB"/>
        </w:rPr>
        <w:fldChar w:fldCharType="end"/>
      </w:r>
      <w:r w:rsidRPr="00056BE4" w:rsidR="00014566">
        <w:rPr>
          <w:lang w:val="en-GB"/>
        </w:rPr>
        <w:t>.  The applicant</w:t>
      </w:r>
      <w:r w:rsidRPr="00056BE4">
        <w:rPr>
          <w:lang w:val="en-GB"/>
        </w:rPr>
        <w:t>s</w:t>
      </w:r>
      <w:r w:rsidRPr="00056BE4" w:rsidR="000D0A0D">
        <w:rPr>
          <w:lang w:val="en-GB"/>
        </w:rPr>
        <w:t xml:space="preserve"> </w:t>
      </w:r>
      <w:r w:rsidRPr="00056BE4" w:rsidR="00143253">
        <w:rPr>
          <w:lang w:val="en-GB"/>
        </w:rPr>
        <w:t xml:space="preserve">alleged that </w:t>
      </w:r>
      <w:r w:rsidRPr="00056BE4" w:rsidR="008E4670">
        <w:rPr>
          <w:lang w:val="en-GB"/>
        </w:rPr>
        <w:t>the authorities had not</w:t>
      </w:r>
      <w:r w:rsidRPr="00056BE4" w:rsidR="005D7C01">
        <w:rPr>
          <w:lang w:val="en-GB"/>
        </w:rPr>
        <w:t>,</w:t>
      </w:r>
      <w:r w:rsidRPr="00056BE4" w:rsidR="008E4670">
        <w:rPr>
          <w:lang w:val="en-GB"/>
        </w:rPr>
        <w:t xml:space="preserve"> </w:t>
      </w:r>
      <w:r w:rsidRPr="00056BE4" w:rsidR="005D7C01">
        <w:rPr>
          <w:lang w:val="en-GB"/>
        </w:rPr>
        <w:t xml:space="preserve">of their own motion, </w:t>
      </w:r>
      <w:r w:rsidRPr="00056BE4" w:rsidR="008E4670">
        <w:rPr>
          <w:lang w:val="en-GB"/>
        </w:rPr>
        <w:t xml:space="preserve">instigated an investigation into the killing and had </w:t>
      </w:r>
      <w:r w:rsidRPr="00056BE4" w:rsidR="00063BD0">
        <w:rPr>
          <w:lang w:val="en-GB"/>
        </w:rPr>
        <w:t xml:space="preserve">instead </w:t>
      </w:r>
      <w:r w:rsidRPr="00056BE4" w:rsidR="008E4670">
        <w:rPr>
          <w:lang w:val="en-GB"/>
        </w:rPr>
        <w:t>waited for the family to lodge an official complaint. Even after the</w:t>
      </w:r>
      <w:r w:rsidRPr="00056BE4" w:rsidR="00473BF9">
        <w:rPr>
          <w:lang w:val="en-GB"/>
        </w:rPr>
        <w:t xml:space="preserve"> family</w:t>
      </w:r>
      <w:r w:rsidRPr="00056BE4" w:rsidR="008E4670">
        <w:rPr>
          <w:lang w:val="en-GB"/>
        </w:rPr>
        <w:t xml:space="preserve"> had lodged the complaint, </w:t>
      </w:r>
      <w:r w:rsidRPr="00056BE4" w:rsidR="00143253">
        <w:rPr>
          <w:lang w:val="en-GB"/>
        </w:rPr>
        <w:t xml:space="preserve">the investigation and the trial </w:t>
      </w:r>
      <w:r w:rsidRPr="00056BE4" w:rsidR="008E4670">
        <w:rPr>
          <w:lang w:val="en-GB"/>
        </w:rPr>
        <w:t>had been conducted half-heartedly and had been very slow.</w:t>
      </w:r>
      <w:r w:rsidRPr="00056BE4" w:rsidR="0037703C">
        <w:rPr>
          <w:lang w:val="en-GB"/>
        </w:rPr>
        <w:t xml:space="preserve"> For example, although their relative had been buried in a village </w:t>
      </w:r>
      <w:r w:rsidRPr="00056BE4" w:rsidR="00063BD0">
        <w:rPr>
          <w:lang w:val="en-GB"/>
        </w:rPr>
        <w:t xml:space="preserve">with a </w:t>
      </w:r>
      <w:r w:rsidRPr="00056BE4" w:rsidR="0037703C">
        <w:rPr>
          <w:lang w:val="en-GB"/>
        </w:rPr>
        <w:t xml:space="preserve">civilian </w:t>
      </w:r>
      <w:r w:rsidRPr="00056BE4" w:rsidR="00063BD0">
        <w:rPr>
          <w:lang w:val="en-GB"/>
        </w:rPr>
        <w:t>population</w:t>
      </w:r>
      <w:r w:rsidRPr="00056BE4" w:rsidR="0037703C">
        <w:rPr>
          <w:lang w:val="en-GB"/>
        </w:rPr>
        <w:t xml:space="preserve">, the military had told the prosecutor on many occasions that the area was not safe </w:t>
      </w:r>
      <w:r w:rsidRPr="00056BE4" w:rsidR="00473BF9">
        <w:rPr>
          <w:lang w:val="en-GB"/>
        </w:rPr>
        <w:t xml:space="preserve">to visit </w:t>
      </w:r>
      <w:r w:rsidRPr="00056BE4" w:rsidR="0037703C">
        <w:rPr>
          <w:lang w:val="en-GB"/>
        </w:rPr>
        <w:t>and had thus attempted to prevent the prosecutor from investigating the killing.</w:t>
      </w:r>
    </w:p>
    <w:p w:rsidRPr="00056BE4" w:rsidR="002F01F8" w:rsidP="00056BE4" w:rsidRDefault="004875ED">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25</w:t>
      </w:r>
      <w:r w:rsidRPr="00056BE4">
        <w:rPr>
          <w:lang w:val="en-GB"/>
        </w:rPr>
        <w:fldChar w:fldCharType="end"/>
      </w:r>
      <w:r w:rsidRPr="00056BE4" w:rsidR="00014566">
        <w:rPr>
          <w:lang w:val="en-GB"/>
        </w:rPr>
        <w:t xml:space="preserve">.  The Government </w:t>
      </w:r>
      <w:r w:rsidRPr="00056BE4" w:rsidR="006D203D">
        <w:rPr>
          <w:lang w:val="en-GB"/>
        </w:rPr>
        <w:t xml:space="preserve">admitted that they were aware of the length of the investigation process but argued that the delays in the investigation and the trial had been due to the </w:t>
      </w:r>
      <w:r w:rsidRPr="00056BE4" w:rsidR="002F01F8">
        <w:rPr>
          <w:lang w:val="en-GB"/>
        </w:rPr>
        <w:t>difficulties encountered by the</w:t>
      </w:r>
      <w:r w:rsidRPr="00056BE4" w:rsidR="00473BF9">
        <w:rPr>
          <w:lang w:val="en-GB"/>
        </w:rPr>
        <w:t>ir</w:t>
      </w:r>
      <w:r w:rsidRPr="00056BE4" w:rsidR="002F01F8">
        <w:rPr>
          <w:lang w:val="en-GB"/>
        </w:rPr>
        <w:t xml:space="preserve"> authorities in identifying, locating and questioning a total of 163 witnesses and 11</w:t>
      </w:r>
      <w:r w:rsidRPr="00056BE4" w:rsidR="00BE4AAB">
        <w:rPr>
          <w:lang w:val="en-GB"/>
        </w:rPr>
        <w:t> </w:t>
      </w:r>
      <w:r w:rsidRPr="00056BE4" w:rsidR="002F01F8">
        <w:rPr>
          <w:lang w:val="en-GB"/>
        </w:rPr>
        <w:t xml:space="preserve">suspects and in </w:t>
      </w:r>
      <w:r w:rsidRPr="00056BE4" w:rsidR="00063BD0">
        <w:rPr>
          <w:lang w:val="en-GB"/>
        </w:rPr>
        <w:t>access</w:t>
      </w:r>
      <w:r w:rsidRPr="00056BE4" w:rsidR="002F01F8">
        <w:rPr>
          <w:lang w:val="en-GB"/>
        </w:rPr>
        <w:t>ing the cemetery to exhume the body.</w:t>
      </w:r>
      <w:r w:rsidRPr="00056BE4" w:rsidR="00986359">
        <w:rPr>
          <w:lang w:val="en-GB"/>
        </w:rPr>
        <w:t xml:space="preserve"> As for the trial, the Government submitted that some of the hearings had had to be postponed on account of the failure of the lawyers representing the parties to attend the hearings and</w:t>
      </w:r>
      <w:r w:rsidRPr="00056BE4" w:rsidR="009F1D1B">
        <w:rPr>
          <w:lang w:val="en-GB"/>
        </w:rPr>
        <w:t xml:space="preserve"> also</w:t>
      </w:r>
      <w:r w:rsidRPr="00056BE4" w:rsidR="00986359">
        <w:rPr>
          <w:lang w:val="en-GB"/>
        </w:rPr>
        <w:t xml:space="preserve"> on account of the difficulties in ensuring the attendance of a number of witnesses.</w:t>
      </w:r>
    </w:p>
    <w:p w:rsidRPr="00056BE4" w:rsidR="00132533" w:rsidP="00056BE4" w:rsidRDefault="004875ED">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26</w:t>
      </w:r>
      <w:r w:rsidRPr="00056BE4">
        <w:rPr>
          <w:lang w:val="en-GB"/>
        </w:rPr>
        <w:fldChar w:fldCharType="end"/>
      </w:r>
      <w:r w:rsidRPr="00056BE4" w:rsidR="00014566">
        <w:rPr>
          <w:lang w:val="en-GB"/>
        </w:rPr>
        <w:t xml:space="preserve">.  The Court </w:t>
      </w:r>
      <w:r w:rsidRPr="00056BE4" w:rsidR="00063BD0">
        <w:rPr>
          <w:lang w:val="en-GB"/>
        </w:rPr>
        <w:t>points out</w:t>
      </w:r>
      <w:r w:rsidRPr="00056BE4" w:rsidR="00906D7E">
        <w:rPr>
          <w:lang w:val="en-GB"/>
        </w:rPr>
        <w:t xml:space="preserve"> at the outset that its examination of the applicants</w:t>
      </w:r>
      <w:r w:rsidRPr="00056BE4" w:rsidR="00056BE4">
        <w:rPr>
          <w:lang w:val="en-GB"/>
        </w:rPr>
        <w:t>’</w:t>
      </w:r>
      <w:r w:rsidRPr="00056BE4" w:rsidR="00906D7E">
        <w:rPr>
          <w:lang w:val="en-GB"/>
        </w:rPr>
        <w:t xml:space="preserve"> complaints under Article 2 of the Convention will be limited to the steps taken in the investigation after the applicants</w:t>
      </w:r>
      <w:r w:rsidRPr="00056BE4" w:rsidR="00063BD0">
        <w:rPr>
          <w:lang w:val="en-GB"/>
        </w:rPr>
        <w:t xml:space="preserve"> </w:t>
      </w:r>
      <w:r w:rsidRPr="00056BE4" w:rsidR="00906D7E">
        <w:rPr>
          <w:lang w:val="en-GB"/>
        </w:rPr>
        <w:t>lodged the</w:t>
      </w:r>
      <w:r w:rsidRPr="00056BE4" w:rsidR="00063BD0">
        <w:rPr>
          <w:lang w:val="en-GB"/>
        </w:rPr>
        <w:t>ir</w:t>
      </w:r>
      <w:r w:rsidRPr="00056BE4" w:rsidR="00906D7E">
        <w:rPr>
          <w:lang w:val="en-GB"/>
        </w:rPr>
        <w:t xml:space="preserve"> official complaint on 22 March 2005</w:t>
      </w:r>
      <w:r w:rsidRPr="00056BE4" w:rsidR="00C641CC">
        <w:rPr>
          <w:lang w:val="en-GB"/>
        </w:rPr>
        <w:t>, although it cannot lose sight of the fact that the applicants</w:t>
      </w:r>
      <w:r w:rsidRPr="00056BE4" w:rsidR="00056BE4">
        <w:rPr>
          <w:lang w:val="en-GB"/>
        </w:rPr>
        <w:t>’</w:t>
      </w:r>
      <w:r w:rsidRPr="00056BE4" w:rsidR="00C641CC">
        <w:rPr>
          <w:lang w:val="en-GB"/>
        </w:rPr>
        <w:t xml:space="preserve"> relative had been killed in 1995</w:t>
      </w:r>
      <w:r w:rsidRPr="00056BE4" w:rsidR="00906D7E">
        <w:rPr>
          <w:lang w:val="en-GB"/>
        </w:rPr>
        <w:t>.</w:t>
      </w:r>
      <w:r w:rsidRPr="00056BE4" w:rsidR="005171D8">
        <w:rPr>
          <w:lang w:val="en-GB"/>
        </w:rPr>
        <w:t xml:space="preserve"> The complaints concerning the actual killing of the applicants</w:t>
      </w:r>
      <w:r w:rsidRPr="00056BE4" w:rsidR="00056BE4">
        <w:rPr>
          <w:lang w:val="en-GB"/>
        </w:rPr>
        <w:t>’</w:t>
      </w:r>
      <w:r w:rsidRPr="00056BE4" w:rsidR="005171D8">
        <w:rPr>
          <w:lang w:val="en-GB"/>
        </w:rPr>
        <w:t xml:space="preserve"> relative </w:t>
      </w:r>
      <w:r w:rsidRPr="00056BE4" w:rsidR="00473BF9">
        <w:rPr>
          <w:lang w:val="en-GB"/>
        </w:rPr>
        <w:t xml:space="preserve">in 1995 </w:t>
      </w:r>
      <w:r w:rsidRPr="00056BE4" w:rsidR="005171D8">
        <w:rPr>
          <w:lang w:val="en-GB"/>
        </w:rPr>
        <w:t xml:space="preserve">and the effectiveness of the investigation conducted between the date of the killing and the lodging of the official complaint by the applicants on 22 March 2005 were declared inadmissible </w:t>
      </w:r>
      <w:r w:rsidRPr="00056BE4" w:rsidR="00730CAA">
        <w:rPr>
          <w:lang w:val="en-GB"/>
        </w:rPr>
        <w:t xml:space="preserve">by the Court </w:t>
      </w:r>
      <w:r w:rsidRPr="00056BE4" w:rsidR="005171D8">
        <w:rPr>
          <w:lang w:val="en-GB"/>
        </w:rPr>
        <w:t xml:space="preserve">in </w:t>
      </w:r>
      <w:r w:rsidRPr="00056BE4" w:rsidR="00730CAA">
        <w:rPr>
          <w:lang w:val="en-GB"/>
        </w:rPr>
        <w:t>i</w:t>
      </w:r>
      <w:r w:rsidRPr="00056BE4" w:rsidR="005171D8">
        <w:rPr>
          <w:lang w:val="en-GB"/>
        </w:rPr>
        <w:t>t</w:t>
      </w:r>
      <w:r w:rsidRPr="00056BE4" w:rsidR="00730CAA">
        <w:rPr>
          <w:lang w:val="en-GB"/>
        </w:rPr>
        <w:t>s</w:t>
      </w:r>
      <w:r w:rsidRPr="00056BE4" w:rsidR="00C73154">
        <w:rPr>
          <w:lang w:val="en-GB"/>
        </w:rPr>
        <w:t xml:space="preserve"> partial decision of </w:t>
      </w:r>
      <w:r w:rsidRPr="00056BE4" w:rsidR="00132533">
        <w:rPr>
          <w:lang w:val="en-GB"/>
        </w:rPr>
        <w:t>10 November 2015 on account of the applicants</w:t>
      </w:r>
      <w:r w:rsidRPr="00056BE4" w:rsidR="00056BE4">
        <w:rPr>
          <w:lang w:val="en-GB"/>
        </w:rPr>
        <w:t>’</w:t>
      </w:r>
      <w:r w:rsidRPr="00056BE4" w:rsidR="00132533">
        <w:rPr>
          <w:lang w:val="en-GB"/>
        </w:rPr>
        <w:t xml:space="preserve"> failure to comply with the six-month time-limit set out in Article 35 § 1 of the Convention (see </w:t>
      </w:r>
      <w:r w:rsidRPr="00056BE4" w:rsidR="00132533">
        <w:rPr>
          <w:i/>
          <w:lang w:val="en-GB"/>
        </w:rPr>
        <w:t xml:space="preserve">İncin v. Turkey </w:t>
      </w:r>
      <w:r w:rsidRPr="00056BE4" w:rsidR="00132533">
        <w:rPr>
          <w:lang w:val="en-GB"/>
        </w:rPr>
        <w:t>(dec.), no.</w:t>
      </w:r>
      <w:r w:rsidRPr="00056BE4" w:rsidR="00713046">
        <w:rPr>
          <w:lang w:val="en-GB"/>
        </w:rPr>
        <w:t> </w:t>
      </w:r>
      <w:r w:rsidRPr="00056BE4" w:rsidR="00132533">
        <w:rPr>
          <w:lang w:val="en-GB"/>
        </w:rPr>
        <w:t>3534/06, §§</w:t>
      </w:r>
      <w:r w:rsidRPr="00056BE4" w:rsidR="005F6D79">
        <w:rPr>
          <w:lang w:val="en-GB"/>
        </w:rPr>
        <w:t> </w:t>
      </w:r>
      <w:r w:rsidRPr="00056BE4" w:rsidR="00132533">
        <w:rPr>
          <w:lang w:val="en-GB"/>
        </w:rPr>
        <w:t xml:space="preserve">37-44, 10 November 2015). In </w:t>
      </w:r>
      <w:r w:rsidRPr="00056BE4" w:rsidR="00947D77">
        <w:rPr>
          <w:lang w:val="en-GB"/>
        </w:rPr>
        <w:t>the</w:t>
      </w:r>
      <w:r w:rsidRPr="00056BE4" w:rsidR="00132533">
        <w:rPr>
          <w:lang w:val="en-GB"/>
        </w:rPr>
        <w:t xml:space="preserve"> same decision the Court considered that the lodging of the complaint in 2005 and the subsequent developments </w:t>
      </w:r>
      <w:r w:rsidRPr="00056BE4" w:rsidR="00063BD0">
        <w:rPr>
          <w:rFonts w:cstheme="minorHAnsi"/>
          <w:lang w:val="en-GB"/>
        </w:rPr>
        <w:t>−</w:t>
      </w:r>
      <w:r w:rsidRPr="00056BE4" w:rsidR="00063BD0">
        <w:rPr>
          <w:lang w:val="en-GB"/>
        </w:rPr>
        <w:t xml:space="preserve"> </w:t>
      </w:r>
      <w:r w:rsidRPr="00056BE4" w:rsidR="00132533">
        <w:rPr>
          <w:lang w:val="en-GB"/>
        </w:rPr>
        <w:t>such as the exhumation of the body, the diligence show</w:t>
      </w:r>
      <w:r w:rsidRPr="00056BE4" w:rsidR="00713046">
        <w:rPr>
          <w:lang w:val="en-GB"/>
        </w:rPr>
        <w:t>n</w:t>
      </w:r>
      <w:r w:rsidRPr="00056BE4" w:rsidR="00132533">
        <w:rPr>
          <w:lang w:val="en-GB"/>
        </w:rPr>
        <w:t xml:space="preserve"> by the applicants and the steps taken in the investigation </w:t>
      </w:r>
      <w:r w:rsidRPr="00056BE4" w:rsidR="00063BD0">
        <w:rPr>
          <w:rFonts w:cstheme="minorHAnsi"/>
          <w:lang w:val="en-GB"/>
        </w:rPr>
        <w:t>−</w:t>
      </w:r>
      <w:r w:rsidRPr="00056BE4" w:rsidR="00063BD0">
        <w:rPr>
          <w:lang w:val="en-GB"/>
        </w:rPr>
        <w:t xml:space="preserve"> </w:t>
      </w:r>
      <w:r w:rsidRPr="00056BE4" w:rsidR="00132533">
        <w:rPr>
          <w:lang w:val="en-GB"/>
        </w:rPr>
        <w:t>had revived the obligation under Article 2 of the Convention to carry out an effective investigation</w:t>
      </w:r>
      <w:r w:rsidRPr="00056BE4" w:rsidR="004A7D69">
        <w:rPr>
          <w:lang w:val="en-GB"/>
        </w:rPr>
        <w:t xml:space="preserve"> into the killing</w:t>
      </w:r>
      <w:r w:rsidRPr="00056BE4" w:rsidR="00132533">
        <w:rPr>
          <w:lang w:val="en-GB"/>
        </w:rPr>
        <w:t xml:space="preserve"> (</w:t>
      </w:r>
      <w:r w:rsidRPr="00056BE4" w:rsidR="00132533">
        <w:rPr>
          <w:i/>
          <w:lang w:val="en-GB"/>
        </w:rPr>
        <w:t>ibid</w:t>
      </w:r>
      <w:r w:rsidRPr="00056BE4" w:rsidR="00132533">
        <w:rPr>
          <w:lang w:val="en-GB"/>
        </w:rPr>
        <w:t>.</w:t>
      </w:r>
      <w:r w:rsidRPr="00056BE4" w:rsidR="00947D77">
        <w:rPr>
          <w:lang w:val="en-GB"/>
        </w:rPr>
        <w:t>,</w:t>
      </w:r>
      <w:r w:rsidRPr="00056BE4" w:rsidR="00132533">
        <w:rPr>
          <w:lang w:val="en-GB"/>
        </w:rPr>
        <w:t xml:space="preserve"> §§ 45-47).</w:t>
      </w:r>
    </w:p>
    <w:p w:rsidRPr="00056BE4" w:rsidR="004A7D69" w:rsidP="00056BE4" w:rsidRDefault="004875ED">
      <w:pPr>
        <w:pStyle w:val="ECHRPara"/>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27</w:t>
      </w:r>
      <w:r w:rsidRPr="00056BE4">
        <w:rPr>
          <w:lang w:val="en-GB"/>
        </w:rPr>
        <w:fldChar w:fldCharType="end"/>
      </w:r>
      <w:r w:rsidRPr="00056BE4" w:rsidR="00014566">
        <w:rPr>
          <w:lang w:val="en-GB"/>
        </w:rPr>
        <w:t>.  </w:t>
      </w:r>
      <w:r w:rsidRPr="00056BE4" w:rsidR="004A7D69">
        <w:t>The Court reiterates that the obligation to protect the right to life under Article 2 of the Convention, read in conjunction with the State</w:t>
      </w:r>
      <w:r w:rsidRPr="00056BE4" w:rsidR="00056BE4">
        <w:t>’</w:t>
      </w:r>
      <w:r w:rsidRPr="00056BE4" w:rsidR="004A7D69">
        <w:t xml:space="preserve">s general duty under Article 1 of the Convention to </w:t>
      </w:r>
      <w:r w:rsidRPr="00056BE4" w:rsidR="00063BD0">
        <w:t>“</w:t>
      </w:r>
      <w:r w:rsidRPr="00056BE4" w:rsidR="004A7D69">
        <w:t>secure to everyone within [its] jurisdiction the rights and freedoms defined in [the] Convention</w:t>
      </w:r>
      <w:r w:rsidRPr="00056BE4" w:rsidR="00063BD0">
        <w:t>”</w:t>
      </w:r>
      <w:r w:rsidRPr="00056BE4" w:rsidR="004A7D69">
        <w:t xml:space="preserve">, requires by implication that there should be some form of effective official investigation when individuals have been killed as a result of the use of force. The investigation must be thorough, impartial and careful (see </w:t>
      </w:r>
      <w:r w:rsidRPr="00056BE4" w:rsidR="004A7D69">
        <w:rPr>
          <w:i/>
        </w:rPr>
        <w:t>McCann and Others v. the United Kingdom</w:t>
      </w:r>
      <w:r w:rsidRPr="00056BE4" w:rsidR="00BE4AAB">
        <w:t>, 27 </w:t>
      </w:r>
      <w:r w:rsidRPr="00056BE4" w:rsidR="004A7D69">
        <w:t>September 1995, §§</w:t>
      </w:r>
      <w:r w:rsidRPr="00056BE4" w:rsidR="005F6D79">
        <w:t> </w:t>
      </w:r>
      <w:r w:rsidRPr="00056BE4" w:rsidR="004A7D69">
        <w:t xml:space="preserve">161-63, Series A no. 324). In that connection, the Court points out, in particular, that a requirement of promptness and reasonable expedition is implicit in this context. It must be accepted that there may be obstacles or difficulties which prevent progress in an investigation in a particular situation. However, a prompt response by the authorities in investigating a use of lethal force may generally be regarded as essential in maintaining public confidence in their adherence to the rule of law and in preventing any appearance of collusion in or tolerance of unlawful acts (see </w:t>
      </w:r>
      <w:r w:rsidRPr="00056BE4" w:rsidR="004A7D69">
        <w:rPr>
          <w:i/>
        </w:rPr>
        <w:t>McKerr v.</w:t>
      </w:r>
      <w:r w:rsidRPr="00056BE4" w:rsidR="005F6D79">
        <w:rPr>
          <w:i/>
        </w:rPr>
        <w:t> </w:t>
      </w:r>
      <w:r w:rsidRPr="00056BE4" w:rsidR="004A7D69">
        <w:rPr>
          <w:i/>
        </w:rPr>
        <w:t>the</w:t>
      </w:r>
      <w:r w:rsidRPr="00056BE4" w:rsidR="00F57EDD">
        <w:rPr>
          <w:i/>
        </w:rPr>
        <w:t> </w:t>
      </w:r>
      <w:r w:rsidRPr="00056BE4" w:rsidR="004A7D69">
        <w:rPr>
          <w:i/>
        </w:rPr>
        <w:t>United Kingdom</w:t>
      </w:r>
      <w:r w:rsidRPr="00056BE4" w:rsidR="004A7D69">
        <w:t>, no. 28883/95, § 114, ECHR 2001</w:t>
      </w:r>
      <w:r w:rsidRPr="00056BE4" w:rsidR="004A7D69">
        <w:noBreakHyphen/>
        <w:t xml:space="preserve">III and the cases cited therein; see also </w:t>
      </w:r>
      <w:r w:rsidRPr="00056BE4" w:rsidR="004A7D69">
        <w:rPr>
          <w:i/>
        </w:rPr>
        <w:t>Mocanu and Others v. Romania</w:t>
      </w:r>
      <w:r w:rsidRPr="00056BE4" w:rsidR="00BE4AAB">
        <w:t xml:space="preserve"> [GC], nos. </w:t>
      </w:r>
      <w:r w:rsidRPr="00056BE4" w:rsidR="004A7D69">
        <w:t xml:space="preserve">10865/09, 45886/07 and 32431/08, §§ 316-325, ECHR 2014 (extracts); and </w:t>
      </w:r>
      <w:r w:rsidRPr="00056BE4" w:rsidR="004A7D69">
        <w:rPr>
          <w:i/>
        </w:rPr>
        <w:t>Mustafa</w:t>
      </w:r>
      <w:r w:rsidRPr="00056BE4" w:rsidR="00B94DBC">
        <w:rPr>
          <w:i/>
        </w:rPr>
        <w:t> </w:t>
      </w:r>
      <w:r w:rsidRPr="00056BE4" w:rsidR="004A7D69">
        <w:rPr>
          <w:i/>
        </w:rPr>
        <w:t>Tunç and Fecire Tunç v. Turkey</w:t>
      </w:r>
      <w:r w:rsidRPr="00056BE4" w:rsidR="004A7D69">
        <w:t xml:space="preserve"> [GC], no. 24014/05</w:t>
      </w:r>
      <w:r w:rsidRPr="00056BE4" w:rsidR="00B94DBC">
        <w:t>, §§ </w:t>
      </w:r>
      <w:r w:rsidRPr="00056BE4" w:rsidR="005F6D79">
        <w:t>169-182, 14 </w:t>
      </w:r>
      <w:r w:rsidRPr="00056BE4" w:rsidR="004A7D69">
        <w:t>April 2015).</w:t>
      </w:r>
    </w:p>
    <w:p w:rsidRPr="00056BE4" w:rsidR="004A7D69" w:rsidP="00056BE4" w:rsidRDefault="00056BE4">
      <w:pPr>
        <w:pStyle w:val="ECHRPara"/>
        <w:rPr>
          <w:lang w:val="en-GB"/>
        </w:rPr>
      </w:pPr>
      <w:fldSimple w:instr=" SEQ level0 \*arabic ">
        <w:r w:rsidRPr="00056BE4">
          <w:rPr>
            <w:noProof/>
          </w:rPr>
          <w:t>28</w:t>
        </w:r>
      </w:fldSimple>
      <w:r w:rsidRPr="00056BE4" w:rsidR="004A7D69">
        <w:t>.  </w:t>
      </w:r>
      <w:r w:rsidRPr="00056BE4" w:rsidR="00AB7EA2">
        <w:t xml:space="preserve">Concerning the promptness </w:t>
      </w:r>
      <w:r w:rsidRPr="00056BE4" w:rsidR="00713046">
        <w:t xml:space="preserve">in the present application </w:t>
      </w:r>
      <w:r w:rsidRPr="00056BE4" w:rsidR="00AB7EA2">
        <w:t>of the criminal proceedings conducted after 200</w:t>
      </w:r>
      <w:r w:rsidRPr="00056BE4" w:rsidR="00D05692">
        <w:t>5</w:t>
      </w:r>
      <w:r w:rsidRPr="00056BE4" w:rsidR="00AB7EA2">
        <w:t>, the Court reiterates that Article</w:t>
      </w:r>
      <w:r w:rsidRPr="00056BE4" w:rsidR="005F6D79">
        <w:t> </w:t>
      </w:r>
      <w:r w:rsidRPr="00056BE4" w:rsidR="00AB7EA2">
        <w:t>2 of the Convention requires investigations to begin promptly and to proceed with reasonable expedition (see</w:t>
      </w:r>
      <w:r w:rsidRPr="00056BE4" w:rsidR="006A493C">
        <w:t xml:space="preserve">, </w:t>
      </w:r>
      <w:r w:rsidRPr="00056BE4" w:rsidR="006A493C">
        <w:rPr>
          <w:i/>
        </w:rPr>
        <w:t>inter alia</w:t>
      </w:r>
      <w:r w:rsidRPr="00056BE4" w:rsidR="006A493C">
        <w:t xml:space="preserve">, </w:t>
      </w:r>
      <w:r w:rsidRPr="00056BE4" w:rsidR="00AB7EA2">
        <w:rPr>
          <w:i/>
        </w:rPr>
        <w:t>McCaughey and Others v. the United Kingdom</w:t>
      </w:r>
      <w:r w:rsidRPr="00056BE4" w:rsidR="00AB7EA2">
        <w:t>, no.</w:t>
      </w:r>
      <w:r w:rsidRPr="00056BE4" w:rsidR="005F6D79">
        <w:t> </w:t>
      </w:r>
      <w:r w:rsidRPr="00056BE4" w:rsidR="00AB7EA2">
        <w:t>43098/09, § 130, ECHR 2013</w:t>
      </w:r>
      <w:r w:rsidRPr="00056BE4" w:rsidR="00EA7696">
        <w:t>,</w:t>
      </w:r>
      <w:r w:rsidRPr="00056BE4" w:rsidR="006A493C">
        <w:t xml:space="preserve"> and </w:t>
      </w:r>
      <w:r w:rsidRPr="00056BE4" w:rsidR="006A493C">
        <w:rPr>
          <w:i/>
          <w:lang w:val="en-GB"/>
        </w:rPr>
        <w:t>Armani Da Silva</w:t>
      </w:r>
      <w:r w:rsidRPr="00056BE4" w:rsidR="006A493C">
        <w:rPr>
          <w:lang w:val="en-GB"/>
        </w:rPr>
        <w:t xml:space="preserve"> </w:t>
      </w:r>
      <w:r w:rsidRPr="00056BE4" w:rsidR="006A493C">
        <w:rPr>
          <w:i/>
          <w:lang w:val="en-GB"/>
        </w:rPr>
        <w:t>v.</w:t>
      </w:r>
      <w:r w:rsidRPr="00056BE4" w:rsidR="00246BF9">
        <w:rPr>
          <w:i/>
          <w:lang w:val="en-GB"/>
        </w:rPr>
        <w:t> </w:t>
      </w:r>
      <w:r w:rsidRPr="00056BE4" w:rsidR="00B4539B">
        <w:rPr>
          <w:i/>
          <w:lang w:val="en-GB"/>
        </w:rPr>
        <w:t>the </w:t>
      </w:r>
      <w:r w:rsidRPr="00056BE4" w:rsidR="006A493C">
        <w:rPr>
          <w:i/>
          <w:lang w:val="en-GB"/>
        </w:rPr>
        <w:t xml:space="preserve">United Kingdom </w:t>
      </w:r>
      <w:r w:rsidRPr="00056BE4" w:rsidR="006A493C">
        <w:rPr>
          <w:lang w:val="en-GB"/>
        </w:rPr>
        <w:t>[GC], no. 5878/08, § 237, ECHR 2016</w:t>
      </w:r>
      <w:r w:rsidRPr="00056BE4" w:rsidR="00AB7EA2">
        <w:t>).</w:t>
      </w:r>
    </w:p>
    <w:p w:rsidRPr="00056BE4" w:rsidR="00AB7EA2" w:rsidP="00056BE4" w:rsidRDefault="00056BE4">
      <w:pPr>
        <w:pStyle w:val="ECHRPara"/>
      </w:pPr>
      <w:fldSimple w:instr=" SEQ level0 \*arabic ">
        <w:r w:rsidRPr="00056BE4">
          <w:rPr>
            <w:noProof/>
          </w:rPr>
          <w:t>29</w:t>
        </w:r>
      </w:fldSimple>
      <w:r w:rsidRPr="00056BE4" w:rsidR="00AB7EA2">
        <w:t>.  The Court observes that</w:t>
      </w:r>
      <w:r w:rsidRPr="00056BE4" w:rsidR="00473BF9">
        <w:t>,</w:t>
      </w:r>
      <w:r w:rsidRPr="00056BE4" w:rsidR="00AB7EA2">
        <w:t xml:space="preserve"> after the applicants made the official complaint on 22 March 2005 the prosecutor</w:t>
      </w:r>
      <w:r w:rsidRPr="00056BE4" w:rsidR="00724AF2">
        <w:t xml:space="preserve"> immediately started an investigation and </w:t>
      </w:r>
      <w:r w:rsidRPr="00056BE4" w:rsidR="00DB6252">
        <w:t xml:space="preserve">managed to </w:t>
      </w:r>
      <w:r w:rsidRPr="00056BE4" w:rsidR="00724AF2">
        <w:t>locate</w:t>
      </w:r>
      <w:r w:rsidRPr="00056BE4" w:rsidR="00F47CAA">
        <w:t xml:space="preserve"> </w:t>
      </w:r>
      <w:r w:rsidRPr="00056BE4" w:rsidR="00724AF2">
        <w:t xml:space="preserve">a very large number of witnesses and military personnel who, in the years </w:t>
      </w:r>
      <w:r w:rsidRPr="00056BE4" w:rsidR="00063BD0">
        <w:t xml:space="preserve">that had elapsed </w:t>
      </w:r>
      <w:r w:rsidRPr="00056BE4" w:rsidR="00724AF2">
        <w:t>since the killing, had moved to different parts of the country</w:t>
      </w:r>
      <w:r w:rsidRPr="00056BE4" w:rsidR="004F3EAB">
        <w:t xml:space="preserve"> (see paragraph 8 above).</w:t>
      </w:r>
      <w:r w:rsidRPr="00056BE4" w:rsidR="00DB6252">
        <w:t xml:space="preserve"> The prosecutor questioned th</w:t>
      </w:r>
      <w:r w:rsidRPr="00056BE4" w:rsidR="005A72D6">
        <w:t>ose persons</w:t>
      </w:r>
      <w:r w:rsidRPr="00056BE4" w:rsidR="00DB6252">
        <w:t xml:space="preserve"> and</w:t>
      </w:r>
      <w:r w:rsidRPr="00056BE4" w:rsidR="00485C5A">
        <w:t>, in the light of the information he obtained</w:t>
      </w:r>
      <w:r w:rsidRPr="00056BE4" w:rsidR="00DB6252">
        <w:t xml:space="preserve"> </w:t>
      </w:r>
      <w:r w:rsidRPr="00056BE4" w:rsidR="00485C5A">
        <w:t xml:space="preserve">from them, </w:t>
      </w:r>
      <w:r w:rsidRPr="00056BE4" w:rsidR="00DB6252">
        <w:t>found the place where the applicants</w:t>
      </w:r>
      <w:r w:rsidRPr="00056BE4">
        <w:t>’</w:t>
      </w:r>
      <w:r w:rsidRPr="00056BE4" w:rsidR="00DB6252">
        <w:t xml:space="preserve"> relative had been </w:t>
      </w:r>
      <w:r w:rsidRPr="00056BE4" w:rsidR="00763A43">
        <w:t>buried</w:t>
      </w:r>
      <w:r w:rsidRPr="00056BE4" w:rsidR="00DB6252">
        <w:t>.</w:t>
      </w:r>
    </w:p>
    <w:p w:rsidRPr="00056BE4" w:rsidR="00F47CAA" w:rsidP="00056BE4" w:rsidRDefault="00056BE4">
      <w:pPr>
        <w:pStyle w:val="ECHRPara"/>
        <w:rPr>
          <w:lang w:val="en-GB"/>
        </w:rPr>
      </w:pPr>
      <w:fldSimple w:instr=" SEQ level0 \*arabic ">
        <w:r w:rsidRPr="00056BE4">
          <w:rPr>
            <w:noProof/>
          </w:rPr>
          <w:t>30</w:t>
        </w:r>
      </w:fldSimple>
      <w:r w:rsidRPr="00056BE4" w:rsidR="0037703C">
        <w:t xml:space="preserve">.  The </w:t>
      </w:r>
      <w:r w:rsidRPr="00056BE4" w:rsidR="00763A43">
        <w:t xml:space="preserve">Court observes, however, that the subsequent </w:t>
      </w:r>
      <w:r w:rsidRPr="00056BE4" w:rsidR="0037703C">
        <w:t xml:space="preserve">period of over three years </w:t>
      </w:r>
      <w:r w:rsidRPr="00056BE4" w:rsidR="00763A43">
        <w:t xml:space="preserve">– that is </w:t>
      </w:r>
      <w:r w:rsidRPr="00056BE4" w:rsidR="00713046">
        <w:t xml:space="preserve">to say </w:t>
      </w:r>
      <w:r w:rsidRPr="00056BE4" w:rsidR="00763A43">
        <w:t>between 26 May 2006 a</w:t>
      </w:r>
      <w:r w:rsidRPr="00056BE4" w:rsidR="00EE3297">
        <w:t>nd 11 June 2009 (see paragraphs </w:t>
      </w:r>
      <w:r w:rsidRPr="00056BE4" w:rsidR="00A66B23">
        <w:t>11-13</w:t>
      </w:r>
      <w:r w:rsidRPr="00056BE4" w:rsidR="00763A43">
        <w:t xml:space="preserve"> above</w:t>
      </w:r>
      <w:r w:rsidRPr="00056BE4" w:rsidR="00713046">
        <w:t>)</w:t>
      </w:r>
      <w:r w:rsidRPr="00056BE4" w:rsidR="00063BD0">
        <w:rPr>
          <w:rFonts w:ascii="Cambria Math" w:hAnsi="Cambria Math"/>
          <w:lang w:eastAsia="ja-JP"/>
        </w:rPr>
        <w:t xml:space="preserve"> − </w:t>
      </w:r>
      <w:r w:rsidRPr="00056BE4" w:rsidR="00763A43">
        <w:t>was devoted</w:t>
      </w:r>
      <w:r w:rsidRPr="00056BE4" w:rsidR="002C1D83">
        <w:t xml:space="preserve"> exclusively</w:t>
      </w:r>
      <w:r w:rsidRPr="00056BE4" w:rsidR="00763A43">
        <w:t xml:space="preserve"> to </w:t>
      </w:r>
      <w:r w:rsidRPr="00056BE4" w:rsidR="0037703C">
        <w:t>corresponding with the military and asking them whether the area was safe to visit and exhume the body</w:t>
      </w:r>
      <w:r w:rsidRPr="00056BE4" w:rsidR="001D3578">
        <w:t>.</w:t>
      </w:r>
      <w:r w:rsidRPr="00056BE4" w:rsidR="000C5890">
        <w:t xml:space="preserve"> Having examined the correspondence between the prosecutor and the military, the Court </w:t>
      </w:r>
      <w:r w:rsidRPr="00056BE4" w:rsidR="00A73BF0">
        <w:t xml:space="preserve">remains unconvinced </w:t>
      </w:r>
      <w:r w:rsidRPr="00056BE4" w:rsidR="00E57E5F">
        <w:t xml:space="preserve">that </w:t>
      </w:r>
      <w:r w:rsidRPr="00056BE4" w:rsidR="008250BB">
        <w:t xml:space="preserve">the concerns </w:t>
      </w:r>
      <w:r w:rsidRPr="00056BE4" w:rsidR="00E5221E">
        <w:t xml:space="preserve">highlighted by the military about </w:t>
      </w:r>
      <w:r w:rsidRPr="00056BE4" w:rsidR="008250BB">
        <w:t xml:space="preserve">the </w:t>
      </w:r>
      <w:r w:rsidRPr="00056BE4" w:rsidR="00A73BF0">
        <w:t>s</w:t>
      </w:r>
      <w:r w:rsidRPr="00056BE4" w:rsidR="00E5221E">
        <w:t xml:space="preserve">afety </w:t>
      </w:r>
      <w:r w:rsidRPr="00056BE4" w:rsidR="008250BB">
        <w:t xml:space="preserve">of </w:t>
      </w:r>
      <w:r w:rsidRPr="00056BE4" w:rsidR="00A73BF0">
        <w:t>or</w:t>
      </w:r>
      <w:r w:rsidRPr="00056BE4" w:rsidR="008250BB">
        <w:t xml:space="preserve"> the weather conditions </w:t>
      </w:r>
      <w:r w:rsidRPr="00056BE4" w:rsidR="006C052F">
        <w:t xml:space="preserve">in the area </w:t>
      </w:r>
      <w:r w:rsidRPr="00056BE4" w:rsidR="008250BB">
        <w:t xml:space="preserve">were so </w:t>
      </w:r>
      <w:r w:rsidRPr="00056BE4" w:rsidR="00E57E5F">
        <w:t xml:space="preserve">serious </w:t>
      </w:r>
      <w:r w:rsidRPr="00056BE4" w:rsidR="008250BB">
        <w:t xml:space="preserve">as to </w:t>
      </w:r>
      <w:r w:rsidRPr="00056BE4" w:rsidR="00A73BF0">
        <w:t>prevent the prosecutor</w:t>
      </w:r>
      <w:r w:rsidRPr="00056BE4">
        <w:t>’</w:t>
      </w:r>
      <w:r w:rsidRPr="00056BE4" w:rsidR="00A73BF0">
        <w:t xml:space="preserve">s visit to </w:t>
      </w:r>
      <w:r w:rsidRPr="00056BE4" w:rsidR="00A73BF0">
        <w:rPr>
          <w:lang w:val="en-GB"/>
        </w:rPr>
        <w:t>a village with a civilian population</w:t>
      </w:r>
      <w:r w:rsidRPr="00056BE4" w:rsidR="004806E0">
        <w:rPr>
          <w:lang w:val="en-GB"/>
        </w:rPr>
        <w:t xml:space="preserve"> for such an extended period of time</w:t>
      </w:r>
      <w:r w:rsidRPr="00056BE4" w:rsidR="0053446C">
        <w:rPr>
          <w:lang w:val="en-GB"/>
        </w:rPr>
        <w:t xml:space="preserve"> </w:t>
      </w:r>
      <w:r w:rsidRPr="00056BE4" w:rsidR="007141A8">
        <w:rPr>
          <w:lang w:val="en-GB"/>
        </w:rPr>
        <w:t>(</w:t>
      </w:r>
      <w:r w:rsidRPr="00056BE4" w:rsidR="0053446C">
        <w:rPr>
          <w:lang w:val="en-GB"/>
        </w:rPr>
        <w:t>see paragraph</w:t>
      </w:r>
      <w:r w:rsidRPr="00056BE4" w:rsidR="00695134">
        <w:rPr>
          <w:lang w:val="en-GB"/>
        </w:rPr>
        <w:t>s 9 and</w:t>
      </w:r>
      <w:r w:rsidRPr="00056BE4" w:rsidR="0053446C">
        <w:rPr>
          <w:lang w:val="en-GB"/>
        </w:rPr>
        <w:t xml:space="preserve"> 24 above)</w:t>
      </w:r>
      <w:r w:rsidRPr="00056BE4" w:rsidR="00A73BF0">
        <w:rPr>
          <w:lang w:val="en-GB"/>
        </w:rPr>
        <w:t>.</w:t>
      </w:r>
    </w:p>
    <w:p w:rsidRPr="00056BE4" w:rsidR="00557BBD" w:rsidP="00056BE4" w:rsidRDefault="00056BE4">
      <w:pPr>
        <w:pStyle w:val="ECHRPara"/>
      </w:pPr>
      <w:fldSimple w:instr=" SEQ level0 \*arabic ">
        <w:r w:rsidRPr="00056BE4">
          <w:rPr>
            <w:noProof/>
          </w:rPr>
          <w:t>31</w:t>
        </w:r>
      </w:fldSimple>
      <w:r w:rsidRPr="00056BE4" w:rsidR="00260611">
        <w:t>.  </w:t>
      </w:r>
      <w:r w:rsidRPr="00056BE4" w:rsidR="0052746A">
        <w:t xml:space="preserve">The Court observes that the trial of the commander of the Geçimli military station </w:t>
      </w:r>
      <w:r w:rsidRPr="00056BE4" w:rsidR="00557BBD">
        <w:t xml:space="preserve">started on </w:t>
      </w:r>
      <w:r w:rsidRPr="00056BE4" w:rsidR="00557BBD">
        <w:rPr>
          <w:lang w:val="en-GB"/>
        </w:rPr>
        <w:t xml:space="preserve">12 April 2010 and </w:t>
      </w:r>
      <w:r w:rsidRPr="00056BE4" w:rsidR="00947D77">
        <w:rPr>
          <w:lang w:val="en-GB"/>
        </w:rPr>
        <w:t>the proceedings are</w:t>
      </w:r>
      <w:r w:rsidRPr="00056BE4" w:rsidR="00557BBD">
        <w:rPr>
          <w:lang w:val="en-GB"/>
        </w:rPr>
        <w:t xml:space="preserve"> still pending before the Court of Cassation (see paragraph </w:t>
      </w:r>
      <w:r w:rsidRPr="00056BE4" w:rsidR="00A66B23">
        <w:rPr>
          <w:lang w:val="en-GB"/>
        </w:rPr>
        <w:t>16</w:t>
      </w:r>
      <w:r w:rsidRPr="00056BE4" w:rsidR="00557BBD">
        <w:rPr>
          <w:lang w:val="en-GB"/>
        </w:rPr>
        <w:t xml:space="preserve"> above).</w:t>
      </w:r>
      <w:r w:rsidRPr="00056BE4" w:rsidR="00986359">
        <w:rPr>
          <w:lang w:val="en-GB"/>
        </w:rPr>
        <w:t xml:space="preserve"> Other than arguing that some of the hearings had had to be postponed on account of the failure of the lawyers representing the parties to attend the hearings and on account of the difficulties in ensuring the attendance of a number of witnesses, the Government have not sought to justify the delays and have not</w:t>
      </w:r>
      <w:r w:rsidRPr="00056BE4" w:rsidR="00473BF9">
        <w:rPr>
          <w:lang w:val="en-GB"/>
        </w:rPr>
        <w:t>, in particular,</w:t>
      </w:r>
      <w:r w:rsidRPr="00056BE4" w:rsidR="00986359">
        <w:rPr>
          <w:lang w:val="en-GB"/>
        </w:rPr>
        <w:t xml:space="preserve"> offered an explanation </w:t>
      </w:r>
      <w:r w:rsidRPr="00056BE4" w:rsidR="00063BD0">
        <w:rPr>
          <w:lang w:val="en-GB"/>
        </w:rPr>
        <w:t xml:space="preserve">as to </w:t>
      </w:r>
      <w:r w:rsidRPr="00056BE4" w:rsidR="00986359">
        <w:rPr>
          <w:lang w:val="en-GB"/>
        </w:rPr>
        <w:t xml:space="preserve">why the Court of Cassation, </w:t>
      </w:r>
      <w:r w:rsidRPr="00056BE4" w:rsidR="00063BD0">
        <w:rPr>
          <w:lang w:val="en-GB"/>
        </w:rPr>
        <w:t xml:space="preserve">before </w:t>
      </w:r>
      <w:r w:rsidRPr="00056BE4" w:rsidR="00BC686B">
        <w:rPr>
          <w:lang w:val="en-GB"/>
        </w:rPr>
        <w:t xml:space="preserve">which </w:t>
      </w:r>
      <w:r w:rsidRPr="00056BE4" w:rsidR="00063BD0">
        <w:rPr>
          <w:lang w:val="en-GB"/>
        </w:rPr>
        <w:t xml:space="preserve">the matter </w:t>
      </w:r>
      <w:r w:rsidRPr="00056BE4" w:rsidR="00713046">
        <w:rPr>
          <w:lang w:val="en-GB"/>
        </w:rPr>
        <w:t>was</w:t>
      </w:r>
      <w:r w:rsidRPr="00056BE4" w:rsidR="00BC686B">
        <w:rPr>
          <w:lang w:val="en-GB"/>
        </w:rPr>
        <w:t xml:space="preserve"> </w:t>
      </w:r>
      <w:r w:rsidRPr="00056BE4" w:rsidR="00063BD0">
        <w:rPr>
          <w:lang w:val="en-GB"/>
        </w:rPr>
        <w:t xml:space="preserve">brought </w:t>
      </w:r>
      <w:r w:rsidRPr="00056BE4" w:rsidR="00986359">
        <w:rPr>
          <w:lang w:val="en-GB"/>
        </w:rPr>
        <w:t>on 27 November 2014, ha</w:t>
      </w:r>
      <w:r w:rsidRPr="00056BE4" w:rsidR="00BC686B">
        <w:rPr>
          <w:lang w:val="en-GB"/>
        </w:rPr>
        <w:t>s</w:t>
      </w:r>
      <w:r w:rsidRPr="00056BE4" w:rsidR="00986359">
        <w:rPr>
          <w:lang w:val="en-GB"/>
        </w:rPr>
        <w:t xml:space="preserve"> not yet </w:t>
      </w:r>
      <w:r w:rsidRPr="00056BE4" w:rsidR="00473BF9">
        <w:rPr>
          <w:lang w:val="en-GB"/>
        </w:rPr>
        <w:t>examined</w:t>
      </w:r>
      <w:r w:rsidRPr="00056BE4" w:rsidR="00986359">
        <w:rPr>
          <w:lang w:val="en-GB"/>
        </w:rPr>
        <w:t xml:space="preserve"> the appeal lodged by the applicants.</w:t>
      </w:r>
    </w:p>
    <w:p w:rsidRPr="00056BE4" w:rsidR="00260611" w:rsidP="00056BE4" w:rsidRDefault="004875ED">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32</w:t>
      </w:r>
      <w:r w:rsidRPr="00056BE4">
        <w:rPr>
          <w:lang w:val="en-GB"/>
        </w:rPr>
        <w:fldChar w:fldCharType="end"/>
      </w:r>
      <w:r w:rsidRPr="00056BE4" w:rsidR="00014566">
        <w:rPr>
          <w:lang w:val="en-GB"/>
        </w:rPr>
        <w:t>.  </w:t>
      </w:r>
      <w:r w:rsidRPr="00056BE4" w:rsidR="00260611">
        <w:t>The Court considers that the above-</w:t>
      </w:r>
      <w:r w:rsidRPr="00056BE4" w:rsidR="00063BD0">
        <w:t>men</w:t>
      </w:r>
      <w:r w:rsidRPr="00056BE4" w:rsidR="003A2F3C">
        <w:t>t</w:t>
      </w:r>
      <w:r w:rsidRPr="00056BE4" w:rsidR="00063BD0">
        <w:t>ion</w:t>
      </w:r>
      <w:r w:rsidRPr="00056BE4" w:rsidR="003A2F3C">
        <w:t>ed</w:t>
      </w:r>
      <w:r w:rsidRPr="00056BE4" w:rsidR="00260611">
        <w:t xml:space="preserve"> delays in the criminal proceedings</w:t>
      </w:r>
      <w:r w:rsidRPr="00056BE4" w:rsidR="00434C26">
        <w:t>, which have</w:t>
      </w:r>
      <w:r w:rsidRPr="00056BE4" w:rsidR="00126CC6">
        <w:t xml:space="preserve"> </w:t>
      </w:r>
      <w:r w:rsidRPr="00056BE4" w:rsidR="00434C26">
        <w:t>been on</w:t>
      </w:r>
      <w:r w:rsidRPr="00056BE4" w:rsidR="00063BD0">
        <w:t>go</w:t>
      </w:r>
      <w:r w:rsidRPr="00056BE4" w:rsidR="00434C26">
        <w:t>ing for over 12 years</w:t>
      </w:r>
      <w:r w:rsidRPr="00056BE4" w:rsidR="00C56B67">
        <w:t xml:space="preserve"> since 2005</w:t>
      </w:r>
      <w:r w:rsidRPr="00056BE4" w:rsidR="00434C26">
        <w:t>,</w:t>
      </w:r>
      <w:r w:rsidRPr="00056BE4" w:rsidR="00C56B67">
        <w:rPr>
          <w:bCs/>
        </w:rPr>
        <w:t xml:space="preserve"> the death of the applicant</w:t>
      </w:r>
      <w:r w:rsidRPr="00056BE4" w:rsidR="00056BE4">
        <w:rPr>
          <w:bCs/>
        </w:rPr>
        <w:t>’</w:t>
      </w:r>
      <w:r w:rsidRPr="00056BE4" w:rsidR="00C56B67">
        <w:rPr>
          <w:bCs/>
        </w:rPr>
        <w:t>s close relative having occurred 22 years ago in 1995</w:t>
      </w:r>
      <w:r w:rsidRPr="00056BE4" w:rsidR="00C56B67">
        <w:t>,</w:t>
      </w:r>
      <w:r w:rsidRPr="00056BE4" w:rsidR="00260611">
        <w:t xml:space="preserve"> cannot be regarded as compatible with the State</w:t>
      </w:r>
      <w:r w:rsidRPr="00056BE4" w:rsidR="00056BE4">
        <w:t>’</w:t>
      </w:r>
      <w:r w:rsidRPr="00056BE4" w:rsidR="00260611">
        <w:t>s obligation under Article</w:t>
      </w:r>
      <w:r w:rsidRPr="00056BE4" w:rsidR="00EE3297">
        <w:t xml:space="preserve"> </w:t>
      </w:r>
      <w:r w:rsidRPr="00056BE4" w:rsidR="00260611">
        <w:t>2 of the Convention to ensure the effectiveness of investigations into suspicious deaths, in the sense that the investigative process, however it is organised under national law, must be commenced promptly and carried out with reasonable expedition. To this extent, the foregoing finding of excessive delay</w:t>
      </w:r>
      <w:r w:rsidRPr="00056BE4" w:rsidR="003A2F3C">
        <w:t>s</w:t>
      </w:r>
      <w:r w:rsidRPr="00056BE4" w:rsidR="00260611">
        <w:t xml:space="preserve"> in the investigation </w:t>
      </w:r>
      <w:r w:rsidRPr="00056BE4" w:rsidR="003A2F3C">
        <w:t xml:space="preserve">and the trial </w:t>
      </w:r>
      <w:r w:rsidRPr="00056BE4" w:rsidR="00541BEA">
        <w:t xml:space="preserve">in the present case </w:t>
      </w:r>
      <w:r w:rsidRPr="00056BE4" w:rsidR="00063BD0">
        <w:t xml:space="preserve">gives rise to </w:t>
      </w:r>
      <w:r w:rsidRPr="00056BE4" w:rsidR="00260611">
        <w:t>the conclusion that the investigation was ineffective for the purposes of Article</w:t>
      </w:r>
      <w:r w:rsidRPr="00056BE4" w:rsidR="00EE3297">
        <w:t xml:space="preserve"> </w:t>
      </w:r>
      <w:r w:rsidRPr="00056BE4" w:rsidR="00260611">
        <w:t>2 of the Convention. There has, according</w:t>
      </w:r>
      <w:r w:rsidRPr="00056BE4" w:rsidR="00EE3297">
        <w:t xml:space="preserve">ly, been a violation of Article </w:t>
      </w:r>
      <w:r w:rsidRPr="00056BE4" w:rsidR="00260611">
        <w:t>2 of the Convention under its procedural aspect</w:t>
      </w:r>
      <w:r w:rsidRPr="00056BE4" w:rsidR="003A2F3C">
        <w:t xml:space="preserve"> (see </w:t>
      </w:r>
      <w:r w:rsidRPr="00056BE4" w:rsidR="003A2F3C">
        <w:rPr>
          <w:i/>
          <w:lang w:val="en-GB"/>
        </w:rPr>
        <w:t>Cerf v. Turkey</w:t>
      </w:r>
      <w:r w:rsidRPr="00056BE4" w:rsidR="00B94DBC">
        <w:rPr>
          <w:lang w:val="en-GB"/>
        </w:rPr>
        <w:t>, no. </w:t>
      </w:r>
      <w:r w:rsidRPr="00056BE4" w:rsidR="003A2F3C">
        <w:rPr>
          <w:lang w:val="en-GB"/>
        </w:rPr>
        <w:t>12938/07</w:t>
      </w:r>
      <w:r w:rsidRPr="00056BE4" w:rsidR="003A2F3C">
        <w:rPr>
          <w:snapToGrid w:val="0"/>
          <w:lang w:val="en-GB"/>
        </w:rPr>
        <w:t>, §</w:t>
      </w:r>
      <w:r w:rsidRPr="00056BE4" w:rsidR="00BE4AAB">
        <w:rPr>
          <w:snapToGrid w:val="0"/>
          <w:lang w:val="en-GB"/>
        </w:rPr>
        <w:t> </w:t>
      </w:r>
      <w:r w:rsidRPr="00056BE4" w:rsidR="003A2F3C">
        <w:rPr>
          <w:snapToGrid w:val="0"/>
          <w:lang w:val="en-GB"/>
        </w:rPr>
        <w:t xml:space="preserve">81, </w:t>
      </w:r>
      <w:r w:rsidRPr="00056BE4" w:rsidR="003A2F3C">
        <w:rPr>
          <w:lang w:val="en-GB"/>
        </w:rPr>
        <w:t>3 May</w:t>
      </w:r>
      <w:r w:rsidRPr="00056BE4" w:rsidR="003A2F3C">
        <w:rPr>
          <w:snapToGrid w:val="0"/>
          <w:lang w:val="en-GB"/>
        </w:rPr>
        <w:t xml:space="preserve"> 2016).</w:t>
      </w:r>
    </w:p>
    <w:p w:rsidRPr="00056BE4" w:rsidR="00014566" w:rsidP="00056BE4" w:rsidRDefault="00E35E76">
      <w:pPr>
        <w:pStyle w:val="ECHRHeading1"/>
        <w:rPr>
          <w:lang w:val="en-GB"/>
        </w:rPr>
      </w:pPr>
      <w:r w:rsidRPr="00056BE4">
        <w:rPr>
          <w:lang w:val="en-GB"/>
        </w:rPr>
        <w:t>II</w:t>
      </w:r>
      <w:r w:rsidRPr="00056BE4" w:rsidR="00014566">
        <w:rPr>
          <w:lang w:val="en-GB"/>
        </w:rPr>
        <w:t>. APPLICATION OF ARTICLE 41 OF THE CONVENTION</w:t>
      </w:r>
    </w:p>
    <w:p w:rsidRPr="00056BE4" w:rsidR="00014566" w:rsidP="00056BE4" w:rsidRDefault="00E35E76">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33</w:t>
      </w:r>
      <w:r w:rsidRPr="00056BE4">
        <w:rPr>
          <w:lang w:val="en-GB"/>
        </w:rPr>
        <w:fldChar w:fldCharType="end"/>
      </w:r>
      <w:r w:rsidRPr="00056BE4">
        <w:rPr>
          <w:lang w:val="en-GB"/>
        </w:rPr>
        <w:t>.  </w:t>
      </w:r>
      <w:r w:rsidRPr="00056BE4" w:rsidR="00014566">
        <w:rPr>
          <w:lang w:val="en-GB"/>
        </w:rPr>
        <w:t>Article 41 of the Convention provides:</w:t>
      </w:r>
    </w:p>
    <w:p w:rsidRPr="00056BE4" w:rsidR="00014566" w:rsidP="00056BE4" w:rsidRDefault="00014566">
      <w:pPr>
        <w:pStyle w:val="ECHRParaQuote"/>
        <w:keepNext/>
        <w:keepLines/>
        <w:rPr>
          <w:lang w:val="en-GB"/>
        </w:rPr>
      </w:pPr>
      <w:r w:rsidRPr="00056BE4">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056BE4" w:rsidR="00E35E76" w:rsidP="00056BE4" w:rsidRDefault="00BC686B">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34</w:t>
      </w:r>
      <w:r w:rsidRPr="00056BE4">
        <w:rPr>
          <w:lang w:val="en-GB"/>
        </w:rPr>
        <w:fldChar w:fldCharType="end"/>
      </w:r>
      <w:r w:rsidRPr="00056BE4">
        <w:rPr>
          <w:lang w:val="en-GB"/>
        </w:rPr>
        <w:t>.  </w:t>
      </w:r>
      <w:r w:rsidRPr="00056BE4" w:rsidR="00014566">
        <w:rPr>
          <w:lang w:val="en-GB"/>
        </w:rPr>
        <w:t>The applicant</w:t>
      </w:r>
      <w:r w:rsidRPr="00056BE4" w:rsidR="004875ED">
        <w:rPr>
          <w:lang w:val="en-GB"/>
        </w:rPr>
        <w:t>s</w:t>
      </w:r>
      <w:r w:rsidRPr="00056BE4" w:rsidR="00014566">
        <w:rPr>
          <w:lang w:val="en-GB"/>
        </w:rPr>
        <w:t xml:space="preserve"> claimed </w:t>
      </w:r>
      <w:r w:rsidRPr="00056BE4" w:rsidR="009E0CFA">
        <w:rPr>
          <w:lang w:val="en-GB"/>
        </w:rPr>
        <w:t>a total of 1,080,000</w:t>
      </w:r>
      <w:r w:rsidRPr="00056BE4" w:rsidR="00014566">
        <w:rPr>
          <w:lang w:val="en-GB"/>
        </w:rPr>
        <w:t xml:space="preserve"> euros (EUR) in respect of pecuniary</w:t>
      </w:r>
      <w:r w:rsidRPr="00056BE4" w:rsidR="009E0CFA">
        <w:rPr>
          <w:lang w:val="en-GB"/>
        </w:rPr>
        <w:t xml:space="preserve"> and</w:t>
      </w:r>
      <w:r w:rsidRPr="00056BE4" w:rsidR="00E35E76">
        <w:rPr>
          <w:lang w:val="en-GB"/>
        </w:rPr>
        <w:t xml:space="preserve"> EUR</w:t>
      </w:r>
      <w:r w:rsidRPr="00056BE4" w:rsidR="009E0CFA">
        <w:rPr>
          <w:lang w:val="en-GB"/>
        </w:rPr>
        <w:t xml:space="preserve"> 1,080,000 </w:t>
      </w:r>
      <w:r w:rsidRPr="00056BE4" w:rsidR="00E35E76">
        <w:rPr>
          <w:lang w:val="en-GB"/>
        </w:rPr>
        <w:t>in respect of non-pecuniary damage</w:t>
      </w:r>
      <w:r w:rsidRPr="00056BE4" w:rsidR="009E0CFA">
        <w:rPr>
          <w:lang w:val="en-GB"/>
        </w:rPr>
        <w:t xml:space="preserve">. They also </w:t>
      </w:r>
      <w:r w:rsidRPr="00056BE4" w:rsidR="00A2510A">
        <w:rPr>
          <w:lang w:val="en-GB"/>
        </w:rPr>
        <w:t>asked the Court to make an award in respect of their</w:t>
      </w:r>
      <w:r w:rsidRPr="00056BE4" w:rsidR="00E35E76">
        <w:rPr>
          <w:lang w:val="en-GB"/>
        </w:rPr>
        <w:t xml:space="preserve"> costs and expenses incurred before </w:t>
      </w:r>
      <w:r w:rsidRPr="00056BE4" w:rsidR="009E0CFA">
        <w:rPr>
          <w:lang w:val="en-GB"/>
        </w:rPr>
        <w:t xml:space="preserve">the Court but </w:t>
      </w:r>
      <w:r w:rsidRPr="00056BE4" w:rsidR="00A2510A">
        <w:rPr>
          <w:lang w:val="en-GB"/>
        </w:rPr>
        <w:t xml:space="preserve">they </w:t>
      </w:r>
      <w:r w:rsidRPr="00056BE4" w:rsidR="009E0CFA">
        <w:rPr>
          <w:lang w:val="en-GB"/>
        </w:rPr>
        <w:t>did not specify an amount.</w:t>
      </w:r>
    </w:p>
    <w:p w:rsidRPr="00056BE4" w:rsidR="009E0CFA" w:rsidP="00056BE4" w:rsidRDefault="004875ED">
      <w:pPr>
        <w:pStyle w:val="ECHRPara"/>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35</w:t>
      </w:r>
      <w:r w:rsidRPr="00056BE4">
        <w:rPr>
          <w:lang w:val="en-GB"/>
        </w:rPr>
        <w:fldChar w:fldCharType="end"/>
      </w:r>
      <w:r w:rsidRPr="00056BE4" w:rsidR="00014566">
        <w:rPr>
          <w:lang w:val="en-GB"/>
        </w:rPr>
        <w:t xml:space="preserve">.  The Government </w:t>
      </w:r>
      <w:r w:rsidRPr="00056BE4" w:rsidR="009E0CFA">
        <w:rPr>
          <w:lang w:val="en-GB"/>
        </w:rPr>
        <w:t xml:space="preserve">considered that there was no causal link between the claim for pecuniary damage and </w:t>
      </w:r>
      <w:r w:rsidRPr="00056BE4" w:rsidR="009E0CFA">
        <w:t>the alleged violations of the applicants</w:t>
      </w:r>
      <w:r w:rsidRPr="00056BE4" w:rsidR="00056BE4">
        <w:t>’</w:t>
      </w:r>
      <w:r w:rsidRPr="00056BE4" w:rsidR="009E0CFA">
        <w:t xml:space="preserve"> rights under the Convention. They also considered that the applicants</w:t>
      </w:r>
      <w:r w:rsidRPr="00056BE4" w:rsidR="00056BE4">
        <w:t>’</w:t>
      </w:r>
      <w:r w:rsidRPr="00056BE4" w:rsidR="009E0CFA">
        <w:t xml:space="preserve"> claim </w:t>
      </w:r>
      <w:r w:rsidRPr="00056BE4" w:rsidR="00713046">
        <w:rPr>
          <w:lang w:val="en-GB"/>
        </w:rPr>
        <w:t xml:space="preserve">in respect of </w:t>
      </w:r>
      <w:r w:rsidRPr="00056BE4" w:rsidR="009E0CFA">
        <w:t>non-pecuniary damage was excessive.</w:t>
      </w:r>
    </w:p>
    <w:p w:rsidRPr="00056BE4" w:rsidR="00014566" w:rsidP="00056BE4" w:rsidRDefault="004875ED">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36</w:t>
      </w:r>
      <w:r w:rsidRPr="00056BE4">
        <w:rPr>
          <w:lang w:val="en-GB"/>
        </w:rPr>
        <w:fldChar w:fldCharType="end"/>
      </w:r>
      <w:r w:rsidRPr="00056BE4" w:rsidR="00014566">
        <w:rPr>
          <w:lang w:val="en-GB"/>
        </w:rPr>
        <w:t xml:space="preserve">.  The Court does not discern any causal link between the violation found and the pecuniary damage alleged; it therefore rejects this claim. On the other hand, it awards </w:t>
      </w:r>
      <w:r w:rsidRPr="00056BE4" w:rsidR="00E35E76">
        <w:rPr>
          <w:lang w:val="en-GB"/>
        </w:rPr>
        <w:t xml:space="preserve">EUR 16,800 jointly to </w:t>
      </w:r>
      <w:r w:rsidRPr="00056BE4" w:rsidR="001B2569">
        <w:rPr>
          <w:lang w:val="en-GB"/>
        </w:rPr>
        <w:t xml:space="preserve">the </w:t>
      </w:r>
      <w:r w:rsidRPr="00056BE4" w:rsidR="00E35E76">
        <w:rPr>
          <w:lang w:val="en-GB"/>
        </w:rPr>
        <w:t>applicants Habibe İncin, Veysi İncin, Saniye İncin, Fevzi İncin, Faruk İncin, Hazım İncin and Hatice İncin</w:t>
      </w:r>
      <w:r w:rsidRPr="00056BE4" w:rsidR="001B2569">
        <w:rPr>
          <w:lang w:val="en-GB"/>
        </w:rPr>
        <w:t xml:space="preserve">, who are the wife and children of Kerim İncin, </w:t>
      </w:r>
      <w:r w:rsidRPr="00056BE4" w:rsidR="001B2569">
        <w:t>in respect of non</w:t>
      </w:r>
      <w:r w:rsidRPr="00056BE4" w:rsidR="001B2569">
        <w:noBreakHyphen/>
        <w:t>pecuniary damage</w:t>
      </w:r>
      <w:r w:rsidRPr="00056BE4" w:rsidR="001B2569">
        <w:rPr>
          <w:lang w:val="en-GB"/>
        </w:rPr>
        <w:t>. It also awards</w:t>
      </w:r>
      <w:r w:rsidRPr="00056BE4" w:rsidR="00E35E76">
        <w:rPr>
          <w:lang w:val="en-GB"/>
        </w:rPr>
        <w:t xml:space="preserve"> EUR 3,200 jointly to the applicants Halima İncin, Hedice İncin, Sabriye İncin, Delila İncin, Doğila İncin, Reşit İncin, Nuri İncin and Abdullah İncin</w:t>
      </w:r>
      <w:r w:rsidRPr="00056BE4" w:rsidR="001B2569">
        <w:rPr>
          <w:lang w:val="en-GB"/>
        </w:rPr>
        <w:t>, who are the mother and siblings of Kerim İncin,</w:t>
      </w:r>
      <w:r w:rsidRPr="00056BE4" w:rsidR="00E35E76">
        <w:rPr>
          <w:lang w:val="en-GB"/>
        </w:rPr>
        <w:t xml:space="preserve"> </w:t>
      </w:r>
      <w:r w:rsidRPr="00056BE4" w:rsidR="00014566">
        <w:rPr>
          <w:lang w:val="en-GB"/>
        </w:rPr>
        <w:t>in respect of non-pecuniary damage</w:t>
      </w:r>
      <w:r w:rsidRPr="00056BE4" w:rsidR="001B2569">
        <w:rPr>
          <w:lang w:val="en-GB"/>
        </w:rPr>
        <w:t>.</w:t>
      </w:r>
    </w:p>
    <w:p w:rsidRPr="00056BE4" w:rsidR="00014566" w:rsidP="00056BE4" w:rsidRDefault="004875ED">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37</w:t>
      </w:r>
      <w:r w:rsidRPr="00056BE4">
        <w:rPr>
          <w:lang w:val="en-GB"/>
        </w:rPr>
        <w:fldChar w:fldCharType="end"/>
      </w:r>
      <w:r w:rsidRPr="00056BE4" w:rsidR="00014566">
        <w:rPr>
          <w:lang w:val="en-GB"/>
        </w:rPr>
        <w:t>.  </w:t>
      </w:r>
      <w:r w:rsidRPr="00056BE4">
        <w:rPr>
          <w:lang w:val="en-GB"/>
        </w:rPr>
        <w:t>According to the Court</w:t>
      </w:r>
      <w:r w:rsidRPr="00056BE4" w:rsidR="00056BE4">
        <w:rPr>
          <w:lang w:val="en-GB"/>
        </w:rPr>
        <w:t>’</w:t>
      </w:r>
      <w:r w:rsidRPr="00056BE4">
        <w:rPr>
          <w:lang w:val="en-GB"/>
        </w:rPr>
        <w:t>s case-law, an applicant is entitled to the reimbursement of costs and expenses only in so far as it has been shown that these have been actually and necessarily incurred and are reasonable as to quantum. In the present case, regard</w:t>
      </w:r>
      <w:r w:rsidRPr="00056BE4" w:rsidR="00014566">
        <w:rPr>
          <w:lang w:val="en-GB"/>
        </w:rPr>
        <w:t xml:space="preserve"> being had to the </w:t>
      </w:r>
      <w:r w:rsidRPr="00056BE4" w:rsidR="002738DE">
        <w:rPr>
          <w:lang w:val="en-GB"/>
        </w:rPr>
        <w:t>applicants</w:t>
      </w:r>
      <w:r w:rsidRPr="00056BE4" w:rsidR="00056BE4">
        <w:rPr>
          <w:lang w:val="en-GB"/>
        </w:rPr>
        <w:t>’</w:t>
      </w:r>
      <w:r w:rsidRPr="00056BE4" w:rsidR="002738DE">
        <w:rPr>
          <w:lang w:val="en-GB"/>
        </w:rPr>
        <w:t xml:space="preserve"> failure to quantify and document their costs and expenses</w:t>
      </w:r>
      <w:r w:rsidRPr="00056BE4" w:rsidR="00014566">
        <w:rPr>
          <w:lang w:val="en-GB"/>
        </w:rPr>
        <w:t>, the Court rejects the</w:t>
      </w:r>
      <w:r w:rsidRPr="00056BE4" w:rsidR="002738DE">
        <w:rPr>
          <w:lang w:val="en-GB"/>
        </w:rPr>
        <w:t>ir</w:t>
      </w:r>
      <w:r w:rsidRPr="00056BE4" w:rsidR="00014566">
        <w:rPr>
          <w:lang w:val="en-GB"/>
        </w:rPr>
        <w:t xml:space="preserve"> claim for costs and expenses.</w:t>
      </w:r>
    </w:p>
    <w:p w:rsidRPr="00056BE4" w:rsidR="00014566" w:rsidP="00056BE4" w:rsidRDefault="00014566">
      <w:pPr>
        <w:pStyle w:val="ECHRHeading2"/>
        <w:rPr>
          <w:lang w:val="en-GB"/>
        </w:rPr>
      </w:pPr>
      <w:r w:rsidRPr="00056BE4">
        <w:rPr>
          <w:lang w:val="en-GB"/>
        </w:rPr>
        <w:t>Default interest</w:t>
      </w:r>
    </w:p>
    <w:p w:rsidRPr="00056BE4" w:rsidR="00014566" w:rsidP="00056BE4" w:rsidRDefault="00E35E76">
      <w:pPr>
        <w:pStyle w:val="ECHRPara"/>
        <w:rPr>
          <w:lang w:val="en-GB"/>
        </w:rPr>
      </w:pPr>
      <w:r w:rsidRPr="00056BE4">
        <w:rPr>
          <w:lang w:val="en-GB"/>
        </w:rPr>
        <w:fldChar w:fldCharType="begin"/>
      </w:r>
      <w:r w:rsidRPr="00056BE4">
        <w:rPr>
          <w:lang w:val="en-GB"/>
        </w:rPr>
        <w:instrText xml:space="preserve"> SEQ level0 \*arabic </w:instrText>
      </w:r>
      <w:r w:rsidRPr="00056BE4">
        <w:rPr>
          <w:lang w:val="en-GB"/>
        </w:rPr>
        <w:fldChar w:fldCharType="separate"/>
      </w:r>
      <w:r w:rsidRPr="00056BE4" w:rsidR="00056BE4">
        <w:rPr>
          <w:noProof/>
          <w:lang w:val="en-GB"/>
        </w:rPr>
        <w:t>38</w:t>
      </w:r>
      <w:r w:rsidRPr="00056BE4">
        <w:rPr>
          <w:lang w:val="en-GB"/>
        </w:rPr>
        <w:fldChar w:fldCharType="end"/>
      </w:r>
      <w:r w:rsidRPr="00056BE4">
        <w:rPr>
          <w:lang w:val="en-GB"/>
        </w:rPr>
        <w:t>.  </w:t>
      </w:r>
      <w:r w:rsidRPr="00056BE4" w:rsidR="00014566">
        <w:rPr>
          <w:lang w:val="en-GB"/>
        </w:rPr>
        <w:t>The Court considers it appropriate that the default interest rate should be based on the marginal lending rate of the European Central Bank, to which should be added three percentage points.</w:t>
      </w:r>
    </w:p>
    <w:p w:rsidRPr="00056BE4" w:rsidR="00014566" w:rsidP="00056BE4" w:rsidRDefault="00BB5883">
      <w:pPr>
        <w:pStyle w:val="ECHRTitle1"/>
        <w:rPr>
          <w:lang w:val="en-GB"/>
        </w:rPr>
      </w:pPr>
      <w:r w:rsidRPr="00056BE4">
        <w:rPr>
          <w:lang w:val="en-GB"/>
        </w:rPr>
        <w:t>FOR THESE REASONS, THE COURT</w:t>
      </w:r>
      <w:r w:rsidRPr="00056BE4" w:rsidR="004875ED">
        <w:rPr>
          <w:lang w:val="en-GB"/>
        </w:rPr>
        <w:t>, UNANIMOUSLY,</w:t>
      </w:r>
    </w:p>
    <w:p w:rsidRPr="00056BE4" w:rsidR="00B637B9" w:rsidP="00056BE4" w:rsidRDefault="00B637B9">
      <w:pPr>
        <w:pStyle w:val="JuList"/>
        <w:rPr>
          <w:lang w:val="en-GB"/>
        </w:rPr>
      </w:pPr>
      <w:r w:rsidRPr="00056BE4">
        <w:rPr>
          <w:lang w:val="en-GB"/>
        </w:rPr>
        <w:t>1.  </w:t>
      </w:r>
      <w:r w:rsidRPr="00056BE4">
        <w:rPr>
          <w:i/>
          <w:lang w:val="en-GB"/>
        </w:rPr>
        <w:t>Declares</w:t>
      </w:r>
      <w:r w:rsidRPr="00056BE4" w:rsidR="004875ED">
        <w:rPr>
          <w:lang w:val="en-GB"/>
        </w:rPr>
        <w:t xml:space="preserve"> </w:t>
      </w:r>
      <w:r w:rsidRPr="00056BE4">
        <w:rPr>
          <w:lang w:val="en-GB"/>
        </w:rPr>
        <w:t xml:space="preserve">the </w:t>
      </w:r>
      <w:r w:rsidRPr="00056BE4" w:rsidR="004875ED">
        <w:rPr>
          <w:lang w:val="en-GB"/>
        </w:rPr>
        <w:t>application</w:t>
      </w:r>
      <w:r w:rsidRPr="00056BE4">
        <w:rPr>
          <w:lang w:val="en-GB"/>
        </w:rPr>
        <w:t xml:space="preserve"> admissible;</w:t>
      </w:r>
    </w:p>
    <w:p w:rsidRPr="00056BE4" w:rsidR="00014566" w:rsidP="00056BE4" w:rsidRDefault="00014566">
      <w:pPr>
        <w:pStyle w:val="JuList"/>
        <w:ind w:left="0" w:firstLine="0"/>
        <w:rPr>
          <w:lang w:val="en-GB"/>
        </w:rPr>
      </w:pPr>
    </w:p>
    <w:p w:rsidRPr="00056BE4" w:rsidR="00014566" w:rsidP="00056BE4" w:rsidRDefault="00E35E76">
      <w:pPr>
        <w:pStyle w:val="JuList"/>
        <w:rPr>
          <w:lang w:val="en-GB"/>
        </w:rPr>
      </w:pPr>
      <w:r w:rsidRPr="00056BE4">
        <w:rPr>
          <w:lang w:val="en-GB"/>
        </w:rPr>
        <w:t>2</w:t>
      </w:r>
      <w:r w:rsidRPr="00056BE4" w:rsidR="00014566">
        <w:rPr>
          <w:lang w:val="en-GB"/>
        </w:rPr>
        <w:t>.  </w:t>
      </w:r>
      <w:r w:rsidRPr="00056BE4" w:rsidR="00014566">
        <w:rPr>
          <w:i/>
          <w:lang w:val="en-GB"/>
        </w:rPr>
        <w:t>Holds</w:t>
      </w:r>
      <w:r w:rsidRPr="00056BE4" w:rsidR="004875ED">
        <w:rPr>
          <w:lang w:val="en-GB"/>
        </w:rPr>
        <w:t xml:space="preserve"> </w:t>
      </w:r>
      <w:r w:rsidRPr="00056BE4" w:rsidR="00014566">
        <w:rPr>
          <w:lang w:val="en-GB"/>
        </w:rPr>
        <w:t xml:space="preserve">that there has been a violation of Article </w:t>
      </w:r>
      <w:r w:rsidRPr="00056BE4">
        <w:rPr>
          <w:lang w:val="en-GB"/>
        </w:rPr>
        <w:t>2</w:t>
      </w:r>
      <w:r w:rsidRPr="00056BE4" w:rsidR="00014566">
        <w:rPr>
          <w:lang w:val="en-GB"/>
        </w:rPr>
        <w:t xml:space="preserve"> of the Convention</w:t>
      </w:r>
      <w:r w:rsidRPr="00056BE4">
        <w:rPr>
          <w:lang w:val="en-GB"/>
        </w:rPr>
        <w:t xml:space="preserve"> in its procedural aspect on account of the failure to conduct an effective investigation and trial after 2005</w:t>
      </w:r>
      <w:r w:rsidRPr="00056BE4" w:rsidR="00014566">
        <w:rPr>
          <w:lang w:val="en-GB"/>
        </w:rPr>
        <w:t>;</w:t>
      </w:r>
    </w:p>
    <w:p w:rsidRPr="00056BE4" w:rsidR="00CE7BDA" w:rsidP="00056BE4" w:rsidRDefault="00CE7BDA">
      <w:pPr>
        <w:pStyle w:val="JuList"/>
        <w:rPr>
          <w:lang w:val="en-GB"/>
        </w:rPr>
      </w:pPr>
    </w:p>
    <w:p w:rsidRPr="00056BE4" w:rsidR="00014566" w:rsidP="00056BE4" w:rsidRDefault="00E35E76">
      <w:pPr>
        <w:pStyle w:val="JuList"/>
        <w:rPr>
          <w:lang w:val="en-GB"/>
        </w:rPr>
      </w:pPr>
      <w:r w:rsidRPr="00056BE4">
        <w:rPr>
          <w:lang w:val="en-GB"/>
        </w:rPr>
        <w:t>3</w:t>
      </w:r>
      <w:r w:rsidRPr="00056BE4" w:rsidR="00014566">
        <w:rPr>
          <w:lang w:val="en-GB"/>
        </w:rPr>
        <w:t>.  </w:t>
      </w:r>
      <w:r w:rsidRPr="00056BE4" w:rsidR="00014566">
        <w:rPr>
          <w:i/>
          <w:lang w:val="en-GB"/>
        </w:rPr>
        <w:t>Holds</w:t>
      </w:r>
    </w:p>
    <w:p w:rsidRPr="00056BE4" w:rsidR="00014566" w:rsidP="00056BE4" w:rsidRDefault="00014566">
      <w:pPr>
        <w:pStyle w:val="JuLista"/>
        <w:rPr>
          <w:lang w:val="en-GB"/>
        </w:rPr>
      </w:pPr>
      <w:r w:rsidRPr="00056BE4">
        <w:rPr>
          <w:lang w:val="en-GB"/>
        </w:rPr>
        <w:t>(a)  that the respondent State is to pay the applicant</w:t>
      </w:r>
      <w:r w:rsidRPr="00056BE4" w:rsidR="004875ED">
        <w:rPr>
          <w:lang w:val="en-GB"/>
        </w:rPr>
        <w:t>s</w:t>
      </w:r>
      <w:r w:rsidRPr="00056BE4">
        <w:rPr>
          <w:lang w:val="en-GB"/>
        </w:rPr>
        <w:t>, within three months</w:t>
      </w:r>
      <w:r w:rsidRPr="00056BE4" w:rsidR="004875ED">
        <w:rPr>
          <w:lang w:val="en-GB"/>
        </w:rPr>
        <w:t xml:space="preserve"> from the date on which the judgment becomes final in accordance with Article 44 § 2 of the Convention,</w:t>
      </w:r>
      <w:r w:rsidRPr="00056BE4">
        <w:rPr>
          <w:lang w:val="en-GB"/>
        </w:rPr>
        <w:t xml:space="preserve"> the following amounts, </w:t>
      </w:r>
      <w:r w:rsidRPr="00056BE4" w:rsidR="00246BF9">
        <w:t xml:space="preserve">to be converted into the currency of the respondent State </w:t>
      </w:r>
      <w:r w:rsidRPr="00056BE4">
        <w:rPr>
          <w:lang w:val="en-GB"/>
        </w:rPr>
        <w:t>at the rate applicable at the date of settlement:</w:t>
      </w:r>
    </w:p>
    <w:p w:rsidRPr="00056BE4" w:rsidR="00014566" w:rsidP="00056BE4" w:rsidRDefault="00014566">
      <w:pPr>
        <w:pStyle w:val="JuListi"/>
        <w:rPr>
          <w:lang w:val="en-GB"/>
        </w:rPr>
      </w:pPr>
      <w:r w:rsidRPr="00056BE4">
        <w:rPr>
          <w:lang w:val="en-GB"/>
        </w:rPr>
        <w:t xml:space="preserve">(i)  EUR </w:t>
      </w:r>
      <w:r w:rsidRPr="00056BE4" w:rsidR="00510292">
        <w:rPr>
          <w:lang w:val="en-GB"/>
        </w:rPr>
        <w:t xml:space="preserve">16,800 </w:t>
      </w:r>
      <w:r w:rsidRPr="00056BE4">
        <w:rPr>
          <w:lang w:val="en-GB"/>
        </w:rPr>
        <w:t>(</w:t>
      </w:r>
      <w:r w:rsidRPr="00056BE4" w:rsidR="00510292">
        <w:rPr>
          <w:lang w:val="en-GB"/>
        </w:rPr>
        <w:t>sixteen thousand eight hundred</w:t>
      </w:r>
      <w:r w:rsidRPr="00056BE4">
        <w:rPr>
          <w:lang w:val="en-GB"/>
        </w:rPr>
        <w:t xml:space="preserve"> euros), plus any tax that may be chargeable,</w:t>
      </w:r>
      <w:r w:rsidRPr="00056BE4" w:rsidR="00510292">
        <w:rPr>
          <w:lang w:val="en-GB"/>
        </w:rPr>
        <w:t xml:space="preserve"> jointly to the applicants Habibe İncin, Veysi İncin, Saniye İncin, Fevzi İncin, Faruk İncin, Hazım İncin and Hatice İncin </w:t>
      </w:r>
      <w:r w:rsidRPr="00056BE4">
        <w:rPr>
          <w:lang w:val="en-GB"/>
        </w:rPr>
        <w:t xml:space="preserve">in respect of </w:t>
      </w:r>
      <w:r w:rsidRPr="00056BE4" w:rsidR="00510292">
        <w:rPr>
          <w:lang w:val="en-GB"/>
        </w:rPr>
        <w:t>non-</w:t>
      </w:r>
      <w:r w:rsidRPr="00056BE4">
        <w:rPr>
          <w:lang w:val="en-GB"/>
        </w:rPr>
        <w:t>pecuniary damage;</w:t>
      </w:r>
    </w:p>
    <w:p w:rsidRPr="00056BE4" w:rsidR="00014566" w:rsidP="00056BE4" w:rsidRDefault="00014566">
      <w:pPr>
        <w:pStyle w:val="JuListi"/>
        <w:rPr>
          <w:lang w:val="en-GB"/>
        </w:rPr>
      </w:pPr>
      <w:r w:rsidRPr="00056BE4">
        <w:rPr>
          <w:lang w:val="en-GB"/>
        </w:rPr>
        <w:t xml:space="preserve">(ii)  EUR </w:t>
      </w:r>
      <w:r w:rsidRPr="00056BE4" w:rsidR="00510292">
        <w:rPr>
          <w:lang w:val="en-GB"/>
        </w:rPr>
        <w:t>3,200</w:t>
      </w:r>
      <w:r w:rsidRPr="00056BE4">
        <w:rPr>
          <w:lang w:val="en-GB"/>
        </w:rPr>
        <w:t xml:space="preserve"> (</w:t>
      </w:r>
      <w:r w:rsidRPr="00056BE4" w:rsidR="00510292">
        <w:rPr>
          <w:lang w:val="en-GB"/>
        </w:rPr>
        <w:t>three thousand two hundred</w:t>
      </w:r>
      <w:r w:rsidRPr="00056BE4">
        <w:rPr>
          <w:lang w:val="en-GB"/>
        </w:rPr>
        <w:t xml:space="preserve"> euros), plus any tax that may be chargeable, </w:t>
      </w:r>
      <w:r w:rsidRPr="00056BE4" w:rsidR="00510292">
        <w:rPr>
          <w:lang w:val="en-GB"/>
        </w:rPr>
        <w:t xml:space="preserve">jointly to the applicants Halima İncin, Hedice İncin, Sabriye İncin, Delila İncin, Doğila İncin, Reşit İncin, Nuri İncin and Abdullah İncin </w:t>
      </w:r>
      <w:r w:rsidRPr="00056BE4">
        <w:rPr>
          <w:lang w:val="en-GB"/>
        </w:rPr>
        <w:t>in respect of non-pecuniary damage;</w:t>
      </w:r>
    </w:p>
    <w:p w:rsidRPr="00056BE4" w:rsidR="00014566" w:rsidP="00056BE4" w:rsidRDefault="00014566">
      <w:pPr>
        <w:pStyle w:val="JuLista"/>
        <w:rPr>
          <w:lang w:val="en-GB"/>
        </w:rPr>
      </w:pPr>
      <w:r w:rsidRPr="00056BE4">
        <w:rPr>
          <w:lang w:val="en-GB"/>
        </w:rPr>
        <w:t>(b)  that from the expiry of the above-mentioned three months until settlement simple interest shall be payable on the above amounts at a rate equal to the marginal lending rate of the European Central Bank during the default period plus three percentage points;</w:t>
      </w:r>
    </w:p>
    <w:p w:rsidRPr="00056BE4" w:rsidR="00014566" w:rsidP="00056BE4" w:rsidRDefault="00014566">
      <w:pPr>
        <w:pStyle w:val="JuList"/>
        <w:rPr>
          <w:lang w:val="en-GB"/>
        </w:rPr>
      </w:pPr>
    </w:p>
    <w:p w:rsidRPr="00056BE4" w:rsidR="00014566" w:rsidP="00056BE4" w:rsidRDefault="00E35E76">
      <w:pPr>
        <w:pStyle w:val="JuList"/>
        <w:rPr>
          <w:lang w:val="en-GB"/>
        </w:rPr>
      </w:pPr>
      <w:r w:rsidRPr="00056BE4">
        <w:rPr>
          <w:lang w:val="en-GB"/>
        </w:rPr>
        <w:t>4</w:t>
      </w:r>
      <w:r w:rsidRPr="00056BE4" w:rsidR="00014566">
        <w:rPr>
          <w:lang w:val="en-GB"/>
        </w:rPr>
        <w:t>.  </w:t>
      </w:r>
      <w:r w:rsidRPr="00056BE4" w:rsidR="00014566">
        <w:rPr>
          <w:i/>
          <w:lang w:val="en-GB"/>
        </w:rPr>
        <w:t>Dismisses</w:t>
      </w:r>
      <w:r w:rsidRPr="00056BE4" w:rsidR="004875ED">
        <w:rPr>
          <w:lang w:val="en-GB"/>
        </w:rPr>
        <w:t xml:space="preserve"> </w:t>
      </w:r>
      <w:r w:rsidRPr="00056BE4" w:rsidR="00014566">
        <w:rPr>
          <w:lang w:val="en-GB"/>
        </w:rPr>
        <w:t>the remainder of the applicant</w:t>
      </w:r>
      <w:r w:rsidRPr="00056BE4" w:rsidR="004875ED">
        <w:rPr>
          <w:lang w:val="en-GB"/>
        </w:rPr>
        <w:t>s</w:t>
      </w:r>
      <w:r w:rsidRPr="00056BE4" w:rsidR="00056BE4">
        <w:rPr>
          <w:lang w:val="en-GB"/>
        </w:rPr>
        <w:t>’</w:t>
      </w:r>
      <w:r w:rsidRPr="00056BE4" w:rsidR="00014566">
        <w:rPr>
          <w:lang w:val="en-GB"/>
        </w:rPr>
        <w:t xml:space="preserve"> claim for just satisfaction.</w:t>
      </w:r>
    </w:p>
    <w:p w:rsidRPr="00056BE4" w:rsidR="00014566" w:rsidP="00056BE4" w:rsidRDefault="00014566">
      <w:pPr>
        <w:pStyle w:val="JuParaLast"/>
        <w:rPr>
          <w:lang w:val="en-GB"/>
        </w:rPr>
      </w:pPr>
      <w:r w:rsidRPr="00056BE4">
        <w:rPr>
          <w:lang w:val="en-GB"/>
        </w:rPr>
        <w:t xml:space="preserve">Done in English, and notified in writing on </w:t>
      </w:r>
      <w:r w:rsidRPr="00056BE4" w:rsidR="00246BF9">
        <w:rPr>
          <w:lang w:val="en-GB"/>
        </w:rPr>
        <w:t>9 January 2018</w:t>
      </w:r>
      <w:r w:rsidRPr="00056BE4" w:rsidR="00C915FB">
        <w:rPr>
          <w:lang w:val="en-GB"/>
        </w:rPr>
        <w:t>, pursuant to Rule </w:t>
      </w:r>
      <w:r w:rsidRPr="00056BE4">
        <w:rPr>
          <w:lang w:val="en-GB"/>
        </w:rPr>
        <w:t>77</w:t>
      </w:r>
      <w:r w:rsidRPr="00056BE4" w:rsidR="00C915FB">
        <w:rPr>
          <w:lang w:val="en-GB"/>
        </w:rPr>
        <w:t> </w:t>
      </w:r>
      <w:r w:rsidRPr="00056BE4">
        <w:rPr>
          <w:lang w:val="en-GB"/>
        </w:rPr>
        <w:t>§§</w:t>
      </w:r>
      <w:r w:rsidRPr="00056BE4" w:rsidR="00C915FB">
        <w:rPr>
          <w:lang w:val="en-GB"/>
        </w:rPr>
        <w:t> </w:t>
      </w:r>
      <w:r w:rsidRPr="00056BE4">
        <w:rPr>
          <w:lang w:val="en-GB"/>
        </w:rPr>
        <w:t>2 and 3 of the Rules of Court.</w:t>
      </w:r>
    </w:p>
    <w:p w:rsidRPr="00056BE4" w:rsidR="001B79EF" w:rsidP="00056BE4" w:rsidRDefault="00014566">
      <w:pPr>
        <w:pStyle w:val="JuSigned"/>
        <w:rPr>
          <w:lang w:val="en-GB"/>
        </w:rPr>
      </w:pPr>
      <w:r w:rsidRPr="00056BE4">
        <w:rPr>
          <w:lang w:val="en-GB"/>
        </w:rPr>
        <w:tab/>
      </w:r>
      <w:r w:rsidRPr="00056BE4" w:rsidR="00246BF9">
        <w:rPr>
          <w:lang w:val="en-GB"/>
        </w:rPr>
        <w:t>Hasan Bakırcı</w:t>
      </w:r>
      <w:r w:rsidRPr="00056BE4">
        <w:rPr>
          <w:lang w:val="en-GB"/>
        </w:rPr>
        <w:tab/>
      </w:r>
      <w:r w:rsidRPr="00056BE4" w:rsidR="003417AC">
        <w:rPr>
          <w:lang w:val="en-GB"/>
        </w:rPr>
        <w:t>Robert Spano</w:t>
      </w:r>
      <w:r w:rsidRPr="00056BE4" w:rsidR="00E1557C">
        <w:rPr>
          <w:szCs w:val="24"/>
          <w:lang w:val="en-GB"/>
        </w:rPr>
        <w:br/>
      </w:r>
      <w:r w:rsidRPr="00056BE4">
        <w:rPr>
          <w:lang w:val="en-GB"/>
        </w:rPr>
        <w:tab/>
      </w:r>
      <w:r w:rsidRPr="00056BE4" w:rsidR="00246BF9">
        <w:rPr>
          <w:lang w:val="en-GB"/>
        </w:rPr>
        <w:t xml:space="preserve">Deputy </w:t>
      </w:r>
      <w:r w:rsidRPr="00056BE4" w:rsidR="004875ED">
        <w:rPr>
          <w:iCs/>
          <w:lang w:val="en-GB"/>
        </w:rPr>
        <w:t>Registrar</w:t>
      </w:r>
      <w:r w:rsidRPr="00056BE4">
        <w:rPr>
          <w:lang w:val="en-GB"/>
        </w:rPr>
        <w:tab/>
        <w:t>President</w:t>
      </w:r>
    </w:p>
    <w:p w:rsidRPr="00056BE4" w:rsidR="00F6299E" w:rsidP="00056BE4" w:rsidRDefault="00F6299E">
      <w:pPr>
        <w:pStyle w:val="JuParaLast"/>
        <w:rPr>
          <w:lang w:val="en-GB"/>
        </w:rPr>
      </w:pPr>
    </w:p>
    <w:p w:rsidRPr="00056BE4" w:rsidR="001B79EF" w:rsidP="00056BE4" w:rsidRDefault="001B79EF">
      <w:pPr>
        <w:jc w:val="left"/>
        <w:rPr>
          <w:lang w:val="en-GB"/>
        </w:rPr>
      </w:pPr>
      <w:r w:rsidRPr="00056BE4">
        <w:rPr>
          <w:lang w:val="en-GB"/>
        </w:rPr>
        <w:br w:type="page"/>
      </w:r>
    </w:p>
    <w:p w:rsidRPr="00056BE4" w:rsidR="00014566" w:rsidP="00056BE4" w:rsidRDefault="00EE3297">
      <w:pPr>
        <w:pStyle w:val="JuSigned"/>
        <w:jc w:val="center"/>
        <w:rPr>
          <w:b/>
          <w:u w:val="single"/>
          <w:lang w:val="en-GB"/>
        </w:rPr>
      </w:pPr>
      <w:r w:rsidRPr="00056BE4">
        <w:rPr>
          <w:b/>
          <w:u w:val="single"/>
          <w:lang w:val="en-GB"/>
        </w:rPr>
        <w:t>A</w:t>
      </w:r>
      <w:r w:rsidRPr="00056BE4" w:rsidR="00056BE4">
        <w:rPr>
          <w:b/>
          <w:u w:val="single"/>
          <w:lang w:val="en-GB"/>
        </w:rPr>
        <w:t>PPENDIX</w:t>
      </w:r>
    </w:p>
    <w:p w:rsidRPr="00056BE4" w:rsidR="00903E34" w:rsidP="00056BE4" w:rsidRDefault="0064399D">
      <w:pPr>
        <w:pStyle w:val="JuParaLast"/>
        <w:tabs>
          <w:tab w:val="left" w:pos="425"/>
        </w:tabs>
        <w:ind w:firstLine="0"/>
        <w:rPr>
          <w:lang w:val="en-GB"/>
        </w:rPr>
      </w:pPr>
      <w:r w:rsidRPr="00056BE4">
        <w:rPr>
          <w:lang w:val="en-GB"/>
        </w:rPr>
        <w:t>1.</w:t>
      </w:r>
      <w:r w:rsidRPr="00056BE4">
        <w:rPr>
          <w:lang w:val="en-GB"/>
        </w:rPr>
        <w:tab/>
      </w:r>
      <w:r w:rsidRPr="00056BE4" w:rsidR="00903E34">
        <w:rPr>
          <w:lang w:val="en-GB"/>
        </w:rPr>
        <w:t xml:space="preserve">Habibe İNCİN, </w:t>
      </w:r>
      <w:r w:rsidRPr="00056BE4" w:rsidR="002D142A">
        <w:rPr>
          <w:lang w:val="en-GB"/>
        </w:rPr>
        <w:t>born in</w:t>
      </w:r>
      <w:r w:rsidRPr="00056BE4" w:rsidR="00903E34">
        <w:rPr>
          <w:lang w:val="en-GB"/>
        </w:rPr>
        <w:t xml:space="preserve"> 194</w:t>
      </w:r>
      <w:r w:rsidRPr="00056BE4" w:rsidR="003F505E">
        <w:rPr>
          <w:lang w:val="en-GB"/>
        </w:rPr>
        <w:t>6</w:t>
      </w:r>
      <w:r w:rsidRPr="00056BE4" w:rsidR="00325774">
        <w:rPr>
          <w:lang w:val="en-GB"/>
        </w:rPr>
        <w:t>, Mahmur Refugee Camp in Iraq</w:t>
      </w:r>
    </w:p>
    <w:p w:rsidRPr="00056BE4" w:rsidR="002D142A" w:rsidP="00056BE4" w:rsidRDefault="0064399D">
      <w:pPr>
        <w:pStyle w:val="ECHRPara"/>
        <w:tabs>
          <w:tab w:val="left" w:pos="425"/>
        </w:tabs>
        <w:ind w:firstLine="0"/>
        <w:rPr>
          <w:b/>
          <w:lang w:val="en-GB"/>
        </w:rPr>
      </w:pPr>
      <w:r w:rsidRPr="00056BE4">
        <w:rPr>
          <w:lang w:val="en-GB"/>
        </w:rPr>
        <w:t>2.</w:t>
      </w:r>
      <w:r w:rsidRPr="00056BE4">
        <w:rPr>
          <w:lang w:val="en-GB"/>
        </w:rPr>
        <w:tab/>
      </w:r>
      <w:r w:rsidRPr="00056BE4" w:rsidR="004C00CD">
        <w:rPr>
          <w:lang w:val="en-GB"/>
        </w:rPr>
        <w:t>Veysi</w:t>
      </w:r>
      <w:r w:rsidRPr="00056BE4" w:rsidR="002D142A">
        <w:rPr>
          <w:lang w:val="en-GB"/>
        </w:rPr>
        <w:t xml:space="preserve"> </w:t>
      </w:r>
      <w:r w:rsidRPr="00056BE4" w:rsidR="004C00CD">
        <w:rPr>
          <w:lang w:val="en-GB"/>
        </w:rPr>
        <w:t>İ</w:t>
      </w:r>
      <w:r w:rsidRPr="00056BE4" w:rsidR="002D142A">
        <w:rPr>
          <w:lang w:val="en-GB"/>
        </w:rPr>
        <w:t>NC</w:t>
      </w:r>
      <w:r w:rsidRPr="00056BE4" w:rsidR="004C00CD">
        <w:rPr>
          <w:lang w:val="en-GB"/>
        </w:rPr>
        <w:t>İ</w:t>
      </w:r>
      <w:r w:rsidRPr="00056BE4" w:rsidR="002D142A">
        <w:rPr>
          <w:lang w:val="en-GB"/>
        </w:rPr>
        <w:t>N</w:t>
      </w:r>
      <w:r w:rsidRPr="00056BE4" w:rsidR="004C00CD">
        <w:rPr>
          <w:lang w:val="en-GB"/>
        </w:rPr>
        <w:t>, born in 1977</w:t>
      </w:r>
      <w:r w:rsidRPr="00056BE4" w:rsidR="00325774">
        <w:rPr>
          <w:lang w:val="en-GB"/>
        </w:rPr>
        <w:t>,</w:t>
      </w:r>
      <w:r w:rsidRPr="00056BE4" w:rsidR="00246BF9">
        <w:rPr>
          <w:lang w:val="en-GB"/>
        </w:rPr>
        <w:t xml:space="preserve"> </w:t>
      </w:r>
      <w:r w:rsidRPr="00056BE4" w:rsidR="00325774">
        <w:rPr>
          <w:lang w:val="en-GB"/>
        </w:rPr>
        <w:t>Mahmur Refugee Camp in Iraq</w:t>
      </w:r>
    </w:p>
    <w:p w:rsidRPr="00056BE4" w:rsidR="002D142A" w:rsidP="00056BE4" w:rsidRDefault="0064399D">
      <w:pPr>
        <w:pStyle w:val="ECHRPara"/>
        <w:tabs>
          <w:tab w:val="left" w:pos="425"/>
        </w:tabs>
        <w:ind w:firstLine="0"/>
        <w:rPr>
          <w:b/>
          <w:lang w:val="en-GB"/>
        </w:rPr>
      </w:pPr>
      <w:r w:rsidRPr="00056BE4">
        <w:rPr>
          <w:lang w:val="en-GB"/>
        </w:rPr>
        <w:t>3.</w:t>
      </w:r>
      <w:r w:rsidRPr="00056BE4">
        <w:rPr>
          <w:lang w:val="en-GB"/>
        </w:rPr>
        <w:tab/>
      </w:r>
      <w:r w:rsidRPr="00056BE4" w:rsidR="002D142A">
        <w:rPr>
          <w:lang w:val="en-GB"/>
        </w:rPr>
        <w:t>San</w:t>
      </w:r>
      <w:r w:rsidRPr="00056BE4" w:rsidR="004C00CD">
        <w:rPr>
          <w:lang w:val="en-GB"/>
        </w:rPr>
        <w:t>i</w:t>
      </w:r>
      <w:r w:rsidRPr="00056BE4" w:rsidR="002D142A">
        <w:rPr>
          <w:lang w:val="en-GB"/>
        </w:rPr>
        <w:t xml:space="preserve">ye </w:t>
      </w:r>
      <w:r w:rsidRPr="00056BE4" w:rsidR="004C00CD">
        <w:rPr>
          <w:lang w:val="en-GB"/>
        </w:rPr>
        <w:t>İ</w:t>
      </w:r>
      <w:r w:rsidRPr="00056BE4" w:rsidR="002D142A">
        <w:rPr>
          <w:lang w:val="en-GB"/>
        </w:rPr>
        <w:t>NC</w:t>
      </w:r>
      <w:r w:rsidRPr="00056BE4" w:rsidR="004C00CD">
        <w:rPr>
          <w:lang w:val="en-GB"/>
        </w:rPr>
        <w:t>İ</w:t>
      </w:r>
      <w:r w:rsidRPr="00056BE4" w:rsidR="002D142A">
        <w:rPr>
          <w:lang w:val="en-GB"/>
        </w:rPr>
        <w:t>N</w:t>
      </w:r>
      <w:r w:rsidRPr="00056BE4" w:rsidR="003F505E">
        <w:rPr>
          <w:lang w:val="en-GB"/>
        </w:rPr>
        <w:t>, born in 1985</w:t>
      </w:r>
      <w:r w:rsidRPr="00056BE4" w:rsidR="00325774">
        <w:rPr>
          <w:lang w:val="en-GB"/>
        </w:rPr>
        <w:t>, Mahmur Refugee Camp in Iraq</w:t>
      </w:r>
    </w:p>
    <w:p w:rsidRPr="00056BE4" w:rsidR="002D142A" w:rsidP="00056BE4" w:rsidRDefault="0064399D">
      <w:pPr>
        <w:pStyle w:val="ECHRPara"/>
        <w:tabs>
          <w:tab w:val="left" w:pos="425"/>
        </w:tabs>
        <w:ind w:firstLine="0"/>
        <w:rPr>
          <w:b/>
          <w:lang w:val="en-GB"/>
        </w:rPr>
      </w:pPr>
      <w:r w:rsidRPr="00056BE4">
        <w:rPr>
          <w:lang w:val="en-GB"/>
        </w:rPr>
        <w:t>4.</w:t>
      </w:r>
      <w:r w:rsidRPr="00056BE4">
        <w:rPr>
          <w:lang w:val="en-GB"/>
        </w:rPr>
        <w:tab/>
      </w:r>
      <w:r w:rsidRPr="00056BE4" w:rsidR="002D142A">
        <w:rPr>
          <w:lang w:val="en-GB"/>
        </w:rPr>
        <w:t>Fevz</w:t>
      </w:r>
      <w:r w:rsidRPr="00056BE4" w:rsidR="003F505E">
        <w:rPr>
          <w:lang w:val="en-GB"/>
        </w:rPr>
        <w:t>i</w:t>
      </w:r>
      <w:r w:rsidRPr="00056BE4" w:rsidR="002D142A">
        <w:rPr>
          <w:lang w:val="en-GB"/>
        </w:rPr>
        <w:t xml:space="preserve"> </w:t>
      </w:r>
      <w:r w:rsidRPr="00056BE4" w:rsidR="003F505E">
        <w:rPr>
          <w:lang w:val="en-GB"/>
        </w:rPr>
        <w:t>İ</w:t>
      </w:r>
      <w:r w:rsidRPr="00056BE4" w:rsidR="002D142A">
        <w:rPr>
          <w:lang w:val="en-GB"/>
        </w:rPr>
        <w:t>NC</w:t>
      </w:r>
      <w:r w:rsidRPr="00056BE4" w:rsidR="003F505E">
        <w:rPr>
          <w:lang w:val="en-GB"/>
        </w:rPr>
        <w:t>İ</w:t>
      </w:r>
      <w:r w:rsidRPr="00056BE4" w:rsidR="002D142A">
        <w:rPr>
          <w:lang w:val="en-GB"/>
        </w:rPr>
        <w:t>N</w:t>
      </w:r>
      <w:r w:rsidRPr="00056BE4" w:rsidR="003F505E">
        <w:rPr>
          <w:lang w:val="en-GB"/>
        </w:rPr>
        <w:t>, born in1985</w:t>
      </w:r>
      <w:r w:rsidRPr="00056BE4" w:rsidR="00325774">
        <w:rPr>
          <w:lang w:val="en-GB"/>
        </w:rPr>
        <w:t>, Mahmur Refugee Camp in Iraq</w:t>
      </w:r>
    </w:p>
    <w:p w:rsidRPr="00056BE4" w:rsidR="002D142A" w:rsidP="00056BE4" w:rsidRDefault="0064399D">
      <w:pPr>
        <w:pStyle w:val="ECHRPara"/>
        <w:tabs>
          <w:tab w:val="left" w:pos="425"/>
        </w:tabs>
        <w:ind w:firstLine="0"/>
        <w:rPr>
          <w:b/>
          <w:lang w:val="en-GB"/>
        </w:rPr>
      </w:pPr>
      <w:r w:rsidRPr="00056BE4">
        <w:rPr>
          <w:lang w:val="en-GB"/>
        </w:rPr>
        <w:t>5.</w:t>
      </w:r>
      <w:r w:rsidRPr="00056BE4">
        <w:rPr>
          <w:lang w:val="en-GB"/>
        </w:rPr>
        <w:tab/>
      </w:r>
      <w:r w:rsidRPr="00056BE4" w:rsidR="002D142A">
        <w:rPr>
          <w:lang w:val="en-GB"/>
        </w:rPr>
        <w:t xml:space="preserve">Faruk </w:t>
      </w:r>
      <w:r w:rsidRPr="00056BE4" w:rsidR="003F505E">
        <w:rPr>
          <w:lang w:val="en-GB"/>
        </w:rPr>
        <w:t>İ</w:t>
      </w:r>
      <w:r w:rsidRPr="00056BE4" w:rsidR="002D142A">
        <w:rPr>
          <w:lang w:val="en-GB"/>
        </w:rPr>
        <w:t>NC</w:t>
      </w:r>
      <w:r w:rsidRPr="00056BE4" w:rsidR="003F505E">
        <w:rPr>
          <w:lang w:val="en-GB"/>
        </w:rPr>
        <w:t>İ</w:t>
      </w:r>
      <w:r w:rsidRPr="00056BE4" w:rsidR="002D142A">
        <w:rPr>
          <w:lang w:val="en-GB"/>
        </w:rPr>
        <w:t>N</w:t>
      </w:r>
      <w:r w:rsidRPr="00056BE4" w:rsidR="003F505E">
        <w:rPr>
          <w:lang w:val="en-GB"/>
        </w:rPr>
        <w:t>, born in 1990</w:t>
      </w:r>
      <w:r w:rsidRPr="00056BE4" w:rsidR="00325774">
        <w:rPr>
          <w:lang w:val="en-GB"/>
        </w:rPr>
        <w:t>, Mahmur Refugee Camp in Iraq</w:t>
      </w:r>
    </w:p>
    <w:p w:rsidRPr="00056BE4" w:rsidR="00246BF9" w:rsidP="00056BE4" w:rsidRDefault="0064399D">
      <w:pPr>
        <w:pStyle w:val="ECHRPara"/>
        <w:tabs>
          <w:tab w:val="left" w:pos="425"/>
        </w:tabs>
        <w:ind w:firstLine="0"/>
        <w:rPr>
          <w:lang w:val="en-GB"/>
        </w:rPr>
      </w:pPr>
      <w:r w:rsidRPr="00056BE4">
        <w:rPr>
          <w:lang w:val="en-GB"/>
        </w:rPr>
        <w:t>6.</w:t>
      </w:r>
      <w:r w:rsidRPr="00056BE4">
        <w:rPr>
          <w:lang w:val="en-GB"/>
        </w:rPr>
        <w:tab/>
      </w:r>
      <w:r w:rsidRPr="00056BE4" w:rsidR="002D142A">
        <w:rPr>
          <w:lang w:val="en-GB"/>
        </w:rPr>
        <w:t xml:space="preserve">Hazım </w:t>
      </w:r>
      <w:r w:rsidRPr="00056BE4" w:rsidR="003F505E">
        <w:rPr>
          <w:lang w:val="en-GB"/>
        </w:rPr>
        <w:t>İ</w:t>
      </w:r>
      <w:r w:rsidRPr="00056BE4" w:rsidR="002D142A">
        <w:rPr>
          <w:lang w:val="en-GB"/>
        </w:rPr>
        <w:t>NC</w:t>
      </w:r>
      <w:r w:rsidRPr="00056BE4" w:rsidR="003F505E">
        <w:rPr>
          <w:lang w:val="en-GB"/>
        </w:rPr>
        <w:t>İ</w:t>
      </w:r>
      <w:r w:rsidRPr="00056BE4" w:rsidR="002D142A">
        <w:rPr>
          <w:lang w:val="en-GB"/>
        </w:rPr>
        <w:t>N</w:t>
      </w:r>
      <w:r w:rsidRPr="00056BE4" w:rsidR="003F505E">
        <w:rPr>
          <w:lang w:val="en-GB"/>
        </w:rPr>
        <w:t>, born in1986</w:t>
      </w:r>
    </w:p>
    <w:p w:rsidRPr="00056BE4" w:rsidR="002D142A" w:rsidP="00056BE4" w:rsidRDefault="0064399D">
      <w:pPr>
        <w:pStyle w:val="ECHRPara"/>
        <w:tabs>
          <w:tab w:val="left" w:pos="425"/>
        </w:tabs>
        <w:ind w:firstLine="0"/>
        <w:rPr>
          <w:b/>
          <w:lang w:val="en-GB"/>
        </w:rPr>
      </w:pPr>
      <w:r w:rsidRPr="00056BE4">
        <w:rPr>
          <w:lang w:val="en-GB"/>
        </w:rPr>
        <w:t>7.</w:t>
      </w:r>
      <w:r w:rsidRPr="00056BE4">
        <w:rPr>
          <w:lang w:val="en-GB"/>
        </w:rPr>
        <w:tab/>
      </w:r>
      <w:r w:rsidRPr="00056BE4" w:rsidR="002D142A">
        <w:rPr>
          <w:lang w:val="en-GB"/>
        </w:rPr>
        <w:t>Hat</w:t>
      </w:r>
      <w:r w:rsidRPr="00056BE4" w:rsidR="00B843B9">
        <w:rPr>
          <w:lang w:val="en-GB"/>
        </w:rPr>
        <w:t>i</w:t>
      </w:r>
      <w:r w:rsidRPr="00056BE4" w:rsidR="002D142A">
        <w:rPr>
          <w:lang w:val="en-GB"/>
        </w:rPr>
        <w:t xml:space="preserve">ce </w:t>
      </w:r>
      <w:r w:rsidRPr="00056BE4" w:rsidR="003F505E">
        <w:rPr>
          <w:lang w:val="en-GB"/>
        </w:rPr>
        <w:t>İ</w:t>
      </w:r>
      <w:r w:rsidRPr="00056BE4" w:rsidR="002D142A">
        <w:rPr>
          <w:lang w:val="en-GB"/>
        </w:rPr>
        <w:t>NC</w:t>
      </w:r>
      <w:r w:rsidRPr="00056BE4" w:rsidR="003F505E">
        <w:rPr>
          <w:lang w:val="en-GB"/>
        </w:rPr>
        <w:t>İ</w:t>
      </w:r>
      <w:r w:rsidRPr="00056BE4" w:rsidR="002D142A">
        <w:rPr>
          <w:lang w:val="en-GB"/>
        </w:rPr>
        <w:t>N</w:t>
      </w:r>
      <w:r w:rsidRPr="00056BE4" w:rsidR="003F505E">
        <w:rPr>
          <w:lang w:val="en-GB"/>
        </w:rPr>
        <w:t>, born in</w:t>
      </w:r>
      <w:r w:rsidRPr="00056BE4" w:rsidR="00B843B9">
        <w:rPr>
          <w:lang w:val="en-GB"/>
        </w:rPr>
        <w:t xml:space="preserve"> 1994</w:t>
      </w:r>
      <w:r w:rsidRPr="00056BE4" w:rsidR="00325774">
        <w:rPr>
          <w:lang w:val="en-GB"/>
        </w:rPr>
        <w:t>, Van</w:t>
      </w:r>
    </w:p>
    <w:p w:rsidRPr="00056BE4" w:rsidR="002D142A" w:rsidP="00056BE4" w:rsidRDefault="0064399D">
      <w:pPr>
        <w:pStyle w:val="ECHRPara"/>
        <w:tabs>
          <w:tab w:val="left" w:pos="425"/>
        </w:tabs>
        <w:ind w:firstLine="0"/>
        <w:rPr>
          <w:b/>
          <w:lang w:val="en-GB"/>
        </w:rPr>
      </w:pPr>
      <w:r w:rsidRPr="00056BE4">
        <w:rPr>
          <w:lang w:val="en-GB"/>
        </w:rPr>
        <w:t>8.</w:t>
      </w:r>
      <w:r w:rsidRPr="00056BE4">
        <w:rPr>
          <w:lang w:val="en-GB"/>
        </w:rPr>
        <w:tab/>
      </w:r>
      <w:r w:rsidRPr="00056BE4" w:rsidR="002D142A">
        <w:rPr>
          <w:lang w:val="en-GB"/>
        </w:rPr>
        <w:t>Hal</w:t>
      </w:r>
      <w:r w:rsidRPr="00056BE4" w:rsidR="00B843B9">
        <w:rPr>
          <w:lang w:val="en-GB"/>
        </w:rPr>
        <w:t>i</w:t>
      </w:r>
      <w:r w:rsidRPr="00056BE4" w:rsidR="002D142A">
        <w:rPr>
          <w:lang w:val="en-GB"/>
        </w:rPr>
        <w:t xml:space="preserve">ma </w:t>
      </w:r>
      <w:r w:rsidRPr="00056BE4" w:rsidR="00B843B9">
        <w:rPr>
          <w:lang w:val="en-GB"/>
        </w:rPr>
        <w:t>İ</w:t>
      </w:r>
      <w:r w:rsidRPr="00056BE4" w:rsidR="002D142A">
        <w:rPr>
          <w:lang w:val="en-GB"/>
        </w:rPr>
        <w:t>NC</w:t>
      </w:r>
      <w:r w:rsidRPr="00056BE4" w:rsidR="00B843B9">
        <w:rPr>
          <w:lang w:val="en-GB"/>
        </w:rPr>
        <w:t>İ</w:t>
      </w:r>
      <w:r w:rsidRPr="00056BE4" w:rsidR="002D142A">
        <w:rPr>
          <w:lang w:val="en-GB"/>
        </w:rPr>
        <w:t>N</w:t>
      </w:r>
      <w:r w:rsidRPr="00056BE4" w:rsidR="00B843B9">
        <w:rPr>
          <w:lang w:val="en-GB"/>
        </w:rPr>
        <w:t>, born in 1926</w:t>
      </w:r>
    </w:p>
    <w:p w:rsidRPr="00056BE4" w:rsidR="002D142A" w:rsidP="00056BE4" w:rsidRDefault="0064399D">
      <w:pPr>
        <w:pStyle w:val="ECHRPara"/>
        <w:tabs>
          <w:tab w:val="left" w:pos="425"/>
        </w:tabs>
        <w:ind w:firstLine="0"/>
        <w:rPr>
          <w:b/>
          <w:lang w:val="en-GB"/>
        </w:rPr>
      </w:pPr>
      <w:r w:rsidRPr="00056BE4">
        <w:rPr>
          <w:lang w:val="en-GB"/>
        </w:rPr>
        <w:t>9.</w:t>
      </w:r>
      <w:r w:rsidRPr="00056BE4">
        <w:rPr>
          <w:lang w:val="en-GB"/>
        </w:rPr>
        <w:tab/>
      </w:r>
      <w:r w:rsidRPr="00056BE4" w:rsidR="002D142A">
        <w:rPr>
          <w:lang w:val="en-GB"/>
        </w:rPr>
        <w:t>Hed</w:t>
      </w:r>
      <w:r w:rsidRPr="00056BE4" w:rsidR="00B843B9">
        <w:rPr>
          <w:lang w:val="en-GB"/>
        </w:rPr>
        <w:t>i</w:t>
      </w:r>
      <w:r w:rsidRPr="00056BE4" w:rsidR="002D142A">
        <w:rPr>
          <w:lang w:val="en-GB"/>
        </w:rPr>
        <w:t xml:space="preserve">ce </w:t>
      </w:r>
      <w:r w:rsidRPr="00056BE4" w:rsidR="00B843B9">
        <w:rPr>
          <w:lang w:val="en-GB"/>
        </w:rPr>
        <w:t>İ</w:t>
      </w:r>
      <w:r w:rsidRPr="00056BE4" w:rsidR="002D142A">
        <w:rPr>
          <w:lang w:val="en-GB"/>
        </w:rPr>
        <w:t>NC</w:t>
      </w:r>
      <w:r w:rsidRPr="00056BE4" w:rsidR="00B843B9">
        <w:rPr>
          <w:lang w:val="en-GB"/>
        </w:rPr>
        <w:t>İ</w:t>
      </w:r>
      <w:r w:rsidRPr="00056BE4" w:rsidR="002D142A">
        <w:rPr>
          <w:lang w:val="en-GB"/>
        </w:rPr>
        <w:t>N</w:t>
      </w:r>
      <w:r w:rsidRPr="00056BE4" w:rsidR="00B843B9">
        <w:rPr>
          <w:lang w:val="en-GB"/>
        </w:rPr>
        <w:t>, born in 195</w:t>
      </w:r>
      <w:r w:rsidRPr="00056BE4" w:rsidR="001F0A53">
        <w:rPr>
          <w:lang w:val="en-GB"/>
        </w:rPr>
        <w:t>0</w:t>
      </w:r>
      <w:r w:rsidRPr="00056BE4" w:rsidR="00325774">
        <w:rPr>
          <w:lang w:val="en-GB"/>
        </w:rPr>
        <w:t>, Van</w:t>
      </w:r>
    </w:p>
    <w:p w:rsidRPr="00056BE4" w:rsidR="002D142A" w:rsidP="00056BE4" w:rsidRDefault="0064399D">
      <w:pPr>
        <w:pStyle w:val="ECHRPara"/>
        <w:tabs>
          <w:tab w:val="left" w:pos="425"/>
        </w:tabs>
        <w:ind w:firstLine="0"/>
        <w:rPr>
          <w:b/>
          <w:lang w:val="en-GB"/>
        </w:rPr>
      </w:pPr>
      <w:r w:rsidRPr="00056BE4">
        <w:rPr>
          <w:lang w:val="en-GB"/>
        </w:rPr>
        <w:t>10.</w:t>
      </w:r>
      <w:r w:rsidRPr="00056BE4">
        <w:rPr>
          <w:lang w:val="en-GB"/>
        </w:rPr>
        <w:tab/>
      </w:r>
      <w:r w:rsidRPr="00056BE4" w:rsidR="002D142A">
        <w:rPr>
          <w:lang w:val="en-GB"/>
        </w:rPr>
        <w:t>Sabr</w:t>
      </w:r>
      <w:r w:rsidRPr="00056BE4" w:rsidR="00B843B9">
        <w:rPr>
          <w:lang w:val="en-GB"/>
        </w:rPr>
        <w:t>i</w:t>
      </w:r>
      <w:r w:rsidRPr="00056BE4" w:rsidR="002D142A">
        <w:rPr>
          <w:lang w:val="en-GB"/>
        </w:rPr>
        <w:t xml:space="preserve">ye </w:t>
      </w:r>
      <w:r w:rsidRPr="00056BE4" w:rsidR="00B843B9">
        <w:rPr>
          <w:lang w:val="en-GB"/>
        </w:rPr>
        <w:t>İ</w:t>
      </w:r>
      <w:r w:rsidRPr="00056BE4" w:rsidR="002D142A">
        <w:rPr>
          <w:lang w:val="en-GB"/>
        </w:rPr>
        <w:t>NC</w:t>
      </w:r>
      <w:r w:rsidRPr="00056BE4" w:rsidR="00B843B9">
        <w:rPr>
          <w:lang w:val="en-GB"/>
        </w:rPr>
        <w:t>İ</w:t>
      </w:r>
      <w:r w:rsidRPr="00056BE4" w:rsidR="002D142A">
        <w:rPr>
          <w:lang w:val="en-GB"/>
        </w:rPr>
        <w:t>N</w:t>
      </w:r>
      <w:r w:rsidRPr="00056BE4" w:rsidR="00B843B9">
        <w:rPr>
          <w:lang w:val="en-GB"/>
        </w:rPr>
        <w:t>, born in 1944</w:t>
      </w:r>
      <w:r w:rsidRPr="00056BE4" w:rsidR="00325774">
        <w:rPr>
          <w:lang w:val="en-GB"/>
        </w:rPr>
        <w:t>, Van</w:t>
      </w:r>
    </w:p>
    <w:p w:rsidRPr="00056BE4" w:rsidR="002D142A" w:rsidP="00056BE4" w:rsidRDefault="0064399D">
      <w:pPr>
        <w:pStyle w:val="ECHRPara"/>
        <w:tabs>
          <w:tab w:val="left" w:pos="425"/>
        </w:tabs>
        <w:ind w:firstLine="0"/>
        <w:rPr>
          <w:b/>
          <w:lang w:val="en-GB"/>
        </w:rPr>
      </w:pPr>
      <w:r w:rsidRPr="00056BE4">
        <w:rPr>
          <w:lang w:val="en-GB"/>
        </w:rPr>
        <w:t>11.</w:t>
      </w:r>
      <w:r w:rsidRPr="00056BE4">
        <w:rPr>
          <w:lang w:val="en-GB"/>
        </w:rPr>
        <w:tab/>
      </w:r>
      <w:r w:rsidRPr="00056BE4" w:rsidR="002D142A">
        <w:rPr>
          <w:lang w:val="en-GB"/>
        </w:rPr>
        <w:t>Del</w:t>
      </w:r>
      <w:r w:rsidRPr="00056BE4" w:rsidR="00B843B9">
        <w:rPr>
          <w:lang w:val="en-GB"/>
        </w:rPr>
        <w:t>i</w:t>
      </w:r>
      <w:r w:rsidRPr="00056BE4" w:rsidR="002D142A">
        <w:rPr>
          <w:lang w:val="en-GB"/>
        </w:rPr>
        <w:t xml:space="preserve">la </w:t>
      </w:r>
      <w:r w:rsidRPr="00056BE4" w:rsidR="00B843B9">
        <w:rPr>
          <w:lang w:val="en-GB"/>
        </w:rPr>
        <w:t>İ</w:t>
      </w:r>
      <w:r w:rsidRPr="00056BE4" w:rsidR="002D142A">
        <w:rPr>
          <w:lang w:val="en-GB"/>
        </w:rPr>
        <w:t>NC</w:t>
      </w:r>
      <w:r w:rsidRPr="00056BE4" w:rsidR="00B843B9">
        <w:rPr>
          <w:lang w:val="en-GB"/>
        </w:rPr>
        <w:t>İ</w:t>
      </w:r>
      <w:r w:rsidRPr="00056BE4" w:rsidR="002D142A">
        <w:rPr>
          <w:lang w:val="en-GB"/>
        </w:rPr>
        <w:t>N</w:t>
      </w:r>
      <w:r w:rsidRPr="00056BE4" w:rsidR="00B843B9">
        <w:rPr>
          <w:lang w:val="en-GB"/>
        </w:rPr>
        <w:t>, born in 1952</w:t>
      </w:r>
      <w:r w:rsidRPr="00056BE4" w:rsidR="00325774">
        <w:rPr>
          <w:lang w:val="en-GB"/>
        </w:rPr>
        <w:t>, Hakkari</w:t>
      </w:r>
    </w:p>
    <w:p w:rsidRPr="00056BE4" w:rsidR="002D142A" w:rsidP="00056BE4" w:rsidRDefault="0064399D">
      <w:pPr>
        <w:pStyle w:val="ECHRPara"/>
        <w:tabs>
          <w:tab w:val="left" w:pos="425"/>
        </w:tabs>
        <w:ind w:firstLine="0"/>
        <w:rPr>
          <w:b/>
          <w:lang w:val="en-GB"/>
        </w:rPr>
      </w:pPr>
      <w:r w:rsidRPr="00056BE4">
        <w:rPr>
          <w:lang w:val="en-GB"/>
        </w:rPr>
        <w:t>12.</w:t>
      </w:r>
      <w:r w:rsidRPr="00056BE4">
        <w:rPr>
          <w:lang w:val="en-GB"/>
        </w:rPr>
        <w:tab/>
      </w:r>
      <w:r w:rsidRPr="00056BE4" w:rsidR="002D142A">
        <w:rPr>
          <w:lang w:val="en-GB"/>
        </w:rPr>
        <w:t>Doğ</w:t>
      </w:r>
      <w:r w:rsidRPr="00056BE4" w:rsidR="00B843B9">
        <w:rPr>
          <w:lang w:val="en-GB"/>
        </w:rPr>
        <w:t>i</w:t>
      </w:r>
      <w:r w:rsidRPr="00056BE4" w:rsidR="002D142A">
        <w:rPr>
          <w:lang w:val="en-GB"/>
        </w:rPr>
        <w:t xml:space="preserve">la </w:t>
      </w:r>
      <w:r w:rsidRPr="00056BE4" w:rsidR="00B843B9">
        <w:rPr>
          <w:lang w:val="en-GB"/>
        </w:rPr>
        <w:t>İ</w:t>
      </w:r>
      <w:r w:rsidRPr="00056BE4" w:rsidR="002D142A">
        <w:rPr>
          <w:lang w:val="en-GB"/>
        </w:rPr>
        <w:t>NC</w:t>
      </w:r>
      <w:r w:rsidRPr="00056BE4" w:rsidR="00B843B9">
        <w:rPr>
          <w:lang w:val="en-GB"/>
        </w:rPr>
        <w:t>İ</w:t>
      </w:r>
      <w:r w:rsidRPr="00056BE4" w:rsidR="002D142A">
        <w:rPr>
          <w:lang w:val="en-GB"/>
        </w:rPr>
        <w:t>N</w:t>
      </w:r>
      <w:r w:rsidRPr="00056BE4" w:rsidR="00B843B9">
        <w:rPr>
          <w:lang w:val="en-GB"/>
        </w:rPr>
        <w:t>, born in 1955</w:t>
      </w:r>
      <w:r w:rsidRPr="00056BE4" w:rsidR="00325774">
        <w:rPr>
          <w:lang w:val="en-GB"/>
        </w:rPr>
        <w:t>, Hakkari</w:t>
      </w:r>
    </w:p>
    <w:p w:rsidRPr="00056BE4" w:rsidR="002D142A" w:rsidP="00056BE4" w:rsidRDefault="0064399D">
      <w:pPr>
        <w:pStyle w:val="ECHRPara"/>
        <w:tabs>
          <w:tab w:val="left" w:pos="425"/>
        </w:tabs>
        <w:ind w:firstLine="0"/>
        <w:rPr>
          <w:b/>
          <w:lang w:val="en-GB"/>
        </w:rPr>
      </w:pPr>
      <w:r w:rsidRPr="00056BE4">
        <w:rPr>
          <w:lang w:val="en-GB"/>
        </w:rPr>
        <w:t>13.</w:t>
      </w:r>
      <w:r w:rsidRPr="00056BE4">
        <w:rPr>
          <w:lang w:val="en-GB"/>
        </w:rPr>
        <w:tab/>
      </w:r>
      <w:r w:rsidRPr="00056BE4" w:rsidR="002D142A">
        <w:rPr>
          <w:lang w:val="en-GB"/>
        </w:rPr>
        <w:t>Reş</w:t>
      </w:r>
      <w:r w:rsidRPr="00056BE4" w:rsidR="00B843B9">
        <w:rPr>
          <w:lang w:val="en-GB"/>
        </w:rPr>
        <w:t>i</w:t>
      </w:r>
      <w:r w:rsidRPr="00056BE4" w:rsidR="002D142A">
        <w:rPr>
          <w:lang w:val="en-GB"/>
        </w:rPr>
        <w:t xml:space="preserve">t </w:t>
      </w:r>
      <w:r w:rsidRPr="00056BE4" w:rsidR="00B843B9">
        <w:rPr>
          <w:lang w:val="en-GB"/>
        </w:rPr>
        <w:t>İ</w:t>
      </w:r>
      <w:r w:rsidRPr="00056BE4" w:rsidR="002D142A">
        <w:rPr>
          <w:lang w:val="en-GB"/>
        </w:rPr>
        <w:t>NC</w:t>
      </w:r>
      <w:r w:rsidRPr="00056BE4" w:rsidR="00B843B9">
        <w:rPr>
          <w:lang w:val="en-GB"/>
        </w:rPr>
        <w:t>İ</w:t>
      </w:r>
      <w:r w:rsidRPr="00056BE4" w:rsidR="002D142A">
        <w:rPr>
          <w:lang w:val="en-GB"/>
        </w:rPr>
        <w:t>N</w:t>
      </w:r>
      <w:r w:rsidRPr="00056BE4" w:rsidR="00B843B9">
        <w:rPr>
          <w:lang w:val="en-GB"/>
        </w:rPr>
        <w:t>, born in 195</w:t>
      </w:r>
      <w:r w:rsidRPr="00056BE4" w:rsidR="00C62D71">
        <w:rPr>
          <w:lang w:val="en-GB"/>
        </w:rPr>
        <w:t>6</w:t>
      </w:r>
      <w:r w:rsidRPr="00056BE4" w:rsidR="00325774">
        <w:rPr>
          <w:lang w:val="en-GB"/>
        </w:rPr>
        <w:t>, Mahmur Refugee Camp in Iraq</w:t>
      </w:r>
    </w:p>
    <w:p w:rsidRPr="00056BE4" w:rsidR="002D142A" w:rsidP="00056BE4" w:rsidRDefault="0064399D">
      <w:pPr>
        <w:pStyle w:val="ECHRPara"/>
        <w:tabs>
          <w:tab w:val="left" w:pos="425"/>
        </w:tabs>
        <w:ind w:firstLine="0"/>
        <w:rPr>
          <w:b/>
          <w:lang w:val="en-GB"/>
        </w:rPr>
      </w:pPr>
      <w:r w:rsidRPr="00056BE4">
        <w:rPr>
          <w:lang w:val="en-GB"/>
        </w:rPr>
        <w:t>14.</w:t>
      </w:r>
      <w:r w:rsidRPr="00056BE4">
        <w:rPr>
          <w:lang w:val="en-GB"/>
        </w:rPr>
        <w:tab/>
      </w:r>
      <w:r w:rsidRPr="00056BE4" w:rsidR="002D142A">
        <w:rPr>
          <w:lang w:val="en-GB"/>
        </w:rPr>
        <w:t>Nur</w:t>
      </w:r>
      <w:r w:rsidRPr="00056BE4" w:rsidR="00B843B9">
        <w:rPr>
          <w:lang w:val="en-GB"/>
        </w:rPr>
        <w:t>i</w:t>
      </w:r>
      <w:r w:rsidRPr="00056BE4" w:rsidR="002D142A">
        <w:rPr>
          <w:lang w:val="en-GB"/>
        </w:rPr>
        <w:t xml:space="preserve"> </w:t>
      </w:r>
      <w:r w:rsidRPr="00056BE4" w:rsidR="00B843B9">
        <w:rPr>
          <w:lang w:val="en-GB"/>
        </w:rPr>
        <w:t>İ</w:t>
      </w:r>
      <w:r w:rsidRPr="00056BE4" w:rsidR="002D142A">
        <w:rPr>
          <w:lang w:val="en-GB"/>
        </w:rPr>
        <w:t>NC</w:t>
      </w:r>
      <w:r w:rsidRPr="00056BE4" w:rsidR="00B843B9">
        <w:rPr>
          <w:lang w:val="en-GB"/>
        </w:rPr>
        <w:t>İ</w:t>
      </w:r>
      <w:r w:rsidRPr="00056BE4" w:rsidR="002D142A">
        <w:rPr>
          <w:lang w:val="en-GB"/>
        </w:rPr>
        <w:t>N</w:t>
      </w:r>
      <w:r w:rsidRPr="00056BE4" w:rsidR="00B843B9">
        <w:rPr>
          <w:lang w:val="en-GB"/>
        </w:rPr>
        <w:t>, born in 19</w:t>
      </w:r>
      <w:r w:rsidRPr="00056BE4" w:rsidR="00C62D71">
        <w:rPr>
          <w:lang w:val="en-GB"/>
        </w:rPr>
        <w:t>6</w:t>
      </w:r>
      <w:r w:rsidRPr="00056BE4" w:rsidR="00B843B9">
        <w:rPr>
          <w:lang w:val="en-GB"/>
        </w:rPr>
        <w:t>6</w:t>
      </w:r>
      <w:r w:rsidRPr="00056BE4" w:rsidR="00325774">
        <w:rPr>
          <w:lang w:val="en-GB"/>
        </w:rPr>
        <w:t>, Mahmur Refugee Camp in Iraq</w:t>
      </w:r>
    </w:p>
    <w:p w:rsidRPr="00056BE4" w:rsidR="00903E34" w:rsidP="00056BE4" w:rsidRDefault="0064399D">
      <w:pPr>
        <w:pStyle w:val="ECHRPara"/>
        <w:tabs>
          <w:tab w:val="left" w:pos="425"/>
        </w:tabs>
        <w:ind w:firstLine="0"/>
        <w:rPr>
          <w:lang w:val="en-GB"/>
        </w:rPr>
      </w:pPr>
      <w:r w:rsidRPr="00056BE4">
        <w:rPr>
          <w:lang w:val="en-GB"/>
        </w:rPr>
        <w:t>15.</w:t>
      </w:r>
      <w:r w:rsidRPr="00056BE4">
        <w:rPr>
          <w:lang w:val="en-GB"/>
        </w:rPr>
        <w:tab/>
      </w:r>
      <w:r w:rsidRPr="00056BE4" w:rsidR="00903E34">
        <w:rPr>
          <w:lang w:val="en-GB"/>
        </w:rPr>
        <w:t xml:space="preserve">Abdullah </w:t>
      </w:r>
      <w:r w:rsidRPr="00056BE4" w:rsidR="002D142A">
        <w:rPr>
          <w:lang w:val="en-GB"/>
        </w:rPr>
        <w:t xml:space="preserve">İNCİN, born in </w:t>
      </w:r>
      <w:r w:rsidRPr="00056BE4" w:rsidR="00B843B9">
        <w:rPr>
          <w:lang w:val="en-GB"/>
        </w:rPr>
        <w:t>1971</w:t>
      </w:r>
    </w:p>
    <w:p w:rsidRPr="00056BE4" w:rsidR="00F6299E" w:rsidP="00056BE4" w:rsidRDefault="00F6299E">
      <w:pPr>
        <w:pStyle w:val="ECHRPara"/>
        <w:tabs>
          <w:tab w:val="left" w:pos="425"/>
        </w:tabs>
        <w:ind w:firstLine="0"/>
        <w:rPr>
          <w:b/>
          <w:lang w:val="en-GB"/>
        </w:rPr>
      </w:pPr>
    </w:p>
    <w:sectPr w:rsidRPr="00056BE4" w:rsidR="00F6299E" w:rsidSect="00246BF9">
      <w:headerReference w:type="even" r:id="rId14"/>
      <w:headerReference w:type="default" r:id="rId15"/>
      <w:footnotePr>
        <w:numRestart w:val="eachSect"/>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BD0" w:rsidRPr="00E4133A" w:rsidRDefault="00063BD0" w:rsidP="00014566">
      <w:pPr>
        <w:rPr>
          <w:lang w:val="en-GB"/>
        </w:rPr>
      </w:pPr>
      <w:r w:rsidRPr="00E4133A">
        <w:rPr>
          <w:lang w:val="en-GB"/>
        </w:rPr>
        <w:separator/>
      </w:r>
    </w:p>
  </w:endnote>
  <w:endnote w:type="continuationSeparator" w:id="0">
    <w:p w:rsidR="00063BD0" w:rsidRPr="00E4133A" w:rsidRDefault="00063BD0" w:rsidP="00014566">
      <w:pPr>
        <w:rPr>
          <w:lang w:val="en-GB"/>
        </w:rPr>
      </w:pPr>
      <w:r w:rsidRPr="00E4133A">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BF9" w:rsidRDefault="00246B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BF9" w:rsidRDefault="00246B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BF9" w:rsidRPr="00150BFA" w:rsidRDefault="00246BF9" w:rsidP="0020718E">
    <w:pPr>
      <w:jc w:val="center"/>
    </w:pPr>
    <w:r>
      <w:rPr>
        <w:noProof/>
        <w:lang w:eastAsia="ja-JP"/>
      </w:rPr>
      <w:drawing>
        <wp:inline distT="0" distB="0" distL="0" distR="0" wp14:anchorId="541C4E92" wp14:editId="5CFF27CE">
          <wp:extent cx="771525" cy="619125"/>
          <wp:effectExtent l="0" t="0" r="9525" b="9525"/>
          <wp:docPr id="15" name="Picture 15"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246BF9" w:rsidRDefault="00246B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BD0" w:rsidRPr="00E4133A" w:rsidRDefault="00063BD0" w:rsidP="00014566">
      <w:pPr>
        <w:rPr>
          <w:lang w:val="en-GB"/>
        </w:rPr>
      </w:pPr>
      <w:r w:rsidRPr="00E4133A">
        <w:rPr>
          <w:lang w:val="en-GB"/>
        </w:rPr>
        <w:separator/>
      </w:r>
    </w:p>
  </w:footnote>
  <w:footnote w:type="continuationSeparator" w:id="0">
    <w:p w:rsidR="00063BD0" w:rsidRPr="00E4133A" w:rsidRDefault="00063BD0" w:rsidP="00014566">
      <w:pPr>
        <w:rPr>
          <w:lang w:val="en-GB"/>
        </w:rPr>
      </w:pPr>
      <w:r w:rsidRPr="00E4133A">
        <w:rPr>
          <w:lang w:val="en-GB"/>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BF9" w:rsidRDefault="00246B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BD0" w:rsidRPr="00246BF9" w:rsidRDefault="00063BD0" w:rsidP="00246BF9">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BF9" w:rsidRPr="00A45145" w:rsidRDefault="00246BF9" w:rsidP="00A45145">
    <w:pPr>
      <w:jc w:val="center"/>
    </w:pPr>
    <w:r>
      <w:rPr>
        <w:noProof/>
        <w:lang w:eastAsia="ja-JP"/>
      </w:rPr>
      <w:drawing>
        <wp:inline distT="0" distB="0" distL="0" distR="0" wp14:anchorId="4BD4630D" wp14:editId="2DE8B95F">
          <wp:extent cx="2962275" cy="1219200"/>
          <wp:effectExtent l="0" t="0" r="9525" b="0"/>
          <wp:docPr id="8" name="Picture 8"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246BF9" w:rsidRDefault="00246BF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BF9" w:rsidRPr="00E4133A" w:rsidRDefault="00246BF9"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056BE4">
      <w:rPr>
        <w:rStyle w:val="PageNumber"/>
        <w:noProof/>
        <w:szCs w:val="18"/>
        <w:lang w:val="en-GB"/>
      </w:rPr>
      <w:t>2</w:t>
    </w:r>
    <w:r>
      <w:rPr>
        <w:rStyle w:val="PageNumber"/>
        <w:szCs w:val="18"/>
        <w:lang w:val="en-GB"/>
      </w:rPr>
      <w:fldChar w:fldCharType="end"/>
    </w:r>
    <w:r w:rsidRPr="00E4133A">
      <w:rPr>
        <w:lang w:val="en-GB"/>
      </w:rPr>
      <w:tab/>
    </w:r>
    <w:r>
      <w:rPr>
        <w:lang w:val="en-GB"/>
      </w:rPr>
      <w:t>İNCİN v. TURKEY</w:t>
    </w:r>
    <w:r w:rsidRPr="00E4133A">
      <w:rPr>
        <w:lang w:val="en-GB"/>
      </w:rPr>
      <w:t xml:space="preserve"> </w:t>
    </w:r>
    <w:r>
      <w:rPr>
        <w:lang w:val="en-GB"/>
      </w:rPr>
      <w:t>JUDGMENT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BF9" w:rsidRPr="00E4133A" w:rsidRDefault="00246BF9" w:rsidP="00D60D87">
    <w:pPr>
      <w:pStyle w:val="ECHRHeader"/>
      <w:rPr>
        <w:lang w:val="en-GB"/>
      </w:rPr>
    </w:pPr>
    <w:r w:rsidRPr="00E4133A">
      <w:rPr>
        <w:lang w:val="en-GB"/>
      </w:rPr>
      <w:tab/>
    </w:r>
    <w:r>
      <w:rPr>
        <w:lang w:val="en-GB"/>
      </w:rPr>
      <w:t>İNCİN v. TURKEY</w:t>
    </w:r>
    <w:r w:rsidRPr="00E4133A">
      <w:rPr>
        <w:lang w:val="en-GB"/>
      </w:rPr>
      <w:t xml:space="preserve"> </w:t>
    </w:r>
    <w:r>
      <w:rPr>
        <w:lang w:val="en-GB"/>
      </w:rPr>
      <w:t>JUDGMENT</w:t>
    </w:r>
    <w:r w:rsidRPr="00E4133A">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056BE4">
      <w:rPr>
        <w:rStyle w:val="PageNumber"/>
        <w:noProof/>
        <w:szCs w:val="18"/>
        <w:lang w:val="en-GB"/>
      </w:rPr>
      <w:t>1</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2D25755"/>
    <w:multiLevelType w:val="hybridMultilevel"/>
    <w:tmpl w:val="80AE199A"/>
    <w:lvl w:ilvl="0" w:tplc="040C000F">
      <w:start w:val="1"/>
      <w:numFmt w:val="decimal"/>
      <w:lvlText w:val="%1."/>
      <w:lvlJc w:val="left"/>
      <w:pPr>
        <w:ind w:left="502"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nsid w:val="34067F45"/>
    <w:multiLevelType w:val="hybridMultilevel"/>
    <w:tmpl w:val="96BAF8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92B4A63"/>
    <w:multiLevelType w:val="hybridMultilevel"/>
    <w:tmpl w:val="5CB87582"/>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5">
    <w:nsid w:val="69BC321E"/>
    <w:multiLevelType w:val="hybridMultilevel"/>
    <w:tmpl w:val="A0EAC374"/>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6">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0"/>
  </w:num>
  <w:num w:numId="3">
    <w:abstractNumId w:val="9"/>
  </w:num>
  <w:num w:numId="4">
    <w:abstractNumId w:val="17"/>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6"/>
  </w:num>
  <w:num w:numId="16">
    <w:abstractNumId w:val="16"/>
  </w:num>
  <w:num w:numId="17">
    <w:abstractNumId w:val="13"/>
  </w:num>
  <w:num w:numId="18">
    <w:abstractNumId w:val="12"/>
  </w:num>
  <w:num w:numId="19">
    <w:abstractNumId w:val="15"/>
  </w:num>
  <w:num w:numId="20">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MM" w:val="0"/>
    <w:docVar w:name="NBEMMDOC" w:val="0"/>
  </w:docVars>
  <w:rsids>
    <w:rsidRoot w:val="004875ED"/>
    <w:rsid w:val="00000067"/>
    <w:rsid w:val="000010ED"/>
    <w:rsid w:val="000041F8"/>
    <w:rsid w:val="000042A8"/>
    <w:rsid w:val="00004308"/>
    <w:rsid w:val="00005BF0"/>
    <w:rsid w:val="00007154"/>
    <w:rsid w:val="000103AE"/>
    <w:rsid w:val="00011D69"/>
    <w:rsid w:val="00012AD3"/>
    <w:rsid w:val="00014566"/>
    <w:rsid w:val="00015C2D"/>
    <w:rsid w:val="00015F00"/>
    <w:rsid w:val="00022C1D"/>
    <w:rsid w:val="00034987"/>
    <w:rsid w:val="000350E3"/>
    <w:rsid w:val="000460E2"/>
    <w:rsid w:val="00054FEE"/>
    <w:rsid w:val="000568EE"/>
    <w:rsid w:val="00056BE4"/>
    <w:rsid w:val="000602DF"/>
    <w:rsid w:val="00061B05"/>
    <w:rsid w:val="00062973"/>
    <w:rsid w:val="00062D5D"/>
    <w:rsid w:val="000632D5"/>
    <w:rsid w:val="00063BD0"/>
    <w:rsid w:val="000644EE"/>
    <w:rsid w:val="00066F84"/>
    <w:rsid w:val="00071ABC"/>
    <w:rsid w:val="00077EAC"/>
    <w:rsid w:val="000856D7"/>
    <w:rsid w:val="000902AD"/>
    <w:rsid w:val="000925AD"/>
    <w:rsid w:val="000A24EB"/>
    <w:rsid w:val="000B6923"/>
    <w:rsid w:val="000C033C"/>
    <w:rsid w:val="000C0DA6"/>
    <w:rsid w:val="000C5581"/>
    <w:rsid w:val="000C5890"/>
    <w:rsid w:val="000C5F3C"/>
    <w:rsid w:val="000C6DCC"/>
    <w:rsid w:val="000D0A0D"/>
    <w:rsid w:val="000D47AA"/>
    <w:rsid w:val="000D721F"/>
    <w:rsid w:val="000E069B"/>
    <w:rsid w:val="000E0E82"/>
    <w:rsid w:val="000E1B26"/>
    <w:rsid w:val="000E1DC5"/>
    <w:rsid w:val="000E223F"/>
    <w:rsid w:val="000E35AC"/>
    <w:rsid w:val="000E7D45"/>
    <w:rsid w:val="000F7851"/>
    <w:rsid w:val="00104E23"/>
    <w:rsid w:val="00111B0C"/>
    <w:rsid w:val="00113D09"/>
    <w:rsid w:val="00120D6C"/>
    <w:rsid w:val="00123B64"/>
    <w:rsid w:val="001257EC"/>
    <w:rsid w:val="00126A7F"/>
    <w:rsid w:val="00126CC6"/>
    <w:rsid w:val="00132533"/>
    <w:rsid w:val="00132C6A"/>
    <w:rsid w:val="00133D33"/>
    <w:rsid w:val="00134D64"/>
    <w:rsid w:val="00135A30"/>
    <w:rsid w:val="0013612C"/>
    <w:rsid w:val="0013720C"/>
    <w:rsid w:val="00137FF6"/>
    <w:rsid w:val="00141650"/>
    <w:rsid w:val="00143253"/>
    <w:rsid w:val="001457D8"/>
    <w:rsid w:val="00150709"/>
    <w:rsid w:val="00162734"/>
    <w:rsid w:val="00162A12"/>
    <w:rsid w:val="00166530"/>
    <w:rsid w:val="001832BD"/>
    <w:rsid w:val="00183C7B"/>
    <w:rsid w:val="001943B5"/>
    <w:rsid w:val="00195134"/>
    <w:rsid w:val="00197110"/>
    <w:rsid w:val="001A145B"/>
    <w:rsid w:val="001A674C"/>
    <w:rsid w:val="001B2569"/>
    <w:rsid w:val="001B3B24"/>
    <w:rsid w:val="001B74A9"/>
    <w:rsid w:val="001B79EF"/>
    <w:rsid w:val="001C0F98"/>
    <w:rsid w:val="001C2A42"/>
    <w:rsid w:val="001D3578"/>
    <w:rsid w:val="001D63ED"/>
    <w:rsid w:val="001D7348"/>
    <w:rsid w:val="001E035B"/>
    <w:rsid w:val="001E0961"/>
    <w:rsid w:val="001E3EAE"/>
    <w:rsid w:val="001E5348"/>
    <w:rsid w:val="001E6F32"/>
    <w:rsid w:val="001F0A53"/>
    <w:rsid w:val="001F2145"/>
    <w:rsid w:val="001F6262"/>
    <w:rsid w:val="001F67B0"/>
    <w:rsid w:val="001F7B3D"/>
    <w:rsid w:val="00204996"/>
    <w:rsid w:val="00205F9F"/>
    <w:rsid w:val="0020762E"/>
    <w:rsid w:val="00210338"/>
    <w:rsid w:val="002115FC"/>
    <w:rsid w:val="002133F8"/>
    <w:rsid w:val="0021423C"/>
    <w:rsid w:val="0022504B"/>
    <w:rsid w:val="00230D00"/>
    <w:rsid w:val="00231DF7"/>
    <w:rsid w:val="00231FD1"/>
    <w:rsid w:val="002339E0"/>
    <w:rsid w:val="00233CF8"/>
    <w:rsid w:val="00235456"/>
    <w:rsid w:val="0023575D"/>
    <w:rsid w:val="00237148"/>
    <w:rsid w:val="0024222D"/>
    <w:rsid w:val="00244B0E"/>
    <w:rsid w:val="00244F6C"/>
    <w:rsid w:val="00246BF9"/>
    <w:rsid w:val="00247622"/>
    <w:rsid w:val="002532C5"/>
    <w:rsid w:val="00260611"/>
    <w:rsid w:val="00260C03"/>
    <w:rsid w:val="00263B14"/>
    <w:rsid w:val="0026540E"/>
    <w:rsid w:val="0027225C"/>
    <w:rsid w:val="002738DE"/>
    <w:rsid w:val="00275123"/>
    <w:rsid w:val="00282240"/>
    <w:rsid w:val="0028572A"/>
    <w:rsid w:val="002948AD"/>
    <w:rsid w:val="00294C05"/>
    <w:rsid w:val="00294C92"/>
    <w:rsid w:val="002A01CC"/>
    <w:rsid w:val="002A61B1"/>
    <w:rsid w:val="002A663C"/>
    <w:rsid w:val="002B1E6C"/>
    <w:rsid w:val="002B444B"/>
    <w:rsid w:val="002B4DC5"/>
    <w:rsid w:val="002B5887"/>
    <w:rsid w:val="002C0692"/>
    <w:rsid w:val="002C0E27"/>
    <w:rsid w:val="002C1013"/>
    <w:rsid w:val="002C1D83"/>
    <w:rsid w:val="002C3040"/>
    <w:rsid w:val="002D022D"/>
    <w:rsid w:val="002D142A"/>
    <w:rsid w:val="002D24BB"/>
    <w:rsid w:val="002D7DE7"/>
    <w:rsid w:val="002E00C9"/>
    <w:rsid w:val="002F01F8"/>
    <w:rsid w:val="002F171B"/>
    <w:rsid w:val="002F2AF7"/>
    <w:rsid w:val="002F7E1C"/>
    <w:rsid w:val="00301A75"/>
    <w:rsid w:val="00302F70"/>
    <w:rsid w:val="0030336F"/>
    <w:rsid w:val="0030375E"/>
    <w:rsid w:val="0031102C"/>
    <w:rsid w:val="00312A30"/>
    <w:rsid w:val="00320F72"/>
    <w:rsid w:val="0032463E"/>
    <w:rsid w:val="00325774"/>
    <w:rsid w:val="00326224"/>
    <w:rsid w:val="0032676F"/>
    <w:rsid w:val="00326984"/>
    <w:rsid w:val="00331EAC"/>
    <w:rsid w:val="00337EE4"/>
    <w:rsid w:val="00340FFD"/>
    <w:rsid w:val="003417AC"/>
    <w:rsid w:val="003506B1"/>
    <w:rsid w:val="00351C56"/>
    <w:rsid w:val="00355C0C"/>
    <w:rsid w:val="00356AC7"/>
    <w:rsid w:val="003609FA"/>
    <w:rsid w:val="00362622"/>
    <w:rsid w:val="003710C8"/>
    <w:rsid w:val="003750BE"/>
    <w:rsid w:val="0037703C"/>
    <w:rsid w:val="003826C2"/>
    <w:rsid w:val="00387B9D"/>
    <w:rsid w:val="0039364F"/>
    <w:rsid w:val="00396686"/>
    <w:rsid w:val="0039778E"/>
    <w:rsid w:val="003A2F3C"/>
    <w:rsid w:val="003A441D"/>
    <w:rsid w:val="003B4140"/>
    <w:rsid w:val="003B4941"/>
    <w:rsid w:val="003C5643"/>
    <w:rsid w:val="003C5714"/>
    <w:rsid w:val="003C6B9F"/>
    <w:rsid w:val="003C6E2A"/>
    <w:rsid w:val="003D0299"/>
    <w:rsid w:val="003D03FC"/>
    <w:rsid w:val="003D0AE9"/>
    <w:rsid w:val="003E6D80"/>
    <w:rsid w:val="003F05FA"/>
    <w:rsid w:val="003F244A"/>
    <w:rsid w:val="003F30B8"/>
    <w:rsid w:val="003F4C45"/>
    <w:rsid w:val="003F505E"/>
    <w:rsid w:val="003F5949"/>
    <w:rsid w:val="003F5F7B"/>
    <w:rsid w:val="003F7D64"/>
    <w:rsid w:val="00404C46"/>
    <w:rsid w:val="00405CBF"/>
    <w:rsid w:val="00414300"/>
    <w:rsid w:val="00423B1F"/>
    <w:rsid w:val="00425C67"/>
    <w:rsid w:val="00427E7A"/>
    <w:rsid w:val="00434C26"/>
    <w:rsid w:val="00436307"/>
    <w:rsid w:val="00436C49"/>
    <w:rsid w:val="00445366"/>
    <w:rsid w:val="00447F5B"/>
    <w:rsid w:val="00461DB0"/>
    <w:rsid w:val="00463926"/>
    <w:rsid w:val="00464097"/>
    <w:rsid w:val="004646E0"/>
    <w:rsid w:val="00464C9A"/>
    <w:rsid w:val="004730DE"/>
    <w:rsid w:val="00473BF9"/>
    <w:rsid w:val="00474F3D"/>
    <w:rsid w:val="00477E3A"/>
    <w:rsid w:val="004806E0"/>
    <w:rsid w:val="00483E5F"/>
    <w:rsid w:val="00485C5A"/>
    <w:rsid w:val="00485FF9"/>
    <w:rsid w:val="004875ED"/>
    <w:rsid w:val="004907F0"/>
    <w:rsid w:val="0049140B"/>
    <w:rsid w:val="004923A5"/>
    <w:rsid w:val="00493268"/>
    <w:rsid w:val="00496BFB"/>
    <w:rsid w:val="004A15C7"/>
    <w:rsid w:val="004A515B"/>
    <w:rsid w:val="004A7D69"/>
    <w:rsid w:val="004B013B"/>
    <w:rsid w:val="004B112B"/>
    <w:rsid w:val="004C00CD"/>
    <w:rsid w:val="004C01E4"/>
    <w:rsid w:val="004C086C"/>
    <w:rsid w:val="004C1F56"/>
    <w:rsid w:val="004C27BC"/>
    <w:rsid w:val="004D15F3"/>
    <w:rsid w:val="004D347F"/>
    <w:rsid w:val="004D5311"/>
    <w:rsid w:val="004D5DCC"/>
    <w:rsid w:val="004E1414"/>
    <w:rsid w:val="004F10AF"/>
    <w:rsid w:val="004F11A4"/>
    <w:rsid w:val="004F2389"/>
    <w:rsid w:val="004F304D"/>
    <w:rsid w:val="004F3EAB"/>
    <w:rsid w:val="004F4DD8"/>
    <w:rsid w:val="004F61BE"/>
    <w:rsid w:val="004F66B1"/>
    <w:rsid w:val="00502A0D"/>
    <w:rsid w:val="00510292"/>
    <w:rsid w:val="005106DE"/>
    <w:rsid w:val="00511C07"/>
    <w:rsid w:val="00512D5D"/>
    <w:rsid w:val="00513B6F"/>
    <w:rsid w:val="00514697"/>
    <w:rsid w:val="005171D8"/>
    <w:rsid w:val="005173A6"/>
    <w:rsid w:val="00520BAA"/>
    <w:rsid w:val="00525208"/>
    <w:rsid w:val="005257A5"/>
    <w:rsid w:val="005264C0"/>
    <w:rsid w:val="0052670B"/>
    <w:rsid w:val="00526A8A"/>
    <w:rsid w:val="0052746A"/>
    <w:rsid w:val="00530586"/>
    <w:rsid w:val="00531DF2"/>
    <w:rsid w:val="00533CF7"/>
    <w:rsid w:val="0053446C"/>
    <w:rsid w:val="00535BB8"/>
    <w:rsid w:val="00541BEA"/>
    <w:rsid w:val="005442EE"/>
    <w:rsid w:val="00547353"/>
    <w:rsid w:val="005474E7"/>
    <w:rsid w:val="005512A3"/>
    <w:rsid w:val="005558AB"/>
    <w:rsid w:val="00556C2C"/>
    <w:rsid w:val="00556E93"/>
    <w:rsid w:val="005578CE"/>
    <w:rsid w:val="00557BBD"/>
    <w:rsid w:val="00562781"/>
    <w:rsid w:val="00563E83"/>
    <w:rsid w:val="0057271C"/>
    <w:rsid w:val="00572845"/>
    <w:rsid w:val="005908D3"/>
    <w:rsid w:val="00592772"/>
    <w:rsid w:val="0059574A"/>
    <w:rsid w:val="005A1B9B"/>
    <w:rsid w:val="005A6751"/>
    <w:rsid w:val="005A72D6"/>
    <w:rsid w:val="005B092E"/>
    <w:rsid w:val="005B152C"/>
    <w:rsid w:val="005B1EE0"/>
    <w:rsid w:val="005B2B24"/>
    <w:rsid w:val="005B4425"/>
    <w:rsid w:val="005B4B94"/>
    <w:rsid w:val="005C3EE8"/>
    <w:rsid w:val="005D34F9"/>
    <w:rsid w:val="005D4190"/>
    <w:rsid w:val="005D67A3"/>
    <w:rsid w:val="005D7C01"/>
    <w:rsid w:val="005E1FEE"/>
    <w:rsid w:val="005E2988"/>
    <w:rsid w:val="005E2A43"/>
    <w:rsid w:val="005E3085"/>
    <w:rsid w:val="005E438A"/>
    <w:rsid w:val="005F51E1"/>
    <w:rsid w:val="005F6C7A"/>
    <w:rsid w:val="005F6D79"/>
    <w:rsid w:val="006007EC"/>
    <w:rsid w:val="00611C80"/>
    <w:rsid w:val="00612D6A"/>
    <w:rsid w:val="0061652B"/>
    <w:rsid w:val="00620692"/>
    <w:rsid w:val="006242CA"/>
    <w:rsid w:val="00627507"/>
    <w:rsid w:val="00633717"/>
    <w:rsid w:val="00633E5F"/>
    <w:rsid w:val="00633E63"/>
    <w:rsid w:val="006344E1"/>
    <w:rsid w:val="0064399D"/>
    <w:rsid w:val="00647ADC"/>
    <w:rsid w:val="006545C4"/>
    <w:rsid w:val="00655F7B"/>
    <w:rsid w:val="00661971"/>
    <w:rsid w:val="00661CE8"/>
    <w:rsid w:val="006623D9"/>
    <w:rsid w:val="0066550C"/>
    <w:rsid w:val="006716F2"/>
    <w:rsid w:val="00671743"/>
    <w:rsid w:val="006827EA"/>
    <w:rsid w:val="00682BF2"/>
    <w:rsid w:val="006859CE"/>
    <w:rsid w:val="00691270"/>
    <w:rsid w:val="00694BA8"/>
    <w:rsid w:val="00695134"/>
    <w:rsid w:val="00696689"/>
    <w:rsid w:val="006A037C"/>
    <w:rsid w:val="006A36F4"/>
    <w:rsid w:val="006A406F"/>
    <w:rsid w:val="006A493C"/>
    <w:rsid w:val="006A5D3A"/>
    <w:rsid w:val="006C052F"/>
    <w:rsid w:val="006C23D4"/>
    <w:rsid w:val="006C7BB0"/>
    <w:rsid w:val="006C7C1E"/>
    <w:rsid w:val="006D203D"/>
    <w:rsid w:val="006D3237"/>
    <w:rsid w:val="006E2E37"/>
    <w:rsid w:val="006E3CF1"/>
    <w:rsid w:val="006E7E80"/>
    <w:rsid w:val="006F1DF9"/>
    <w:rsid w:val="006F24DB"/>
    <w:rsid w:val="006F48CA"/>
    <w:rsid w:val="006F4D90"/>
    <w:rsid w:val="006F5164"/>
    <w:rsid w:val="006F64DD"/>
    <w:rsid w:val="007000A7"/>
    <w:rsid w:val="00713046"/>
    <w:rsid w:val="007141A8"/>
    <w:rsid w:val="00715127"/>
    <w:rsid w:val="00715E8E"/>
    <w:rsid w:val="00723580"/>
    <w:rsid w:val="00723755"/>
    <w:rsid w:val="00724AF2"/>
    <w:rsid w:val="00730CAA"/>
    <w:rsid w:val="0073136C"/>
    <w:rsid w:val="00731F0F"/>
    <w:rsid w:val="00733250"/>
    <w:rsid w:val="00741404"/>
    <w:rsid w:val="007426EA"/>
    <w:rsid w:val="007449E5"/>
    <w:rsid w:val="00746C5A"/>
    <w:rsid w:val="00747FF0"/>
    <w:rsid w:val="007509D5"/>
    <w:rsid w:val="007636A1"/>
    <w:rsid w:val="00763A43"/>
    <w:rsid w:val="00764D4E"/>
    <w:rsid w:val="00765A1F"/>
    <w:rsid w:val="00771207"/>
    <w:rsid w:val="00772F83"/>
    <w:rsid w:val="00774A6E"/>
    <w:rsid w:val="00775B6D"/>
    <w:rsid w:val="00776D68"/>
    <w:rsid w:val="007850EE"/>
    <w:rsid w:val="00785B95"/>
    <w:rsid w:val="00790E96"/>
    <w:rsid w:val="00793366"/>
    <w:rsid w:val="007A4856"/>
    <w:rsid w:val="007A716F"/>
    <w:rsid w:val="007B270A"/>
    <w:rsid w:val="007C0695"/>
    <w:rsid w:val="007C419A"/>
    <w:rsid w:val="007C4CC8"/>
    <w:rsid w:val="007C5426"/>
    <w:rsid w:val="007C5798"/>
    <w:rsid w:val="007D2E3A"/>
    <w:rsid w:val="007D4832"/>
    <w:rsid w:val="007E21B2"/>
    <w:rsid w:val="007E2C4E"/>
    <w:rsid w:val="007F1905"/>
    <w:rsid w:val="0080048F"/>
    <w:rsid w:val="00801300"/>
    <w:rsid w:val="00802C64"/>
    <w:rsid w:val="00805E52"/>
    <w:rsid w:val="008061D0"/>
    <w:rsid w:val="008109D5"/>
    <w:rsid w:val="00810B38"/>
    <w:rsid w:val="00811E76"/>
    <w:rsid w:val="008204C7"/>
    <w:rsid w:val="00820992"/>
    <w:rsid w:val="00823602"/>
    <w:rsid w:val="008250BB"/>
    <w:rsid w:val="008255F5"/>
    <w:rsid w:val="0083014E"/>
    <w:rsid w:val="0083214A"/>
    <w:rsid w:val="00834220"/>
    <w:rsid w:val="00834C8F"/>
    <w:rsid w:val="00843E75"/>
    <w:rsid w:val="00845723"/>
    <w:rsid w:val="008476CF"/>
    <w:rsid w:val="00851EF9"/>
    <w:rsid w:val="008577FD"/>
    <w:rsid w:val="00860B03"/>
    <w:rsid w:val="0086497A"/>
    <w:rsid w:val="008713A1"/>
    <w:rsid w:val="008754AB"/>
    <w:rsid w:val="00875D35"/>
    <w:rsid w:val="0088060C"/>
    <w:rsid w:val="00880B07"/>
    <w:rsid w:val="00893576"/>
    <w:rsid w:val="00893E73"/>
    <w:rsid w:val="008A43C4"/>
    <w:rsid w:val="008A7153"/>
    <w:rsid w:val="008A732B"/>
    <w:rsid w:val="008B02DC"/>
    <w:rsid w:val="008B03F4"/>
    <w:rsid w:val="008B35D8"/>
    <w:rsid w:val="008B57CE"/>
    <w:rsid w:val="008B659F"/>
    <w:rsid w:val="008C26DE"/>
    <w:rsid w:val="008D2225"/>
    <w:rsid w:val="008D4752"/>
    <w:rsid w:val="008D552A"/>
    <w:rsid w:val="008D6E76"/>
    <w:rsid w:val="008E271C"/>
    <w:rsid w:val="008E418E"/>
    <w:rsid w:val="008E4670"/>
    <w:rsid w:val="008E5BC6"/>
    <w:rsid w:val="008E6A25"/>
    <w:rsid w:val="008F2983"/>
    <w:rsid w:val="008F5193"/>
    <w:rsid w:val="009013A7"/>
    <w:rsid w:val="009017FB"/>
    <w:rsid w:val="009017FC"/>
    <w:rsid w:val="00903B43"/>
    <w:rsid w:val="00903E34"/>
    <w:rsid w:val="0090506B"/>
    <w:rsid w:val="009050C9"/>
    <w:rsid w:val="009066FC"/>
    <w:rsid w:val="00906D7E"/>
    <w:rsid w:val="009140A3"/>
    <w:rsid w:val="009144A2"/>
    <w:rsid w:val="0091510C"/>
    <w:rsid w:val="009236CC"/>
    <w:rsid w:val="009259AC"/>
    <w:rsid w:val="00926E6D"/>
    <w:rsid w:val="00926F38"/>
    <w:rsid w:val="00931D76"/>
    <w:rsid w:val="00934301"/>
    <w:rsid w:val="00936CD1"/>
    <w:rsid w:val="00941747"/>
    <w:rsid w:val="00941EFB"/>
    <w:rsid w:val="00947AFB"/>
    <w:rsid w:val="00947D77"/>
    <w:rsid w:val="00951D7D"/>
    <w:rsid w:val="00952C12"/>
    <w:rsid w:val="009630C7"/>
    <w:rsid w:val="0096523F"/>
    <w:rsid w:val="00972B55"/>
    <w:rsid w:val="009743B7"/>
    <w:rsid w:val="0098228B"/>
    <w:rsid w:val="009828DA"/>
    <w:rsid w:val="00985BAB"/>
    <w:rsid w:val="00986359"/>
    <w:rsid w:val="00987FE9"/>
    <w:rsid w:val="00991A3A"/>
    <w:rsid w:val="00997F03"/>
    <w:rsid w:val="009A46DF"/>
    <w:rsid w:val="009B1B5F"/>
    <w:rsid w:val="009B2EC2"/>
    <w:rsid w:val="009B6673"/>
    <w:rsid w:val="009C191B"/>
    <w:rsid w:val="009C2239"/>
    <w:rsid w:val="009C2BD6"/>
    <w:rsid w:val="009C35B7"/>
    <w:rsid w:val="009E0CFA"/>
    <w:rsid w:val="009E1F32"/>
    <w:rsid w:val="009E5829"/>
    <w:rsid w:val="009E776C"/>
    <w:rsid w:val="009F1D1B"/>
    <w:rsid w:val="009F6BD9"/>
    <w:rsid w:val="00A130B4"/>
    <w:rsid w:val="00A1726E"/>
    <w:rsid w:val="00A204CF"/>
    <w:rsid w:val="00A23D49"/>
    <w:rsid w:val="00A2510A"/>
    <w:rsid w:val="00A27004"/>
    <w:rsid w:val="00A30C29"/>
    <w:rsid w:val="00A34DD6"/>
    <w:rsid w:val="00A36819"/>
    <w:rsid w:val="00A36989"/>
    <w:rsid w:val="00A43628"/>
    <w:rsid w:val="00A54192"/>
    <w:rsid w:val="00A6035E"/>
    <w:rsid w:val="00A6144C"/>
    <w:rsid w:val="00A66617"/>
    <w:rsid w:val="00A66B23"/>
    <w:rsid w:val="00A671F8"/>
    <w:rsid w:val="00A673A4"/>
    <w:rsid w:val="00A724AE"/>
    <w:rsid w:val="00A73329"/>
    <w:rsid w:val="00A73B5B"/>
    <w:rsid w:val="00A73BF0"/>
    <w:rsid w:val="00A82359"/>
    <w:rsid w:val="00A865D2"/>
    <w:rsid w:val="00A9392B"/>
    <w:rsid w:val="00A94C20"/>
    <w:rsid w:val="00A95D0D"/>
    <w:rsid w:val="00A96CEF"/>
    <w:rsid w:val="00A96ED6"/>
    <w:rsid w:val="00AA227F"/>
    <w:rsid w:val="00AA3BC7"/>
    <w:rsid w:val="00AA4EAF"/>
    <w:rsid w:val="00AA754A"/>
    <w:rsid w:val="00AB099E"/>
    <w:rsid w:val="00AB1E92"/>
    <w:rsid w:val="00AB4328"/>
    <w:rsid w:val="00AB47AD"/>
    <w:rsid w:val="00AB57ED"/>
    <w:rsid w:val="00AB5FA0"/>
    <w:rsid w:val="00AB7EA2"/>
    <w:rsid w:val="00AE0A2E"/>
    <w:rsid w:val="00AE354C"/>
    <w:rsid w:val="00AF4A48"/>
    <w:rsid w:val="00AF4B07"/>
    <w:rsid w:val="00AF6186"/>
    <w:rsid w:val="00AF7A3A"/>
    <w:rsid w:val="00B160DB"/>
    <w:rsid w:val="00B200F9"/>
    <w:rsid w:val="00B20836"/>
    <w:rsid w:val="00B235BB"/>
    <w:rsid w:val="00B27A44"/>
    <w:rsid w:val="00B30BBF"/>
    <w:rsid w:val="00B33C03"/>
    <w:rsid w:val="00B44E56"/>
    <w:rsid w:val="00B4539B"/>
    <w:rsid w:val="00B46543"/>
    <w:rsid w:val="00B47D33"/>
    <w:rsid w:val="00B52BE0"/>
    <w:rsid w:val="00B54133"/>
    <w:rsid w:val="00B637B9"/>
    <w:rsid w:val="00B701ED"/>
    <w:rsid w:val="00B8086C"/>
    <w:rsid w:val="00B843B9"/>
    <w:rsid w:val="00B84ABF"/>
    <w:rsid w:val="00B861B4"/>
    <w:rsid w:val="00B86DFE"/>
    <w:rsid w:val="00B90990"/>
    <w:rsid w:val="00B922FF"/>
    <w:rsid w:val="00B92491"/>
    <w:rsid w:val="00B9281E"/>
    <w:rsid w:val="00B93925"/>
    <w:rsid w:val="00B94DBC"/>
    <w:rsid w:val="00B95187"/>
    <w:rsid w:val="00BA2D55"/>
    <w:rsid w:val="00BA71B1"/>
    <w:rsid w:val="00BB0637"/>
    <w:rsid w:val="00BB345F"/>
    <w:rsid w:val="00BB5883"/>
    <w:rsid w:val="00BB68EA"/>
    <w:rsid w:val="00BC1C27"/>
    <w:rsid w:val="00BC487F"/>
    <w:rsid w:val="00BC686B"/>
    <w:rsid w:val="00BC6BBF"/>
    <w:rsid w:val="00BD1572"/>
    <w:rsid w:val="00BD19CD"/>
    <w:rsid w:val="00BE14E3"/>
    <w:rsid w:val="00BE3774"/>
    <w:rsid w:val="00BE41E5"/>
    <w:rsid w:val="00BE4AAB"/>
    <w:rsid w:val="00BF0BBB"/>
    <w:rsid w:val="00BF4109"/>
    <w:rsid w:val="00BF4CC3"/>
    <w:rsid w:val="00BF55F0"/>
    <w:rsid w:val="00C054C7"/>
    <w:rsid w:val="00C057B5"/>
    <w:rsid w:val="00C22687"/>
    <w:rsid w:val="00C32E4D"/>
    <w:rsid w:val="00C333A0"/>
    <w:rsid w:val="00C36A81"/>
    <w:rsid w:val="00C41974"/>
    <w:rsid w:val="00C447AD"/>
    <w:rsid w:val="00C47D86"/>
    <w:rsid w:val="00C53F4A"/>
    <w:rsid w:val="00C54125"/>
    <w:rsid w:val="00C55B54"/>
    <w:rsid w:val="00C56B67"/>
    <w:rsid w:val="00C6098E"/>
    <w:rsid w:val="00C6152C"/>
    <w:rsid w:val="00C621C2"/>
    <w:rsid w:val="00C62D71"/>
    <w:rsid w:val="00C641CC"/>
    <w:rsid w:val="00C73154"/>
    <w:rsid w:val="00C74810"/>
    <w:rsid w:val="00C80DA9"/>
    <w:rsid w:val="00C813F1"/>
    <w:rsid w:val="00C82E30"/>
    <w:rsid w:val="00C8343A"/>
    <w:rsid w:val="00C84A9A"/>
    <w:rsid w:val="00C90D68"/>
    <w:rsid w:val="00C915FB"/>
    <w:rsid w:val="00C926C1"/>
    <w:rsid w:val="00C939FE"/>
    <w:rsid w:val="00CA07E3"/>
    <w:rsid w:val="00CA3BAE"/>
    <w:rsid w:val="00CA4BDA"/>
    <w:rsid w:val="00CB1F66"/>
    <w:rsid w:val="00CB2951"/>
    <w:rsid w:val="00CC61AD"/>
    <w:rsid w:val="00CD282B"/>
    <w:rsid w:val="00CD4C35"/>
    <w:rsid w:val="00CD7369"/>
    <w:rsid w:val="00CE0B0E"/>
    <w:rsid w:val="00CE1746"/>
    <w:rsid w:val="00CE2F1E"/>
    <w:rsid w:val="00CE3831"/>
    <w:rsid w:val="00CE7BDA"/>
    <w:rsid w:val="00D00ABB"/>
    <w:rsid w:val="00D02512"/>
    <w:rsid w:val="00D02EEC"/>
    <w:rsid w:val="00D03551"/>
    <w:rsid w:val="00D05692"/>
    <w:rsid w:val="00D06A63"/>
    <w:rsid w:val="00D07E0E"/>
    <w:rsid w:val="00D11478"/>
    <w:rsid w:val="00D15ED0"/>
    <w:rsid w:val="00D21236"/>
    <w:rsid w:val="00D21B3E"/>
    <w:rsid w:val="00D21FED"/>
    <w:rsid w:val="00D24251"/>
    <w:rsid w:val="00D343E2"/>
    <w:rsid w:val="00D361A2"/>
    <w:rsid w:val="00D44C2E"/>
    <w:rsid w:val="00D45414"/>
    <w:rsid w:val="00D53C0F"/>
    <w:rsid w:val="00D566BD"/>
    <w:rsid w:val="00D57A4D"/>
    <w:rsid w:val="00D60AA7"/>
    <w:rsid w:val="00D60D87"/>
    <w:rsid w:val="00D6435F"/>
    <w:rsid w:val="00D751B3"/>
    <w:rsid w:val="00D75E28"/>
    <w:rsid w:val="00D772C2"/>
    <w:rsid w:val="00D8008E"/>
    <w:rsid w:val="00D80995"/>
    <w:rsid w:val="00D82C45"/>
    <w:rsid w:val="00D835EA"/>
    <w:rsid w:val="00D908A8"/>
    <w:rsid w:val="00D977B6"/>
    <w:rsid w:val="00DA4A31"/>
    <w:rsid w:val="00DA61F2"/>
    <w:rsid w:val="00DA7B04"/>
    <w:rsid w:val="00DB0425"/>
    <w:rsid w:val="00DB36C2"/>
    <w:rsid w:val="00DB371A"/>
    <w:rsid w:val="00DB6252"/>
    <w:rsid w:val="00DB7196"/>
    <w:rsid w:val="00DC169B"/>
    <w:rsid w:val="00DC2AB9"/>
    <w:rsid w:val="00DC63F0"/>
    <w:rsid w:val="00DD6EE5"/>
    <w:rsid w:val="00DE1B8E"/>
    <w:rsid w:val="00DE386C"/>
    <w:rsid w:val="00DE4D35"/>
    <w:rsid w:val="00DF0549"/>
    <w:rsid w:val="00DF098B"/>
    <w:rsid w:val="00DF11C4"/>
    <w:rsid w:val="00DF210C"/>
    <w:rsid w:val="00DF4B6A"/>
    <w:rsid w:val="00DF716C"/>
    <w:rsid w:val="00E0087B"/>
    <w:rsid w:val="00E02C09"/>
    <w:rsid w:val="00E03708"/>
    <w:rsid w:val="00E04D59"/>
    <w:rsid w:val="00E06772"/>
    <w:rsid w:val="00E07DA1"/>
    <w:rsid w:val="00E123CB"/>
    <w:rsid w:val="00E1557C"/>
    <w:rsid w:val="00E20E13"/>
    <w:rsid w:val="00E21DBC"/>
    <w:rsid w:val="00E275D7"/>
    <w:rsid w:val="00E27DBE"/>
    <w:rsid w:val="00E32AB1"/>
    <w:rsid w:val="00E35E76"/>
    <w:rsid w:val="00E36C71"/>
    <w:rsid w:val="00E40404"/>
    <w:rsid w:val="00E4133A"/>
    <w:rsid w:val="00E44696"/>
    <w:rsid w:val="00E459C6"/>
    <w:rsid w:val="00E47589"/>
    <w:rsid w:val="00E5221E"/>
    <w:rsid w:val="00E577D4"/>
    <w:rsid w:val="00E57E5F"/>
    <w:rsid w:val="00E64915"/>
    <w:rsid w:val="00E661D4"/>
    <w:rsid w:val="00E70091"/>
    <w:rsid w:val="00E720F5"/>
    <w:rsid w:val="00E7475B"/>
    <w:rsid w:val="00E76D47"/>
    <w:rsid w:val="00E849F7"/>
    <w:rsid w:val="00E86EB5"/>
    <w:rsid w:val="00E90302"/>
    <w:rsid w:val="00E9387A"/>
    <w:rsid w:val="00E9597F"/>
    <w:rsid w:val="00E97396"/>
    <w:rsid w:val="00EA185E"/>
    <w:rsid w:val="00EA232B"/>
    <w:rsid w:val="00EA592A"/>
    <w:rsid w:val="00EA737F"/>
    <w:rsid w:val="00EA7696"/>
    <w:rsid w:val="00EB14E4"/>
    <w:rsid w:val="00EB32A5"/>
    <w:rsid w:val="00EB34ED"/>
    <w:rsid w:val="00EB7BE0"/>
    <w:rsid w:val="00EC315E"/>
    <w:rsid w:val="00ED077C"/>
    <w:rsid w:val="00ED1190"/>
    <w:rsid w:val="00ED4616"/>
    <w:rsid w:val="00ED5A35"/>
    <w:rsid w:val="00ED6544"/>
    <w:rsid w:val="00EE0277"/>
    <w:rsid w:val="00EE1DA9"/>
    <w:rsid w:val="00EE3297"/>
    <w:rsid w:val="00EE3E00"/>
    <w:rsid w:val="00EE42C3"/>
    <w:rsid w:val="00EE5DD2"/>
    <w:rsid w:val="00EF0073"/>
    <w:rsid w:val="00EF39AC"/>
    <w:rsid w:val="00EF41F1"/>
    <w:rsid w:val="00EF4F08"/>
    <w:rsid w:val="00EF51DB"/>
    <w:rsid w:val="00EF573B"/>
    <w:rsid w:val="00F00A79"/>
    <w:rsid w:val="00F00E86"/>
    <w:rsid w:val="00F00F8B"/>
    <w:rsid w:val="00F07C1E"/>
    <w:rsid w:val="00F105DB"/>
    <w:rsid w:val="00F132BC"/>
    <w:rsid w:val="00F13D80"/>
    <w:rsid w:val="00F16AAA"/>
    <w:rsid w:val="00F21161"/>
    <w:rsid w:val="00F218EF"/>
    <w:rsid w:val="00F21BC7"/>
    <w:rsid w:val="00F25D5B"/>
    <w:rsid w:val="00F266A2"/>
    <w:rsid w:val="00F32269"/>
    <w:rsid w:val="00F34E49"/>
    <w:rsid w:val="00F40F1E"/>
    <w:rsid w:val="00F44525"/>
    <w:rsid w:val="00F4457E"/>
    <w:rsid w:val="00F47CAA"/>
    <w:rsid w:val="00F50D40"/>
    <w:rsid w:val="00F56A6F"/>
    <w:rsid w:val="00F5709C"/>
    <w:rsid w:val="00F57EDD"/>
    <w:rsid w:val="00F6299E"/>
    <w:rsid w:val="00F632FA"/>
    <w:rsid w:val="00F64EF1"/>
    <w:rsid w:val="00F70827"/>
    <w:rsid w:val="00F77DC7"/>
    <w:rsid w:val="00F8765F"/>
    <w:rsid w:val="00F90767"/>
    <w:rsid w:val="00FA4251"/>
    <w:rsid w:val="00FA685B"/>
    <w:rsid w:val="00FB0C01"/>
    <w:rsid w:val="00FC18F2"/>
    <w:rsid w:val="00FC39E5"/>
    <w:rsid w:val="00FC3A78"/>
    <w:rsid w:val="00FC5FFE"/>
    <w:rsid w:val="00FD1005"/>
    <w:rsid w:val="00FD3180"/>
    <w:rsid w:val="00FD6C75"/>
    <w:rsid w:val="00FE71B3"/>
    <w:rsid w:val="00FF2AC9"/>
    <w:rsid w:val="00FF42C5"/>
    <w:rsid w:val="00FF74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00067"/>
    <w:pPr>
      <w:jc w:val="both"/>
    </w:pPr>
    <w:rPr>
      <w:rFonts w:eastAsiaTheme="minorEastAsia"/>
      <w:sz w:val="24"/>
    </w:rPr>
  </w:style>
  <w:style w:type="paragraph" w:styleId="Heading1">
    <w:name w:val="heading 1"/>
    <w:basedOn w:val="Normal"/>
    <w:next w:val="Normal"/>
    <w:link w:val="Heading1Char"/>
    <w:uiPriority w:val="99"/>
    <w:semiHidden/>
    <w:rsid w:val="00000067"/>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000067"/>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000067"/>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000067"/>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464097"/>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000067"/>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464097"/>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464097"/>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464097"/>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00067"/>
    <w:rPr>
      <w:rFonts w:ascii="Tahoma" w:hAnsi="Tahoma" w:cs="Tahoma"/>
      <w:sz w:val="16"/>
      <w:szCs w:val="16"/>
    </w:rPr>
  </w:style>
  <w:style w:type="character" w:customStyle="1" w:styleId="BalloonTextChar">
    <w:name w:val="Balloon Text Char"/>
    <w:basedOn w:val="DefaultParagraphFont"/>
    <w:link w:val="BalloonText"/>
    <w:uiPriority w:val="99"/>
    <w:semiHidden/>
    <w:rsid w:val="00000067"/>
    <w:rPr>
      <w:rFonts w:ascii="Tahoma" w:eastAsiaTheme="minorEastAsia" w:hAnsi="Tahoma" w:cs="Tahoma"/>
      <w:sz w:val="16"/>
      <w:szCs w:val="16"/>
    </w:rPr>
  </w:style>
  <w:style w:type="character" w:styleId="BookTitle">
    <w:name w:val="Book Title"/>
    <w:uiPriority w:val="99"/>
    <w:semiHidden/>
    <w:qFormat/>
    <w:rsid w:val="00464097"/>
    <w:rPr>
      <w:i/>
      <w:iCs/>
      <w:smallCaps/>
      <w:spacing w:val="5"/>
    </w:rPr>
  </w:style>
  <w:style w:type="paragraph" w:customStyle="1" w:styleId="ECHRHeader">
    <w:name w:val="ECHR_Header"/>
    <w:aliases w:val="Ju_Header"/>
    <w:basedOn w:val="Header"/>
    <w:uiPriority w:val="4"/>
    <w:qFormat/>
    <w:rsid w:val="00464097"/>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000067"/>
    <w:pPr>
      <w:jc w:val="left"/>
    </w:pPr>
    <w:rPr>
      <w:sz w:val="8"/>
    </w:rPr>
  </w:style>
  <w:style w:type="character" w:styleId="Strong">
    <w:name w:val="Strong"/>
    <w:uiPriority w:val="99"/>
    <w:semiHidden/>
    <w:qFormat/>
    <w:rsid w:val="00464097"/>
    <w:rPr>
      <w:b/>
      <w:bCs/>
    </w:rPr>
  </w:style>
  <w:style w:type="paragraph" w:styleId="NoSpacing">
    <w:name w:val="No Spacing"/>
    <w:basedOn w:val="Normal"/>
    <w:link w:val="NoSpacingChar"/>
    <w:semiHidden/>
    <w:qFormat/>
    <w:rsid w:val="00464097"/>
    <w:rPr>
      <w:sz w:val="22"/>
    </w:rPr>
  </w:style>
  <w:style w:type="character" w:customStyle="1" w:styleId="NoSpacingChar">
    <w:name w:val="No Spacing Char"/>
    <w:basedOn w:val="DefaultParagraphFont"/>
    <w:link w:val="NoSpacing"/>
    <w:semiHidden/>
    <w:rsid w:val="00464097"/>
    <w:rPr>
      <w:rFonts w:eastAsiaTheme="minorEastAsia"/>
    </w:rPr>
  </w:style>
  <w:style w:type="paragraph" w:customStyle="1" w:styleId="ECHRFooterLine">
    <w:name w:val="ECHR_Footer_Line"/>
    <w:aliases w:val="Footer_Line"/>
    <w:basedOn w:val="Normal"/>
    <w:next w:val="ECHRFooter"/>
    <w:uiPriority w:val="57"/>
    <w:semiHidden/>
    <w:rsid w:val="00000067"/>
    <w:pPr>
      <w:pBdr>
        <w:top w:val="single" w:sz="6" w:space="1" w:color="5F5F5F"/>
      </w:pBdr>
      <w:tabs>
        <w:tab w:val="center" w:pos="4536"/>
        <w:tab w:val="right" w:pos="9696"/>
      </w:tabs>
      <w:ind w:left="-680" w:right="-680"/>
      <w:jc w:val="left"/>
    </w:pPr>
    <w:rPr>
      <w:color w:val="5F5F5F"/>
    </w:rPr>
  </w:style>
  <w:style w:type="paragraph" w:customStyle="1" w:styleId="JuAppQuestion">
    <w:name w:val="Ju_App_Question"/>
    <w:basedOn w:val="Normal"/>
    <w:uiPriority w:val="5"/>
    <w:qFormat/>
    <w:rsid w:val="00464097"/>
    <w:pPr>
      <w:numPr>
        <w:numId w:val="16"/>
      </w:numPr>
      <w:jc w:val="left"/>
    </w:pPr>
    <w:rPr>
      <w:b/>
    </w:rPr>
  </w:style>
  <w:style w:type="paragraph" w:customStyle="1" w:styleId="OpiPara">
    <w:name w:val="Opi_Para"/>
    <w:basedOn w:val="ECHRPara"/>
    <w:uiPriority w:val="46"/>
    <w:qFormat/>
    <w:rsid w:val="00464097"/>
  </w:style>
  <w:style w:type="paragraph" w:customStyle="1" w:styleId="JuParaSub">
    <w:name w:val="Ju_Para_Sub"/>
    <w:basedOn w:val="ECHRPara"/>
    <w:uiPriority w:val="13"/>
    <w:qFormat/>
    <w:rsid w:val="00464097"/>
    <w:pPr>
      <w:ind w:left="284"/>
    </w:pPr>
  </w:style>
  <w:style w:type="paragraph" w:customStyle="1" w:styleId="ECHRTitleCentre3">
    <w:name w:val="ECHR_Title_Centre_3"/>
    <w:aliases w:val="Ju_H_Article"/>
    <w:basedOn w:val="Normal"/>
    <w:next w:val="ECHRParaQuote"/>
    <w:uiPriority w:val="27"/>
    <w:qFormat/>
    <w:rsid w:val="00464097"/>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464097"/>
    <w:pPr>
      <w:keepNext/>
      <w:keepLines/>
      <w:spacing w:after="240"/>
      <w:jc w:val="center"/>
      <w:outlineLvl w:val="0"/>
    </w:pPr>
    <w:rPr>
      <w:rFonts w:asciiTheme="majorHAnsi" w:hAnsiTheme="majorHAnsi"/>
      <w:sz w:val="28"/>
    </w:rPr>
  </w:style>
  <w:style w:type="paragraph" w:customStyle="1" w:styleId="OpiParaSub">
    <w:name w:val="Opi_Para_Sub"/>
    <w:basedOn w:val="JuParaSub"/>
    <w:uiPriority w:val="47"/>
    <w:qFormat/>
    <w:rsid w:val="00464097"/>
  </w:style>
  <w:style w:type="paragraph" w:customStyle="1" w:styleId="OpiQuot">
    <w:name w:val="Opi_Quot"/>
    <w:basedOn w:val="ECHRParaQuote"/>
    <w:uiPriority w:val="48"/>
    <w:qFormat/>
    <w:rsid w:val="00464097"/>
  </w:style>
  <w:style w:type="paragraph" w:customStyle="1" w:styleId="OpiQuotSub">
    <w:name w:val="Opi_Quot_Sub"/>
    <w:basedOn w:val="JuQuotSub"/>
    <w:uiPriority w:val="49"/>
    <w:qFormat/>
    <w:rsid w:val="00464097"/>
  </w:style>
  <w:style w:type="paragraph" w:customStyle="1" w:styleId="ECHRTitleCentre2">
    <w:name w:val="ECHR_Title_Centre_2"/>
    <w:aliases w:val="Dec_H_Case"/>
    <w:basedOn w:val="Normal"/>
    <w:next w:val="ECHRPara"/>
    <w:uiPriority w:val="8"/>
    <w:qFormat/>
    <w:rsid w:val="00464097"/>
    <w:pPr>
      <w:spacing w:after="240"/>
      <w:jc w:val="center"/>
      <w:outlineLvl w:val="0"/>
    </w:pPr>
    <w:rPr>
      <w:rFonts w:asciiTheme="majorHAnsi" w:hAnsiTheme="majorHAnsi"/>
    </w:rPr>
  </w:style>
  <w:style w:type="paragraph" w:customStyle="1" w:styleId="JuTitle">
    <w:name w:val="Ju_Title"/>
    <w:basedOn w:val="Normal"/>
    <w:next w:val="ECHRPara"/>
    <w:uiPriority w:val="3"/>
    <w:qFormat/>
    <w:rsid w:val="00464097"/>
    <w:pPr>
      <w:spacing w:before="720" w:after="240"/>
      <w:jc w:val="center"/>
      <w:outlineLvl w:val="0"/>
    </w:pPr>
    <w:rPr>
      <w:rFonts w:asciiTheme="majorHAnsi" w:hAnsiTheme="majorHAnsi"/>
      <w:b/>
      <w:caps/>
    </w:rPr>
  </w:style>
  <w:style w:type="paragraph" w:styleId="Title">
    <w:name w:val="Title"/>
    <w:basedOn w:val="Normal"/>
    <w:next w:val="Normal"/>
    <w:link w:val="TitleChar"/>
    <w:uiPriority w:val="99"/>
    <w:semiHidden/>
    <w:qFormat/>
    <w:rsid w:val="00464097"/>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464097"/>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464097"/>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464097"/>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464097"/>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464097"/>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464097"/>
    <w:pPr>
      <w:keepNext/>
      <w:keepLines/>
      <w:spacing w:before="240" w:after="120"/>
      <w:ind w:left="1236"/>
    </w:pPr>
    <w:rPr>
      <w:sz w:val="20"/>
    </w:rPr>
  </w:style>
  <w:style w:type="paragraph" w:customStyle="1" w:styleId="JuQuotSub">
    <w:name w:val="Ju_Quot_Sub"/>
    <w:basedOn w:val="ECHRParaQuote"/>
    <w:uiPriority w:val="15"/>
    <w:qFormat/>
    <w:rsid w:val="00464097"/>
    <w:pPr>
      <w:ind w:left="567"/>
    </w:pPr>
  </w:style>
  <w:style w:type="paragraph" w:customStyle="1" w:styleId="JuInitialled">
    <w:name w:val="Ju_Initialled"/>
    <w:basedOn w:val="Normal"/>
    <w:uiPriority w:val="31"/>
    <w:qFormat/>
    <w:rsid w:val="00464097"/>
    <w:pPr>
      <w:tabs>
        <w:tab w:val="center" w:pos="6407"/>
      </w:tabs>
      <w:spacing w:before="720"/>
      <w:jc w:val="right"/>
    </w:pPr>
  </w:style>
  <w:style w:type="paragraph" w:customStyle="1" w:styleId="OpiHA">
    <w:name w:val="Opi_H_A"/>
    <w:basedOn w:val="ECHRHeading1"/>
    <w:next w:val="OpiPara"/>
    <w:uiPriority w:val="41"/>
    <w:qFormat/>
    <w:rsid w:val="00464097"/>
    <w:pPr>
      <w:tabs>
        <w:tab w:val="clear" w:pos="357"/>
      </w:tabs>
      <w:outlineLvl w:val="1"/>
    </w:pPr>
    <w:rPr>
      <w:b/>
    </w:rPr>
  </w:style>
  <w:style w:type="paragraph" w:styleId="Header">
    <w:name w:val="header"/>
    <w:basedOn w:val="Normal"/>
    <w:link w:val="HeaderChar"/>
    <w:uiPriority w:val="57"/>
    <w:semiHidden/>
    <w:rsid w:val="00000067"/>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000067"/>
    <w:rPr>
      <w:sz w:val="24"/>
    </w:rPr>
  </w:style>
  <w:style w:type="character" w:customStyle="1" w:styleId="Heading1Char">
    <w:name w:val="Heading 1 Char"/>
    <w:basedOn w:val="DefaultParagraphFont"/>
    <w:link w:val="Heading1"/>
    <w:uiPriority w:val="99"/>
    <w:semiHidden/>
    <w:rsid w:val="00000067"/>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464097"/>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464097"/>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000067"/>
    <w:rPr>
      <w:rFonts w:asciiTheme="majorHAnsi" w:eastAsiaTheme="majorEastAsia" w:hAnsiTheme="majorHAnsi" w:cstheme="majorBidi"/>
      <w:b/>
      <w:bCs/>
      <w:color w:val="4D4D4D"/>
      <w:sz w:val="26"/>
      <w:szCs w:val="26"/>
    </w:rPr>
  </w:style>
  <w:style w:type="character" w:customStyle="1" w:styleId="JUNAMES">
    <w:name w:val="JU_NAMES"/>
    <w:uiPriority w:val="17"/>
    <w:qFormat/>
    <w:rsid w:val="00464097"/>
    <w:rPr>
      <w:caps w:val="0"/>
      <w:smallCaps/>
    </w:rPr>
  </w:style>
  <w:style w:type="paragraph" w:customStyle="1" w:styleId="JuCase">
    <w:name w:val="Ju_Case"/>
    <w:basedOn w:val="Normal"/>
    <w:next w:val="ECHRPara"/>
    <w:uiPriority w:val="10"/>
    <w:rsid w:val="00000067"/>
    <w:pPr>
      <w:ind w:firstLine="284"/>
    </w:pPr>
    <w:rPr>
      <w:b/>
    </w:rPr>
  </w:style>
  <w:style w:type="character" w:customStyle="1" w:styleId="Heading3Char">
    <w:name w:val="Heading 3 Char"/>
    <w:basedOn w:val="DefaultParagraphFont"/>
    <w:link w:val="Heading3"/>
    <w:uiPriority w:val="99"/>
    <w:semiHidden/>
    <w:rsid w:val="00000067"/>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000067"/>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464097"/>
    <w:rPr>
      <w:rFonts w:asciiTheme="majorHAnsi" w:eastAsiaTheme="majorEastAsia" w:hAnsiTheme="majorHAnsi" w:cstheme="majorBidi"/>
      <w:b/>
      <w:bCs/>
      <w:color w:val="808080"/>
    </w:rPr>
  </w:style>
  <w:style w:type="character" w:styleId="SubtleEmphasis">
    <w:name w:val="Subtle Emphasis"/>
    <w:uiPriority w:val="99"/>
    <w:semiHidden/>
    <w:qFormat/>
    <w:rsid w:val="00464097"/>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464097"/>
    <w:pPr>
      <w:keepNext/>
      <w:keepLines/>
      <w:spacing w:before="720" w:after="240"/>
      <w:outlineLvl w:val="0"/>
    </w:pPr>
    <w:rPr>
      <w:rFonts w:asciiTheme="majorHAnsi" w:hAnsiTheme="majorHAnsi"/>
      <w:sz w:val="28"/>
    </w:rPr>
  </w:style>
  <w:style w:type="character" w:styleId="Emphasis">
    <w:name w:val="Emphasis"/>
    <w:uiPriority w:val="99"/>
    <w:semiHidden/>
    <w:qFormat/>
    <w:rsid w:val="00464097"/>
    <w:rPr>
      <w:b/>
      <w:bCs/>
      <w:i/>
      <w:iCs/>
      <w:spacing w:val="10"/>
      <w:bdr w:val="none" w:sz="0" w:space="0" w:color="auto"/>
      <w:shd w:val="clear" w:color="auto" w:fill="auto"/>
    </w:rPr>
  </w:style>
  <w:style w:type="paragraph" w:styleId="Footer">
    <w:name w:val="footer"/>
    <w:basedOn w:val="Normal"/>
    <w:link w:val="FooterChar"/>
    <w:uiPriority w:val="57"/>
    <w:semiHidden/>
    <w:rsid w:val="00000067"/>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000067"/>
    <w:rPr>
      <w:sz w:val="24"/>
    </w:rPr>
  </w:style>
  <w:style w:type="character" w:styleId="FootnoteReference">
    <w:name w:val="footnote reference"/>
    <w:basedOn w:val="DefaultParagraphFont"/>
    <w:uiPriority w:val="99"/>
    <w:semiHidden/>
    <w:rsid w:val="00000067"/>
    <w:rPr>
      <w:vertAlign w:val="superscript"/>
    </w:rPr>
  </w:style>
  <w:style w:type="paragraph" w:styleId="FootnoteText">
    <w:name w:val="footnote text"/>
    <w:basedOn w:val="Normal"/>
    <w:link w:val="FootnoteTextChar"/>
    <w:uiPriority w:val="99"/>
    <w:semiHidden/>
    <w:rsid w:val="00000067"/>
    <w:rPr>
      <w:sz w:val="20"/>
      <w:szCs w:val="20"/>
    </w:rPr>
  </w:style>
  <w:style w:type="character" w:customStyle="1" w:styleId="FootnoteTextChar">
    <w:name w:val="Footnote Text Char"/>
    <w:basedOn w:val="DefaultParagraphFont"/>
    <w:link w:val="FootnoteText"/>
    <w:uiPriority w:val="99"/>
    <w:semiHidden/>
    <w:rsid w:val="00000067"/>
    <w:rPr>
      <w:rFonts w:eastAsiaTheme="minorEastAsia"/>
      <w:sz w:val="20"/>
      <w:szCs w:val="20"/>
    </w:rPr>
  </w:style>
  <w:style w:type="character" w:customStyle="1" w:styleId="Heading6Char">
    <w:name w:val="Heading 6 Char"/>
    <w:basedOn w:val="DefaultParagraphFont"/>
    <w:link w:val="Heading6"/>
    <w:uiPriority w:val="99"/>
    <w:semiHidden/>
    <w:rsid w:val="00000067"/>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464097"/>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464097"/>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464097"/>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000067"/>
    <w:rPr>
      <w:color w:val="0072BC" w:themeColor="hyperlink"/>
      <w:u w:val="single"/>
    </w:rPr>
  </w:style>
  <w:style w:type="character" w:styleId="IntenseEmphasis">
    <w:name w:val="Intense Emphasis"/>
    <w:uiPriority w:val="99"/>
    <w:semiHidden/>
    <w:qFormat/>
    <w:rsid w:val="00464097"/>
    <w:rPr>
      <w:b/>
      <w:bCs/>
    </w:rPr>
  </w:style>
  <w:style w:type="paragraph" w:styleId="IntenseQuote">
    <w:name w:val="Intense Quote"/>
    <w:basedOn w:val="Normal"/>
    <w:next w:val="Normal"/>
    <w:link w:val="IntenseQuoteChar"/>
    <w:uiPriority w:val="99"/>
    <w:semiHidden/>
    <w:qFormat/>
    <w:rsid w:val="00464097"/>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464097"/>
    <w:rPr>
      <w:rFonts w:eastAsiaTheme="minorEastAsia"/>
      <w:b/>
      <w:bCs/>
      <w:i/>
      <w:iCs/>
      <w:lang w:bidi="en-US"/>
    </w:rPr>
  </w:style>
  <w:style w:type="character" w:styleId="IntenseReference">
    <w:name w:val="Intense Reference"/>
    <w:uiPriority w:val="99"/>
    <w:semiHidden/>
    <w:qFormat/>
    <w:rsid w:val="00464097"/>
    <w:rPr>
      <w:smallCaps/>
      <w:spacing w:val="5"/>
      <w:u w:val="single"/>
    </w:rPr>
  </w:style>
  <w:style w:type="paragraph" w:styleId="ListParagraph">
    <w:name w:val="List Paragraph"/>
    <w:basedOn w:val="Normal"/>
    <w:uiPriority w:val="99"/>
    <w:semiHidden/>
    <w:qFormat/>
    <w:rsid w:val="00464097"/>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464097"/>
    <w:pPr>
      <w:spacing w:before="200"/>
      <w:ind w:left="360" w:right="360"/>
    </w:pPr>
    <w:rPr>
      <w:i/>
      <w:iCs/>
      <w:sz w:val="22"/>
      <w:lang w:bidi="en-US"/>
    </w:rPr>
  </w:style>
  <w:style w:type="character" w:customStyle="1" w:styleId="QuoteChar">
    <w:name w:val="Quote Char"/>
    <w:basedOn w:val="DefaultParagraphFont"/>
    <w:link w:val="Quote"/>
    <w:uiPriority w:val="99"/>
    <w:semiHidden/>
    <w:rsid w:val="00464097"/>
    <w:rPr>
      <w:rFonts w:eastAsiaTheme="minorEastAsia"/>
      <w:i/>
      <w:iCs/>
      <w:lang w:bidi="en-US"/>
    </w:rPr>
  </w:style>
  <w:style w:type="character" w:styleId="SubtleReference">
    <w:name w:val="Subtle Reference"/>
    <w:uiPriority w:val="99"/>
    <w:semiHidden/>
    <w:qFormat/>
    <w:rsid w:val="00464097"/>
    <w:rPr>
      <w:smallCaps/>
    </w:rPr>
  </w:style>
  <w:style w:type="table" w:styleId="TableGrid">
    <w:name w:val="Table Grid"/>
    <w:basedOn w:val="TableNormal"/>
    <w:uiPriority w:val="59"/>
    <w:semiHidden/>
    <w:rsid w:val="00000067"/>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000067"/>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000067"/>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000067"/>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000067"/>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000067"/>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464097"/>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000067"/>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uiPriority w:val="14"/>
    <w:qFormat/>
    <w:rsid w:val="00464097"/>
    <w:pPr>
      <w:spacing w:before="120" w:after="120"/>
      <w:ind w:left="425" w:firstLine="142"/>
    </w:pPr>
    <w:rPr>
      <w:sz w:val="20"/>
    </w:rPr>
  </w:style>
  <w:style w:type="paragraph" w:customStyle="1" w:styleId="ECHRPara">
    <w:name w:val="ECHR_Para"/>
    <w:aliases w:val="Ju_Para,Left,First line:  0 cm"/>
    <w:basedOn w:val="Normal"/>
    <w:link w:val="ECHRParaChar"/>
    <w:uiPriority w:val="12"/>
    <w:qFormat/>
    <w:rsid w:val="00464097"/>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000067"/>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464097"/>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464097"/>
    <w:pPr>
      <w:ind w:left="340" w:hanging="340"/>
    </w:pPr>
  </w:style>
  <w:style w:type="paragraph" w:customStyle="1" w:styleId="JuSigned">
    <w:name w:val="Ju_Signed"/>
    <w:basedOn w:val="Normal"/>
    <w:next w:val="JuParaLast"/>
    <w:uiPriority w:val="32"/>
    <w:qFormat/>
    <w:rsid w:val="00464097"/>
    <w:pPr>
      <w:tabs>
        <w:tab w:val="center" w:pos="851"/>
        <w:tab w:val="center" w:pos="6407"/>
      </w:tabs>
      <w:spacing w:before="720"/>
      <w:jc w:val="left"/>
    </w:pPr>
  </w:style>
  <w:style w:type="paragraph" w:customStyle="1" w:styleId="JuParaLast">
    <w:name w:val="Ju_Para_Last"/>
    <w:basedOn w:val="Normal"/>
    <w:next w:val="ECHRPara"/>
    <w:uiPriority w:val="30"/>
    <w:qFormat/>
    <w:rsid w:val="00464097"/>
    <w:pPr>
      <w:keepNext/>
      <w:keepLines/>
      <w:spacing w:before="240"/>
      <w:ind w:firstLine="284"/>
    </w:pPr>
  </w:style>
  <w:style w:type="paragraph" w:customStyle="1" w:styleId="JuCourt">
    <w:name w:val="Ju_Court"/>
    <w:basedOn w:val="Normal"/>
    <w:next w:val="Normal"/>
    <w:uiPriority w:val="16"/>
    <w:qFormat/>
    <w:rsid w:val="00464097"/>
    <w:pPr>
      <w:tabs>
        <w:tab w:val="left" w:pos="907"/>
        <w:tab w:val="left" w:pos="1701"/>
        <w:tab w:val="right" w:pos="7371"/>
      </w:tabs>
      <w:spacing w:before="240"/>
      <w:ind w:left="397" w:hanging="397"/>
      <w:jc w:val="left"/>
    </w:pPr>
    <w:rPr>
      <w:lang w:bidi="en-US"/>
    </w:rPr>
  </w:style>
  <w:style w:type="character" w:styleId="PageNumber">
    <w:name w:val="page number"/>
    <w:uiPriority w:val="99"/>
    <w:semiHidden/>
    <w:rsid w:val="00014566"/>
    <w:rPr>
      <w:sz w:val="18"/>
    </w:rPr>
  </w:style>
  <w:style w:type="paragraph" w:customStyle="1" w:styleId="JuLista">
    <w:name w:val="Ju_List_a"/>
    <w:basedOn w:val="JuList"/>
    <w:uiPriority w:val="28"/>
    <w:qFormat/>
    <w:rsid w:val="00464097"/>
    <w:pPr>
      <w:ind w:left="346" w:firstLine="0"/>
    </w:pPr>
  </w:style>
  <w:style w:type="paragraph" w:customStyle="1" w:styleId="JuListi">
    <w:name w:val="Ju_List_i"/>
    <w:basedOn w:val="Normal"/>
    <w:next w:val="JuLista"/>
    <w:uiPriority w:val="28"/>
    <w:qFormat/>
    <w:rsid w:val="00464097"/>
    <w:pPr>
      <w:ind w:left="794"/>
    </w:p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uiPriority w:val="99"/>
    <w:semiHidden/>
    <w:rsid w:val="00014566"/>
    <w:rPr>
      <w:sz w:val="20"/>
    </w:rPr>
  </w:style>
  <w:style w:type="character" w:customStyle="1" w:styleId="CommentTextChar">
    <w:name w:val="Comment Text Char"/>
    <w:basedOn w:val="DefaultParagraphFont"/>
    <w:link w:val="CommentText"/>
    <w:uiPriority w:val="99"/>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character" w:customStyle="1" w:styleId="JuNames0">
    <w:name w:val="Ju_Names"/>
    <w:rsid w:val="00014566"/>
    <w:rPr>
      <w:smallCaps/>
    </w:rPr>
  </w:style>
  <w:style w:type="paragraph" w:styleId="ListBullet">
    <w:name w:val="List Bullet"/>
    <w:basedOn w:val="Normal"/>
    <w:uiPriority w:val="99"/>
    <w:semiHidden/>
    <w:rsid w:val="00014566"/>
    <w:pPr>
      <w:numPr>
        <w:numId w:val="1"/>
      </w:numPr>
    </w:pPr>
  </w:style>
  <w:style w:type="character" w:customStyle="1" w:styleId="JuITMark">
    <w:name w:val="Ju_ITMark"/>
    <w:basedOn w:val="DefaultParagraphFont"/>
    <w:uiPriority w:val="38"/>
    <w:qFormat/>
    <w:rsid w:val="00464097"/>
    <w:rPr>
      <w:vanish w:val="0"/>
      <w:color w:val="auto"/>
      <w:sz w:val="14"/>
      <w:bdr w:val="none" w:sz="0" w:space="0" w:color="auto"/>
      <w:shd w:val="clear" w:color="auto" w:fill="BEE5FF" w:themeFill="background1" w:themeFillTint="33"/>
    </w:rPr>
  </w:style>
  <w:style w:type="paragraph" w:styleId="Subtitle">
    <w:name w:val="Subtitle"/>
    <w:basedOn w:val="Normal"/>
    <w:next w:val="Normal"/>
    <w:link w:val="SubtitleChar"/>
    <w:uiPriority w:val="99"/>
    <w:semiHidden/>
    <w:qFormat/>
    <w:rsid w:val="00464097"/>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464097"/>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000067"/>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00067"/>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000067"/>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OpiTranslation">
    <w:name w:val="Opi_Translation"/>
    <w:basedOn w:val="Normal"/>
    <w:next w:val="OpiPara"/>
    <w:uiPriority w:val="40"/>
    <w:qFormat/>
    <w:rsid w:val="00464097"/>
    <w:pPr>
      <w:jc w:val="center"/>
      <w:outlineLvl w:val="0"/>
    </w:pPr>
    <w:rPr>
      <w:i/>
    </w:rPr>
  </w:style>
  <w:style w:type="paragraph" w:customStyle="1" w:styleId="DecHTitle">
    <w:name w:val="Dec_H_Title"/>
    <w:basedOn w:val="ECHRTitleCentre1"/>
    <w:uiPriority w:val="7"/>
    <w:qFormat/>
    <w:rsid w:val="00464097"/>
  </w:style>
  <w:style w:type="paragraph" w:customStyle="1" w:styleId="DecList">
    <w:name w:val="Dec_List"/>
    <w:basedOn w:val="Normal"/>
    <w:uiPriority w:val="9"/>
    <w:qFormat/>
    <w:rsid w:val="00464097"/>
    <w:pPr>
      <w:spacing w:before="240"/>
      <w:ind w:left="284"/>
    </w:pPr>
  </w:style>
  <w:style w:type="paragraph" w:customStyle="1" w:styleId="OpiH1">
    <w:name w:val="Opi_H_1"/>
    <w:basedOn w:val="ECHRHeading2"/>
    <w:uiPriority w:val="42"/>
    <w:qFormat/>
    <w:rsid w:val="00464097"/>
    <w:pPr>
      <w:ind w:left="635" w:hanging="357"/>
      <w:outlineLvl w:val="2"/>
    </w:pPr>
  </w:style>
  <w:style w:type="paragraph" w:customStyle="1" w:styleId="OpiHa0">
    <w:name w:val="Opi_H_a"/>
    <w:basedOn w:val="ECHRHeading3"/>
    <w:uiPriority w:val="43"/>
    <w:qFormat/>
    <w:rsid w:val="00464097"/>
    <w:pPr>
      <w:ind w:left="833" w:hanging="357"/>
      <w:outlineLvl w:val="3"/>
    </w:pPr>
    <w:rPr>
      <w:b/>
      <w:i w:val="0"/>
      <w:sz w:val="20"/>
    </w:rPr>
  </w:style>
  <w:style w:type="paragraph" w:customStyle="1" w:styleId="OpiHi">
    <w:name w:val="Opi_H_i"/>
    <w:basedOn w:val="ECHRHeading4"/>
    <w:uiPriority w:val="44"/>
    <w:qFormat/>
    <w:rsid w:val="00464097"/>
    <w:pPr>
      <w:ind w:left="1037" w:hanging="357"/>
      <w:outlineLvl w:val="4"/>
    </w:pPr>
    <w:rPr>
      <w:b w:val="0"/>
      <w:i/>
    </w:rPr>
  </w:style>
  <w:style w:type="paragraph" w:customStyle="1" w:styleId="DummyStyle">
    <w:name w:val="Dummy_Style"/>
    <w:basedOn w:val="Normal"/>
    <w:semiHidden/>
    <w:qFormat/>
    <w:rsid w:val="00464097"/>
    <w:rPr>
      <w:color w:val="00B050"/>
    </w:rPr>
  </w:style>
  <w:style w:type="paragraph" w:customStyle="1" w:styleId="JuHeaderLandscape">
    <w:name w:val="Ju_Header_Landscape"/>
    <w:basedOn w:val="ECHRHeader"/>
    <w:uiPriority w:val="4"/>
    <w:qFormat/>
    <w:rsid w:val="00464097"/>
    <w:pPr>
      <w:tabs>
        <w:tab w:val="clear" w:pos="3686"/>
        <w:tab w:val="clear" w:pos="7371"/>
        <w:tab w:val="center" w:pos="6146"/>
        <w:tab w:val="right" w:pos="12293"/>
      </w:tabs>
    </w:pPr>
  </w:style>
  <w:style w:type="character" w:customStyle="1" w:styleId="ECHRParaChar">
    <w:name w:val="ECHR_Para Char"/>
    <w:aliases w:val="Ju_Para Char"/>
    <w:basedOn w:val="DefaultParagraphFont"/>
    <w:link w:val="ECHRPara"/>
    <w:uiPriority w:val="12"/>
    <w:rsid w:val="005106DE"/>
    <w:rPr>
      <w:rFonts w:eastAsiaTheme="minorEastAsia"/>
      <w:sz w:val="24"/>
    </w:rPr>
  </w:style>
  <w:style w:type="character" w:customStyle="1" w:styleId="JuParaCar">
    <w:name w:val="Ju_Para Car"/>
    <w:rsid w:val="002D142A"/>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01400">
      <w:bodyDiv w:val="1"/>
      <w:marLeft w:val="0"/>
      <w:marRight w:val="0"/>
      <w:marTop w:val="0"/>
      <w:marBottom w:val="0"/>
      <w:divBdr>
        <w:top w:val="none" w:sz="0" w:space="0" w:color="auto"/>
        <w:left w:val="none" w:sz="0" w:space="0" w:color="auto"/>
        <w:bottom w:val="none" w:sz="0" w:space="0" w:color="auto"/>
        <w:right w:val="none" w:sz="0" w:space="0" w:color="auto"/>
      </w:divBdr>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CDEB76-8D83-4D92-957C-FDE15DF00664}"/>
</file>

<file path=customXml/itemProps2.xml><?xml version="1.0" encoding="utf-8"?>
<ds:datastoreItem xmlns:ds="http://schemas.openxmlformats.org/officeDocument/2006/customXml" ds:itemID="{45B47F20-A19C-447C-A131-A92AEE97B965}"/>
</file>

<file path=customXml/itemProps3.xml><?xml version="1.0" encoding="utf-8"?>
<ds:datastoreItem xmlns:ds="http://schemas.openxmlformats.org/officeDocument/2006/customXml" ds:itemID="{6AE686BA-7388-4181-8736-E0BA0F24BF12}"/>
</file>

<file path=customXml/itemProps4.xml><?xml version="1.0" encoding="utf-8"?>
<ds:datastoreItem xmlns:ds="http://schemas.openxmlformats.org/officeDocument/2006/customXml" ds:itemID="{0B0C7696-6989-45E6-82C8-94DC77A025B0}"/>
</file>

<file path=docProps/app.xml><?xml version="1.0" encoding="utf-8"?>
<Properties xmlns="http://schemas.openxmlformats.org/officeDocument/2006/extended-properties" xmlns:vt="http://schemas.openxmlformats.org/officeDocument/2006/docPropsVTypes">
  <Template>Normal.dotm</Template>
  <TotalTime>0</TotalTime>
  <Pages>1</Pages>
  <Words>3558</Words>
  <Characters>20285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lastModifiedBy/>
  <cp:revision>1</cp:revision>
  <dcterms:created xsi:type="dcterms:W3CDTF">2018-01-09T14:25:00Z</dcterms:created>
  <dcterms:modified xsi:type="dcterms:W3CDTF">2018-01-09T14:25:00Z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RegisteredNo">
    <vt:lpwstr>3534/06</vt:lpwstr>
  </property>
  <property fmtid="{D5CDD505-2E9C-101B-9397-08002B2CF9AE}" pid="4" name="CASEID">
    <vt:lpwstr>379697</vt:lpwstr>
  </property>
  <property fmtid="{D5CDD505-2E9C-101B-9397-08002B2CF9AE}" pid="5" name="ContentTypeId">
    <vt:lpwstr>0x010100558EB02BDB9E204AB350EDD385B68E10</vt:lpwstr>
  </property>
</Properties>
</file>