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BF3585" w:rsidR="0098410D" w:rsidP="00BF3585" w:rsidRDefault="0098410D">
      <w:pPr>
        <w:jc w:val="center"/>
        <w:rPr>
          <w:lang w:val="en-GB"/>
        </w:rPr>
      </w:pPr>
      <w:bookmarkStart w:name="_GoBack" w:id="0"/>
      <w:bookmarkEnd w:id="0"/>
    </w:p>
    <w:p w:rsidRPr="00BF3585" w:rsidR="0098410D" w:rsidP="00BF3585" w:rsidRDefault="0098410D">
      <w:pPr>
        <w:jc w:val="center"/>
        <w:rPr>
          <w:lang w:val="en-GB"/>
        </w:rPr>
      </w:pPr>
    </w:p>
    <w:p w:rsidRPr="00BF3585" w:rsidR="00B17470" w:rsidP="00BF3585" w:rsidRDefault="00B17470">
      <w:pPr>
        <w:jc w:val="center"/>
        <w:rPr>
          <w:lang w:val="en-GB"/>
        </w:rPr>
      </w:pPr>
    </w:p>
    <w:p w:rsidRPr="00BF3585" w:rsidR="0098410D" w:rsidP="00BF3585" w:rsidRDefault="003576DF">
      <w:pPr>
        <w:tabs>
          <w:tab w:val="left" w:pos="5529"/>
        </w:tabs>
        <w:jc w:val="center"/>
        <w:rPr>
          <w:lang w:val="en-GB"/>
        </w:rPr>
      </w:pPr>
      <w:r w:rsidRPr="00BF3585">
        <w:rPr>
          <w:lang w:val="en-GB"/>
        </w:rPr>
        <w:t>THIRD SECTION</w:t>
      </w:r>
    </w:p>
    <w:p w:rsidRPr="00BF3585" w:rsidR="0098410D" w:rsidP="00BF3585" w:rsidRDefault="0098410D">
      <w:pPr>
        <w:jc w:val="center"/>
        <w:rPr>
          <w:lang w:val="en-GB"/>
        </w:rPr>
      </w:pPr>
    </w:p>
    <w:p w:rsidRPr="00BF3585" w:rsidR="0098410D" w:rsidP="00BF3585" w:rsidRDefault="0098410D">
      <w:pPr>
        <w:jc w:val="center"/>
        <w:rPr>
          <w:lang w:val="en-GB"/>
        </w:rPr>
      </w:pPr>
    </w:p>
    <w:p w:rsidRPr="00BF3585" w:rsidR="0098410D" w:rsidP="00BF3585" w:rsidRDefault="0098410D">
      <w:pPr>
        <w:jc w:val="center"/>
        <w:rPr>
          <w:lang w:val="en-GB"/>
        </w:rPr>
      </w:pPr>
    </w:p>
    <w:p w:rsidRPr="00BF3585" w:rsidR="0098410D" w:rsidP="00BF3585" w:rsidRDefault="0098410D">
      <w:pPr>
        <w:jc w:val="right"/>
        <w:rPr>
          <w:lang w:val="en-GB"/>
        </w:rPr>
      </w:pPr>
    </w:p>
    <w:p w:rsidRPr="00BF3585" w:rsidR="00B17470" w:rsidP="00BF3585" w:rsidRDefault="00B17470">
      <w:pPr>
        <w:jc w:val="right"/>
        <w:rPr>
          <w:lang w:val="en-GB"/>
        </w:rPr>
      </w:pPr>
    </w:p>
    <w:p w:rsidRPr="00BF3585" w:rsidR="0098410D" w:rsidP="00BF3585" w:rsidRDefault="0098410D">
      <w:pPr>
        <w:jc w:val="center"/>
        <w:rPr>
          <w:lang w:val="en-GB"/>
        </w:rPr>
      </w:pPr>
    </w:p>
    <w:p w:rsidRPr="00BF3585" w:rsidR="0098410D" w:rsidP="00BF3585" w:rsidRDefault="0098410D">
      <w:pPr>
        <w:jc w:val="center"/>
        <w:outlineLvl w:val="0"/>
        <w:rPr>
          <w:b/>
          <w:lang w:val="en-GB"/>
        </w:rPr>
      </w:pPr>
      <w:r w:rsidRPr="00BF3585">
        <w:rPr>
          <w:b/>
          <w:lang w:val="en-GB"/>
        </w:rPr>
        <w:t xml:space="preserve">CASE </w:t>
      </w:r>
      <w:r w:rsidRPr="00BF3585" w:rsidR="00B17470">
        <w:rPr>
          <w:b/>
          <w:lang w:val="en-GB"/>
        </w:rPr>
        <w:t xml:space="preserve">OF </w:t>
      </w:r>
      <w:r w:rsidRPr="00BF3585" w:rsidR="003576DF">
        <w:rPr>
          <w:b/>
          <w:lang w:val="en-GB"/>
        </w:rPr>
        <w:t>M v. THE NETHERLANDS</w:t>
      </w:r>
    </w:p>
    <w:p w:rsidRPr="00BF3585" w:rsidR="0098410D" w:rsidP="00BF3585" w:rsidRDefault="0098410D">
      <w:pPr>
        <w:jc w:val="right"/>
        <w:rPr>
          <w:lang w:val="en-GB"/>
        </w:rPr>
      </w:pPr>
    </w:p>
    <w:p w:rsidRPr="00BF3585" w:rsidR="0098410D" w:rsidP="00BF3585" w:rsidRDefault="0098410D">
      <w:pPr>
        <w:jc w:val="center"/>
        <w:rPr>
          <w:i/>
          <w:lang w:val="en-GB"/>
        </w:rPr>
      </w:pPr>
      <w:r w:rsidRPr="00BF3585">
        <w:rPr>
          <w:i/>
          <w:lang w:val="en-GB"/>
        </w:rPr>
        <w:t xml:space="preserve">(Application no. </w:t>
      </w:r>
      <w:r w:rsidRPr="00BF3585" w:rsidR="003576DF">
        <w:rPr>
          <w:i/>
          <w:lang w:val="en-GB"/>
        </w:rPr>
        <w:t>2156/10</w:t>
      </w:r>
      <w:r w:rsidRPr="00BF3585">
        <w:rPr>
          <w:i/>
          <w:lang w:val="en-GB"/>
        </w:rPr>
        <w:t>)</w:t>
      </w:r>
    </w:p>
    <w:p w:rsidRPr="00BF3585" w:rsidR="0098410D" w:rsidP="00BF3585" w:rsidRDefault="0098410D">
      <w:pPr>
        <w:jc w:val="center"/>
        <w:rPr>
          <w:lang w:val="en-GB"/>
        </w:rPr>
      </w:pPr>
    </w:p>
    <w:p w:rsidRPr="00BF3585" w:rsidR="0098410D" w:rsidP="00BF3585" w:rsidRDefault="0098410D">
      <w:pPr>
        <w:jc w:val="center"/>
        <w:rPr>
          <w:lang w:val="en-GB"/>
        </w:rPr>
      </w:pPr>
    </w:p>
    <w:p w:rsidRPr="00BF3585" w:rsidR="0098410D" w:rsidP="00BF3585" w:rsidRDefault="0098410D">
      <w:pPr>
        <w:jc w:val="center"/>
        <w:rPr>
          <w:lang w:val="en-GB"/>
        </w:rPr>
      </w:pPr>
    </w:p>
    <w:p w:rsidRPr="00BF3585" w:rsidR="0098410D" w:rsidP="00BF3585" w:rsidRDefault="0098410D">
      <w:pPr>
        <w:jc w:val="center"/>
        <w:rPr>
          <w:lang w:val="en-GB"/>
        </w:rPr>
      </w:pPr>
    </w:p>
    <w:p w:rsidRPr="00BF3585" w:rsidR="00B17470" w:rsidP="00BF3585" w:rsidRDefault="00B17470">
      <w:pPr>
        <w:jc w:val="center"/>
        <w:rPr>
          <w:lang w:val="en-GB"/>
        </w:rPr>
      </w:pPr>
    </w:p>
    <w:p w:rsidRPr="00BF3585" w:rsidR="00B17470" w:rsidP="00BF3585" w:rsidRDefault="00B17470">
      <w:pPr>
        <w:jc w:val="center"/>
        <w:rPr>
          <w:lang w:val="en-GB"/>
        </w:rPr>
      </w:pPr>
    </w:p>
    <w:p w:rsidRPr="00BF3585" w:rsidR="00B17470" w:rsidP="00BF3585" w:rsidRDefault="00B17470">
      <w:pPr>
        <w:jc w:val="center"/>
        <w:rPr>
          <w:lang w:val="en-GB"/>
        </w:rPr>
      </w:pPr>
    </w:p>
    <w:p w:rsidRPr="00BF3585" w:rsidR="00B17470" w:rsidP="00BF3585" w:rsidRDefault="00B17470">
      <w:pPr>
        <w:jc w:val="center"/>
        <w:rPr>
          <w:lang w:val="en-GB"/>
        </w:rPr>
      </w:pPr>
    </w:p>
    <w:p w:rsidRPr="00BF3585" w:rsidR="0098410D" w:rsidP="00BF3585" w:rsidRDefault="0098410D">
      <w:pPr>
        <w:jc w:val="center"/>
        <w:rPr>
          <w:lang w:val="en-GB"/>
        </w:rPr>
      </w:pPr>
    </w:p>
    <w:p w:rsidRPr="00BF3585" w:rsidR="0098410D" w:rsidP="00BF3585" w:rsidRDefault="0098410D">
      <w:pPr>
        <w:jc w:val="center"/>
        <w:outlineLvl w:val="0"/>
        <w:rPr>
          <w:lang w:val="en-GB"/>
        </w:rPr>
      </w:pPr>
      <w:r w:rsidRPr="00BF3585">
        <w:rPr>
          <w:lang w:val="en-GB"/>
        </w:rPr>
        <w:t>JUDGMENT</w:t>
      </w:r>
    </w:p>
    <w:p w:rsidRPr="00BF3585" w:rsidR="0098410D" w:rsidP="00BF3585" w:rsidRDefault="0098410D">
      <w:pPr>
        <w:jc w:val="center"/>
        <w:rPr>
          <w:lang w:val="en-GB"/>
        </w:rPr>
      </w:pPr>
    </w:p>
    <w:p w:rsidRPr="00BF3585" w:rsidR="0098410D" w:rsidP="00BF3585" w:rsidRDefault="0098410D">
      <w:pPr>
        <w:jc w:val="center"/>
        <w:rPr>
          <w:i/>
          <w:lang w:val="en-GB"/>
        </w:rPr>
      </w:pPr>
    </w:p>
    <w:p w:rsidRPr="00BF3585" w:rsidR="0098410D" w:rsidP="00BF3585" w:rsidRDefault="0098410D">
      <w:pPr>
        <w:jc w:val="center"/>
        <w:outlineLvl w:val="0"/>
        <w:rPr>
          <w:lang w:val="en-GB"/>
        </w:rPr>
      </w:pPr>
      <w:r w:rsidRPr="00BF3585">
        <w:rPr>
          <w:lang w:val="en-GB"/>
        </w:rPr>
        <w:t>STRASBOURG</w:t>
      </w:r>
    </w:p>
    <w:p w:rsidRPr="00BF3585" w:rsidR="0098410D" w:rsidP="00BF3585" w:rsidRDefault="0098410D">
      <w:pPr>
        <w:jc w:val="center"/>
        <w:rPr>
          <w:lang w:val="en-GB"/>
        </w:rPr>
      </w:pPr>
    </w:p>
    <w:p w:rsidRPr="00BF3585" w:rsidR="0098410D" w:rsidP="00BF3585" w:rsidRDefault="003576DF">
      <w:pPr>
        <w:jc w:val="center"/>
        <w:rPr>
          <w:lang w:val="en-GB"/>
        </w:rPr>
      </w:pPr>
      <w:r w:rsidRPr="00BF3585">
        <w:rPr>
          <w:lang w:val="en-GB"/>
        </w:rPr>
        <w:t>25 July 2017</w:t>
      </w:r>
    </w:p>
    <w:p w:rsidRPr="00BF3585" w:rsidR="0098410D" w:rsidP="00BF3585" w:rsidRDefault="0098410D">
      <w:pPr>
        <w:jc w:val="center"/>
        <w:rPr>
          <w:lang w:val="en-GB"/>
        </w:rPr>
      </w:pPr>
    </w:p>
    <w:p w:rsidRPr="00BF3585" w:rsidR="0098410D" w:rsidP="00BF3585" w:rsidRDefault="0098410D">
      <w:pPr>
        <w:jc w:val="center"/>
        <w:rPr>
          <w:lang w:val="en-GB"/>
        </w:rPr>
      </w:pPr>
    </w:p>
    <w:p w:rsidRPr="00BF3585" w:rsidR="00BF3585" w:rsidP="00BF3585" w:rsidRDefault="00BF3585">
      <w:pPr>
        <w:pStyle w:val="jucase0"/>
        <w:ind w:firstLine="0"/>
        <w:jc w:val="center"/>
        <w:rPr>
          <w:color w:val="FF0000"/>
          <w:sz w:val="28"/>
          <w:szCs w:val="28"/>
          <w:u w:val="single"/>
        </w:rPr>
      </w:pPr>
      <w:r w:rsidRPr="00BF3585">
        <w:rPr>
          <w:color w:val="FF0000"/>
          <w:sz w:val="28"/>
          <w:szCs w:val="28"/>
          <w:u w:val="single"/>
        </w:rPr>
        <w:t>FINAL</w:t>
      </w:r>
    </w:p>
    <w:p w:rsidRPr="00BF3585" w:rsidR="00BF3585" w:rsidP="00BF3585" w:rsidRDefault="00BF3585">
      <w:pPr>
        <w:pStyle w:val="jupara"/>
        <w:tabs>
          <w:tab w:val="left" w:pos="4650"/>
        </w:tabs>
        <w:ind w:firstLine="0"/>
        <w:jc w:val="center"/>
        <w:rPr>
          <w:color w:val="FF0000"/>
          <w:sz w:val="28"/>
          <w:szCs w:val="28"/>
        </w:rPr>
      </w:pPr>
    </w:p>
    <w:p w:rsidRPr="00BF3585" w:rsidR="00BF3585" w:rsidP="00BF3585" w:rsidRDefault="00BF3585">
      <w:pPr>
        <w:pStyle w:val="jupara"/>
        <w:ind w:firstLine="0"/>
        <w:jc w:val="center"/>
        <w:rPr>
          <w:color w:val="FF0000"/>
          <w:sz w:val="28"/>
          <w:szCs w:val="28"/>
        </w:rPr>
      </w:pPr>
      <w:r w:rsidRPr="00BF3585">
        <w:rPr>
          <w:color w:val="FF0000"/>
          <w:sz w:val="28"/>
          <w:szCs w:val="28"/>
        </w:rPr>
        <w:t>25/10/2017</w:t>
      </w:r>
    </w:p>
    <w:p w:rsidRPr="00BF3585" w:rsidR="00BF3585" w:rsidP="00BF3585" w:rsidRDefault="00BF3585">
      <w:pPr>
        <w:pStyle w:val="jupara"/>
        <w:ind w:firstLine="0"/>
        <w:jc w:val="center"/>
      </w:pPr>
    </w:p>
    <w:p w:rsidRPr="00BF3585" w:rsidR="0098410D" w:rsidP="00BF3585" w:rsidRDefault="00BF3585">
      <w:pPr>
        <w:jc w:val="center"/>
        <w:rPr>
          <w:lang w:val="en-GB"/>
        </w:rPr>
        <w:sectPr w:rsidRPr="00BF3585" w:rsidR="0098410D">
          <w:headerReference w:type="default" r:id="rId8"/>
          <w:footerReference w:type="default" r:id="rId9"/>
          <w:headerReference w:type="first" r:id="rId10"/>
          <w:footnotePr>
            <w:numRestart w:val="eachSect"/>
          </w:footnotePr>
          <w:pgSz w:w="11906" w:h="16838" w:code="9"/>
          <w:pgMar w:top="2274" w:right="2274" w:bottom="2274" w:left="2274" w:header="1701" w:footer="720" w:gutter="0"/>
          <w:pgNumType w:start="1"/>
          <w:cols w:space="720"/>
          <w:noEndnote/>
        </w:sectPr>
      </w:pPr>
      <w:r w:rsidRPr="00BF3585">
        <w:rPr>
          <w:i/>
          <w:iCs/>
          <w:sz w:val="22"/>
        </w:rPr>
        <w:t>This judgment has become final under Article 44 § 2 of the Convention. It may be subject to editorial revision.</w:t>
      </w:r>
    </w:p>
    <w:p w:rsidRPr="00BF3585" w:rsidR="0098410D" w:rsidP="00BF3585" w:rsidRDefault="0098410D">
      <w:pPr>
        <w:pStyle w:val="JuCase"/>
        <w:rPr>
          <w:lang w:val="en-GB"/>
        </w:rPr>
      </w:pPr>
      <w:r w:rsidRPr="00BF3585">
        <w:rPr>
          <w:lang w:val="en-GB"/>
        </w:rPr>
        <w:t xml:space="preserve">In the case </w:t>
      </w:r>
      <w:r w:rsidRPr="00BF3585" w:rsidR="00B17470">
        <w:rPr>
          <w:lang w:val="en-GB"/>
        </w:rPr>
        <w:t xml:space="preserve">of </w:t>
      </w:r>
      <w:r w:rsidRPr="00BF3585" w:rsidR="003576DF">
        <w:rPr>
          <w:lang w:val="en-GB"/>
        </w:rPr>
        <w:t>M v. the Netherlands</w:t>
      </w:r>
      <w:r w:rsidRPr="00BF3585">
        <w:rPr>
          <w:lang w:val="en-GB"/>
        </w:rPr>
        <w:t>,</w:t>
      </w:r>
    </w:p>
    <w:p w:rsidRPr="00BF3585" w:rsidR="00C6083D" w:rsidP="00BF3585" w:rsidRDefault="00C6083D">
      <w:pPr>
        <w:pStyle w:val="ECHRPara"/>
        <w:rPr>
          <w:lang w:val="en-GB"/>
        </w:rPr>
      </w:pPr>
      <w:r w:rsidRPr="00BF3585">
        <w:rPr>
          <w:lang w:val="en-GB"/>
        </w:rPr>
        <w:t>The Europe</w:t>
      </w:r>
      <w:r w:rsidRPr="00BF3585" w:rsidR="00B17470">
        <w:rPr>
          <w:lang w:val="en-GB"/>
        </w:rPr>
        <w:t xml:space="preserve">an </w:t>
      </w:r>
      <w:r w:rsidRPr="00BF3585">
        <w:rPr>
          <w:lang w:val="en-GB"/>
        </w:rPr>
        <w:t xml:space="preserve">Court </w:t>
      </w:r>
      <w:r w:rsidRPr="00BF3585" w:rsidR="00B17470">
        <w:rPr>
          <w:lang w:val="en-GB"/>
        </w:rPr>
        <w:t xml:space="preserve">of </w:t>
      </w:r>
      <w:r w:rsidRPr="00BF3585">
        <w:rPr>
          <w:lang w:val="en-GB"/>
        </w:rPr>
        <w:t>Hum</w:t>
      </w:r>
      <w:r w:rsidRPr="00BF3585" w:rsidR="00B17470">
        <w:rPr>
          <w:lang w:val="en-GB"/>
        </w:rPr>
        <w:t xml:space="preserve">an </w:t>
      </w:r>
      <w:r w:rsidRPr="00BF3585">
        <w:rPr>
          <w:lang w:val="en-GB"/>
        </w:rPr>
        <w:t>Rights (Third Section</w:t>
      </w:r>
      <w:r w:rsidRPr="00BF3585" w:rsidR="003336F4">
        <w:rPr>
          <w:lang w:val="en-GB"/>
        </w:rPr>
        <w:t xml:space="preserve">), sitting as </w:t>
      </w:r>
      <w:r w:rsidRPr="00BF3585" w:rsidR="00B17470">
        <w:rPr>
          <w:lang w:val="en-GB"/>
        </w:rPr>
        <w:t xml:space="preserve">a </w:t>
      </w:r>
      <w:r w:rsidRPr="00BF3585">
        <w:rPr>
          <w:lang w:val="en-GB"/>
        </w:rPr>
        <w:t>Chamber composed of:</w:t>
      </w:r>
    </w:p>
    <w:p w:rsidRPr="00BF3585" w:rsidR="00C6083D" w:rsidP="00BF3585" w:rsidRDefault="00C6083D">
      <w:pPr>
        <w:pStyle w:val="ECHRDecisionBody"/>
        <w:rPr>
          <w:lang w:val="en-GB"/>
        </w:rPr>
      </w:pPr>
      <w:r w:rsidRPr="00BF3585">
        <w:tab/>
        <w:t>Helen</w:t>
      </w:r>
      <w:r w:rsidRPr="00BF3585" w:rsidR="00B17470">
        <w:t xml:space="preserve">a </w:t>
      </w:r>
      <w:r w:rsidRPr="00BF3585">
        <w:t>Jäderblom,</w:t>
      </w:r>
      <w:r w:rsidRPr="00BF3585">
        <w:rPr>
          <w:i/>
        </w:rPr>
        <w:t xml:space="preserve"> President,</w:t>
      </w:r>
      <w:r w:rsidRPr="00BF3585">
        <w:rPr>
          <w:i/>
        </w:rPr>
        <w:br/>
      </w:r>
      <w:r w:rsidRPr="00BF3585">
        <w:tab/>
        <w:t>Branko Lubarda,</w:t>
      </w:r>
      <w:r w:rsidRPr="00BF3585">
        <w:rPr>
          <w:i/>
        </w:rPr>
        <w:br/>
      </w:r>
      <w:r w:rsidRPr="00BF3585">
        <w:tab/>
        <w:t>Luis López Guerra,</w:t>
      </w:r>
      <w:r w:rsidRPr="00BF3585">
        <w:rPr>
          <w:i/>
        </w:rPr>
        <w:br/>
      </w:r>
      <w:r w:rsidRPr="00BF3585">
        <w:tab/>
        <w:t>Helen Keller,</w:t>
      </w:r>
      <w:r w:rsidRPr="00BF3585">
        <w:rPr>
          <w:i/>
        </w:rPr>
        <w:br/>
      </w:r>
      <w:r w:rsidRPr="00BF3585">
        <w:tab/>
        <w:t>Pere Pastor Vilanova,</w:t>
      </w:r>
      <w:r w:rsidRPr="00BF3585">
        <w:rPr>
          <w:i/>
        </w:rPr>
        <w:br/>
      </w:r>
      <w:r w:rsidRPr="00BF3585">
        <w:tab/>
        <w:t>Alen</w:t>
      </w:r>
      <w:r w:rsidRPr="00BF3585" w:rsidR="00B17470">
        <w:t xml:space="preserve">a </w:t>
      </w:r>
      <w:r w:rsidRPr="00BF3585">
        <w:t>Poláčková,</w:t>
      </w:r>
      <w:r w:rsidRPr="00BF3585">
        <w:rPr>
          <w:i/>
        </w:rPr>
        <w:t xml:space="preserve"> judges,</w:t>
      </w:r>
      <w:r w:rsidRPr="00BF3585">
        <w:rPr>
          <w:i/>
        </w:rPr>
        <w:br/>
      </w:r>
      <w:r w:rsidRPr="00BF3585">
        <w:tab/>
        <w:t>Egbert Myjer,</w:t>
      </w:r>
      <w:r w:rsidRPr="00BF3585">
        <w:rPr>
          <w:i/>
        </w:rPr>
        <w:t xml:space="preserve"> </w:t>
      </w:r>
      <w:r w:rsidRPr="00BF3585">
        <w:t>ad hoc</w:t>
      </w:r>
      <w:r w:rsidRPr="00BF3585">
        <w:rPr>
          <w:i/>
        </w:rPr>
        <w:t xml:space="preserve"> judge,</w:t>
      </w:r>
      <w:r w:rsidRPr="00BF3585">
        <w:rPr>
          <w:i/>
        </w:rPr>
        <w:br/>
      </w:r>
      <w:r w:rsidRPr="00BF3585">
        <w:rPr>
          <w:lang w:val="en-GB"/>
        </w:rPr>
        <w:t xml:space="preserve">and </w:t>
      </w:r>
      <w:r w:rsidRPr="00BF3585" w:rsidR="006F0C90">
        <w:t>Fatoş Aracı</w:t>
      </w:r>
      <w:r w:rsidRPr="00BF3585">
        <w:rPr>
          <w:lang w:val="en-GB"/>
        </w:rPr>
        <w:t xml:space="preserve">, </w:t>
      </w:r>
      <w:r w:rsidRPr="00BF3585" w:rsidR="006F0C90">
        <w:rPr>
          <w:i/>
        </w:rPr>
        <w:t>Deputy</w:t>
      </w:r>
      <w:r w:rsidRPr="00BF3585" w:rsidR="006F0C90">
        <w:rPr>
          <w:i/>
          <w:lang w:val="en-GB"/>
        </w:rPr>
        <w:t xml:space="preserve"> </w:t>
      </w:r>
      <w:r w:rsidRPr="00BF3585">
        <w:rPr>
          <w:i/>
          <w:lang w:val="en-GB"/>
        </w:rPr>
        <w:t xml:space="preserve">Section </w:t>
      </w:r>
      <w:r w:rsidRPr="00BF3585">
        <w:rPr>
          <w:i/>
          <w:iCs/>
          <w:lang w:val="en-GB"/>
        </w:rPr>
        <w:t>Registrar</w:t>
      </w:r>
      <w:r w:rsidRPr="00BF3585">
        <w:rPr>
          <w:i/>
          <w:lang w:val="en-GB"/>
        </w:rPr>
        <w:t>,</w:t>
      </w:r>
    </w:p>
    <w:p w:rsidRPr="00BF3585" w:rsidR="00C6083D" w:rsidP="00BF3585" w:rsidRDefault="00C6083D">
      <w:pPr>
        <w:pStyle w:val="ECHRPara"/>
        <w:rPr>
          <w:lang w:val="en-GB"/>
        </w:rPr>
      </w:pPr>
      <w:r w:rsidRPr="00BF3585">
        <w:rPr>
          <w:lang w:val="en-GB"/>
        </w:rPr>
        <w:t>Having deliberated in private on 4 July 2017,</w:t>
      </w:r>
    </w:p>
    <w:p w:rsidRPr="00BF3585" w:rsidR="00C6083D" w:rsidP="00BF3585" w:rsidRDefault="00C6083D">
      <w:pPr>
        <w:pStyle w:val="ECHRPara"/>
        <w:rPr>
          <w:lang w:val="en-GB"/>
        </w:rPr>
      </w:pPr>
      <w:r w:rsidRPr="00BF3585">
        <w:rPr>
          <w:lang w:val="en-GB"/>
        </w:rPr>
        <w:t>Delivers the following judgment, which was adopted on that date:</w:t>
      </w:r>
    </w:p>
    <w:p w:rsidRPr="00BF3585" w:rsidR="00C6083D" w:rsidP="00BF3585" w:rsidRDefault="00C6083D">
      <w:pPr>
        <w:pStyle w:val="ECHRTitle1"/>
        <w:rPr>
          <w:lang w:val="en-GB"/>
        </w:rPr>
      </w:pPr>
      <w:r w:rsidRPr="00BF3585">
        <w:rPr>
          <w:lang w:val="en-GB"/>
        </w:rPr>
        <w:t>PROCEDURE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w:t>
      </w:r>
      <w:r w:rsidRPr="00BF3585">
        <w:rPr>
          <w:lang w:val="en-GB"/>
        </w:rPr>
        <w:fldChar w:fldCharType="end"/>
      </w:r>
      <w:r w:rsidRPr="00BF3585">
        <w:rPr>
          <w:lang w:val="en-GB"/>
        </w:rPr>
        <w:t xml:space="preserve">.  The case originated in </w:t>
      </w:r>
      <w:r w:rsidRPr="00BF3585" w:rsidR="00B17470">
        <w:rPr>
          <w:lang w:val="en-GB"/>
        </w:rPr>
        <w:t xml:space="preserve">an </w:t>
      </w:r>
      <w:r w:rsidRPr="00BF3585">
        <w:rPr>
          <w:lang w:val="en-GB"/>
        </w:rPr>
        <w:t xml:space="preserve">application (no. 2156/10) against the Kingdom </w:t>
      </w:r>
      <w:r w:rsidRPr="00BF3585" w:rsidR="00B17470">
        <w:rPr>
          <w:lang w:val="en-GB"/>
        </w:rPr>
        <w:t xml:space="preserve">of </w:t>
      </w:r>
      <w:r w:rsidRPr="00BF3585">
        <w:rPr>
          <w:lang w:val="en-GB"/>
        </w:rPr>
        <w:t xml:space="preserve">the Netherlands lodged with the Court under Article 34 </w:t>
      </w:r>
      <w:r w:rsidRPr="00BF3585" w:rsidR="00B17470">
        <w:rPr>
          <w:lang w:val="en-GB"/>
        </w:rPr>
        <w:t xml:space="preserve">of </w:t>
      </w:r>
      <w:r w:rsidRPr="00BF3585">
        <w:rPr>
          <w:lang w:val="en-GB"/>
        </w:rPr>
        <w:t xml:space="preserve">the Convention for the Protection </w:t>
      </w:r>
      <w:r w:rsidRPr="00BF3585" w:rsidR="00B17470">
        <w:rPr>
          <w:lang w:val="en-GB"/>
        </w:rPr>
        <w:t xml:space="preserve">of </w:t>
      </w:r>
      <w:r w:rsidRPr="00BF3585">
        <w:rPr>
          <w:lang w:val="en-GB"/>
        </w:rPr>
        <w:t>Hum</w:t>
      </w:r>
      <w:r w:rsidRPr="00BF3585" w:rsidR="00B17470">
        <w:rPr>
          <w:lang w:val="en-GB"/>
        </w:rPr>
        <w:t xml:space="preserve">an </w:t>
      </w:r>
      <w:r w:rsidRPr="00BF3585">
        <w:rPr>
          <w:lang w:val="en-GB"/>
        </w:rPr>
        <w:t xml:space="preserve">Rights and Fundamental Freedoms (“the Convention”) by </w:t>
      </w:r>
      <w:r w:rsidRPr="00BF3585" w:rsidR="00B17470">
        <w:rPr>
          <w:lang w:val="en-GB"/>
        </w:rPr>
        <w:t xml:space="preserve">a </w:t>
      </w:r>
      <w:r w:rsidRPr="00BF3585">
        <w:rPr>
          <w:lang w:val="en-GB"/>
        </w:rPr>
        <w:t xml:space="preserve">Netherlands national, Mr M (“the applicant”), on 7 January 2010. The President </w:t>
      </w:r>
      <w:r w:rsidRPr="00BF3585" w:rsidR="00B17470">
        <w:rPr>
          <w:lang w:val="en-GB"/>
        </w:rPr>
        <w:t xml:space="preserve">of </w:t>
      </w:r>
      <w:r w:rsidRPr="00BF3585">
        <w:rPr>
          <w:lang w:val="en-GB"/>
        </w:rPr>
        <w:t>the Section acceded to the applicant</w:t>
      </w:r>
      <w:r w:rsidRPr="00BF3585" w:rsidR="00BF3585">
        <w:rPr>
          <w:lang w:val="en-GB"/>
        </w:rPr>
        <w:t>’</w:t>
      </w:r>
      <w:r w:rsidRPr="00BF3585">
        <w:rPr>
          <w:lang w:val="en-GB"/>
        </w:rPr>
        <w:t xml:space="preserve">s request not to have his name disclosed (Rule 47 § 4 </w:t>
      </w:r>
      <w:r w:rsidRPr="00BF3585" w:rsidR="00B17470">
        <w:rPr>
          <w:lang w:val="en-GB"/>
        </w:rPr>
        <w:t xml:space="preserve">of </w:t>
      </w:r>
      <w:r w:rsidRPr="00BF3585">
        <w:rPr>
          <w:lang w:val="en-GB"/>
        </w:rPr>
        <w:t xml:space="preserve">the Rules </w:t>
      </w:r>
      <w:r w:rsidRPr="00BF3585" w:rsidR="00B17470">
        <w:rPr>
          <w:lang w:val="en-GB"/>
        </w:rPr>
        <w:t xml:space="preserve">of </w:t>
      </w:r>
      <w:r w:rsidRPr="00BF3585">
        <w:rPr>
          <w:lang w:val="en-GB"/>
        </w:rPr>
        <w:t>Court).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2</w:t>
      </w:r>
      <w:r w:rsidRPr="00BF3585">
        <w:rPr>
          <w:lang w:val="en-GB"/>
        </w:rPr>
        <w:fldChar w:fldCharType="end"/>
      </w:r>
      <w:r w:rsidRPr="00BF3585">
        <w:rPr>
          <w:lang w:val="en-GB"/>
        </w:rPr>
        <w:t xml:space="preserve">.  The applicant was represented by Mr A.W. Eikelboom and Mr M. Pestman, both lawyers practising in Amsterdam. The Netherlands Government (“the Government”) were represented by their Agent and Deputy Agent, Mr R.A.A. Böcker and Ms K. Adhin, </w:t>
      </w:r>
      <w:r w:rsidRPr="00BF3585" w:rsidR="00B17470">
        <w:rPr>
          <w:lang w:val="en-GB"/>
        </w:rPr>
        <w:t xml:space="preserve">of </w:t>
      </w:r>
      <w:r w:rsidRPr="00BF3585">
        <w:rPr>
          <w:lang w:val="en-GB"/>
        </w:rPr>
        <w:t xml:space="preserve">the Ministry </w:t>
      </w:r>
      <w:r w:rsidRPr="00BF3585" w:rsidR="00B17470">
        <w:rPr>
          <w:lang w:val="en-GB"/>
        </w:rPr>
        <w:t xml:space="preserve">of </w:t>
      </w:r>
      <w:r w:rsidRPr="00BF3585">
        <w:rPr>
          <w:lang w:val="en-GB"/>
        </w:rPr>
        <w:t>Foreign Affairs.</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3</w:t>
      </w:r>
      <w:r w:rsidRPr="00BF3585">
        <w:rPr>
          <w:lang w:val="en-GB"/>
        </w:rPr>
        <w:fldChar w:fldCharType="end"/>
      </w:r>
      <w:r w:rsidRPr="00BF3585">
        <w:rPr>
          <w:lang w:val="en-GB"/>
        </w:rPr>
        <w:t xml:space="preserve">.  The applicant alleged, in particular, that the criminal proceedings against him had violated Article 6 §§ 1 and 3 (b), (c) and (d) </w:t>
      </w:r>
      <w:r w:rsidRPr="00BF3585" w:rsidR="00B17470">
        <w:rPr>
          <w:lang w:val="en-GB"/>
        </w:rPr>
        <w:t xml:space="preserve">of </w:t>
      </w:r>
      <w:r w:rsidRPr="00BF3585">
        <w:rPr>
          <w:lang w:val="en-GB"/>
        </w:rPr>
        <w:t>the Convention in that the AIVD (</w:t>
      </w:r>
      <w:r w:rsidRPr="00BF3585">
        <w:rPr>
          <w:i/>
          <w:lang w:val="en-GB"/>
        </w:rPr>
        <w:t>Algemene Inlichtingen- en Veiligheidsdienst</w:t>
      </w:r>
      <w:r w:rsidRPr="00BF3585">
        <w:rPr>
          <w:lang w:val="en-GB"/>
        </w:rPr>
        <w:t>, General Intelligence and Security Service) had exercised decisive control over the evidence, restricting his and the domestic courts</w:t>
      </w:r>
      <w:r w:rsidRPr="00BF3585" w:rsidR="00BF3585">
        <w:rPr>
          <w:lang w:val="en-GB"/>
        </w:rPr>
        <w:t>’</w:t>
      </w:r>
      <w:r w:rsidRPr="00BF3585">
        <w:rPr>
          <w:lang w:val="en-GB"/>
        </w:rPr>
        <w:t xml:space="preserve"> access to information contained in documents and controlling its use, making it impossible for him to instruct his defence counsel as he would have needed to, and preventing him from offering witness evidence effectively.</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4</w:t>
      </w:r>
      <w:r w:rsidRPr="00BF3585">
        <w:rPr>
          <w:lang w:val="en-GB"/>
        </w:rPr>
        <w:fldChar w:fldCharType="end"/>
      </w:r>
      <w:r w:rsidRPr="00BF3585">
        <w:rPr>
          <w:lang w:val="en-GB"/>
        </w:rPr>
        <w:t>.  On 2 December 2014 the applicant</w:t>
      </w:r>
      <w:r w:rsidRPr="00BF3585" w:rsidR="00BF3585">
        <w:rPr>
          <w:lang w:val="en-GB"/>
        </w:rPr>
        <w:t>’</w:t>
      </w:r>
      <w:r w:rsidRPr="00BF3585">
        <w:rPr>
          <w:lang w:val="en-GB"/>
        </w:rPr>
        <w:t xml:space="preserve">s aforementioned complaints were communicated to the Government and the remainder </w:t>
      </w:r>
      <w:r w:rsidRPr="00BF3585" w:rsidR="00B17470">
        <w:rPr>
          <w:lang w:val="en-GB"/>
        </w:rPr>
        <w:t xml:space="preserve">of </w:t>
      </w:r>
      <w:r w:rsidRPr="00BF3585">
        <w:rPr>
          <w:lang w:val="en-GB"/>
        </w:rPr>
        <w:t>the application was declared inadmissible.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5</w:t>
      </w:r>
      <w:r w:rsidRPr="00BF3585">
        <w:rPr>
          <w:lang w:val="en-GB"/>
        </w:rPr>
        <w:fldChar w:fldCharType="end"/>
      </w:r>
      <w:r w:rsidRPr="00BF3585">
        <w:rPr>
          <w:lang w:val="en-GB"/>
        </w:rPr>
        <w:t xml:space="preserve">.  Judge Johannes Silvis, the judge elected in respect </w:t>
      </w:r>
      <w:r w:rsidRPr="00BF3585" w:rsidR="00B17470">
        <w:rPr>
          <w:lang w:val="en-GB"/>
        </w:rPr>
        <w:t xml:space="preserve">of </w:t>
      </w:r>
      <w:r w:rsidRPr="00BF3585">
        <w:rPr>
          <w:lang w:val="en-GB"/>
        </w:rPr>
        <w:t xml:space="preserve">the Kingdom </w:t>
      </w:r>
      <w:r w:rsidRPr="00BF3585" w:rsidR="00B17470">
        <w:rPr>
          <w:lang w:val="en-GB"/>
        </w:rPr>
        <w:t xml:space="preserve">of </w:t>
      </w:r>
      <w:r w:rsidRPr="00BF3585">
        <w:rPr>
          <w:lang w:val="en-GB"/>
        </w:rPr>
        <w:t xml:space="preserve">the Netherlands, withdrew from sitting on the case (Rule 28 </w:t>
      </w:r>
      <w:r w:rsidRPr="00BF3585" w:rsidR="00B17470">
        <w:rPr>
          <w:lang w:val="en-GB"/>
        </w:rPr>
        <w:t xml:space="preserve">of </w:t>
      </w:r>
      <w:r w:rsidRPr="00BF3585">
        <w:rPr>
          <w:lang w:val="en-GB"/>
        </w:rPr>
        <w:t xml:space="preserve">the Rules </w:t>
      </w:r>
      <w:r w:rsidRPr="00BF3585" w:rsidR="00B17470">
        <w:rPr>
          <w:lang w:val="en-GB"/>
        </w:rPr>
        <w:t xml:space="preserve">of </w:t>
      </w:r>
      <w:r w:rsidRPr="00BF3585">
        <w:rPr>
          <w:lang w:val="en-GB"/>
        </w:rPr>
        <w:t xml:space="preserve">Court). On 21 May 2015 the President </w:t>
      </w:r>
      <w:r w:rsidRPr="00BF3585" w:rsidR="00B17470">
        <w:rPr>
          <w:lang w:val="en-GB"/>
        </w:rPr>
        <w:t xml:space="preserve">of </w:t>
      </w:r>
      <w:r w:rsidRPr="00BF3585">
        <w:rPr>
          <w:lang w:val="en-GB"/>
        </w:rPr>
        <w:t xml:space="preserve">the Section accordingly appointed Mr Egbert Myjer to sit as </w:t>
      </w:r>
      <w:r w:rsidRPr="00BF3585">
        <w:rPr>
          <w:i/>
          <w:lang w:val="en-GB"/>
        </w:rPr>
        <w:t>ad hoc</w:t>
      </w:r>
      <w:r w:rsidRPr="00BF3585">
        <w:rPr>
          <w:lang w:val="en-GB"/>
        </w:rPr>
        <w:t xml:space="preserve"> judge (Article 26 § 4 </w:t>
      </w:r>
      <w:r w:rsidRPr="00BF3585" w:rsidR="00B17470">
        <w:rPr>
          <w:lang w:val="en-GB"/>
        </w:rPr>
        <w:t xml:space="preserve">of </w:t>
      </w:r>
      <w:r w:rsidRPr="00BF3585">
        <w:rPr>
          <w:lang w:val="en-GB"/>
        </w:rPr>
        <w:t xml:space="preserve">the Convention and Rule 29 § 1 </w:t>
      </w:r>
      <w:r w:rsidRPr="00BF3585" w:rsidR="00B17470">
        <w:rPr>
          <w:lang w:val="en-GB"/>
        </w:rPr>
        <w:t xml:space="preserve">of </w:t>
      </w:r>
      <w:r w:rsidRPr="00BF3585">
        <w:rPr>
          <w:lang w:val="en-GB"/>
        </w:rPr>
        <w:t xml:space="preserve">the Rules </w:t>
      </w:r>
      <w:r w:rsidRPr="00BF3585" w:rsidR="00B17470">
        <w:rPr>
          <w:lang w:val="en-GB"/>
        </w:rPr>
        <w:t xml:space="preserve">of </w:t>
      </w:r>
      <w:r w:rsidRPr="00BF3585">
        <w:rPr>
          <w:lang w:val="en-GB"/>
        </w:rPr>
        <w:t>Court).</w:t>
      </w:r>
    </w:p>
    <w:p w:rsidRPr="00BF3585" w:rsidR="00C6083D" w:rsidP="00BF3585" w:rsidRDefault="00C6083D">
      <w:pPr>
        <w:pStyle w:val="ECHRTitle1"/>
        <w:rPr>
          <w:lang w:val="en-GB"/>
        </w:rPr>
      </w:pPr>
      <w:r w:rsidRPr="00BF3585">
        <w:rPr>
          <w:lang w:val="en-GB"/>
        </w:rPr>
        <w:t>THE FACTS</w:t>
      </w:r>
    </w:p>
    <w:p w:rsidRPr="00BF3585" w:rsidR="00C6083D" w:rsidP="00BF3585" w:rsidRDefault="00C6083D">
      <w:pPr>
        <w:pStyle w:val="ECHRHeading1"/>
        <w:rPr>
          <w:lang w:val="en-GB"/>
        </w:rPr>
      </w:pPr>
      <w:r w:rsidRPr="00BF3585">
        <w:rPr>
          <w:lang w:val="en-GB"/>
        </w:rPr>
        <w:t xml:space="preserve">I.  THE CIRCUMSTANCES </w:t>
      </w:r>
      <w:r w:rsidRPr="00BF3585" w:rsidR="00B17470">
        <w:rPr>
          <w:lang w:val="en-GB"/>
        </w:rPr>
        <w:t xml:space="preserve">OF </w:t>
      </w:r>
      <w:r w:rsidRPr="00BF3585">
        <w:rPr>
          <w:lang w:val="en-GB"/>
        </w:rPr>
        <w:t>THE CASE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6</w:t>
      </w:r>
      <w:r w:rsidRPr="00BF3585">
        <w:rPr>
          <w:lang w:val="en-GB"/>
        </w:rPr>
        <w:fldChar w:fldCharType="end"/>
      </w:r>
      <w:r w:rsidRPr="00BF3585">
        <w:rPr>
          <w:lang w:val="en-GB"/>
        </w:rPr>
        <w:t>.  The applicant was born in 1970 and lives in Houten.</w:t>
      </w:r>
    </w:p>
    <w:p w:rsidRPr="00BF3585" w:rsidR="00C6083D" w:rsidP="00BF3585" w:rsidRDefault="00C6083D">
      <w:pPr>
        <w:pStyle w:val="ECHRHeading2"/>
      </w:pPr>
      <w:r w:rsidRPr="00BF3585">
        <w:t>A.  Introduction</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7</w:t>
      </w:r>
      <w:r w:rsidRPr="00BF3585">
        <w:rPr>
          <w:lang w:val="en-GB"/>
        </w:rPr>
        <w:fldChar w:fldCharType="end"/>
      </w:r>
      <w:r w:rsidRPr="00BF3585">
        <w:rPr>
          <w:lang w:val="en-GB"/>
        </w:rPr>
        <w:t xml:space="preserve">.  The applicant was employed by the AIVD as </w:t>
      </w:r>
      <w:r w:rsidRPr="00BF3585" w:rsidR="00B17470">
        <w:rPr>
          <w:lang w:val="en-GB"/>
        </w:rPr>
        <w:t xml:space="preserve">an </w:t>
      </w:r>
      <w:r w:rsidRPr="00BF3585">
        <w:rPr>
          <w:lang w:val="en-GB"/>
        </w:rPr>
        <w:t>audio editor and interpreter. In this capacity he had access to classified information (</w:t>
      </w:r>
      <w:r w:rsidRPr="00BF3585">
        <w:rPr>
          <w:i/>
          <w:lang w:val="en-GB"/>
        </w:rPr>
        <w:t>gerubriceerde informatie</w:t>
      </w:r>
      <w:r w:rsidRPr="00BF3585">
        <w:rPr>
          <w:lang w:val="en-GB"/>
        </w:rPr>
        <w:t xml:space="preserve">), which he was under </w:t>
      </w:r>
      <w:r w:rsidRPr="00BF3585" w:rsidR="00B17470">
        <w:rPr>
          <w:lang w:val="en-GB"/>
        </w:rPr>
        <w:t xml:space="preserve">a </w:t>
      </w:r>
      <w:r w:rsidRPr="00BF3585">
        <w:rPr>
          <w:lang w:val="en-GB"/>
        </w:rPr>
        <w:t xml:space="preserve">duty not to divulge to persons not authorised to have knowledge </w:t>
      </w:r>
      <w:r w:rsidRPr="00BF3585" w:rsidR="00B17470">
        <w:rPr>
          <w:lang w:val="en-GB"/>
        </w:rPr>
        <w:t xml:space="preserve">of </w:t>
      </w:r>
      <w:r w:rsidRPr="00BF3585">
        <w:rPr>
          <w:lang w:val="en-GB"/>
        </w:rPr>
        <w:t>it.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8</w:t>
      </w:r>
      <w:r w:rsidRPr="00BF3585">
        <w:rPr>
          <w:lang w:val="en-GB"/>
        </w:rPr>
        <w:fldChar w:fldCharType="end"/>
      </w:r>
      <w:r w:rsidRPr="00BF3585">
        <w:rPr>
          <w:lang w:val="en-GB"/>
        </w:rPr>
        <w:t xml:space="preserve">.  The suspicion arose that the applicant had forwarded copies </w:t>
      </w:r>
      <w:r w:rsidRPr="00BF3585" w:rsidR="00B17470">
        <w:rPr>
          <w:lang w:val="en-GB"/>
        </w:rPr>
        <w:t xml:space="preserve">of </w:t>
      </w:r>
      <w:r w:rsidRPr="00BF3585">
        <w:rPr>
          <w:lang w:val="en-GB"/>
        </w:rPr>
        <w:t>classified documents to persons outside the service, including in some cases persons who were under covert investigation by the AIVD in connection with possible terrorist activity.</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9</w:t>
      </w:r>
      <w:r w:rsidRPr="00BF3585">
        <w:rPr>
          <w:lang w:val="en-GB"/>
        </w:rPr>
        <w:fldChar w:fldCharType="end"/>
      </w:r>
      <w:r w:rsidRPr="00BF3585">
        <w:rPr>
          <w:lang w:val="en-GB"/>
        </w:rPr>
        <w:t xml:space="preserve">.  On 30 September 2004 the applicant was arrested. He was charged with divulging State secret information to persons not authorised to take cognisance </w:t>
      </w:r>
      <w:r w:rsidRPr="00BF3585" w:rsidR="00B17470">
        <w:rPr>
          <w:lang w:val="en-GB"/>
        </w:rPr>
        <w:t xml:space="preserve">of </w:t>
      </w:r>
      <w:r w:rsidRPr="00BF3585">
        <w:rPr>
          <w:lang w:val="en-GB"/>
        </w:rPr>
        <w:t>it and taken into detention on remand (</w:t>
      </w:r>
      <w:r w:rsidRPr="00BF3585">
        <w:rPr>
          <w:i/>
          <w:lang w:val="en-GB"/>
        </w:rPr>
        <w:t>voorlopige hechtenis</w:t>
      </w:r>
      <w:r w:rsidRPr="00BF3585">
        <w:rPr>
          <w:lang w:val="en-GB"/>
        </w:rPr>
        <w: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10</w:t>
      </w:r>
      <w:r w:rsidRPr="00BF3585">
        <w:rPr>
          <w:lang w:val="en-GB"/>
        </w:rPr>
        <w:fldChar w:fldCharType="end"/>
      </w:r>
      <w:r w:rsidRPr="00BF3585">
        <w:rPr>
          <w:lang w:val="en-GB"/>
        </w:rPr>
        <w:t xml:space="preserve">.   The AIVD advised the applicant in writing that he was still under </w:t>
      </w:r>
      <w:r w:rsidRPr="00BF3585" w:rsidR="00B17470">
        <w:rPr>
          <w:lang w:val="en-GB"/>
        </w:rPr>
        <w:t xml:space="preserve">an </w:t>
      </w:r>
      <w:r w:rsidRPr="00BF3585">
        <w:rPr>
          <w:lang w:val="en-GB"/>
        </w:rPr>
        <w:t xml:space="preserve">obligation </w:t>
      </w:r>
      <w:r w:rsidRPr="00BF3585" w:rsidR="00B17470">
        <w:rPr>
          <w:lang w:val="en-GB"/>
        </w:rPr>
        <w:t xml:space="preserve">of </w:t>
      </w:r>
      <w:r w:rsidRPr="00BF3585">
        <w:rPr>
          <w:lang w:val="en-GB"/>
        </w:rPr>
        <w:t xml:space="preserve">secrecy. Consequently it would be constitutive </w:t>
      </w:r>
      <w:r w:rsidRPr="00BF3585" w:rsidR="00B17470">
        <w:rPr>
          <w:lang w:val="en-GB"/>
        </w:rPr>
        <w:t xml:space="preserve">of a </w:t>
      </w:r>
      <w:r w:rsidRPr="00BF3585">
        <w:rPr>
          <w:lang w:val="en-GB"/>
        </w:rPr>
        <w:t xml:space="preserve">further criminal offence if he were to discuss matters covered by his duty </w:t>
      </w:r>
      <w:r w:rsidRPr="00BF3585" w:rsidR="00B17470">
        <w:rPr>
          <w:lang w:val="en-GB"/>
        </w:rPr>
        <w:t xml:space="preserve">of </w:t>
      </w:r>
      <w:r w:rsidRPr="00BF3585">
        <w:rPr>
          <w:lang w:val="en-GB"/>
        </w:rPr>
        <w:t>secrecy with anyone including his counsel.</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11</w:t>
      </w:r>
      <w:r w:rsidRPr="00BF3585">
        <w:rPr>
          <w:lang w:val="en-GB"/>
        </w:rPr>
        <w:fldChar w:fldCharType="end"/>
      </w:r>
      <w:r w:rsidRPr="00BF3585">
        <w:rPr>
          <w:lang w:val="en-GB"/>
        </w:rPr>
        <w:t>.  The applicant</w:t>
      </w:r>
      <w:r w:rsidRPr="00BF3585" w:rsidR="00BF3585">
        <w:rPr>
          <w:lang w:val="en-GB"/>
        </w:rPr>
        <w:t>’</w:t>
      </w:r>
      <w:r w:rsidRPr="00BF3585">
        <w:rPr>
          <w:lang w:val="en-GB"/>
        </w:rPr>
        <w:t>s counsel were also warned that they might be prosecuted should they divulge any State secret information to third parties.</w:t>
      </w:r>
    </w:p>
    <w:p w:rsidRPr="00BF3585" w:rsidR="00C6083D" w:rsidP="00BF3585" w:rsidRDefault="00C6083D">
      <w:pPr>
        <w:pStyle w:val="ECHRHeading2"/>
      </w:pPr>
      <w:r w:rsidRPr="00BF3585">
        <w:t>B.  Proceedings before the Regional Court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12</w:t>
      </w:r>
      <w:r w:rsidRPr="00BF3585">
        <w:rPr>
          <w:lang w:val="en-GB"/>
        </w:rPr>
        <w:fldChar w:fldCharType="end"/>
      </w:r>
      <w:r w:rsidRPr="00BF3585">
        <w:rPr>
          <w:lang w:val="en-GB"/>
        </w:rPr>
        <w:t>.  The trial opened before the Rotterdam Regional Court (</w:t>
      </w:r>
      <w:r w:rsidRPr="00BF3585">
        <w:rPr>
          <w:i/>
          <w:lang w:val="en-GB"/>
        </w:rPr>
        <w:t>rechtbank</w:t>
      </w:r>
      <w:r w:rsidRPr="00BF3585">
        <w:rPr>
          <w:lang w:val="en-GB"/>
        </w:rPr>
        <w:t>) on 10 January 2005. It was adjourned several times.</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13</w:t>
      </w:r>
      <w:r w:rsidRPr="00BF3585">
        <w:rPr>
          <w:lang w:val="en-GB"/>
        </w:rPr>
        <w:fldChar w:fldCharType="end"/>
      </w:r>
      <w:r w:rsidRPr="00BF3585">
        <w:rPr>
          <w:lang w:val="en-GB"/>
        </w:rPr>
        <w:t>.  The applicant</w:t>
      </w:r>
      <w:r w:rsidRPr="00BF3585" w:rsidR="00BF3585">
        <w:rPr>
          <w:lang w:val="en-GB"/>
        </w:rPr>
        <w:t>’</w:t>
      </w:r>
      <w:r w:rsidRPr="00BF3585">
        <w:rPr>
          <w:lang w:val="en-GB"/>
        </w:rPr>
        <w:t xml:space="preserve">s counsel protested against the restrictions affecting communication between themselves and the applicant, which in their submission undermined the effectiveness </w:t>
      </w:r>
      <w:r w:rsidRPr="00BF3585" w:rsidR="00B17470">
        <w:rPr>
          <w:lang w:val="en-GB"/>
        </w:rPr>
        <w:t xml:space="preserve">of </w:t>
      </w:r>
      <w:r w:rsidRPr="00BF3585">
        <w:rPr>
          <w:lang w:val="en-GB"/>
        </w:rPr>
        <w:t xml:space="preserve">the defence. They also asked for certain documents to be added to complete the file: these included the internal AIVD report </w:t>
      </w:r>
      <w:r w:rsidRPr="00BF3585" w:rsidR="005979E0">
        <w:rPr>
          <w:lang w:val="en-GB"/>
        </w:rPr>
        <w:t>that</w:t>
      </w:r>
      <w:r w:rsidRPr="00BF3585">
        <w:rPr>
          <w:lang w:val="en-GB"/>
        </w:rPr>
        <w:t xml:space="preserve"> was the basis </w:t>
      </w:r>
      <w:r w:rsidRPr="00BF3585" w:rsidR="00B17470">
        <w:rPr>
          <w:lang w:val="en-GB"/>
        </w:rPr>
        <w:t xml:space="preserve">of </w:t>
      </w:r>
      <w:r w:rsidRPr="00BF3585">
        <w:rPr>
          <w:lang w:val="en-GB"/>
        </w:rPr>
        <w:t xml:space="preserve">the prosecution, which was absent from the file altogether, and the documents which had supposedly been leaked, which had been added to the case file in redacted form with parts blacked out. They further repeated </w:t>
      </w:r>
      <w:r w:rsidRPr="00BF3585" w:rsidR="00B17470">
        <w:rPr>
          <w:lang w:val="en-GB"/>
        </w:rPr>
        <w:t xml:space="preserve">a </w:t>
      </w:r>
      <w:r w:rsidRPr="00BF3585">
        <w:rPr>
          <w:lang w:val="en-GB"/>
        </w:rPr>
        <w:t xml:space="preserve">request, made earlier in writing, for the applicant to be released unconditionally from his duty </w:t>
      </w:r>
      <w:r w:rsidRPr="00BF3585" w:rsidR="00B17470">
        <w:rPr>
          <w:lang w:val="en-GB"/>
        </w:rPr>
        <w:t xml:space="preserve">of </w:t>
      </w:r>
      <w:r w:rsidRPr="00BF3585">
        <w:rPr>
          <w:lang w:val="en-GB"/>
        </w:rPr>
        <w:t>secrecy in order to conduct his defence (</w:t>
      </w:r>
      <w:r w:rsidRPr="00BF3585">
        <w:rPr>
          <w:i/>
          <w:lang w:val="en-GB"/>
        </w:rPr>
        <w:t>vrijwaring</w:t>
      </w:r>
      <w:r w:rsidRPr="00BF3585">
        <w:rPr>
          <w:lang w:val="en-GB"/>
        </w:rPr>
        <w: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14</w:t>
      </w:r>
      <w:r w:rsidRPr="00BF3585">
        <w:rPr>
          <w:lang w:val="en-GB"/>
        </w:rPr>
        <w:fldChar w:fldCharType="end"/>
      </w:r>
      <w:r w:rsidRPr="00BF3585">
        <w:rPr>
          <w:lang w:val="en-GB"/>
        </w:rPr>
        <w:t>.  The public prosecutor (</w:t>
      </w:r>
      <w:r w:rsidRPr="00BF3585">
        <w:rPr>
          <w:i/>
          <w:lang w:val="en-GB"/>
        </w:rPr>
        <w:t>officier v</w:t>
      </w:r>
      <w:r w:rsidRPr="00BF3585" w:rsidR="00B17470">
        <w:rPr>
          <w:i/>
          <w:lang w:val="en-GB"/>
        </w:rPr>
        <w:t xml:space="preserve">an </w:t>
      </w:r>
      <w:r w:rsidRPr="00BF3585">
        <w:rPr>
          <w:i/>
          <w:lang w:val="en-GB"/>
        </w:rPr>
        <w:t>justitie</w:t>
      </w:r>
      <w:r w:rsidRPr="00BF3585">
        <w:rPr>
          <w:lang w:val="en-GB"/>
        </w:rPr>
        <w:t xml:space="preserve">) announced that some but not all </w:t>
      </w:r>
      <w:r w:rsidRPr="00BF3585" w:rsidR="00B17470">
        <w:rPr>
          <w:lang w:val="en-GB"/>
        </w:rPr>
        <w:t xml:space="preserve">of </w:t>
      </w:r>
      <w:r w:rsidRPr="00BF3585">
        <w:rPr>
          <w:lang w:val="en-GB"/>
        </w:rPr>
        <w:t xml:space="preserve">the documents requested by the defence would be added to the file but refused to release the applicant from his duty </w:t>
      </w:r>
      <w:r w:rsidRPr="00BF3585" w:rsidR="00B17470">
        <w:rPr>
          <w:lang w:val="en-GB"/>
        </w:rPr>
        <w:t xml:space="preserve">of </w:t>
      </w:r>
      <w:r w:rsidRPr="00BF3585">
        <w:rPr>
          <w:lang w:val="en-GB"/>
        </w:rPr>
        <w:t>secrecy unconditionally.</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15</w:t>
      </w:r>
      <w:r w:rsidRPr="00BF3585">
        <w:rPr>
          <w:lang w:val="en-GB"/>
        </w:rPr>
        <w:fldChar w:fldCharType="end"/>
      </w:r>
      <w:r w:rsidRPr="00BF3585">
        <w:rPr>
          <w:lang w:val="en-GB"/>
        </w:rPr>
        <w:t xml:space="preserve">.  On 24 January 2005 the Regional Court gave </w:t>
      </w:r>
      <w:r w:rsidRPr="00BF3585" w:rsidR="00B17470">
        <w:rPr>
          <w:lang w:val="en-GB"/>
        </w:rPr>
        <w:t xml:space="preserve">a </w:t>
      </w:r>
      <w:r w:rsidRPr="00BF3585">
        <w:rPr>
          <w:lang w:val="en-GB"/>
        </w:rPr>
        <w:t xml:space="preserve">decision remitting the case to the investigating judge, to whom it would fall to carry out investigations in such </w:t>
      </w:r>
      <w:r w:rsidRPr="00BF3585" w:rsidR="00B17470">
        <w:rPr>
          <w:lang w:val="en-GB"/>
        </w:rPr>
        <w:t xml:space="preserve">a </w:t>
      </w:r>
      <w:r w:rsidRPr="00BF3585">
        <w:rPr>
          <w:lang w:val="en-GB"/>
        </w:rPr>
        <w:t>way as to mitigate, and compensate as far as possible, the handicaps under which the defence laboured.</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16</w:t>
      </w:r>
      <w:r w:rsidRPr="00BF3585">
        <w:rPr>
          <w:lang w:val="en-GB"/>
        </w:rPr>
        <w:fldChar w:fldCharType="end"/>
      </w:r>
      <w:r w:rsidRPr="00BF3585">
        <w:rPr>
          <w:lang w:val="en-GB"/>
        </w:rPr>
        <w:t xml:space="preserve">.  On 4 March 2005 the head </w:t>
      </w:r>
      <w:r w:rsidRPr="00BF3585" w:rsidR="00B17470">
        <w:rPr>
          <w:lang w:val="en-GB"/>
        </w:rPr>
        <w:t xml:space="preserve">of </w:t>
      </w:r>
      <w:r w:rsidRPr="00BF3585">
        <w:rPr>
          <w:lang w:val="en-GB"/>
        </w:rPr>
        <w:t xml:space="preserve">the AIVD informed the applicant in writing that communication </w:t>
      </w:r>
      <w:r w:rsidRPr="00BF3585" w:rsidR="00B17470">
        <w:rPr>
          <w:lang w:val="en-GB"/>
        </w:rPr>
        <w:t xml:space="preserve">of </w:t>
      </w:r>
      <w:r w:rsidRPr="00BF3585">
        <w:rPr>
          <w:lang w:val="en-GB"/>
        </w:rPr>
        <w:t xml:space="preserve">matters covered by his duty </w:t>
      </w:r>
      <w:r w:rsidRPr="00BF3585" w:rsidR="00B17470">
        <w:rPr>
          <w:lang w:val="en-GB"/>
        </w:rPr>
        <w:t xml:space="preserve">of </w:t>
      </w:r>
      <w:r w:rsidRPr="00BF3585">
        <w:rPr>
          <w:lang w:val="en-GB"/>
        </w:rPr>
        <w:t>secrecy was permitted, subject to the following conditions:</w:t>
      </w:r>
    </w:p>
    <w:p w:rsidRPr="00BF3585" w:rsidR="00C6083D" w:rsidP="00BF3585" w:rsidRDefault="00C6083D">
      <w:pPr>
        <w:pStyle w:val="ECHRPara"/>
        <w:numPr>
          <w:ilvl w:val="0"/>
          <w:numId w:val="22"/>
        </w:numPr>
        <w:rPr>
          <w:lang w:val="en-GB"/>
        </w:rPr>
      </w:pPr>
      <w:r w:rsidRPr="00BF3585">
        <w:rPr>
          <w:lang w:val="en-GB"/>
        </w:rPr>
        <w:t>He would be allowed to discuss such matters only with his counsel, Ms Böhler and Mr Pestman;</w:t>
      </w:r>
    </w:p>
    <w:p w:rsidRPr="00BF3585" w:rsidR="00C6083D" w:rsidP="00BF3585" w:rsidRDefault="00C6083D">
      <w:pPr>
        <w:pStyle w:val="ECHRPara"/>
        <w:numPr>
          <w:ilvl w:val="0"/>
          <w:numId w:val="22"/>
        </w:numPr>
        <w:rPr>
          <w:lang w:val="en-GB"/>
        </w:rPr>
      </w:pPr>
      <w:r w:rsidRPr="00BF3585">
        <w:rPr>
          <w:lang w:val="en-GB"/>
        </w:rPr>
        <w:t xml:space="preserve">He was not allowed to reveal the identity </w:t>
      </w:r>
      <w:r w:rsidRPr="00BF3585" w:rsidR="00B17470">
        <w:rPr>
          <w:lang w:val="en-GB"/>
        </w:rPr>
        <w:t xml:space="preserve">of </w:t>
      </w:r>
      <w:r w:rsidRPr="00BF3585">
        <w:rPr>
          <w:lang w:val="en-GB"/>
        </w:rPr>
        <w:t>any AIVD staff or hum</w:t>
      </w:r>
      <w:r w:rsidRPr="00BF3585" w:rsidR="00B17470">
        <w:rPr>
          <w:lang w:val="en-GB"/>
        </w:rPr>
        <w:t xml:space="preserve">an </w:t>
      </w:r>
      <w:r w:rsidRPr="00BF3585">
        <w:rPr>
          <w:lang w:val="en-GB"/>
        </w:rPr>
        <w:t>sources;</w:t>
      </w:r>
    </w:p>
    <w:p w:rsidRPr="00BF3585" w:rsidR="00C6083D" w:rsidP="00BF3585" w:rsidRDefault="00C6083D">
      <w:pPr>
        <w:pStyle w:val="ECHRPara"/>
        <w:numPr>
          <w:ilvl w:val="0"/>
          <w:numId w:val="22"/>
        </w:numPr>
        <w:rPr>
          <w:lang w:val="en-GB"/>
        </w:rPr>
      </w:pPr>
      <w:r w:rsidRPr="00BF3585">
        <w:rPr>
          <w:lang w:val="en-GB"/>
        </w:rPr>
        <w:t>He could discuss only “that which [was] contained in the case file”;</w:t>
      </w:r>
    </w:p>
    <w:p w:rsidRPr="00BF3585" w:rsidR="00C6083D" w:rsidP="00BF3585" w:rsidRDefault="00C6083D">
      <w:pPr>
        <w:pStyle w:val="ECHRPara"/>
        <w:numPr>
          <w:ilvl w:val="0"/>
          <w:numId w:val="22"/>
        </w:numPr>
        <w:rPr>
          <w:lang w:val="en-GB"/>
        </w:rPr>
      </w:pPr>
      <w:r w:rsidRPr="00BF3585">
        <w:rPr>
          <w:lang w:val="en-GB"/>
        </w:rPr>
        <w:t>This exemption covered only information that was strictly necessary for the defence;</w:t>
      </w:r>
    </w:p>
    <w:p w:rsidRPr="00BF3585" w:rsidR="00C6083D" w:rsidP="00BF3585" w:rsidRDefault="00C6083D">
      <w:pPr>
        <w:pStyle w:val="ECHRPara"/>
        <w:numPr>
          <w:ilvl w:val="0"/>
          <w:numId w:val="22"/>
        </w:numPr>
        <w:rPr>
          <w:lang w:val="en-GB"/>
        </w:rPr>
      </w:pPr>
      <w:r w:rsidRPr="00BF3585">
        <w:rPr>
          <w:lang w:val="en-GB"/>
        </w:rPr>
        <w:t>This exemption was valid only until the final judgment in the domestic proceedings was given.</w:t>
      </w:r>
    </w:p>
    <w:p w:rsidRPr="00BF3585" w:rsidR="00C6083D" w:rsidP="00BF3585" w:rsidRDefault="00C6083D">
      <w:pPr>
        <w:pStyle w:val="ECHRPara"/>
        <w:rPr>
          <w:lang w:val="en-GB"/>
        </w:rPr>
      </w:pPr>
      <w:r w:rsidRPr="00BF3585">
        <w:rPr>
          <w:lang w:val="en-GB"/>
        </w:rPr>
        <w:t>The letter continues:</w:t>
      </w:r>
    </w:p>
    <w:p w:rsidRPr="00BF3585" w:rsidR="00C6083D" w:rsidP="00BF3585" w:rsidRDefault="00C6083D">
      <w:pPr>
        <w:pStyle w:val="ECHRParaQuote"/>
        <w:rPr>
          <w:lang w:val="en-GB"/>
        </w:rPr>
      </w:pPr>
      <w:r w:rsidRPr="00BF3585">
        <w:rPr>
          <w:lang w:val="en-GB"/>
        </w:rPr>
        <w:t xml:space="preserve">“In order to preclude any misapprehension I stress that this release from the duty </w:t>
      </w:r>
      <w:r w:rsidRPr="00BF3585" w:rsidR="00B17470">
        <w:rPr>
          <w:lang w:val="en-GB"/>
        </w:rPr>
        <w:t xml:space="preserve">of </w:t>
      </w:r>
      <w:r w:rsidRPr="00BF3585">
        <w:rPr>
          <w:lang w:val="en-GB"/>
        </w:rPr>
        <w:t>secrecy does not apply to the suspect</w:t>
      </w:r>
      <w:r w:rsidRPr="00BF3585" w:rsidR="00BF3585">
        <w:rPr>
          <w:lang w:val="en-GB"/>
        </w:rPr>
        <w:t>’</w:t>
      </w:r>
      <w:r w:rsidRPr="00BF3585">
        <w:rPr>
          <w:lang w:val="en-GB"/>
        </w:rPr>
        <w:t xml:space="preserve">s counsel. In the event that counsel wish to make use </w:t>
      </w:r>
      <w:r w:rsidRPr="00BF3585" w:rsidR="00B17470">
        <w:rPr>
          <w:lang w:val="en-GB"/>
        </w:rPr>
        <w:t xml:space="preserve">of </w:t>
      </w:r>
      <w:r w:rsidRPr="00BF3585">
        <w:rPr>
          <w:lang w:val="en-GB"/>
        </w:rPr>
        <w:t xml:space="preserve">information obtained from the suspect with </w:t>
      </w:r>
      <w:r w:rsidRPr="00BF3585" w:rsidR="00B17470">
        <w:rPr>
          <w:lang w:val="en-GB"/>
        </w:rPr>
        <w:t xml:space="preserve">a </w:t>
      </w:r>
      <w:r w:rsidRPr="00BF3585">
        <w:rPr>
          <w:lang w:val="en-GB"/>
        </w:rPr>
        <w:t xml:space="preserve">view to the defence </w:t>
      </w:r>
      <w:r w:rsidRPr="00BF3585" w:rsidR="00B17470">
        <w:rPr>
          <w:lang w:val="en-GB"/>
        </w:rPr>
        <w:t xml:space="preserve">of </w:t>
      </w:r>
      <w:r w:rsidRPr="00BF3585">
        <w:rPr>
          <w:lang w:val="en-GB"/>
        </w:rPr>
        <w:t xml:space="preserve">M, this must be done in consultation with the investigating judge. The investigating judge will then determine whether the (answers to the) questions are </w:t>
      </w:r>
      <w:r w:rsidRPr="00BF3585" w:rsidR="00B17470">
        <w:rPr>
          <w:lang w:val="en-GB"/>
        </w:rPr>
        <w:t xml:space="preserve">of </w:t>
      </w:r>
      <w:r w:rsidRPr="00BF3585">
        <w:rPr>
          <w:lang w:val="en-GB"/>
        </w:rPr>
        <w:t>any relevance to the criminal proceedings (</w:t>
      </w:r>
      <w:r w:rsidRPr="00BF3585">
        <w:rPr>
          <w:i/>
          <w:lang w:val="en-GB"/>
        </w:rPr>
        <w:t>strafvorderlijk v</w:t>
      </w:r>
      <w:r w:rsidRPr="00BF3585" w:rsidR="00B17470">
        <w:rPr>
          <w:i/>
          <w:lang w:val="en-GB"/>
        </w:rPr>
        <w:t xml:space="preserve">an </w:t>
      </w:r>
      <w:r w:rsidRPr="00BF3585">
        <w:rPr>
          <w:i/>
          <w:lang w:val="en-GB"/>
        </w:rPr>
        <w:t>belang</w:t>
      </w:r>
      <w:r w:rsidRPr="00BF3585">
        <w:rPr>
          <w:lang w:val="en-GB"/>
        </w:rPr>
        <w:t>). If this is the case, the AIVD will then indicate to what extent State secrets are at stake in this context.”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17</w:t>
      </w:r>
      <w:r w:rsidRPr="00BF3585">
        <w:rPr>
          <w:lang w:val="en-GB"/>
        </w:rPr>
        <w:fldChar w:fldCharType="end"/>
      </w:r>
      <w:r w:rsidRPr="00BF3585">
        <w:rPr>
          <w:lang w:val="en-GB"/>
        </w:rPr>
        <w:t xml:space="preserve">.  On 1 April 2005 the Head </w:t>
      </w:r>
      <w:r w:rsidRPr="00BF3585" w:rsidR="00B17470">
        <w:rPr>
          <w:lang w:val="en-GB"/>
        </w:rPr>
        <w:t xml:space="preserve">of </w:t>
      </w:r>
      <w:r w:rsidRPr="00BF3585">
        <w:rPr>
          <w:lang w:val="en-GB"/>
        </w:rPr>
        <w:t>the AIVD wrote to the investigating judge in the following terms:</w:t>
      </w:r>
    </w:p>
    <w:p w:rsidRPr="00BF3585" w:rsidR="00C6083D" w:rsidP="00BF3585" w:rsidRDefault="00C6083D">
      <w:pPr>
        <w:pStyle w:val="ECHRParaQuote"/>
        <w:rPr>
          <w:lang w:val="en-GB"/>
        </w:rPr>
      </w:pPr>
      <w:r w:rsidRPr="00BF3585">
        <w:rPr>
          <w:lang w:val="en-GB"/>
        </w:rPr>
        <w:t xml:space="preserve">“... I consider it </w:t>
      </w:r>
      <w:r w:rsidRPr="00BF3585" w:rsidR="00B17470">
        <w:rPr>
          <w:lang w:val="en-GB"/>
        </w:rPr>
        <w:t xml:space="preserve">of </w:t>
      </w:r>
      <w:r w:rsidRPr="00BF3585">
        <w:rPr>
          <w:lang w:val="en-GB"/>
        </w:rPr>
        <w:t>great importance that the suspect (</w:t>
      </w:r>
      <w:r w:rsidRPr="00BF3585">
        <w:rPr>
          <w:i/>
          <w:lang w:val="en-GB"/>
        </w:rPr>
        <w:t>verdachte</w:t>
      </w:r>
      <w:r w:rsidRPr="00BF3585">
        <w:rPr>
          <w:lang w:val="en-GB"/>
        </w:rPr>
        <w:t xml:space="preserve">) should be able to defend himself adequately against the matters </w:t>
      </w:r>
      <w:r w:rsidRPr="00BF3585" w:rsidR="00B17470">
        <w:rPr>
          <w:lang w:val="en-GB"/>
        </w:rPr>
        <w:t xml:space="preserve">of </w:t>
      </w:r>
      <w:r w:rsidRPr="00BF3585">
        <w:rPr>
          <w:lang w:val="en-GB"/>
        </w:rPr>
        <w:t xml:space="preserve">which he is suspected. This entails that he will have to consult his counsel for that purpose. To that end I have granted the suspect conditional release from his duty </w:t>
      </w:r>
      <w:r w:rsidRPr="00BF3585" w:rsidR="00B17470">
        <w:rPr>
          <w:lang w:val="en-GB"/>
        </w:rPr>
        <w:t xml:space="preserve">of </w:t>
      </w:r>
      <w:r w:rsidRPr="00BF3585">
        <w:rPr>
          <w:lang w:val="en-GB"/>
        </w:rPr>
        <w:t xml:space="preserve">secrecy. These conditions are necessary and serve the interest </w:t>
      </w:r>
      <w:r w:rsidRPr="00BF3585" w:rsidR="00B17470">
        <w:rPr>
          <w:lang w:val="en-GB"/>
        </w:rPr>
        <w:t xml:space="preserve">of </w:t>
      </w:r>
      <w:r w:rsidRPr="00BF3585">
        <w:rPr>
          <w:lang w:val="en-GB"/>
        </w:rPr>
        <w:t xml:space="preserve">national security. There exists </w:t>
      </w:r>
      <w:r w:rsidRPr="00BF3585" w:rsidR="00B17470">
        <w:rPr>
          <w:lang w:val="en-GB"/>
        </w:rPr>
        <w:t xml:space="preserve">a </w:t>
      </w:r>
      <w:r w:rsidRPr="00BF3585">
        <w:rPr>
          <w:lang w:val="en-GB"/>
        </w:rPr>
        <w:t xml:space="preserve">certain tension within these frameworks, i.e. </w:t>
      </w:r>
      <w:r w:rsidRPr="00BF3585" w:rsidR="00B17470">
        <w:rPr>
          <w:lang w:val="en-GB"/>
        </w:rPr>
        <w:t xml:space="preserve">a </w:t>
      </w:r>
      <w:r w:rsidRPr="00BF3585">
        <w:rPr>
          <w:lang w:val="en-GB"/>
        </w:rPr>
        <w:t xml:space="preserve">(more far-reaching) release (as requested) </w:t>
      </w:r>
      <w:r w:rsidRPr="00BF3585" w:rsidR="00B17470">
        <w:rPr>
          <w:lang w:val="en-GB"/>
        </w:rPr>
        <w:t xml:space="preserve">of </w:t>
      </w:r>
      <w:r w:rsidRPr="00BF3585">
        <w:rPr>
          <w:lang w:val="en-GB"/>
        </w:rPr>
        <w:t xml:space="preserve">the duty </w:t>
      </w:r>
      <w:r w:rsidRPr="00BF3585" w:rsidR="00B17470">
        <w:rPr>
          <w:lang w:val="en-GB"/>
        </w:rPr>
        <w:t xml:space="preserve">of </w:t>
      </w:r>
      <w:r w:rsidRPr="00BF3585">
        <w:rPr>
          <w:lang w:val="en-GB"/>
        </w:rPr>
        <w:t xml:space="preserve">secrecy and the interests </w:t>
      </w:r>
      <w:r w:rsidRPr="00BF3585" w:rsidR="00B17470">
        <w:rPr>
          <w:lang w:val="en-GB"/>
        </w:rPr>
        <w:t xml:space="preserve">of </w:t>
      </w:r>
      <w:r w:rsidRPr="00BF3585">
        <w:rPr>
          <w:lang w:val="en-GB"/>
        </w:rPr>
        <w:t>national security. After all, the AIVD c</w:t>
      </w:r>
      <w:r w:rsidRPr="00BF3585" w:rsidR="00B17470">
        <w:rPr>
          <w:lang w:val="en-GB"/>
        </w:rPr>
        <w:t xml:space="preserve">an </w:t>
      </w:r>
      <w:r w:rsidRPr="00BF3585">
        <w:rPr>
          <w:lang w:val="en-GB"/>
        </w:rPr>
        <w:t xml:space="preserve">only carry out its statutory duty within </w:t>
      </w:r>
      <w:r w:rsidRPr="00BF3585" w:rsidR="00B17470">
        <w:rPr>
          <w:lang w:val="en-GB"/>
        </w:rPr>
        <w:t xml:space="preserve">a </w:t>
      </w:r>
      <w:r w:rsidRPr="00BF3585">
        <w:rPr>
          <w:lang w:val="en-GB"/>
        </w:rPr>
        <w:t xml:space="preserve">certain measure </w:t>
      </w:r>
      <w:r w:rsidRPr="00BF3585" w:rsidR="00B17470">
        <w:rPr>
          <w:lang w:val="en-GB"/>
        </w:rPr>
        <w:t xml:space="preserve">of </w:t>
      </w:r>
      <w:r w:rsidRPr="00BF3585">
        <w:rPr>
          <w:lang w:val="en-GB"/>
        </w:rPr>
        <w:t>secrecy. Three criteri</w:t>
      </w:r>
      <w:r w:rsidRPr="00BF3585" w:rsidR="00B17470">
        <w:rPr>
          <w:lang w:val="en-GB"/>
        </w:rPr>
        <w:t xml:space="preserve">a </w:t>
      </w:r>
      <w:r w:rsidRPr="00BF3585">
        <w:rPr>
          <w:lang w:val="en-GB"/>
        </w:rPr>
        <w:t xml:space="preserve">are </w:t>
      </w:r>
      <w:r w:rsidRPr="00BF3585" w:rsidR="00B17470">
        <w:rPr>
          <w:lang w:val="en-GB"/>
        </w:rPr>
        <w:t xml:space="preserve">of </w:t>
      </w:r>
      <w:r w:rsidRPr="00BF3585">
        <w:rPr>
          <w:lang w:val="en-GB"/>
        </w:rPr>
        <w:t xml:space="preserve">importance in this respect, namely that the AIVD should be able to maintain the secrecy </w:t>
      </w:r>
      <w:r w:rsidRPr="00BF3585" w:rsidR="00B17470">
        <w:rPr>
          <w:lang w:val="en-GB"/>
        </w:rPr>
        <w:t xml:space="preserve">of </w:t>
      </w:r>
      <w:r w:rsidRPr="00BF3585">
        <w:rPr>
          <w:lang w:val="en-GB"/>
        </w:rPr>
        <w:t xml:space="preserve">its current levels </w:t>
      </w:r>
      <w:r w:rsidRPr="00BF3585" w:rsidR="00B17470">
        <w:rPr>
          <w:lang w:val="en-GB"/>
        </w:rPr>
        <w:t xml:space="preserve">of </w:t>
      </w:r>
      <w:r w:rsidRPr="00BF3585">
        <w:rPr>
          <w:lang w:val="en-GB"/>
        </w:rPr>
        <w:t>intelligence, its sources and its working methods. These are critical thresholds that c</w:t>
      </w:r>
      <w:r w:rsidRPr="00BF3585" w:rsidR="00B17470">
        <w:rPr>
          <w:lang w:val="en-GB"/>
        </w:rPr>
        <w:t xml:space="preserve">an </w:t>
      </w:r>
      <w:r w:rsidRPr="00BF3585">
        <w:rPr>
          <w:lang w:val="en-GB"/>
        </w:rPr>
        <w:t xml:space="preserve">be seen as the practical implementation </w:t>
      </w:r>
      <w:r w:rsidRPr="00BF3585" w:rsidR="00B17470">
        <w:rPr>
          <w:lang w:val="en-GB"/>
        </w:rPr>
        <w:t xml:space="preserve">of </w:t>
      </w:r>
      <w:r w:rsidRPr="00BF3585">
        <w:rPr>
          <w:lang w:val="en-GB"/>
        </w:rPr>
        <w:t xml:space="preserve">the so-called </w:t>
      </w:r>
      <w:r w:rsidRPr="00BF3585" w:rsidR="00BF3585">
        <w:rPr>
          <w:lang w:val="en-GB"/>
        </w:rPr>
        <w:t>‘</w:t>
      </w:r>
      <w:r w:rsidRPr="00BF3585">
        <w:rPr>
          <w:lang w:val="en-GB"/>
        </w:rPr>
        <w:t>jeopardise</w:t>
      </w:r>
      <w:r w:rsidRPr="00BF3585" w:rsidR="00BF3585">
        <w:rPr>
          <w:lang w:val="en-GB"/>
        </w:rPr>
        <w:t>’</w:t>
      </w:r>
      <w:r w:rsidRPr="00BF3585">
        <w:rPr>
          <w:lang w:val="en-GB"/>
        </w:rPr>
        <w:t xml:space="preserve"> criterion in the case-law </w:t>
      </w:r>
      <w:r w:rsidRPr="00BF3585" w:rsidR="00B17470">
        <w:rPr>
          <w:lang w:val="en-GB"/>
        </w:rPr>
        <w:t xml:space="preserve">of </w:t>
      </w:r>
      <w:r w:rsidRPr="00BF3585">
        <w:rPr>
          <w:lang w:val="en-GB"/>
        </w:rPr>
        <w:t>the Europe</w:t>
      </w:r>
      <w:r w:rsidRPr="00BF3585" w:rsidR="00B17470">
        <w:rPr>
          <w:lang w:val="en-GB"/>
        </w:rPr>
        <w:t xml:space="preserve">an </w:t>
      </w:r>
      <w:r w:rsidRPr="00BF3585">
        <w:rPr>
          <w:lang w:val="en-GB"/>
        </w:rPr>
        <w:t xml:space="preserve">Court </w:t>
      </w:r>
      <w:r w:rsidRPr="00BF3585" w:rsidR="00B17470">
        <w:rPr>
          <w:lang w:val="en-GB"/>
        </w:rPr>
        <w:t xml:space="preserve">of </w:t>
      </w:r>
      <w:r w:rsidRPr="00BF3585">
        <w:rPr>
          <w:lang w:val="en-GB"/>
        </w:rPr>
        <w:t>Hum</w:t>
      </w:r>
      <w:r w:rsidRPr="00BF3585" w:rsidR="00B17470">
        <w:rPr>
          <w:lang w:val="en-GB"/>
        </w:rPr>
        <w:t xml:space="preserve">an </w:t>
      </w:r>
      <w:r w:rsidRPr="00BF3585">
        <w:rPr>
          <w:lang w:val="en-GB"/>
        </w:rPr>
        <w:t>Rights.</w:t>
      </w:r>
    </w:p>
    <w:p w:rsidRPr="00BF3585" w:rsidR="00C6083D" w:rsidP="00BF3585" w:rsidRDefault="00C6083D">
      <w:pPr>
        <w:pStyle w:val="ECHRParaQuote"/>
        <w:rPr>
          <w:lang w:val="en-GB"/>
        </w:rPr>
      </w:pPr>
      <w:r w:rsidRPr="00BF3585">
        <w:rPr>
          <w:lang w:val="en-GB"/>
        </w:rPr>
        <w:t>...</w:t>
      </w:r>
    </w:p>
    <w:p w:rsidRPr="00BF3585" w:rsidR="00C6083D" w:rsidP="00BF3585" w:rsidRDefault="00C6083D">
      <w:pPr>
        <w:pStyle w:val="ECHRParaQuote"/>
        <w:rPr>
          <w:lang w:val="en-GB"/>
        </w:rPr>
      </w:pPr>
      <w:r w:rsidRPr="00BF3585">
        <w:rPr>
          <w:lang w:val="en-GB"/>
        </w:rPr>
        <w:t>... Two additional conditions apply:</w:t>
      </w:r>
    </w:p>
    <w:p w:rsidRPr="00BF3585" w:rsidR="00C6083D" w:rsidP="00BF3585" w:rsidRDefault="00C6083D">
      <w:pPr>
        <w:pStyle w:val="ECHRParaQuote"/>
        <w:rPr>
          <w:lang w:val="en-GB"/>
        </w:rPr>
      </w:pPr>
      <w:r w:rsidRPr="00BF3585">
        <w:rPr>
          <w:lang w:val="en-GB"/>
        </w:rPr>
        <w:t xml:space="preserve">1.  the release from his duty </w:t>
      </w:r>
      <w:r w:rsidRPr="00BF3585" w:rsidR="00B17470">
        <w:rPr>
          <w:lang w:val="en-GB"/>
        </w:rPr>
        <w:t xml:space="preserve">of </w:t>
      </w:r>
      <w:r w:rsidRPr="00BF3585">
        <w:rPr>
          <w:lang w:val="en-GB"/>
        </w:rPr>
        <w:t>secrecy granted [the applicant] shall apply solely to communication between the suspect, his lawyers Böhler and Pestman, Public Prosecutor Z. and the court, and</w:t>
      </w:r>
    </w:p>
    <w:p w:rsidRPr="00BF3585" w:rsidR="00C6083D" w:rsidP="00BF3585" w:rsidRDefault="00C6083D">
      <w:pPr>
        <w:pStyle w:val="ECHRParaQuote"/>
        <w:rPr>
          <w:lang w:val="en-GB"/>
        </w:rPr>
      </w:pPr>
      <w:r w:rsidRPr="00BF3585">
        <w:rPr>
          <w:lang w:val="en-GB"/>
        </w:rPr>
        <w:t xml:space="preserve">2.  shall take place within the confines </w:t>
      </w:r>
      <w:r w:rsidRPr="00BF3585" w:rsidR="00B17470">
        <w:rPr>
          <w:lang w:val="en-GB"/>
        </w:rPr>
        <w:t xml:space="preserve">of </w:t>
      </w:r>
      <w:r w:rsidRPr="00BF3585">
        <w:rPr>
          <w:lang w:val="en-GB"/>
        </w:rPr>
        <w:t xml:space="preserve">the offices </w:t>
      </w:r>
      <w:r w:rsidRPr="00BF3585" w:rsidR="00B17470">
        <w:rPr>
          <w:lang w:val="en-GB"/>
        </w:rPr>
        <w:t xml:space="preserve">of </w:t>
      </w:r>
      <w:r w:rsidRPr="00BF3585">
        <w:rPr>
          <w:lang w:val="en-GB"/>
        </w:rPr>
        <w:t xml:space="preserve">the Investigating Judge or in the presence </w:t>
      </w:r>
      <w:r w:rsidRPr="00BF3585" w:rsidR="00B17470">
        <w:rPr>
          <w:lang w:val="en-GB"/>
        </w:rPr>
        <w:t xml:space="preserve">of </w:t>
      </w:r>
      <w:r w:rsidRPr="00BF3585">
        <w:rPr>
          <w:lang w:val="en-GB"/>
        </w:rPr>
        <w:t xml:space="preserve">the trial court in </w:t>
      </w:r>
      <w:r w:rsidRPr="00BF3585" w:rsidR="00B17470">
        <w:rPr>
          <w:lang w:val="en-GB"/>
        </w:rPr>
        <w:t xml:space="preserve">a </w:t>
      </w:r>
      <w:r w:rsidRPr="00BF3585">
        <w:rPr>
          <w:lang w:val="en-GB"/>
        </w:rPr>
        <w:t>closed hearing.</w:t>
      </w:r>
    </w:p>
    <w:p w:rsidRPr="00BF3585" w:rsidR="00C6083D" w:rsidP="00BF3585" w:rsidRDefault="00C6083D">
      <w:pPr>
        <w:pStyle w:val="ECHRParaQuote"/>
        <w:rPr>
          <w:lang w:val="en-GB"/>
        </w:rPr>
      </w:pPr>
      <w:r w:rsidRPr="00BF3585">
        <w:rPr>
          <w:lang w:val="en-GB"/>
        </w:rPr>
        <w:t>...</w:t>
      </w:r>
    </w:p>
    <w:p w:rsidRPr="00BF3585" w:rsidR="00C6083D" w:rsidP="00BF3585" w:rsidRDefault="00C6083D">
      <w:pPr>
        <w:pStyle w:val="ECHRParaQuote"/>
        <w:rPr>
          <w:lang w:val="en-GB"/>
        </w:rPr>
      </w:pPr>
      <w:r w:rsidRPr="00BF3585">
        <w:rPr>
          <w:lang w:val="en-GB"/>
        </w:rPr>
        <w:t xml:space="preserve">The parties to the proceedings are to submit their questions and other requests to you [i.e. the investigating judge]. You then check whether the questions and requests are </w:t>
      </w:r>
      <w:r w:rsidRPr="00BF3585" w:rsidR="00B17470">
        <w:rPr>
          <w:lang w:val="en-GB"/>
        </w:rPr>
        <w:t xml:space="preserve">of </w:t>
      </w:r>
      <w:r w:rsidRPr="00BF3585">
        <w:rPr>
          <w:lang w:val="en-GB"/>
        </w:rPr>
        <w:t>any procedural significance (</w:t>
      </w:r>
      <w:r w:rsidRPr="00BF3585">
        <w:rPr>
          <w:i/>
          <w:lang w:val="en-GB"/>
        </w:rPr>
        <w:t>strafvorderlijk belang</w:t>
      </w:r>
      <w:r w:rsidRPr="00BF3585">
        <w:rPr>
          <w:lang w:val="en-GB"/>
        </w:rPr>
        <w:t xml:space="preserve">) in these proceedings, as you have indicated to me with regard to the three subjects mentioned by counsel. In the affirmative, you offer me the opportunity to consider whether the </w:t>
      </w:r>
      <w:r w:rsidRPr="00BF3585">
        <w:rPr>
          <w:i/>
          <w:lang w:val="en-GB"/>
        </w:rPr>
        <w:t>text</w:t>
      </w:r>
      <w:r w:rsidRPr="00BF3585">
        <w:rPr>
          <w:lang w:val="en-GB"/>
        </w:rPr>
        <w:t xml:space="preserve"> </w:t>
      </w:r>
      <w:r w:rsidRPr="00BF3585" w:rsidR="00B17470">
        <w:rPr>
          <w:lang w:val="en-GB"/>
        </w:rPr>
        <w:t xml:space="preserve">of </w:t>
      </w:r>
      <w:r w:rsidRPr="00BF3585">
        <w:rPr>
          <w:lang w:val="en-GB"/>
        </w:rPr>
        <w:t>the questions in itself c</w:t>
      </w:r>
      <w:r w:rsidRPr="00BF3585" w:rsidR="00B17470">
        <w:rPr>
          <w:lang w:val="en-GB"/>
        </w:rPr>
        <w:t xml:space="preserve">an </w:t>
      </w:r>
      <w:r w:rsidRPr="00BF3585">
        <w:rPr>
          <w:lang w:val="en-GB"/>
        </w:rPr>
        <w:t>harm national security.</w:t>
      </w:r>
    </w:p>
    <w:p w:rsidRPr="00BF3585" w:rsidR="00C6083D" w:rsidP="00BF3585" w:rsidRDefault="00C6083D">
      <w:pPr>
        <w:pStyle w:val="ECHRParaQuote"/>
        <w:rPr>
          <w:lang w:val="en-GB"/>
        </w:rPr>
      </w:pPr>
      <w:r w:rsidRPr="00BF3585">
        <w:rPr>
          <w:lang w:val="en-GB"/>
        </w:rPr>
        <w:t>In the (probably most likely) event that the questions in themselves cannot harm national security, the answer c</w:t>
      </w:r>
      <w:r w:rsidRPr="00BF3585" w:rsidR="00B17470">
        <w:rPr>
          <w:lang w:val="en-GB"/>
        </w:rPr>
        <w:t xml:space="preserve">an </w:t>
      </w:r>
      <w:r w:rsidRPr="00BF3585">
        <w:rPr>
          <w:lang w:val="en-GB"/>
        </w:rPr>
        <w:t xml:space="preserve">be provided in the accustomed way, i.e. by means </w:t>
      </w:r>
      <w:r w:rsidRPr="00BF3585" w:rsidR="00B17470">
        <w:rPr>
          <w:lang w:val="en-GB"/>
        </w:rPr>
        <w:t xml:space="preserve">of an </w:t>
      </w:r>
      <w:r w:rsidRPr="00BF3585">
        <w:rPr>
          <w:lang w:val="en-GB"/>
        </w:rPr>
        <w:t>official AIVD report ...</w:t>
      </w:r>
    </w:p>
    <w:p w:rsidRPr="00BF3585" w:rsidR="00C6083D" w:rsidP="00BF3585" w:rsidRDefault="00C6083D">
      <w:pPr>
        <w:pStyle w:val="ECHRParaQuote"/>
        <w:rPr>
          <w:lang w:val="en-GB"/>
        </w:rPr>
      </w:pPr>
      <w:r w:rsidRPr="00BF3585">
        <w:rPr>
          <w:lang w:val="en-GB"/>
        </w:rPr>
        <w:t>In addition, and if the parties to the proceedings consider it necessary, more specific answers c</w:t>
      </w:r>
      <w:r w:rsidRPr="00BF3585" w:rsidR="00B17470">
        <w:rPr>
          <w:lang w:val="en-GB"/>
        </w:rPr>
        <w:t xml:space="preserve">an </w:t>
      </w:r>
      <w:r w:rsidRPr="00BF3585">
        <w:rPr>
          <w:lang w:val="en-GB"/>
        </w:rPr>
        <w:t xml:space="preserve">be given by means of, for example, the hearing </w:t>
      </w:r>
      <w:r w:rsidRPr="00BF3585" w:rsidR="00B17470">
        <w:rPr>
          <w:lang w:val="en-GB"/>
        </w:rPr>
        <w:t xml:space="preserve">of </w:t>
      </w:r>
      <w:r w:rsidRPr="00BF3585">
        <w:rPr>
          <w:lang w:val="en-GB"/>
        </w:rPr>
        <w:t xml:space="preserve">witnesses. Perhaps unnecessarily I would observe that section 86(2) </w:t>
      </w:r>
      <w:r w:rsidRPr="00BF3585" w:rsidR="00B17470">
        <w:rPr>
          <w:lang w:val="en-GB"/>
        </w:rPr>
        <w:t xml:space="preserve">of </w:t>
      </w:r>
      <w:r w:rsidRPr="00BF3585">
        <w:rPr>
          <w:lang w:val="en-GB"/>
        </w:rPr>
        <w:t>the 2002 Intelligence and Security Services Act (</w:t>
      </w:r>
      <w:r w:rsidRPr="00BF3585">
        <w:rPr>
          <w:i/>
          <w:lang w:val="en-GB"/>
        </w:rPr>
        <w:t>Wet op de inlichtingen- en veiligheidsdiensten</w:t>
      </w:r>
      <w:r w:rsidRPr="00BF3585">
        <w:rPr>
          <w:lang w:val="en-GB"/>
        </w:rPr>
        <w:t>) applies.</w:t>
      </w:r>
    </w:p>
    <w:p w:rsidRPr="00BF3585" w:rsidR="00C6083D" w:rsidP="00BF3585" w:rsidRDefault="00C6083D">
      <w:pPr>
        <w:pStyle w:val="ECHRParaQuote"/>
        <w:rPr>
          <w:lang w:val="en-GB"/>
        </w:rPr>
      </w:pPr>
      <w:r w:rsidRPr="00BF3585">
        <w:rPr>
          <w:lang w:val="en-GB"/>
        </w:rPr>
        <w:t xml:space="preserve">In the event that the line </w:t>
      </w:r>
      <w:r w:rsidRPr="00BF3585" w:rsidR="00B17470">
        <w:rPr>
          <w:lang w:val="en-GB"/>
        </w:rPr>
        <w:t xml:space="preserve">of </w:t>
      </w:r>
      <w:r w:rsidRPr="00BF3585">
        <w:rPr>
          <w:lang w:val="en-GB"/>
        </w:rPr>
        <w:t>questioning (</w:t>
      </w:r>
      <w:r w:rsidRPr="00BF3585">
        <w:rPr>
          <w:i/>
          <w:lang w:val="en-GB"/>
        </w:rPr>
        <w:t>vraagstelling</w:t>
      </w:r>
      <w:r w:rsidRPr="00BF3585">
        <w:rPr>
          <w:lang w:val="en-GB"/>
        </w:rPr>
        <w:t xml:space="preserve">) in itself is capable </w:t>
      </w:r>
      <w:r w:rsidRPr="00BF3585" w:rsidR="00B17470">
        <w:rPr>
          <w:lang w:val="en-GB"/>
        </w:rPr>
        <w:t xml:space="preserve">of </w:t>
      </w:r>
      <w:r w:rsidRPr="00BF3585">
        <w:rPr>
          <w:lang w:val="en-GB"/>
        </w:rPr>
        <w:t xml:space="preserve">endangering national security, it is my responsibility, pursuant to section 15 </w:t>
      </w:r>
      <w:r w:rsidRPr="00BF3585" w:rsidR="00B17470">
        <w:rPr>
          <w:lang w:val="en-GB"/>
        </w:rPr>
        <w:t xml:space="preserve">of </w:t>
      </w:r>
      <w:r w:rsidRPr="00BF3585">
        <w:rPr>
          <w:lang w:val="en-GB"/>
        </w:rPr>
        <w:t xml:space="preserve">the 2002 Intelligence and Security Services Act, to ensure the secrecy </w:t>
      </w:r>
      <w:r w:rsidRPr="00BF3585" w:rsidR="00B17470">
        <w:rPr>
          <w:lang w:val="en-GB"/>
        </w:rPr>
        <w:t xml:space="preserve">of </w:t>
      </w:r>
      <w:r w:rsidRPr="00BF3585">
        <w:rPr>
          <w:lang w:val="en-GB"/>
        </w:rPr>
        <w:t>the information that should remain so and accordingly the classi</w:t>
      </w:r>
      <w:r w:rsidRPr="00BF3585" w:rsidR="003336F4">
        <w:rPr>
          <w:lang w:val="en-GB"/>
        </w:rPr>
        <w:t xml:space="preserve">fication </w:t>
      </w:r>
      <w:r w:rsidRPr="00BF3585" w:rsidR="00B17470">
        <w:rPr>
          <w:lang w:val="en-GB"/>
        </w:rPr>
        <w:t xml:space="preserve">of </w:t>
      </w:r>
      <w:r w:rsidRPr="00BF3585" w:rsidR="003336F4">
        <w:rPr>
          <w:lang w:val="en-GB"/>
        </w:rPr>
        <w:t>that information. I </w:t>
      </w:r>
      <w:r w:rsidRPr="00BF3585">
        <w:rPr>
          <w:lang w:val="en-GB"/>
        </w:rPr>
        <w:t xml:space="preserve">therefore propose that you do not place this information, after I have classified it, in the case file and to request the Regional Court to deal with those questions at </w:t>
      </w:r>
      <w:r w:rsidRPr="00BF3585" w:rsidR="00B17470">
        <w:rPr>
          <w:lang w:val="en-GB"/>
        </w:rPr>
        <w:t xml:space="preserve">a </w:t>
      </w:r>
      <w:r w:rsidRPr="00BF3585">
        <w:rPr>
          <w:lang w:val="en-GB"/>
        </w:rPr>
        <w:t xml:space="preserve">closed hearing. I am </w:t>
      </w:r>
      <w:r w:rsidRPr="00BF3585" w:rsidR="00B17470">
        <w:rPr>
          <w:lang w:val="en-GB"/>
        </w:rPr>
        <w:t xml:space="preserve">of </w:t>
      </w:r>
      <w:r w:rsidRPr="00BF3585">
        <w:rPr>
          <w:lang w:val="en-GB"/>
        </w:rPr>
        <w:t xml:space="preserve">the opinion that the above procedural proposal serves the interests </w:t>
      </w:r>
      <w:r w:rsidRPr="00BF3585" w:rsidR="00B17470">
        <w:rPr>
          <w:lang w:val="en-GB"/>
        </w:rPr>
        <w:t xml:space="preserve">of </w:t>
      </w:r>
      <w:r w:rsidRPr="00BF3585">
        <w:rPr>
          <w:lang w:val="en-GB"/>
        </w:rPr>
        <w:t>all parties to the proceedings, taking into account the interests involved in national security.</w:t>
      </w:r>
    </w:p>
    <w:p w:rsidRPr="00BF3585" w:rsidR="00C6083D" w:rsidP="00BF3585" w:rsidRDefault="00C6083D">
      <w:pPr>
        <w:pStyle w:val="ECHRParaQuote"/>
        <w:rPr>
          <w:lang w:val="en-GB"/>
        </w:rPr>
      </w:pPr>
      <w:r w:rsidRPr="00BF3585">
        <w:rPr>
          <w:lang w:val="en-GB"/>
        </w:rPr>
        <w:t>...</w:t>
      </w:r>
    </w:p>
    <w:p w:rsidRPr="00BF3585" w:rsidR="00C6083D" w:rsidP="00BF3585" w:rsidRDefault="00C6083D">
      <w:pPr>
        <w:pStyle w:val="ECHRParaQuote"/>
        <w:rPr>
          <w:lang w:val="en-GB"/>
        </w:rPr>
      </w:pPr>
      <w:r w:rsidRPr="00BF3585">
        <w:rPr>
          <w:lang w:val="en-GB"/>
        </w:rPr>
        <w:t xml:space="preserve">The second condition, which is that the suspect should not be allowed to disclose the identities </w:t>
      </w:r>
      <w:r w:rsidRPr="00BF3585" w:rsidR="00B17470">
        <w:rPr>
          <w:lang w:val="en-GB"/>
        </w:rPr>
        <w:t xml:space="preserve">of </w:t>
      </w:r>
      <w:r w:rsidRPr="00BF3585">
        <w:rPr>
          <w:lang w:val="en-GB"/>
        </w:rPr>
        <w:t>AIVD members or hum</w:t>
      </w:r>
      <w:r w:rsidRPr="00BF3585" w:rsidR="00B17470">
        <w:rPr>
          <w:lang w:val="en-GB"/>
        </w:rPr>
        <w:t xml:space="preserve">an </w:t>
      </w:r>
      <w:r w:rsidRPr="00BF3585">
        <w:rPr>
          <w:lang w:val="en-GB"/>
        </w:rPr>
        <w:t xml:space="preserve">sources, </w:t>
      </w:r>
      <w:r w:rsidRPr="00BF3585" w:rsidR="003336F4">
        <w:rPr>
          <w:lang w:val="en-GB"/>
        </w:rPr>
        <w:t>appears clear enough to me. All </w:t>
      </w:r>
      <w:r w:rsidRPr="00BF3585">
        <w:rPr>
          <w:lang w:val="en-GB"/>
        </w:rPr>
        <w:t xml:space="preserve">information that, whether or not in combination with other information, may lead to the identities </w:t>
      </w:r>
      <w:r w:rsidRPr="00BF3585" w:rsidR="00B17470">
        <w:rPr>
          <w:lang w:val="en-GB"/>
        </w:rPr>
        <w:t xml:space="preserve">of </w:t>
      </w:r>
      <w:r w:rsidRPr="00BF3585">
        <w:rPr>
          <w:lang w:val="en-GB"/>
        </w:rPr>
        <w:t>AIVD members or hum</w:t>
      </w:r>
      <w:r w:rsidRPr="00BF3585" w:rsidR="00B17470">
        <w:rPr>
          <w:lang w:val="en-GB"/>
        </w:rPr>
        <w:t xml:space="preserve">an </w:t>
      </w:r>
      <w:r w:rsidRPr="00BF3585">
        <w:rPr>
          <w:lang w:val="en-GB"/>
        </w:rPr>
        <w:t xml:space="preserve">sources becoming known, falls within the scope </w:t>
      </w:r>
      <w:r w:rsidRPr="00BF3585" w:rsidR="00B17470">
        <w:rPr>
          <w:lang w:val="en-GB"/>
        </w:rPr>
        <w:t xml:space="preserve">of </w:t>
      </w:r>
      <w:r w:rsidRPr="00BF3585">
        <w:rPr>
          <w:lang w:val="en-GB"/>
        </w:rPr>
        <w:t xml:space="preserve">the second condition for release [from the duty </w:t>
      </w:r>
      <w:r w:rsidRPr="00BF3585" w:rsidR="00B17470">
        <w:rPr>
          <w:lang w:val="en-GB"/>
        </w:rPr>
        <w:t xml:space="preserve">of </w:t>
      </w:r>
      <w:r w:rsidRPr="00BF3585">
        <w:rPr>
          <w:lang w:val="en-GB"/>
        </w:rPr>
        <w:t>secrecy].</w:t>
      </w:r>
    </w:p>
    <w:p w:rsidRPr="00BF3585" w:rsidR="00C6083D" w:rsidP="00BF3585" w:rsidRDefault="00C6083D">
      <w:pPr>
        <w:pStyle w:val="ECHRParaQuote"/>
        <w:rPr>
          <w:lang w:val="en-GB"/>
        </w:rPr>
      </w:pPr>
      <w:r w:rsidRPr="00BF3585">
        <w:rPr>
          <w:lang w:val="en-GB"/>
        </w:rPr>
        <w:t>...</w:t>
      </w:r>
    </w:p>
    <w:p w:rsidRPr="00BF3585" w:rsidR="00C6083D" w:rsidP="00BF3585" w:rsidRDefault="00C6083D">
      <w:pPr>
        <w:pStyle w:val="ECHRParaQuote"/>
        <w:rPr>
          <w:lang w:val="en-GB"/>
        </w:rPr>
      </w:pPr>
      <w:r w:rsidRPr="00BF3585">
        <w:rPr>
          <w:lang w:val="en-GB"/>
        </w:rPr>
        <w:t xml:space="preserve">As regards the third and fourth conditions, I am </w:t>
      </w:r>
      <w:r w:rsidRPr="00BF3585" w:rsidR="00B17470">
        <w:rPr>
          <w:lang w:val="en-GB"/>
        </w:rPr>
        <w:t xml:space="preserve">of </w:t>
      </w:r>
      <w:r w:rsidRPr="00BF3585">
        <w:rPr>
          <w:lang w:val="en-GB"/>
        </w:rPr>
        <w:t xml:space="preserve">the view that these too are sufficiently clear: [the applicant] is released from his duty </w:t>
      </w:r>
      <w:r w:rsidRPr="00BF3585" w:rsidR="00B17470">
        <w:rPr>
          <w:lang w:val="en-GB"/>
        </w:rPr>
        <w:t xml:space="preserve">of </w:t>
      </w:r>
      <w:r w:rsidRPr="00BF3585">
        <w:rPr>
          <w:lang w:val="en-GB"/>
        </w:rPr>
        <w:t>secrecy vis-à-vis his counsel Dr B. Böhler and Mr M. Pestm</w:t>
      </w:r>
      <w:r w:rsidRPr="00BF3585" w:rsidR="00B17470">
        <w:rPr>
          <w:lang w:val="en-GB"/>
        </w:rPr>
        <w:t xml:space="preserve">an </w:t>
      </w:r>
      <w:r w:rsidRPr="00BF3585">
        <w:rPr>
          <w:lang w:val="en-GB"/>
        </w:rPr>
        <w:t>in so far as consultation between the suspect and his counsel [Dr] Böhler and Mr Pestm</w:t>
      </w:r>
      <w:r w:rsidRPr="00BF3585" w:rsidR="00B17470">
        <w:rPr>
          <w:lang w:val="en-GB"/>
        </w:rPr>
        <w:t xml:space="preserve">an </w:t>
      </w:r>
      <w:r w:rsidRPr="00BF3585">
        <w:rPr>
          <w:lang w:val="en-GB"/>
        </w:rPr>
        <w:t>relates to the crimes with which he is charged. In the event that counsel wish to discuss documents with the suspect which they may wish to add to the case file, the third and fourth conditions should be interpreted to me</w:t>
      </w:r>
      <w:r w:rsidRPr="00BF3585" w:rsidR="00B17470">
        <w:rPr>
          <w:lang w:val="en-GB"/>
        </w:rPr>
        <w:t xml:space="preserve">an </w:t>
      </w:r>
      <w:r w:rsidRPr="00BF3585">
        <w:rPr>
          <w:lang w:val="en-GB"/>
        </w:rPr>
        <w:t xml:space="preserve">that the documents must be relevant and directly necessary for the defence in this case and may possibly be added to the case file. [These requirements of] relevance and direct necessity also apply to the preparation </w:t>
      </w:r>
      <w:r w:rsidRPr="00BF3585" w:rsidR="00B17470">
        <w:rPr>
          <w:lang w:val="en-GB"/>
        </w:rPr>
        <w:t xml:space="preserve">of </w:t>
      </w:r>
      <w:r w:rsidRPr="00BF3585">
        <w:rPr>
          <w:lang w:val="en-GB"/>
        </w:rPr>
        <w:t>requests and defences.</w:t>
      </w:r>
    </w:p>
    <w:p w:rsidRPr="00BF3585" w:rsidR="00C6083D" w:rsidP="00BF3585" w:rsidRDefault="00C6083D">
      <w:pPr>
        <w:pStyle w:val="ECHRParaQuote"/>
        <w:rPr>
          <w:lang w:val="en-GB"/>
        </w:rPr>
      </w:pPr>
      <w:r w:rsidRPr="00BF3585">
        <w:rPr>
          <w:lang w:val="en-GB"/>
        </w:rPr>
        <w:t xml:space="preserve">As to the latter condition: if and when such </w:t>
      </w:r>
      <w:r w:rsidRPr="00BF3585" w:rsidR="00B17470">
        <w:rPr>
          <w:lang w:val="en-GB"/>
        </w:rPr>
        <w:t xml:space="preserve">a </w:t>
      </w:r>
      <w:r w:rsidRPr="00BF3585">
        <w:rPr>
          <w:lang w:val="en-GB"/>
        </w:rPr>
        <w:t>procedu</w:t>
      </w:r>
      <w:r w:rsidRPr="00BF3585" w:rsidR="003336F4">
        <w:rPr>
          <w:lang w:val="en-GB"/>
        </w:rPr>
        <w:t xml:space="preserve">re becomes </w:t>
      </w:r>
      <w:r w:rsidRPr="00BF3585" w:rsidR="00B17470">
        <w:rPr>
          <w:lang w:val="en-GB"/>
        </w:rPr>
        <w:t xml:space="preserve">a real possibility I </w:t>
      </w:r>
      <w:r w:rsidRPr="00BF3585">
        <w:rPr>
          <w:lang w:val="en-GB"/>
        </w:rPr>
        <w:t xml:space="preserve">will consider, if asked, whether release from the duty </w:t>
      </w:r>
      <w:r w:rsidRPr="00BF3585" w:rsidR="00B17470">
        <w:rPr>
          <w:lang w:val="en-GB"/>
        </w:rPr>
        <w:t xml:space="preserve">of </w:t>
      </w:r>
      <w:r w:rsidRPr="00BF3585">
        <w:rPr>
          <w:lang w:val="en-GB"/>
        </w:rPr>
        <w:t>secrecy, conditional or not, is possible.</w:t>
      </w:r>
    </w:p>
    <w:p w:rsidRPr="00BF3585" w:rsidR="00C6083D" w:rsidP="00BF3585" w:rsidRDefault="00C6083D">
      <w:pPr>
        <w:pStyle w:val="ECHRParaQuote"/>
        <w:rPr>
          <w:lang w:val="en-GB"/>
        </w:rPr>
      </w:pPr>
      <w:r w:rsidRPr="00BF3585">
        <w:rPr>
          <w:lang w:val="en-GB"/>
        </w:rPr>
        <w:t>...</w:t>
      </w:r>
    </w:p>
    <w:p w:rsidRPr="00BF3585" w:rsidR="00C6083D" w:rsidP="00BF3585" w:rsidRDefault="00C6083D">
      <w:pPr>
        <w:pStyle w:val="ECHRParaQuote"/>
        <w:rPr>
          <w:lang w:val="en-GB"/>
        </w:rPr>
      </w:pPr>
      <w:r w:rsidRPr="00BF3585">
        <w:rPr>
          <w:lang w:val="en-GB"/>
        </w:rPr>
        <w:t>Fourthly, you have asked me to react to the wi</w:t>
      </w:r>
      <w:r w:rsidRPr="00BF3585" w:rsidR="003336F4">
        <w:rPr>
          <w:lang w:val="en-GB"/>
        </w:rPr>
        <w:t>tnesses requested by counsel. I </w:t>
      </w:r>
      <w:r w:rsidRPr="00BF3585">
        <w:rPr>
          <w:lang w:val="en-GB"/>
        </w:rPr>
        <w:t>presume that you me</w:t>
      </w:r>
      <w:r w:rsidRPr="00BF3585" w:rsidR="00B17470">
        <w:rPr>
          <w:lang w:val="en-GB"/>
        </w:rPr>
        <w:t xml:space="preserve">an </w:t>
      </w:r>
      <w:r w:rsidRPr="00BF3585">
        <w:rPr>
          <w:lang w:val="en-GB"/>
        </w:rPr>
        <w:t xml:space="preserve">the AIVD members. I am </w:t>
      </w:r>
      <w:r w:rsidRPr="00BF3585" w:rsidR="00B17470">
        <w:rPr>
          <w:lang w:val="en-GB"/>
        </w:rPr>
        <w:t xml:space="preserve">of </w:t>
      </w:r>
      <w:r w:rsidRPr="00BF3585">
        <w:rPr>
          <w:lang w:val="en-GB"/>
        </w:rPr>
        <w:t xml:space="preserve">the opinion that this is above all </w:t>
      </w:r>
      <w:r w:rsidRPr="00BF3585" w:rsidR="00B17470">
        <w:rPr>
          <w:lang w:val="en-GB"/>
        </w:rPr>
        <w:t xml:space="preserve">a </w:t>
      </w:r>
      <w:r w:rsidRPr="00BF3585">
        <w:rPr>
          <w:lang w:val="en-GB"/>
        </w:rPr>
        <w:t xml:space="preserve">matter </w:t>
      </w:r>
      <w:r w:rsidRPr="00BF3585" w:rsidR="00B17470">
        <w:rPr>
          <w:lang w:val="en-GB"/>
        </w:rPr>
        <w:t xml:space="preserve">of </w:t>
      </w:r>
      <w:r w:rsidRPr="00BF3585">
        <w:rPr>
          <w:lang w:val="en-GB"/>
        </w:rPr>
        <w:t xml:space="preserve">criminal procedure, the public prosecutor indicating in her letter that the questions counsel would like to ask relate primarily to the working methods </w:t>
      </w:r>
      <w:r w:rsidRPr="00BF3585" w:rsidR="00B17470">
        <w:rPr>
          <w:lang w:val="en-GB"/>
        </w:rPr>
        <w:t xml:space="preserve">of </w:t>
      </w:r>
      <w:r w:rsidRPr="00BF3585">
        <w:rPr>
          <w:lang w:val="en-GB"/>
        </w:rPr>
        <w:t xml:space="preserve">the AIVD, the spreading </w:t>
      </w:r>
      <w:r w:rsidRPr="00BF3585" w:rsidR="00B17470">
        <w:rPr>
          <w:lang w:val="en-GB"/>
        </w:rPr>
        <w:t xml:space="preserve">of </w:t>
      </w:r>
      <w:r w:rsidRPr="00BF3585">
        <w:rPr>
          <w:lang w:val="en-GB"/>
        </w:rPr>
        <w:t>the leaked information and the internal investigation into this. I c</w:t>
      </w:r>
      <w:r w:rsidRPr="00BF3585" w:rsidR="00B17470">
        <w:rPr>
          <w:lang w:val="en-GB"/>
        </w:rPr>
        <w:t xml:space="preserve">an </w:t>
      </w:r>
      <w:r w:rsidRPr="00BF3585">
        <w:rPr>
          <w:lang w:val="en-GB"/>
        </w:rPr>
        <w:t>agree with the position taken by the public prosecutor that these questions c</w:t>
      </w:r>
      <w:r w:rsidRPr="00BF3585" w:rsidR="00B17470">
        <w:rPr>
          <w:lang w:val="en-GB"/>
        </w:rPr>
        <w:t xml:space="preserve">an </w:t>
      </w:r>
      <w:r w:rsidRPr="00BF3585">
        <w:rPr>
          <w:lang w:val="en-GB"/>
        </w:rPr>
        <w:t xml:space="preserve">most probably be answered by me or my deputy during </w:t>
      </w:r>
      <w:r w:rsidRPr="00BF3585" w:rsidR="00B17470">
        <w:rPr>
          <w:lang w:val="en-GB"/>
        </w:rPr>
        <w:t xml:space="preserve">a </w:t>
      </w:r>
      <w:r w:rsidRPr="00BF3585">
        <w:rPr>
          <w:lang w:val="en-GB"/>
        </w:rPr>
        <w:t xml:space="preserve">witness hearing. Whether and to what extent national security permits the questions to be answered will have to be seen for each question. This will require me first to have the questions intended to be asked at my disposal, so that the Ministers </w:t>
      </w:r>
      <w:r w:rsidRPr="00BF3585" w:rsidR="00B17470">
        <w:rPr>
          <w:lang w:val="en-GB"/>
        </w:rPr>
        <w:t xml:space="preserve">of </w:t>
      </w:r>
      <w:r w:rsidRPr="00BF3585">
        <w:rPr>
          <w:lang w:val="en-GB"/>
        </w:rPr>
        <w:t xml:space="preserve">Justice and </w:t>
      </w:r>
      <w:r w:rsidRPr="00BF3585" w:rsidR="00B17470">
        <w:rPr>
          <w:lang w:val="en-GB"/>
        </w:rPr>
        <w:t xml:space="preserve">of </w:t>
      </w:r>
      <w:r w:rsidRPr="00BF3585">
        <w:rPr>
          <w:lang w:val="en-GB"/>
        </w:rPr>
        <w:t>Internal Affairs and Kingdom Relations c</w:t>
      </w:r>
      <w:r w:rsidRPr="00BF3585" w:rsidR="00B17470">
        <w:rPr>
          <w:lang w:val="en-GB"/>
        </w:rPr>
        <w:t xml:space="preserve">an </w:t>
      </w:r>
      <w:r w:rsidRPr="00BF3585">
        <w:rPr>
          <w:lang w:val="en-GB"/>
        </w:rPr>
        <w:t>decide together and in due tim</w:t>
      </w:r>
      <w:r w:rsidRPr="00BF3585" w:rsidR="00B17470">
        <w:rPr>
          <w:lang w:val="en-GB"/>
        </w:rPr>
        <w:t>e on the application of section </w:t>
      </w:r>
      <w:r w:rsidRPr="00BF3585">
        <w:rPr>
          <w:lang w:val="en-GB"/>
        </w:rPr>
        <w:t xml:space="preserve">86(2) </w:t>
      </w:r>
      <w:r w:rsidRPr="00BF3585" w:rsidR="00B17470">
        <w:rPr>
          <w:lang w:val="en-GB"/>
        </w:rPr>
        <w:t xml:space="preserve">of </w:t>
      </w:r>
      <w:r w:rsidRPr="00BF3585">
        <w:rPr>
          <w:lang w:val="en-GB"/>
        </w:rPr>
        <w:t>the 2002 Intelligence and Security Services Act.</w:t>
      </w:r>
    </w:p>
    <w:p w:rsidRPr="00BF3585" w:rsidR="00C6083D" w:rsidP="00BF3585" w:rsidRDefault="00C6083D">
      <w:pPr>
        <w:pStyle w:val="ECHRParaQuote"/>
        <w:rPr>
          <w:lang w:val="en-GB"/>
        </w:rPr>
      </w:pPr>
      <w:r w:rsidRPr="00BF3585">
        <w:rPr>
          <w:lang w:val="en-GB"/>
        </w:rPr>
        <w:t xml:space="preserve">As to the possible questioning </w:t>
      </w:r>
      <w:r w:rsidRPr="00BF3585" w:rsidR="00B17470">
        <w:rPr>
          <w:lang w:val="en-GB"/>
        </w:rPr>
        <w:t xml:space="preserve">of </w:t>
      </w:r>
      <w:r w:rsidRPr="00BF3585">
        <w:rPr>
          <w:lang w:val="en-GB"/>
        </w:rPr>
        <w:t xml:space="preserve">AIVD members as witnesses, I would ask you to make it possible, in pursuance </w:t>
      </w:r>
      <w:r w:rsidRPr="00BF3585" w:rsidR="00B17470">
        <w:rPr>
          <w:lang w:val="en-GB"/>
        </w:rPr>
        <w:t xml:space="preserve">of </w:t>
      </w:r>
      <w:r w:rsidRPr="00BF3585">
        <w:rPr>
          <w:lang w:val="en-GB"/>
        </w:rPr>
        <w:t xml:space="preserve">Article 187c </w:t>
      </w:r>
      <w:r w:rsidRPr="00BF3585" w:rsidR="00B17470">
        <w:rPr>
          <w:lang w:val="en-GB"/>
        </w:rPr>
        <w:t xml:space="preserve">of </w:t>
      </w:r>
      <w:r w:rsidRPr="00BF3585">
        <w:rPr>
          <w:lang w:val="en-GB"/>
        </w:rPr>
        <w:t xml:space="preserve">the Code </w:t>
      </w:r>
      <w:r w:rsidRPr="00BF3585" w:rsidR="00B17470">
        <w:rPr>
          <w:lang w:val="en-GB"/>
        </w:rPr>
        <w:t xml:space="preserve">of </w:t>
      </w:r>
      <w:r w:rsidRPr="00BF3585">
        <w:rPr>
          <w:lang w:val="en-GB"/>
        </w:rPr>
        <w:t xml:space="preserve">Criminal Procedure, for special access to be granted to </w:t>
      </w:r>
      <w:r w:rsidRPr="00BF3585" w:rsidR="00B17470">
        <w:rPr>
          <w:lang w:val="en-GB"/>
        </w:rPr>
        <w:t xml:space="preserve">an </w:t>
      </w:r>
      <w:r w:rsidRPr="00BF3585">
        <w:rPr>
          <w:lang w:val="en-GB"/>
        </w:rPr>
        <w:t>additional AIVD member. This person c</w:t>
      </w:r>
      <w:r w:rsidRPr="00BF3585" w:rsidR="00B17470">
        <w:rPr>
          <w:lang w:val="en-GB"/>
        </w:rPr>
        <w:t xml:space="preserve">an </w:t>
      </w:r>
      <w:r w:rsidRPr="00BF3585">
        <w:rPr>
          <w:lang w:val="en-GB"/>
        </w:rPr>
        <w:t xml:space="preserve">consider the interests </w:t>
      </w:r>
      <w:r w:rsidRPr="00BF3585" w:rsidR="00B17470">
        <w:rPr>
          <w:lang w:val="en-GB"/>
        </w:rPr>
        <w:t xml:space="preserve">of </w:t>
      </w:r>
      <w:r w:rsidRPr="00BF3585">
        <w:rPr>
          <w:lang w:val="en-GB"/>
        </w:rPr>
        <w:t xml:space="preserve">national security for each specific question during the interrogation. This will also permit the defence to put </w:t>
      </w:r>
      <w:r w:rsidRPr="00BF3585" w:rsidR="00BF3585">
        <w:rPr>
          <w:lang w:val="en-GB"/>
        </w:rPr>
        <w:t>‘</w:t>
      </w:r>
      <w:r w:rsidRPr="00BF3585">
        <w:rPr>
          <w:lang w:val="en-GB"/>
        </w:rPr>
        <w:t>sub-questions</w:t>
      </w:r>
      <w:r w:rsidRPr="00BF3585" w:rsidR="00BF3585">
        <w:rPr>
          <w:lang w:val="en-GB"/>
        </w:rPr>
        <w:t>’</w:t>
      </w:r>
      <w:r w:rsidRPr="00BF3585">
        <w:rPr>
          <w:lang w:val="en-GB"/>
        </w:rPr>
        <w:t xml:space="preserve">, questions arising from the questions previously submitted in writing. The hearing </w:t>
      </w:r>
      <w:r w:rsidRPr="00BF3585" w:rsidR="00B17470">
        <w:rPr>
          <w:lang w:val="en-GB"/>
        </w:rPr>
        <w:t xml:space="preserve">of </w:t>
      </w:r>
      <w:r w:rsidRPr="00BF3585">
        <w:rPr>
          <w:lang w:val="en-GB"/>
        </w:rPr>
        <w:t xml:space="preserve">witnesses will thus, in my opinion, considerably speed up the pace </w:t>
      </w:r>
      <w:r w:rsidRPr="00BF3585" w:rsidR="00B17470">
        <w:rPr>
          <w:lang w:val="en-GB"/>
        </w:rPr>
        <w:t xml:space="preserve">of </w:t>
      </w:r>
      <w:r w:rsidRPr="00BF3585">
        <w:rPr>
          <w:lang w:val="en-GB"/>
        </w:rPr>
        <w:t xml:space="preserve">the proceedings – at least as far as the hearing </w:t>
      </w:r>
      <w:r w:rsidRPr="00BF3585" w:rsidR="00B17470">
        <w:rPr>
          <w:lang w:val="en-GB"/>
        </w:rPr>
        <w:t xml:space="preserve">of </w:t>
      </w:r>
      <w:r w:rsidRPr="00BF3585">
        <w:rPr>
          <w:lang w:val="en-GB"/>
        </w:rPr>
        <w:t>witnesses is concerned – since the (additional) AIVD member present will in many cases be able to decide almost immediately whether the said sub-questions c</w:t>
      </w:r>
      <w:r w:rsidRPr="00BF3585" w:rsidR="00B17470">
        <w:rPr>
          <w:lang w:val="en-GB"/>
        </w:rPr>
        <w:t xml:space="preserve">an </w:t>
      </w:r>
      <w:r w:rsidRPr="00BF3585">
        <w:rPr>
          <w:lang w:val="en-GB"/>
        </w:rPr>
        <w:t xml:space="preserve">be answered. This acceleration </w:t>
      </w:r>
      <w:r w:rsidRPr="00BF3585" w:rsidR="00B17470">
        <w:rPr>
          <w:lang w:val="en-GB"/>
        </w:rPr>
        <w:t xml:space="preserve">of </w:t>
      </w:r>
      <w:r w:rsidRPr="00BF3585">
        <w:rPr>
          <w:lang w:val="en-GB"/>
        </w:rPr>
        <w:t xml:space="preserve">the proceedings, in my opinion, benefits all parties to the proceedings. I am prepared to advise the Ministers </w:t>
      </w:r>
      <w:r w:rsidRPr="00BF3585" w:rsidR="00B17470">
        <w:rPr>
          <w:lang w:val="en-GB"/>
        </w:rPr>
        <w:t xml:space="preserve">of </w:t>
      </w:r>
      <w:r w:rsidRPr="00BF3585">
        <w:rPr>
          <w:lang w:val="en-GB"/>
        </w:rPr>
        <w:t xml:space="preserve">Justice and </w:t>
      </w:r>
      <w:r w:rsidRPr="00BF3585" w:rsidR="00B17470">
        <w:rPr>
          <w:lang w:val="en-GB"/>
        </w:rPr>
        <w:t xml:space="preserve">of </w:t>
      </w:r>
      <w:r w:rsidRPr="00BF3585">
        <w:rPr>
          <w:lang w:val="en-GB"/>
        </w:rPr>
        <w:t xml:space="preserve">Internal Affairs and Kingdom Relations, on the basis </w:t>
      </w:r>
      <w:r w:rsidRPr="00BF3585" w:rsidR="00B17470">
        <w:rPr>
          <w:lang w:val="en-GB"/>
        </w:rPr>
        <w:t xml:space="preserve">of </w:t>
      </w:r>
      <w:r w:rsidRPr="00BF3585">
        <w:rPr>
          <w:lang w:val="en-GB"/>
        </w:rPr>
        <w:t xml:space="preserve">section 86(2) </w:t>
      </w:r>
      <w:r w:rsidRPr="00BF3585" w:rsidR="00B17470">
        <w:rPr>
          <w:lang w:val="en-GB"/>
        </w:rPr>
        <w:t xml:space="preserve">of </w:t>
      </w:r>
      <w:r w:rsidRPr="00BF3585">
        <w:rPr>
          <w:lang w:val="en-GB"/>
        </w:rPr>
        <w:t>the 2002 Intelligence and Security Services Act, to consider this in any exemption decision.</w:t>
      </w:r>
    </w:p>
    <w:p w:rsidRPr="00BF3585" w:rsidR="00C6083D" w:rsidP="00BF3585" w:rsidRDefault="00C6083D">
      <w:pPr>
        <w:pStyle w:val="ECHRParaQuote"/>
        <w:rPr>
          <w:lang w:val="en-GB"/>
        </w:rPr>
      </w:pPr>
      <w:r w:rsidRPr="00BF3585">
        <w:rPr>
          <w:lang w:val="en-GB"/>
        </w:rPr>
        <w: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18</w:t>
      </w:r>
      <w:r w:rsidRPr="00BF3585">
        <w:rPr>
          <w:lang w:val="en-GB"/>
        </w:rPr>
        <w:fldChar w:fldCharType="end"/>
      </w:r>
      <w:r w:rsidRPr="00BF3585">
        <w:rPr>
          <w:lang w:val="en-GB"/>
        </w:rPr>
        <w:t xml:space="preserve">.  On 15 April 2005 the Regional Court gave </w:t>
      </w:r>
      <w:r w:rsidRPr="00BF3585" w:rsidR="00B17470">
        <w:rPr>
          <w:lang w:val="en-GB"/>
        </w:rPr>
        <w:t xml:space="preserve">a </w:t>
      </w:r>
      <w:r w:rsidRPr="00BF3585">
        <w:rPr>
          <w:lang w:val="en-GB"/>
        </w:rPr>
        <w:t xml:space="preserve">decision in which, following the public prosecutor, it refused to make the exemption unconditional. It expressed the view that it would serve no useful purpose to allow the applicant to disclose the identities </w:t>
      </w:r>
      <w:r w:rsidRPr="00BF3585" w:rsidR="00B17470">
        <w:rPr>
          <w:lang w:val="en-GB"/>
        </w:rPr>
        <w:t xml:space="preserve">of </w:t>
      </w:r>
      <w:r w:rsidRPr="00BF3585">
        <w:rPr>
          <w:lang w:val="en-GB"/>
        </w:rPr>
        <w:t xml:space="preserve">AIVD staff members and informants to his counsel. The interests </w:t>
      </w:r>
      <w:r w:rsidRPr="00BF3585" w:rsidR="00B17470">
        <w:rPr>
          <w:lang w:val="en-GB"/>
        </w:rPr>
        <w:t xml:space="preserve">of </w:t>
      </w:r>
      <w:r w:rsidRPr="00BF3585">
        <w:rPr>
          <w:lang w:val="en-GB"/>
        </w:rPr>
        <w:t>the applicant were sufficiently protected inasmuch as the exemption covered information strictly necessary for his defence. The Regional Court ordered the investigating judge to hear thirteen witnesses referred to by name and s</w:t>
      </w:r>
      <w:r w:rsidRPr="00BF3585" w:rsidR="003336F4">
        <w:rPr>
          <w:lang w:val="en-GB"/>
        </w:rPr>
        <w:t xml:space="preserve">even witnesses referred to by </w:t>
      </w:r>
      <w:r w:rsidRPr="00BF3585" w:rsidR="00B17470">
        <w:rPr>
          <w:lang w:val="en-GB"/>
        </w:rPr>
        <w:t xml:space="preserve">a </w:t>
      </w:r>
      <w:r w:rsidRPr="00BF3585">
        <w:rPr>
          <w:lang w:val="en-GB"/>
        </w:rPr>
        <w:t xml:space="preserve">code name or number. It refused to order the hearing </w:t>
      </w:r>
      <w:r w:rsidRPr="00BF3585" w:rsidR="00B17470">
        <w:rPr>
          <w:lang w:val="en-GB"/>
        </w:rPr>
        <w:t xml:space="preserve">of </w:t>
      </w:r>
      <w:r w:rsidRPr="00BF3585">
        <w:rPr>
          <w:lang w:val="en-GB"/>
        </w:rPr>
        <w:t xml:space="preserve">fifteen other witnesses referred to by </w:t>
      </w:r>
      <w:r w:rsidRPr="00BF3585" w:rsidR="00B17470">
        <w:rPr>
          <w:lang w:val="en-GB"/>
        </w:rPr>
        <w:t xml:space="preserve">a </w:t>
      </w:r>
      <w:r w:rsidRPr="00BF3585">
        <w:rPr>
          <w:lang w:val="en-GB"/>
        </w:rPr>
        <w:t xml:space="preserve">number and one named witness immediately, leaving that decision to be taken by the investigating judge after </w:t>
      </w:r>
      <w:r w:rsidRPr="00BF3585" w:rsidR="00B17470">
        <w:rPr>
          <w:lang w:val="en-GB"/>
        </w:rPr>
        <w:t xml:space="preserve">a </w:t>
      </w:r>
      <w:r w:rsidRPr="00BF3585">
        <w:rPr>
          <w:lang w:val="en-GB"/>
        </w:rPr>
        <w:t xml:space="preserve">particular witness, </w:t>
      </w:r>
      <w:r w:rsidRPr="00BF3585" w:rsidR="00B17470">
        <w:rPr>
          <w:lang w:val="en-GB"/>
        </w:rPr>
        <w:t xml:space="preserve">an </w:t>
      </w:r>
      <w:r w:rsidRPr="00BF3585">
        <w:rPr>
          <w:lang w:val="en-GB"/>
        </w:rPr>
        <w:t xml:space="preserve">AIVD staff member called B., had been heard. As to the partially blacked-out documents, the Regional Court noted that it too was thereby prevented from considering whether they held secret information within the meaning </w:t>
      </w:r>
      <w:r w:rsidRPr="00BF3585" w:rsidR="00B17470">
        <w:rPr>
          <w:lang w:val="en-GB"/>
        </w:rPr>
        <w:t xml:space="preserve">of </w:t>
      </w:r>
      <w:r w:rsidRPr="00BF3585">
        <w:rPr>
          <w:lang w:val="en-GB"/>
        </w:rPr>
        <w:t>Articles 98 and 98</w:t>
      </w:r>
      <w:r w:rsidRPr="00BF3585" w:rsidR="00B17470">
        <w:rPr>
          <w:lang w:val="en-GB"/>
        </w:rPr>
        <w:t xml:space="preserve">a of </w:t>
      </w:r>
      <w:r w:rsidRPr="00BF3585">
        <w:rPr>
          <w:lang w:val="en-GB"/>
        </w:rPr>
        <w:t>the Criminal Code (</w:t>
      </w:r>
      <w:r w:rsidRPr="00BF3585" w:rsidR="003336F4">
        <w:rPr>
          <w:i/>
          <w:lang w:val="en-GB"/>
        </w:rPr>
        <w:t>Wetboek </w:t>
      </w:r>
      <w:r w:rsidRPr="00BF3585">
        <w:rPr>
          <w:i/>
          <w:lang w:val="en-GB"/>
        </w:rPr>
        <w:t>v</w:t>
      </w:r>
      <w:r w:rsidRPr="00BF3585" w:rsidR="00B17470">
        <w:rPr>
          <w:i/>
          <w:lang w:val="en-GB"/>
        </w:rPr>
        <w:t xml:space="preserve">an </w:t>
      </w:r>
      <w:r w:rsidRPr="00BF3585">
        <w:rPr>
          <w:i/>
          <w:lang w:val="en-GB"/>
        </w:rPr>
        <w:t>Strafrecht</w:t>
      </w:r>
      <w:r w:rsidRPr="00BF3585">
        <w:rPr>
          <w:lang w:val="en-GB"/>
        </w:rPr>
        <w:t xml:space="preserve">, </w:t>
      </w:r>
      <w:r w:rsidRPr="00BF3585" w:rsidR="00B17470">
        <w:rPr>
          <w:lang w:val="en-GB"/>
        </w:rPr>
        <w:t xml:space="preserve">see </w:t>
      </w:r>
      <w:r w:rsidRPr="00BF3585">
        <w:rPr>
          <w:lang w:val="en-GB"/>
        </w:rPr>
        <w:t>below); even so, the prosecution interest in maintaining secrecy prevailed.</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19</w:t>
      </w:r>
      <w:r w:rsidRPr="00BF3585">
        <w:rPr>
          <w:lang w:val="en-GB"/>
        </w:rPr>
        <w:fldChar w:fldCharType="end"/>
      </w:r>
      <w:r w:rsidRPr="00BF3585">
        <w:rPr>
          <w:lang w:val="en-GB"/>
        </w:rPr>
        <w:t xml:space="preserve">.  The named witness B. was heard on 23 May 2005 and 6 June 2005. It appears that he refused to answer certain questions because </w:t>
      </w:r>
      <w:r w:rsidRPr="00BF3585" w:rsidR="00B17470">
        <w:rPr>
          <w:lang w:val="en-GB"/>
        </w:rPr>
        <w:t xml:space="preserve">of </w:t>
      </w:r>
      <w:r w:rsidRPr="00BF3585">
        <w:rPr>
          <w:lang w:val="en-GB"/>
        </w:rPr>
        <w:t xml:space="preserve">his duty </w:t>
      </w:r>
      <w:r w:rsidRPr="00BF3585" w:rsidR="00B17470">
        <w:rPr>
          <w:lang w:val="en-GB"/>
        </w:rPr>
        <w:t xml:space="preserve">of </w:t>
      </w:r>
      <w:r w:rsidRPr="00BF3585">
        <w:rPr>
          <w:lang w:val="en-GB"/>
        </w:rPr>
        <w:t>secrecy.</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20</w:t>
      </w:r>
      <w:r w:rsidRPr="00BF3585">
        <w:rPr>
          <w:lang w:val="en-GB"/>
        </w:rPr>
        <w:fldChar w:fldCharType="end"/>
      </w:r>
      <w:r w:rsidRPr="00BF3585">
        <w:rPr>
          <w:lang w:val="en-GB"/>
        </w:rPr>
        <w:t xml:space="preserve">.  It appears that on 9 June 2005 the investigating judge decided to refuse to hear the sixteen witnesses requested by the defence for lack </w:t>
      </w:r>
      <w:r w:rsidRPr="00BF3585" w:rsidR="00B17470">
        <w:rPr>
          <w:lang w:val="en-GB"/>
        </w:rPr>
        <w:t xml:space="preserve">of </w:t>
      </w:r>
      <w:r w:rsidRPr="00BF3585">
        <w:rPr>
          <w:lang w:val="en-GB"/>
        </w:rPr>
        <w:t>available time (</w:t>
      </w:r>
      <w:r w:rsidRPr="00BF3585">
        <w:rPr>
          <w:i/>
          <w:lang w:val="en-GB"/>
        </w:rPr>
        <w:t>agendatechnische redenen</w:t>
      </w:r>
      <w:r w:rsidRPr="00BF3585">
        <w:rPr>
          <w:lang w:val="en-GB"/>
        </w:rPr>
        <w: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21</w:t>
      </w:r>
      <w:r w:rsidRPr="00BF3585">
        <w:rPr>
          <w:lang w:val="en-GB"/>
        </w:rPr>
        <w:fldChar w:fldCharType="end"/>
      </w:r>
      <w:r w:rsidRPr="00BF3585">
        <w:rPr>
          <w:lang w:val="en-GB"/>
        </w:rPr>
        <w:t xml:space="preserve">.  On 17 June 2005 the investigating judge decided that the unnamed witnesses permitted to be questioned would be heard at </w:t>
      </w:r>
      <w:r w:rsidRPr="00BF3585" w:rsidR="00B17470">
        <w:rPr>
          <w:lang w:val="en-GB"/>
        </w:rPr>
        <w:t xml:space="preserve">a </w:t>
      </w:r>
      <w:r w:rsidRPr="00BF3585">
        <w:rPr>
          <w:lang w:val="en-GB"/>
        </w:rPr>
        <w:t xml:space="preserve">secret location, under heavy disguise and with the use </w:t>
      </w:r>
      <w:r w:rsidRPr="00BF3585" w:rsidR="00B17470">
        <w:rPr>
          <w:lang w:val="en-GB"/>
        </w:rPr>
        <w:t xml:space="preserve">of </w:t>
      </w:r>
      <w:r w:rsidRPr="00BF3585" w:rsidR="003336F4">
        <w:rPr>
          <w:lang w:val="en-GB"/>
        </w:rPr>
        <w:t xml:space="preserve">voice distorting equipment. </w:t>
      </w:r>
      <w:r w:rsidRPr="00BF3585" w:rsidR="00B17470">
        <w:rPr>
          <w:lang w:val="en-GB"/>
        </w:rPr>
        <w:t xml:space="preserve">A </w:t>
      </w:r>
      <w:r w:rsidRPr="00BF3585">
        <w:rPr>
          <w:lang w:val="en-GB"/>
        </w:rPr>
        <w:t xml:space="preserve">representative </w:t>
      </w:r>
      <w:r w:rsidRPr="00BF3585" w:rsidR="00B17470">
        <w:rPr>
          <w:lang w:val="en-GB"/>
        </w:rPr>
        <w:t xml:space="preserve">of </w:t>
      </w:r>
      <w:r w:rsidRPr="00BF3585">
        <w:rPr>
          <w:lang w:val="en-GB"/>
        </w:rPr>
        <w:t xml:space="preserve">the AIVD and legal counsel </w:t>
      </w:r>
      <w:r w:rsidRPr="00BF3585" w:rsidR="00B17470">
        <w:rPr>
          <w:lang w:val="en-GB"/>
        </w:rPr>
        <w:t xml:space="preserve">of </w:t>
      </w:r>
      <w:r w:rsidRPr="00BF3585">
        <w:rPr>
          <w:lang w:val="en-GB"/>
        </w:rPr>
        <w:t>the State would attend in addition to the prosecution and the defence.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22</w:t>
      </w:r>
      <w:r w:rsidRPr="00BF3585">
        <w:rPr>
          <w:lang w:val="en-GB"/>
        </w:rPr>
        <w:fldChar w:fldCharType="end"/>
      </w:r>
      <w:r w:rsidRPr="00BF3585">
        <w:rPr>
          <w:lang w:val="en-GB"/>
        </w:rPr>
        <w:t xml:space="preserve">.  The defence lodged </w:t>
      </w:r>
      <w:r w:rsidRPr="00BF3585" w:rsidR="00B17470">
        <w:rPr>
          <w:lang w:val="en-GB"/>
        </w:rPr>
        <w:t xml:space="preserve">an </w:t>
      </w:r>
      <w:r w:rsidRPr="00BF3585">
        <w:rPr>
          <w:lang w:val="en-GB"/>
        </w:rPr>
        <w:t>objection against the investigating judge</w:t>
      </w:r>
      <w:r w:rsidRPr="00BF3585" w:rsidR="00BF3585">
        <w:rPr>
          <w:lang w:val="en-GB"/>
        </w:rPr>
        <w:t>’</w:t>
      </w:r>
      <w:r w:rsidRPr="00BF3585">
        <w:rPr>
          <w:lang w:val="en-GB"/>
        </w:rPr>
        <w:t xml:space="preserve">s decision </w:t>
      </w:r>
      <w:r w:rsidRPr="00BF3585" w:rsidR="00B17470">
        <w:rPr>
          <w:lang w:val="en-GB"/>
        </w:rPr>
        <w:t xml:space="preserve">of </w:t>
      </w:r>
      <w:r w:rsidRPr="00BF3585">
        <w:rPr>
          <w:lang w:val="en-GB"/>
        </w:rPr>
        <w:t xml:space="preserve">17 June 2005 with the Regional Court, stating also that they would not cooperate in any witness hearing held at </w:t>
      </w:r>
      <w:r w:rsidRPr="00BF3585" w:rsidR="00B17470">
        <w:rPr>
          <w:lang w:val="en-GB"/>
        </w:rPr>
        <w:t xml:space="preserve">a </w:t>
      </w:r>
      <w:r w:rsidRPr="00BF3585">
        <w:rPr>
          <w:lang w:val="en-GB"/>
        </w:rPr>
        <w:t xml:space="preserve">secret location. They also asked for the named witnesses already heard to be relieved </w:t>
      </w:r>
      <w:r w:rsidRPr="00BF3585" w:rsidR="00B17470">
        <w:rPr>
          <w:lang w:val="en-GB"/>
        </w:rPr>
        <w:t xml:space="preserve">of </w:t>
      </w:r>
      <w:r w:rsidRPr="00BF3585">
        <w:rPr>
          <w:lang w:val="en-GB"/>
        </w:rPr>
        <w:t xml:space="preserve">their duty </w:t>
      </w:r>
      <w:r w:rsidRPr="00BF3585" w:rsidR="00B17470">
        <w:rPr>
          <w:lang w:val="en-GB"/>
        </w:rPr>
        <w:t xml:space="preserve">of </w:t>
      </w:r>
      <w:r w:rsidRPr="00BF3585">
        <w:rPr>
          <w:lang w:val="en-GB"/>
        </w:rPr>
        <w:t>secrecy and to be heard anew.</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23</w:t>
      </w:r>
      <w:r w:rsidRPr="00BF3585">
        <w:rPr>
          <w:lang w:val="en-GB"/>
        </w:rPr>
        <w:fldChar w:fldCharType="end"/>
      </w:r>
      <w:r w:rsidRPr="00BF3585">
        <w:rPr>
          <w:lang w:val="en-GB"/>
        </w:rPr>
        <w:t xml:space="preserve">.  The Regional Court held </w:t>
      </w:r>
      <w:r w:rsidRPr="00BF3585" w:rsidR="00B17470">
        <w:rPr>
          <w:lang w:val="en-GB"/>
        </w:rPr>
        <w:t xml:space="preserve">a </w:t>
      </w:r>
      <w:r w:rsidRPr="00BF3585">
        <w:rPr>
          <w:lang w:val="en-GB"/>
        </w:rPr>
        <w:t xml:space="preserve">hearing </w:t>
      </w:r>
      <w:r w:rsidRPr="00BF3585">
        <w:rPr>
          <w:i/>
          <w:lang w:val="en-GB"/>
        </w:rPr>
        <w:t>in camer</w:t>
      </w:r>
      <w:r w:rsidRPr="00BF3585" w:rsidR="00B17470">
        <w:rPr>
          <w:i/>
          <w:lang w:val="en-GB"/>
        </w:rPr>
        <w:t xml:space="preserve">a </w:t>
      </w:r>
      <w:r w:rsidRPr="00BF3585">
        <w:rPr>
          <w:lang w:val="en-GB"/>
        </w:rPr>
        <w:t xml:space="preserve">on 5 July 2005. The defence outlined its provisional strategy, which was to aim for </w:t>
      </w:r>
      <w:r w:rsidRPr="00BF3585" w:rsidR="00B17470">
        <w:rPr>
          <w:lang w:val="en-GB"/>
        </w:rPr>
        <w:t xml:space="preserve">an </w:t>
      </w:r>
      <w:r w:rsidRPr="00BF3585">
        <w:rPr>
          <w:lang w:val="en-GB"/>
        </w:rPr>
        <w:t xml:space="preserve">acquittal by identifying potential sources </w:t>
      </w:r>
      <w:r w:rsidRPr="00BF3585" w:rsidR="00B17470">
        <w:rPr>
          <w:lang w:val="en-GB"/>
        </w:rPr>
        <w:t xml:space="preserve">of </w:t>
      </w:r>
      <w:r w:rsidRPr="00BF3585">
        <w:rPr>
          <w:lang w:val="en-GB"/>
        </w:rPr>
        <w:t>the leaks other th</w:t>
      </w:r>
      <w:r w:rsidRPr="00BF3585" w:rsidR="00B17470">
        <w:rPr>
          <w:lang w:val="en-GB"/>
        </w:rPr>
        <w:t xml:space="preserve">an </w:t>
      </w:r>
      <w:r w:rsidRPr="00BF3585">
        <w:rPr>
          <w:lang w:val="en-GB"/>
        </w:rPr>
        <w:t>the applicant and by demonstrating that the documents leaked did not contain State secrets properly so-called. They also wished to establish the applicant</w:t>
      </w:r>
      <w:r w:rsidRPr="00BF3585" w:rsidR="00BF3585">
        <w:rPr>
          <w:lang w:val="en-GB"/>
        </w:rPr>
        <w:t>’</w:t>
      </w:r>
      <w:r w:rsidRPr="00BF3585">
        <w:rPr>
          <w:lang w:val="en-GB"/>
        </w:rPr>
        <w:t>s attitude to his work for the AIVD. This strategy required the applicant</w:t>
      </w:r>
      <w:r w:rsidRPr="00BF3585" w:rsidR="00BF3585">
        <w:rPr>
          <w:lang w:val="en-GB"/>
        </w:rPr>
        <w:t>’</w:t>
      </w:r>
      <w:r w:rsidRPr="00BF3585">
        <w:rPr>
          <w:lang w:val="en-GB"/>
        </w:rPr>
        <w:t xml:space="preserve">s former direct colleagues to be questioned and uncensored copies </w:t>
      </w:r>
      <w:r w:rsidRPr="00BF3585" w:rsidR="00B17470">
        <w:rPr>
          <w:lang w:val="en-GB"/>
        </w:rPr>
        <w:t xml:space="preserve">of </w:t>
      </w:r>
      <w:r w:rsidRPr="00BF3585">
        <w:rPr>
          <w:lang w:val="en-GB"/>
        </w:rPr>
        <w:t>the documents in question to be made available to the defence and the court.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24</w:t>
      </w:r>
      <w:r w:rsidRPr="00BF3585">
        <w:rPr>
          <w:lang w:val="en-GB"/>
        </w:rPr>
        <w:fldChar w:fldCharType="end"/>
      </w:r>
      <w:r w:rsidRPr="00BF3585">
        <w:rPr>
          <w:lang w:val="en-GB"/>
        </w:rPr>
        <w:t xml:space="preserve">.  On 8 July 2005 the Regional Court gave </w:t>
      </w:r>
      <w:r w:rsidRPr="00BF3585" w:rsidR="00B17470">
        <w:rPr>
          <w:lang w:val="en-GB"/>
        </w:rPr>
        <w:t xml:space="preserve">an </w:t>
      </w:r>
      <w:r w:rsidRPr="00BF3585">
        <w:rPr>
          <w:lang w:val="en-GB"/>
        </w:rPr>
        <w:t>order for two further named witnesses to be heard but dismissed the defence</w:t>
      </w:r>
      <w:r w:rsidRPr="00BF3585" w:rsidR="00BF3585">
        <w:rPr>
          <w:lang w:val="en-GB"/>
        </w:rPr>
        <w:t>’</w:t>
      </w:r>
      <w:r w:rsidRPr="00BF3585">
        <w:rPr>
          <w:lang w:val="en-GB"/>
        </w:rPr>
        <w:t>s objection for the remainder.</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25</w:t>
      </w:r>
      <w:r w:rsidRPr="00BF3585">
        <w:rPr>
          <w:lang w:val="en-GB"/>
        </w:rPr>
        <w:fldChar w:fldCharType="end"/>
      </w:r>
      <w:r w:rsidRPr="00BF3585">
        <w:rPr>
          <w:lang w:val="en-GB"/>
        </w:rPr>
        <w:t xml:space="preserve">.  On 14 July 2005 the defence challenged two judges </w:t>
      </w:r>
      <w:r w:rsidRPr="00BF3585" w:rsidR="00B17470">
        <w:rPr>
          <w:lang w:val="en-GB"/>
        </w:rPr>
        <w:t xml:space="preserve">of </w:t>
      </w:r>
      <w:r w:rsidRPr="00BF3585">
        <w:rPr>
          <w:lang w:val="en-GB"/>
        </w:rPr>
        <w:t xml:space="preserve">the trial chamber who had also taken part in the decision </w:t>
      </w:r>
      <w:r w:rsidRPr="00BF3585" w:rsidR="00B17470">
        <w:rPr>
          <w:lang w:val="en-GB"/>
        </w:rPr>
        <w:t xml:space="preserve">of </w:t>
      </w:r>
      <w:r w:rsidRPr="00BF3585">
        <w:rPr>
          <w:lang w:val="en-GB"/>
        </w:rPr>
        <w:t xml:space="preserve">8 July 2005, arguing on various grounds that positions taken in the latter decision prejudged the outcome </w:t>
      </w:r>
      <w:r w:rsidRPr="00BF3585" w:rsidR="00B17470">
        <w:rPr>
          <w:lang w:val="en-GB"/>
        </w:rPr>
        <w:t xml:space="preserve">of </w:t>
      </w:r>
      <w:r w:rsidRPr="00BF3585">
        <w:rPr>
          <w:lang w:val="en-GB"/>
        </w:rPr>
        <w:t>the trial.</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26</w:t>
      </w:r>
      <w:r w:rsidRPr="00BF3585">
        <w:rPr>
          <w:lang w:val="en-GB"/>
        </w:rPr>
        <w:fldChar w:fldCharType="end"/>
      </w:r>
      <w:r w:rsidRPr="00BF3585">
        <w:rPr>
          <w:lang w:val="en-GB"/>
        </w:rPr>
        <w:t>.  The following day, 15 July 2005, the challenge was dismissed and the trial hearing was resumed. The defence asked for documents to be added to the file, including all those found in the applicant</w:t>
      </w:r>
      <w:r w:rsidRPr="00BF3585" w:rsidR="00BF3585">
        <w:rPr>
          <w:lang w:val="en-GB"/>
        </w:rPr>
        <w:t>’</w:t>
      </w:r>
      <w:r w:rsidRPr="00BF3585">
        <w:rPr>
          <w:lang w:val="en-GB"/>
        </w:rPr>
        <w:t xml:space="preserve">s desk. The Regional Court remitted the case to the investigating judge for the hearing </w:t>
      </w:r>
      <w:r w:rsidRPr="00BF3585" w:rsidR="00B17470">
        <w:rPr>
          <w:lang w:val="en-GB"/>
        </w:rPr>
        <w:t xml:space="preserve">of </w:t>
      </w:r>
      <w:r w:rsidRPr="00BF3585">
        <w:rPr>
          <w:lang w:val="en-GB"/>
        </w:rPr>
        <w:t>the witnesses authorised to be heard, in so far as they had not already been heard, and requested the prosecutor to add do</w:t>
      </w:r>
      <w:r w:rsidRPr="00BF3585" w:rsidR="003336F4">
        <w:rPr>
          <w:lang w:val="en-GB"/>
        </w:rPr>
        <w:t xml:space="preserve">cuments to the file including </w:t>
      </w:r>
      <w:r w:rsidRPr="00BF3585" w:rsidR="00B17470">
        <w:rPr>
          <w:lang w:val="en-GB"/>
        </w:rPr>
        <w:t xml:space="preserve">a </w:t>
      </w:r>
      <w:r w:rsidRPr="00BF3585">
        <w:rPr>
          <w:lang w:val="en-GB"/>
        </w:rPr>
        <w:t xml:space="preserve">description – to be prepared by the AIVD – </w:t>
      </w:r>
      <w:r w:rsidRPr="00BF3585" w:rsidR="00B17470">
        <w:rPr>
          <w:lang w:val="en-GB"/>
        </w:rPr>
        <w:t xml:space="preserve">of </w:t>
      </w:r>
      <w:r w:rsidRPr="00BF3585">
        <w:rPr>
          <w:lang w:val="en-GB"/>
        </w:rPr>
        <w:t>the documents found in the applicant</w:t>
      </w:r>
      <w:r w:rsidRPr="00BF3585" w:rsidR="00BF3585">
        <w:rPr>
          <w:lang w:val="en-GB"/>
        </w:rPr>
        <w:t>’</w:t>
      </w:r>
      <w:r w:rsidRPr="00BF3585">
        <w:rPr>
          <w:lang w:val="en-GB"/>
        </w:rPr>
        <w:t>s desk.</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27</w:t>
      </w:r>
      <w:r w:rsidRPr="00BF3585">
        <w:rPr>
          <w:lang w:val="en-GB"/>
        </w:rPr>
        <w:fldChar w:fldCharType="end"/>
      </w:r>
      <w:r w:rsidRPr="00BF3585">
        <w:rPr>
          <w:lang w:val="en-GB"/>
        </w:rPr>
        <w:t xml:space="preserve">.  Witnesses were heard on various dates. In so far as they were unnamed AIVD staff members, they were identified by </w:t>
      </w:r>
      <w:r w:rsidRPr="00BF3585" w:rsidR="00B17470">
        <w:rPr>
          <w:lang w:val="en-GB"/>
        </w:rPr>
        <w:t xml:space="preserve">a </w:t>
      </w:r>
      <w:r w:rsidRPr="00BF3585">
        <w:rPr>
          <w:lang w:val="en-GB"/>
        </w:rPr>
        <w:t xml:space="preserve">number; they were heavily disguised and they were placed in </w:t>
      </w:r>
      <w:r w:rsidRPr="00BF3585" w:rsidR="00B17470">
        <w:rPr>
          <w:lang w:val="en-GB"/>
        </w:rPr>
        <w:t xml:space="preserve">a </w:t>
      </w:r>
      <w:r w:rsidRPr="00BF3585">
        <w:rPr>
          <w:lang w:val="en-GB"/>
        </w:rPr>
        <w:t xml:space="preserve">box that left only their upper body visible; and their voices were distorted. The applicant states that it was impossible to discern their body language and facial expressions. He further states that </w:t>
      </w:r>
      <w:r w:rsidRPr="00BF3585" w:rsidR="00B17470">
        <w:rPr>
          <w:lang w:val="en-GB"/>
        </w:rPr>
        <w:t xml:space="preserve">an </w:t>
      </w:r>
      <w:r w:rsidRPr="00BF3585">
        <w:rPr>
          <w:lang w:val="en-GB"/>
        </w:rPr>
        <w:t xml:space="preserve">AIVD official was present, who could – and did – prevent named and unnamed witnesses from answering </w:t>
      </w:r>
      <w:r w:rsidRPr="00BF3585" w:rsidR="00B17470">
        <w:rPr>
          <w:lang w:val="en-GB"/>
        </w:rPr>
        <w:t xml:space="preserve">a </w:t>
      </w:r>
      <w:r w:rsidRPr="00BF3585">
        <w:rPr>
          <w:lang w:val="en-GB"/>
        </w:rPr>
        <w:t xml:space="preserve">proportion </w:t>
      </w:r>
      <w:r w:rsidRPr="00BF3585" w:rsidR="00B17470">
        <w:rPr>
          <w:lang w:val="en-GB"/>
        </w:rPr>
        <w:t xml:space="preserve">of </w:t>
      </w:r>
      <w:r w:rsidRPr="00BF3585">
        <w:rPr>
          <w:lang w:val="en-GB"/>
        </w:rPr>
        <w:t>the questions put by the defence, and that this was permitted by the investigating judge.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28</w:t>
      </w:r>
      <w:r w:rsidRPr="00BF3585">
        <w:rPr>
          <w:lang w:val="en-GB"/>
        </w:rPr>
        <w:fldChar w:fldCharType="end"/>
      </w:r>
      <w:r w:rsidRPr="00BF3585">
        <w:rPr>
          <w:lang w:val="en-GB"/>
        </w:rPr>
        <w:t xml:space="preserve">.  The trial hearing was resumed on 30 August 2005. Finding no indication that the AIVD information had been leaked by someone else, the Regional Court yet again refused to hear the named witness and the fifteen unnamed witnesses. As to AIVD staff members who refused to disclose certain information based on their duty </w:t>
      </w:r>
      <w:r w:rsidRPr="00BF3585" w:rsidR="00B17470">
        <w:rPr>
          <w:lang w:val="en-GB"/>
        </w:rPr>
        <w:t xml:space="preserve">of </w:t>
      </w:r>
      <w:r w:rsidRPr="00BF3585">
        <w:rPr>
          <w:lang w:val="en-GB"/>
        </w:rPr>
        <w:t>secrecy, it stated that the final decision whether to allow this lay with the trial court itself but found that it could not set precise limits as the prosecution wanted.</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29</w:t>
      </w:r>
      <w:r w:rsidRPr="00BF3585">
        <w:rPr>
          <w:lang w:val="en-GB"/>
        </w:rPr>
        <w:fldChar w:fldCharType="end"/>
      </w:r>
      <w:r w:rsidRPr="00BF3585">
        <w:rPr>
          <w:lang w:val="en-GB"/>
        </w:rPr>
        <w:t>.  The trial hearing was resum</w:t>
      </w:r>
      <w:r w:rsidRPr="00BF3585" w:rsidR="003336F4">
        <w:rPr>
          <w:lang w:val="en-GB"/>
        </w:rPr>
        <w:t>ed on 6 and 7 October 2005. The </w:t>
      </w:r>
      <w:r w:rsidRPr="00BF3585">
        <w:rPr>
          <w:lang w:val="en-GB"/>
        </w:rPr>
        <w:t>applicant made no statement.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30</w:t>
      </w:r>
      <w:r w:rsidRPr="00BF3585">
        <w:rPr>
          <w:lang w:val="en-GB"/>
        </w:rPr>
        <w:fldChar w:fldCharType="end"/>
      </w:r>
      <w:r w:rsidRPr="00BF3585">
        <w:rPr>
          <w:lang w:val="en-GB"/>
        </w:rPr>
        <w:t>.  On 30 November 2005 the trial hearing resumed. The prosecution and the defence made their closing statements.</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31</w:t>
      </w:r>
      <w:r w:rsidRPr="00BF3585">
        <w:rPr>
          <w:lang w:val="en-GB"/>
        </w:rPr>
        <w:fldChar w:fldCharType="end"/>
      </w:r>
      <w:r w:rsidRPr="00BF3585">
        <w:rPr>
          <w:lang w:val="en-GB"/>
        </w:rPr>
        <w:t>.  The Regional Court gave j</w:t>
      </w:r>
      <w:r w:rsidRPr="00BF3585" w:rsidR="00B17470">
        <w:rPr>
          <w:lang w:val="en-GB"/>
        </w:rPr>
        <w:t xml:space="preserve">udgment on 14 December 2005. It </w:t>
      </w:r>
      <w:r w:rsidRPr="00BF3585">
        <w:rPr>
          <w:lang w:val="en-GB"/>
        </w:rPr>
        <w:t>convicted the applicant and sentenced him to four years and six months</w:t>
      </w:r>
      <w:r w:rsidRPr="00BF3585" w:rsidR="00BF3585">
        <w:rPr>
          <w:lang w:val="en-GB"/>
        </w:rPr>
        <w:t>’</w:t>
      </w:r>
      <w:r w:rsidRPr="00BF3585">
        <w:rPr>
          <w:lang w:val="en-GB"/>
        </w:rPr>
        <w:t xml:space="preserve"> imprisonment.</w:t>
      </w:r>
    </w:p>
    <w:p w:rsidRPr="00BF3585" w:rsidR="00C6083D" w:rsidP="00BF3585" w:rsidRDefault="00C6083D">
      <w:pPr>
        <w:pStyle w:val="ECHRHeading2"/>
      </w:pPr>
      <w:r w:rsidRPr="00BF3585">
        <w:t xml:space="preserve">C.  Proceedings before the Court </w:t>
      </w:r>
      <w:r w:rsidRPr="00BF3585" w:rsidR="00B17470">
        <w:t xml:space="preserve">of </w:t>
      </w:r>
      <w:r w:rsidRPr="00BF3585">
        <w:t>Appeal</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32</w:t>
      </w:r>
      <w:r w:rsidRPr="00BF3585">
        <w:rPr>
          <w:lang w:val="en-GB"/>
        </w:rPr>
        <w:fldChar w:fldCharType="end"/>
      </w:r>
      <w:r w:rsidRPr="00BF3585">
        <w:rPr>
          <w:lang w:val="en-GB"/>
        </w:rPr>
        <w:t xml:space="preserve">.  The applicant lodged </w:t>
      </w:r>
      <w:r w:rsidRPr="00BF3585" w:rsidR="00B17470">
        <w:rPr>
          <w:lang w:val="en-GB"/>
        </w:rPr>
        <w:t xml:space="preserve">an </w:t>
      </w:r>
      <w:r w:rsidRPr="00BF3585">
        <w:rPr>
          <w:lang w:val="en-GB"/>
        </w:rPr>
        <w:t xml:space="preserve">appeal with the Court </w:t>
      </w:r>
      <w:r w:rsidRPr="00BF3585" w:rsidR="00B17470">
        <w:rPr>
          <w:lang w:val="en-GB"/>
        </w:rPr>
        <w:t xml:space="preserve">of </w:t>
      </w:r>
      <w:r w:rsidRPr="00BF3585">
        <w:rPr>
          <w:lang w:val="en-GB"/>
        </w:rPr>
        <w:t>Appeal (</w:t>
      </w:r>
      <w:r w:rsidRPr="00BF3585">
        <w:rPr>
          <w:i/>
          <w:lang w:val="en-GB"/>
        </w:rPr>
        <w:t>gerechtshof</w:t>
      </w:r>
      <w:r w:rsidRPr="00BF3585">
        <w:rPr>
          <w:lang w:val="en-GB"/>
        </w:rPr>
        <w:t xml:space="preserve">) </w:t>
      </w:r>
      <w:r w:rsidRPr="00BF3585" w:rsidR="00B17470">
        <w:rPr>
          <w:lang w:val="en-GB"/>
        </w:rPr>
        <w:t xml:space="preserve">of </w:t>
      </w:r>
      <w:r w:rsidRPr="00BF3585">
        <w:rPr>
          <w:lang w:val="en-GB"/>
        </w:rPr>
        <w:t>The Hague.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33</w:t>
      </w:r>
      <w:r w:rsidRPr="00BF3585">
        <w:rPr>
          <w:lang w:val="en-GB"/>
        </w:rPr>
        <w:fldChar w:fldCharType="end"/>
      </w:r>
      <w:r w:rsidRPr="00BF3585">
        <w:rPr>
          <w:lang w:val="en-GB"/>
        </w:rPr>
        <w:t>.  The appeal hearing opened on 28 September 2006. Among other things, the applicant</w:t>
      </w:r>
      <w:r w:rsidRPr="00BF3585" w:rsidR="00BF3585">
        <w:rPr>
          <w:lang w:val="en-GB"/>
        </w:rPr>
        <w:t>’</w:t>
      </w:r>
      <w:r w:rsidRPr="00BF3585">
        <w:rPr>
          <w:lang w:val="en-GB"/>
        </w:rPr>
        <w:t xml:space="preserve">s counsel objected to the refusal, in the proceedings at first instance, to allow the defence </w:t>
      </w:r>
      <w:r w:rsidRPr="00BF3585" w:rsidR="00B17470">
        <w:rPr>
          <w:lang w:val="en-GB"/>
        </w:rPr>
        <w:t xml:space="preserve">an </w:t>
      </w:r>
      <w:r w:rsidRPr="00BF3585">
        <w:rPr>
          <w:lang w:val="en-GB"/>
        </w:rPr>
        <w:t xml:space="preserve">unconditional exemption that would allow the applicant and his counsel to communicate unimpeded; to the hearing </w:t>
      </w:r>
      <w:r w:rsidRPr="00BF3585" w:rsidR="00B17470">
        <w:rPr>
          <w:lang w:val="en-GB"/>
        </w:rPr>
        <w:t xml:space="preserve">of </w:t>
      </w:r>
      <w:r w:rsidRPr="00BF3585">
        <w:rPr>
          <w:lang w:val="en-GB"/>
        </w:rPr>
        <w:t xml:space="preserve">unnamed witnesses under heavy disguise, in </w:t>
      </w:r>
      <w:r w:rsidRPr="00BF3585" w:rsidR="00B17470">
        <w:rPr>
          <w:lang w:val="en-GB"/>
        </w:rPr>
        <w:t xml:space="preserve">a </w:t>
      </w:r>
      <w:r w:rsidRPr="00BF3585">
        <w:rPr>
          <w:lang w:val="en-GB"/>
        </w:rPr>
        <w:t xml:space="preserve">closed box that partially hid them from view and with the use </w:t>
      </w:r>
      <w:r w:rsidRPr="00BF3585" w:rsidR="00B17470">
        <w:rPr>
          <w:lang w:val="en-GB"/>
        </w:rPr>
        <w:t xml:space="preserve">of </w:t>
      </w:r>
      <w:r w:rsidRPr="00BF3585">
        <w:rPr>
          <w:lang w:val="en-GB"/>
        </w:rPr>
        <w:t>voice distortion, even though they were the applicant</w:t>
      </w:r>
      <w:r w:rsidRPr="00BF3585" w:rsidR="00BF3585">
        <w:rPr>
          <w:lang w:val="en-GB"/>
        </w:rPr>
        <w:t>’</w:t>
      </w:r>
      <w:r w:rsidRPr="00BF3585">
        <w:rPr>
          <w:lang w:val="en-GB"/>
        </w:rPr>
        <w:t xml:space="preserve">s former direct colleagues; to the withholding </w:t>
      </w:r>
      <w:r w:rsidRPr="00BF3585" w:rsidR="00B17470">
        <w:rPr>
          <w:lang w:val="en-GB"/>
        </w:rPr>
        <w:t xml:space="preserve">of </w:t>
      </w:r>
      <w:r w:rsidRPr="00BF3585">
        <w:rPr>
          <w:lang w:val="en-GB"/>
        </w:rPr>
        <w:t xml:space="preserve">evidence by the witnesses, based on their duty </w:t>
      </w:r>
      <w:r w:rsidRPr="00BF3585" w:rsidR="00B17470">
        <w:rPr>
          <w:lang w:val="en-GB"/>
        </w:rPr>
        <w:t xml:space="preserve">of </w:t>
      </w:r>
      <w:r w:rsidRPr="00BF3585">
        <w:rPr>
          <w:lang w:val="en-GB"/>
        </w:rPr>
        <w:t xml:space="preserve">secrecy as AIVD staff members; and to the withholding </w:t>
      </w:r>
      <w:r w:rsidRPr="00BF3585" w:rsidR="00B17470">
        <w:rPr>
          <w:lang w:val="en-GB"/>
        </w:rPr>
        <w:t xml:space="preserve">of </w:t>
      </w:r>
      <w:r w:rsidRPr="00BF3585">
        <w:rPr>
          <w:lang w:val="en-GB"/>
        </w:rPr>
        <w:t xml:space="preserve">documentary evidence requested by the defence. The prosecuting </w:t>
      </w:r>
      <w:r w:rsidRPr="00BF3585" w:rsidR="001D5873">
        <w:rPr>
          <w:lang w:val="en-GB"/>
        </w:rPr>
        <w:t>A</w:t>
      </w:r>
      <w:r w:rsidRPr="00BF3585">
        <w:rPr>
          <w:lang w:val="en-GB"/>
        </w:rPr>
        <w:t xml:space="preserve">dvocate </w:t>
      </w:r>
      <w:r w:rsidRPr="00BF3585" w:rsidR="001D5873">
        <w:rPr>
          <w:lang w:val="en-GB"/>
        </w:rPr>
        <w:t>G</w:t>
      </w:r>
      <w:r w:rsidRPr="00BF3585">
        <w:rPr>
          <w:lang w:val="en-GB"/>
        </w:rPr>
        <w:t>eneral (</w:t>
      </w:r>
      <w:r w:rsidRPr="00BF3585">
        <w:rPr>
          <w:i/>
          <w:lang w:val="en-GB"/>
        </w:rPr>
        <w:t>advocaat</w:t>
      </w:r>
      <w:r w:rsidRPr="00BF3585">
        <w:rPr>
          <w:i/>
          <w:lang w:val="en-GB"/>
        </w:rPr>
        <w:noBreakHyphen/>
        <w:t>generaal</w:t>
      </w:r>
      <w:r w:rsidRPr="00BF3585">
        <w:rPr>
          <w:lang w:val="en-GB"/>
        </w:rPr>
        <w:t xml:space="preserve">) conveyed </w:t>
      </w:r>
      <w:r w:rsidRPr="00BF3585" w:rsidR="00B17470">
        <w:rPr>
          <w:lang w:val="en-GB"/>
        </w:rPr>
        <w:t xml:space="preserve">an </w:t>
      </w:r>
      <w:r w:rsidRPr="00BF3585" w:rsidR="003336F4">
        <w:rPr>
          <w:lang w:val="en-GB"/>
        </w:rPr>
        <w:t xml:space="preserve">offer by the AIVD to allow </w:t>
      </w:r>
      <w:r w:rsidRPr="00BF3585" w:rsidR="00B17470">
        <w:rPr>
          <w:lang w:val="en-GB"/>
        </w:rPr>
        <w:t xml:space="preserve">an </w:t>
      </w:r>
      <w:r w:rsidRPr="00BF3585">
        <w:rPr>
          <w:lang w:val="en-GB"/>
        </w:rPr>
        <w:t xml:space="preserve">independent expert to </w:t>
      </w:r>
      <w:r w:rsidRPr="00BF3585" w:rsidR="00B17470">
        <w:rPr>
          <w:lang w:val="en-GB"/>
        </w:rPr>
        <w:t xml:space="preserve">see </w:t>
      </w:r>
      <w:r w:rsidRPr="00BF3585">
        <w:rPr>
          <w:lang w:val="en-GB"/>
        </w:rPr>
        <w:t>uncensored AIVD documents and report on their content; the expert proposed ha</w:t>
      </w:r>
      <w:r w:rsidRPr="00BF3585" w:rsidR="003336F4">
        <w:rPr>
          <w:lang w:val="en-GB"/>
        </w:rPr>
        <w:t xml:space="preserve">d previously been </w:t>
      </w:r>
      <w:r w:rsidRPr="00BF3585" w:rsidR="00B17470">
        <w:rPr>
          <w:lang w:val="en-GB"/>
        </w:rPr>
        <w:t xml:space="preserve">a </w:t>
      </w:r>
      <w:r w:rsidRPr="00BF3585" w:rsidR="003336F4">
        <w:rPr>
          <w:lang w:val="en-GB"/>
        </w:rPr>
        <w:t xml:space="preserve">member </w:t>
      </w:r>
      <w:r w:rsidRPr="00BF3585" w:rsidR="00B17470">
        <w:rPr>
          <w:lang w:val="en-GB"/>
        </w:rPr>
        <w:t xml:space="preserve">of a </w:t>
      </w:r>
      <w:r w:rsidRPr="00BF3585">
        <w:rPr>
          <w:lang w:val="en-GB"/>
        </w:rPr>
        <w:t xml:space="preserve">committee appointed to investigate the internal functioning </w:t>
      </w:r>
      <w:r w:rsidRPr="00BF3585" w:rsidR="00B17470">
        <w:rPr>
          <w:lang w:val="en-GB"/>
        </w:rPr>
        <w:t xml:space="preserve">of </w:t>
      </w:r>
      <w:r w:rsidRPr="00BF3585">
        <w:rPr>
          <w:lang w:val="en-GB"/>
        </w:rPr>
        <w:t>the AIVD itself. The defence protested that this expert lacked independence precisely for that reason.</w:t>
      </w:r>
    </w:p>
    <w:bookmarkStart w:name="Appeal" w:id="1"/>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34</w:t>
      </w:r>
      <w:r w:rsidRPr="00BF3585">
        <w:rPr>
          <w:lang w:val="en-GB"/>
        </w:rPr>
        <w:fldChar w:fldCharType="end"/>
      </w:r>
      <w:bookmarkEnd w:id="1"/>
      <w:r w:rsidRPr="00BF3585">
        <w:rPr>
          <w:lang w:val="en-GB"/>
        </w:rPr>
        <w:t xml:space="preserve">.  The Court </w:t>
      </w:r>
      <w:r w:rsidRPr="00BF3585" w:rsidR="00B17470">
        <w:rPr>
          <w:lang w:val="en-GB"/>
        </w:rPr>
        <w:t xml:space="preserve">of </w:t>
      </w:r>
      <w:r w:rsidRPr="00BF3585">
        <w:rPr>
          <w:lang w:val="en-GB"/>
        </w:rPr>
        <w:t xml:space="preserve">Appeal delivered </w:t>
      </w:r>
      <w:r w:rsidRPr="00BF3585" w:rsidR="00B17470">
        <w:rPr>
          <w:lang w:val="en-GB"/>
        </w:rPr>
        <w:t xml:space="preserve">an </w:t>
      </w:r>
      <w:r w:rsidRPr="00BF3585">
        <w:rPr>
          <w:lang w:val="en-GB"/>
        </w:rPr>
        <w:t>interlocutory judgment on 12 October 2006. Its reasoning incl</w:t>
      </w:r>
      <w:bookmarkStart w:name="para" w:id="2"/>
      <w:bookmarkEnd w:id="2"/>
      <w:r w:rsidRPr="00BF3585">
        <w:rPr>
          <w:lang w:val="en-GB"/>
        </w:rPr>
        <w:t>uded the following:</w:t>
      </w:r>
    </w:p>
    <w:p w:rsidRPr="00BF3585" w:rsidR="00C6083D" w:rsidP="00BF3585" w:rsidRDefault="00C6083D">
      <w:pPr>
        <w:pStyle w:val="ECHRParaQuote"/>
        <w:rPr>
          <w:lang w:val="en-GB"/>
        </w:rPr>
      </w:pPr>
      <w:r w:rsidRPr="00BF3585">
        <w:rPr>
          <w:lang w:val="en-GB"/>
        </w:rPr>
        <w:t xml:space="preserve">“The duty </w:t>
      </w:r>
      <w:r w:rsidRPr="00BF3585" w:rsidR="00B17470">
        <w:rPr>
          <w:lang w:val="en-GB"/>
        </w:rPr>
        <w:t xml:space="preserve">of </w:t>
      </w:r>
      <w:r w:rsidRPr="00BF3585">
        <w:rPr>
          <w:lang w:val="en-GB"/>
        </w:rPr>
        <w:t xml:space="preserve">secrecy arising from the 2002 Intelligence and Security Services Act Serviced Act is subject only to the exceptions set out in that Act. The implication is that only the possibility offered by section 86(1) </w:t>
      </w:r>
      <w:r w:rsidRPr="00BF3585" w:rsidR="00B17470">
        <w:rPr>
          <w:lang w:val="en-GB"/>
        </w:rPr>
        <w:t xml:space="preserve">of </w:t>
      </w:r>
      <w:r w:rsidRPr="00BF3585">
        <w:rPr>
          <w:lang w:val="en-GB"/>
        </w:rPr>
        <w:t xml:space="preserve">that Act offers </w:t>
      </w:r>
      <w:r w:rsidRPr="00BF3585" w:rsidR="00B17470">
        <w:rPr>
          <w:lang w:val="en-GB"/>
        </w:rPr>
        <w:t xml:space="preserve">a </w:t>
      </w:r>
      <w:r w:rsidRPr="00BF3585">
        <w:rPr>
          <w:lang w:val="en-GB"/>
        </w:rPr>
        <w:t>solution for the applicant</w:t>
      </w:r>
      <w:r w:rsidRPr="00BF3585" w:rsidR="00BF3585">
        <w:rPr>
          <w:lang w:val="en-GB"/>
        </w:rPr>
        <w:t>’</w:t>
      </w:r>
      <w:r w:rsidRPr="00BF3585">
        <w:rPr>
          <w:lang w:val="en-GB"/>
        </w:rPr>
        <w:t>s present predicament.</w:t>
      </w:r>
    </w:p>
    <w:p w:rsidRPr="00BF3585" w:rsidR="00C6083D" w:rsidP="00BF3585" w:rsidRDefault="00C6083D">
      <w:pPr>
        <w:pStyle w:val="ECHRParaQuote"/>
        <w:rPr>
          <w:lang w:val="en-GB"/>
        </w:rPr>
      </w:pPr>
      <w:r w:rsidRPr="00BF3585">
        <w:rPr>
          <w:lang w:val="en-GB"/>
        </w:rPr>
        <w:t xml:space="preserve">The interests </w:t>
      </w:r>
      <w:r w:rsidRPr="00BF3585" w:rsidR="00B17470">
        <w:rPr>
          <w:lang w:val="en-GB"/>
        </w:rPr>
        <w:t xml:space="preserve">of </w:t>
      </w:r>
      <w:r w:rsidRPr="00BF3585">
        <w:rPr>
          <w:lang w:val="en-GB"/>
        </w:rPr>
        <w:t xml:space="preserve">State security, which the 2002 Intelligence and Security Services Act and Article 98 and following </w:t>
      </w:r>
      <w:r w:rsidRPr="00BF3585" w:rsidR="00B17470">
        <w:rPr>
          <w:lang w:val="en-GB"/>
        </w:rPr>
        <w:t xml:space="preserve">of </w:t>
      </w:r>
      <w:r w:rsidRPr="00BF3585">
        <w:rPr>
          <w:lang w:val="en-GB"/>
        </w:rPr>
        <w:t xml:space="preserve">the Criminal Code seek to protect, stand in the way </w:t>
      </w:r>
      <w:r w:rsidRPr="00BF3585" w:rsidR="00B17470">
        <w:rPr>
          <w:lang w:val="en-GB"/>
        </w:rPr>
        <w:t xml:space="preserve">of a </w:t>
      </w:r>
      <w:r w:rsidRPr="00BF3585">
        <w:rPr>
          <w:lang w:val="en-GB"/>
        </w:rPr>
        <w:t xml:space="preserve">complete release from the duty </w:t>
      </w:r>
      <w:r w:rsidRPr="00BF3585" w:rsidR="00B17470">
        <w:rPr>
          <w:lang w:val="en-GB"/>
        </w:rPr>
        <w:t xml:space="preserve">of </w:t>
      </w:r>
      <w:r w:rsidRPr="00BF3585">
        <w:rPr>
          <w:lang w:val="en-GB"/>
        </w:rPr>
        <w:t xml:space="preserve">secrecy </w:t>
      </w:r>
      <w:r w:rsidRPr="00BF3585" w:rsidR="003336F4">
        <w:rPr>
          <w:lang w:val="en-GB"/>
        </w:rPr>
        <w:t xml:space="preserve">as the defence would wish and </w:t>
      </w:r>
      <w:r w:rsidRPr="00BF3585" w:rsidR="00B17470">
        <w:rPr>
          <w:lang w:val="en-GB"/>
        </w:rPr>
        <w:t xml:space="preserve">a </w:t>
      </w:r>
      <w:r w:rsidRPr="00BF3585">
        <w:rPr>
          <w:lang w:val="en-GB"/>
        </w:rPr>
        <w:t>complete exemption from prosecution for disclosing State secrets to be granted by the Public Prosecution Service. It is obvious that the sai</w:t>
      </w:r>
      <w:r w:rsidRPr="00BF3585" w:rsidR="003336F4">
        <w:rPr>
          <w:lang w:val="en-GB"/>
        </w:rPr>
        <w:t xml:space="preserve">d duty </w:t>
      </w:r>
      <w:r w:rsidRPr="00BF3585" w:rsidR="00B17470">
        <w:rPr>
          <w:lang w:val="en-GB"/>
        </w:rPr>
        <w:t xml:space="preserve">of </w:t>
      </w:r>
      <w:r w:rsidRPr="00BF3585" w:rsidR="003336F4">
        <w:rPr>
          <w:lang w:val="en-GB"/>
        </w:rPr>
        <w:t xml:space="preserve">secrecy constitutes </w:t>
      </w:r>
      <w:r w:rsidRPr="00BF3585" w:rsidR="00B17470">
        <w:rPr>
          <w:lang w:val="en-GB"/>
        </w:rPr>
        <w:t xml:space="preserve">a </w:t>
      </w:r>
      <w:r w:rsidRPr="00BF3585">
        <w:rPr>
          <w:lang w:val="en-GB"/>
        </w:rPr>
        <w:t xml:space="preserve">restriction </w:t>
      </w:r>
      <w:r w:rsidRPr="00BF3585" w:rsidR="00B17470">
        <w:rPr>
          <w:lang w:val="en-GB"/>
        </w:rPr>
        <w:t xml:space="preserve">of </w:t>
      </w:r>
      <w:r w:rsidRPr="00BF3585">
        <w:rPr>
          <w:lang w:val="en-GB"/>
        </w:rPr>
        <w:t xml:space="preserve">– normally entirely – free and confidential consultation between the suspect and his counsel and that – if it remained in force in its entirety – it would prevent </w:t>
      </w:r>
      <w:r w:rsidRPr="00BF3585" w:rsidR="00B17470">
        <w:rPr>
          <w:lang w:val="en-GB"/>
        </w:rPr>
        <w:t xml:space="preserve">a </w:t>
      </w:r>
      <w:r w:rsidRPr="00BF3585">
        <w:rPr>
          <w:lang w:val="en-GB"/>
        </w:rPr>
        <w:t xml:space="preserve">fair trial. In the present case, the suspect has been granted conditional release from that duty by the AIVD, based on the latter section </w:t>
      </w:r>
      <w:r w:rsidRPr="00BF3585" w:rsidR="00B17470">
        <w:rPr>
          <w:lang w:val="en-GB"/>
        </w:rPr>
        <w:t xml:space="preserve">of </w:t>
      </w:r>
      <w:r w:rsidRPr="00BF3585">
        <w:rPr>
          <w:lang w:val="en-GB"/>
        </w:rPr>
        <w:t xml:space="preserve">the 2002 Intelligence and Security Service Act, as have his two counsel. The conditions accompanying that release, all </w:t>
      </w:r>
      <w:r w:rsidRPr="00BF3585" w:rsidR="00B17470">
        <w:rPr>
          <w:lang w:val="en-GB"/>
        </w:rPr>
        <w:t xml:space="preserve">of </w:t>
      </w:r>
      <w:r w:rsidRPr="00BF3585">
        <w:rPr>
          <w:lang w:val="en-GB"/>
        </w:rPr>
        <w:t xml:space="preserve">which concern interests </w:t>
      </w:r>
      <w:r w:rsidRPr="00BF3585" w:rsidR="00B17470">
        <w:rPr>
          <w:lang w:val="en-GB"/>
        </w:rPr>
        <w:t xml:space="preserve">of </w:t>
      </w:r>
      <w:r w:rsidRPr="00BF3585">
        <w:rPr>
          <w:lang w:val="en-GB"/>
        </w:rPr>
        <w:t xml:space="preserve">State security in relation to interests </w:t>
      </w:r>
      <w:r w:rsidRPr="00BF3585" w:rsidR="00B17470">
        <w:rPr>
          <w:lang w:val="en-GB"/>
        </w:rPr>
        <w:t xml:space="preserve">of </w:t>
      </w:r>
      <w:r w:rsidRPr="00BF3585">
        <w:rPr>
          <w:lang w:val="en-GB"/>
        </w:rPr>
        <w:t xml:space="preserve">the defence in the present criminal proceedings, appear to the Court </w:t>
      </w:r>
      <w:r w:rsidRPr="00BF3585" w:rsidR="00B17470">
        <w:rPr>
          <w:lang w:val="en-GB"/>
        </w:rPr>
        <w:t xml:space="preserve">of </w:t>
      </w:r>
      <w:r w:rsidRPr="00BF3585">
        <w:rPr>
          <w:lang w:val="en-GB"/>
        </w:rPr>
        <w:t xml:space="preserve">Appeal neither unreasonable within the framework </w:t>
      </w:r>
      <w:r w:rsidRPr="00BF3585" w:rsidR="00B17470">
        <w:rPr>
          <w:lang w:val="en-GB"/>
        </w:rPr>
        <w:t xml:space="preserve">of </w:t>
      </w:r>
      <w:r w:rsidRPr="00BF3585">
        <w:rPr>
          <w:lang w:val="en-GB"/>
        </w:rPr>
        <w:t xml:space="preserve">the interests </w:t>
      </w:r>
      <w:r w:rsidRPr="00BF3585" w:rsidR="00B17470">
        <w:rPr>
          <w:lang w:val="en-GB"/>
        </w:rPr>
        <w:t xml:space="preserve">of </w:t>
      </w:r>
      <w:r w:rsidRPr="00BF3585">
        <w:rPr>
          <w:lang w:val="en-GB"/>
        </w:rPr>
        <w:t xml:space="preserve">State security nor unworkable within the framework </w:t>
      </w:r>
      <w:r w:rsidRPr="00BF3585" w:rsidR="00B17470">
        <w:rPr>
          <w:lang w:val="en-GB"/>
        </w:rPr>
        <w:t xml:space="preserve">of </w:t>
      </w:r>
      <w:r w:rsidRPr="00BF3585">
        <w:rPr>
          <w:lang w:val="en-GB"/>
        </w:rPr>
        <w:t xml:space="preserve">the interests </w:t>
      </w:r>
      <w:r w:rsidRPr="00BF3585" w:rsidR="00B17470">
        <w:rPr>
          <w:lang w:val="en-GB"/>
        </w:rPr>
        <w:t xml:space="preserve">of </w:t>
      </w:r>
      <w:r w:rsidRPr="00BF3585">
        <w:rPr>
          <w:lang w:val="en-GB"/>
        </w:rPr>
        <w:t>the defence.</w:t>
      </w:r>
    </w:p>
    <w:p w:rsidRPr="00BF3585" w:rsidR="00C6083D" w:rsidP="00BF3585" w:rsidRDefault="00C6083D">
      <w:pPr>
        <w:pStyle w:val="ECHRParaQuote"/>
        <w:rPr>
          <w:lang w:val="en-GB"/>
        </w:rPr>
      </w:pPr>
      <w:r w:rsidRPr="00BF3585">
        <w:rPr>
          <w:lang w:val="en-GB"/>
        </w:rPr>
        <w:t>...</w:t>
      </w:r>
    </w:p>
    <w:p w:rsidRPr="00BF3585" w:rsidR="00C6083D" w:rsidP="00BF3585" w:rsidRDefault="00C6083D">
      <w:pPr>
        <w:pStyle w:val="ECHRParaQuote"/>
        <w:rPr>
          <w:lang w:val="en-GB"/>
        </w:rPr>
      </w:pPr>
      <w:r w:rsidRPr="00BF3585">
        <w:rPr>
          <w:lang w:val="en-GB"/>
        </w:rPr>
        <w:t xml:space="preserve">Finally, it is the case that if the suspect and the defence, if they consider that the space left to them by the said release is not sufficient to conduct </w:t>
      </w:r>
      <w:r w:rsidRPr="00BF3585" w:rsidR="00B17470">
        <w:rPr>
          <w:lang w:val="en-GB"/>
        </w:rPr>
        <w:t xml:space="preserve">a </w:t>
      </w:r>
      <w:r w:rsidRPr="00BF3585">
        <w:rPr>
          <w:lang w:val="en-GB"/>
        </w:rPr>
        <w:t xml:space="preserve">defence meeting the requirements </w:t>
      </w:r>
      <w:r w:rsidRPr="00BF3585" w:rsidR="00B17470">
        <w:rPr>
          <w:lang w:val="en-GB"/>
        </w:rPr>
        <w:t xml:space="preserve">of </w:t>
      </w:r>
      <w:r w:rsidRPr="00BF3585">
        <w:rPr>
          <w:lang w:val="en-GB"/>
        </w:rPr>
        <w:t xml:space="preserve">the Convention and they consider, in their assessment, that he/they have to transgress his/their duty </w:t>
      </w:r>
      <w:r w:rsidRPr="00BF3585" w:rsidR="00B17470">
        <w:rPr>
          <w:lang w:val="en-GB"/>
        </w:rPr>
        <w:t xml:space="preserve">of </w:t>
      </w:r>
      <w:r w:rsidRPr="00BF3585">
        <w:rPr>
          <w:lang w:val="en-GB"/>
        </w:rPr>
        <w:t>secrecy further th</w:t>
      </w:r>
      <w:r w:rsidRPr="00BF3585" w:rsidR="00B17470">
        <w:rPr>
          <w:lang w:val="en-GB"/>
        </w:rPr>
        <w:t xml:space="preserve">an </w:t>
      </w:r>
      <w:r w:rsidRPr="00BF3585">
        <w:rPr>
          <w:lang w:val="en-GB"/>
        </w:rPr>
        <w:t>the conditions governing the release allow, they c</w:t>
      </w:r>
      <w:r w:rsidRPr="00BF3585" w:rsidR="00B17470">
        <w:rPr>
          <w:lang w:val="en-GB"/>
        </w:rPr>
        <w:t xml:space="preserve">an </w:t>
      </w:r>
      <w:r w:rsidRPr="00BF3585">
        <w:rPr>
          <w:lang w:val="en-GB"/>
        </w:rPr>
        <w:t>plead justification (</w:t>
      </w:r>
      <w:r w:rsidRPr="00BF3585">
        <w:rPr>
          <w:i/>
          <w:lang w:val="en-GB"/>
        </w:rPr>
        <w:t>rechtvaardigingsgrond</w:t>
      </w:r>
      <w:r w:rsidRPr="00BF3585">
        <w:rPr>
          <w:lang w:val="en-GB"/>
        </w:rPr>
        <w:t xml:space="preserve">), namely the interest </w:t>
      </w:r>
      <w:r w:rsidRPr="00BF3585" w:rsidR="00B17470">
        <w:rPr>
          <w:lang w:val="en-GB"/>
        </w:rPr>
        <w:t xml:space="preserve">of a </w:t>
      </w:r>
      <w:r w:rsidRPr="00BF3585">
        <w:rPr>
          <w:lang w:val="en-GB"/>
        </w:rPr>
        <w:t xml:space="preserve">proper defence within the meaning </w:t>
      </w:r>
      <w:r w:rsidRPr="00BF3585" w:rsidR="00B17470">
        <w:rPr>
          <w:lang w:val="en-GB"/>
        </w:rPr>
        <w:t xml:space="preserve">of </w:t>
      </w:r>
      <w:r w:rsidRPr="00BF3585">
        <w:rPr>
          <w:lang w:val="en-GB"/>
        </w:rPr>
        <w:t>Ar</w:t>
      </w:r>
      <w:r w:rsidRPr="00BF3585" w:rsidR="001D5873">
        <w:rPr>
          <w:lang w:val="en-GB"/>
        </w:rPr>
        <w:t xml:space="preserve">ticle 6 </w:t>
      </w:r>
      <w:r w:rsidRPr="00BF3585" w:rsidR="00B17470">
        <w:rPr>
          <w:lang w:val="en-GB"/>
        </w:rPr>
        <w:t xml:space="preserve">of </w:t>
      </w:r>
      <w:r w:rsidRPr="00BF3585" w:rsidR="001D5873">
        <w:rPr>
          <w:lang w:val="en-GB"/>
        </w:rPr>
        <w:t>the Convention. The Advocate G</w:t>
      </w:r>
      <w:r w:rsidRPr="00BF3585">
        <w:rPr>
          <w:lang w:val="en-GB"/>
        </w:rPr>
        <w:t xml:space="preserve">eneral gave the assurance at the hearing </w:t>
      </w:r>
      <w:r w:rsidRPr="00BF3585" w:rsidR="00B17470">
        <w:rPr>
          <w:lang w:val="en-GB"/>
        </w:rPr>
        <w:t xml:space="preserve">of </w:t>
      </w:r>
      <w:r w:rsidRPr="00BF3585">
        <w:rPr>
          <w:lang w:val="en-GB"/>
        </w:rPr>
        <w:t xml:space="preserve">28 September 2006 that no prosecution would be brought if </w:t>
      </w:r>
      <w:r w:rsidRPr="00BF3585" w:rsidR="00B17470">
        <w:rPr>
          <w:lang w:val="en-GB"/>
        </w:rPr>
        <w:t xml:space="preserve">a </w:t>
      </w:r>
      <w:r w:rsidRPr="00BF3585">
        <w:rPr>
          <w:lang w:val="en-GB"/>
        </w:rPr>
        <w:t xml:space="preserve">violation </w:t>
      </w:r>
      <w:r w:rsidRPr="00BF3585" w:rsidR="00B17470">
        <w:rPr>
          <w:lang w:val="en-GB"/>
        </w:rPr>
        <w:t xml:space="preserve">of </w:t>
      </w:r>
      <w:r w:rsidRPr="00BF3585">
        <w:rPr>
          <w:lang w:val="en-GB"/>
        </w:rPr>
        <w:t xml:space="preserve">the duty </w:t>
      </w:r>
      <w:r w:rsidRPr="00BF3585" w:rsidR="00B17470">
        <w:rPr>
          <w:lang w:val="en-GB"/>
        </w:rPr>
        <w:t xml:space="preserve">of </w:t>
      </w:r>
      <w:r w:rsidRPr="00BF3585">
        <w:rPr>
          <w:lang w:val="en-GB"/>
        </w:rPr>
        <w:t xml:space="preserve">secrecy by the suspect – and as the Court </w:t>
      </w:r>
      <w:r w:rsidRPr="00BF3585" w:rsidR="00B17470">
        <w:rPr>
          <w:lang w:val="en-GB"/>
        </w:rPr>
        <w:t xml:space="preserve">of </w:t>
      </w:r>
      <w:r w:rsidRPr="00BF3585">
        <w:rPr>
          <w:lang w:val="en-GB"/>
        </w:rPr>
        <w:t>Appeal pr</w:t>
      </w:r>
      <w:r w:rsidRPr="00BF3585" w:rsidR="005979E0">
        <w:rPr>
          <w:lang w:val="en-GB"/>
        </w:rPr>
        <w:t>esumes, his counsel as well – was</w:t>
      </w:r>
      <w:r w:rsidRPr="00BF3585">
        <w:rPr>
          <w:lang w:val="en-GB"/>
        </w:rPr>
        <w:t xml:space="preserve"> justified by invoking Article 6 </w:t>
      </w:r>
      <w:r w:rsidRPr="00BF3585" w:rsidR="00B17470">
        <w:rPr>
          <w:lang w:val="en-GB"/>
        </w:rPr>
        <w:t xml:space="preserve">of </w:t>
      </w:r>
      <w:r w:rsidRPr="00BF3585">
        <w:rPr>
          <w:lang w:val="en-GB"/>
        </w:rPr>
        <w:t>the Convention.”</w:t>
      </w:r>
    </w:p>
    <w:p w:rsidRPr="00BF3585" w:rsidR="00C6083D" w:rsidP="00BF3585" w:rsidRDefault="00C6083D">
      <w:pPr>
        <w:pStyle w:val="ECHRPara"/>
        <w:rPr>
          <w:lang w:val="en-GB"/>
        </w:rPr>
      </w:pPr>
      <w:r w:rsidRPr="00BF3585">
        <w:rPr>
          <w:lang w:val="en-GB"/>
        </w:rPr>
        <w:t>and</w:t>
      </w:r>
    </w:p>
    <w:p w:rsidRPr="00BF3585" w:rsidR="00C6083D" w:rsidP="00BF3585" w:rsidRDefault="00C6083D">
      <w:pPr>
        <w:pStyle w:val="ECHRParaQuote"/>
        <w:rPr>
          <w:lang w:val="en-GB"/>
        </w:rPr>
      </w:pPr>
      <w:r w:rsidRPr="00BF3585">
        <w:rPr>
          <w:lang w:val="en-GB"/>
        </w:rPr>
        <w:t xml:space="preserve">“The Court </w:t>
      </w:r>
      <w:r w:rsidRPr="00BF3585" w:rsidR="00B17470">
        <w:rPr>
          <w:lang w:val="en-GB"/>
        </w:rPr>
        <w:t xml:space="preserve">of </w:t>
      </w:r>
      <w:r w:rsidRPr="00BF3585">
        <w:rPr>
          <w:lang w:val="en-GB"/>
        </w:rPr>
        <w:t xml:space="preserve">Appeal assumes that the defence request [for access to the internal AIVD investigation materials] comprises all investigations undertaken by the AIVD after it had become known that </w:t>
      </w:r>
      <w:r w:rsidRPr="00BF3585" w:rsidR="00B17470">
        <w:rPr>
          <w:lang w:val="en-GB"/>
        </w:rPr>
        <w:t xml:space="preserve">a </w:t>
      </w:r>
      <w:r w:rsidRPr="00BF3585">
        <w:rPr>
          <w:lang w:val="en-GB"/>
        </w:rPr>
        <w:t>third party, i.e. S., possessed [</w:t>
      </w:r>
      <w:r w:rsidRPr="00BF3585" w:rsidR="00B17470">
        <w:rPr>
          <w:lang w:val="en-GB"/>
        </w:rPr>
        <w:t xml:space="preserve">a </w:t>
      </w:r>
      <w:r w:rsidRPr="00BF3585">
        <w:rPr>
          <w:lang w:val="en-GB"/>
        </w:rPr>
        <w:t xml:space="preserve">copy </w:t>
      </w:r>
      <w:r w:rsidRPr="00BF3585" w:rsidR="00B17470">
        <w:rPr>
          <w:lang w:val="en-GB"/>
        </w:rPr>
        <w:t xml:space="preserve">of a </w:t>
      </w:r>
      <w:r w:rsidRPr="00BF3585">
        <w:rPr>
          <w:lang w:val="en-GB"/>
        </w:rPr>
        <w:t>classified AIVD document]. It does not appear from the file that these internal investigations were set out in any report. The case file contains criminal complaints (</w:t>
      </w:r>
      <w:r w:rsidRPr="00BF3585">
        <w:rPr>
          <w:i/>
          <w:lang w:val="en-GB"/>
        </w:rPr>
        <w:t>aangiftes</w:t>
      </w:r>
      <w:r w:rsidRPr="00BF3585">
        <w:rPr>
          <w:lang w:val="en-GB"/>
        </w:rPr>
        <w:t>) based on those investigations.</w:t>
      </w:r>
    </w:p>
    <w:p w:rsidRPr="00BF3585" w:rsidR="00C6083D" w:rsidP="00BF3585" w:rsidRDefault="00C6083D">
      <w:pPr>
        <w:pStyle w:val="ECHRParaQuote"/>
        <w:rPr>
          <w:lang w:val="en-GB"/>
        </w:rPr>
      </w:pPr>
      <w:r w:rsidRPr="00BF3585">
        <w:rPr>
          <w:lang w:val="en-GB"/>
        </w:rPr>
        <w:t xml:space="preserve">It must be noted in the first place that the defence request does not concern documents in the possession </w:t>
      </w:r>
      <w:r w:rsidRPr="00BF3585" w:rsidR="00B17470">
        <w:rPr>
          <w:lang w:val="en-GB"/>
        </w:rPr>
        <w:t xml:space="preserve">of </w:t>
      </w:r>
      <w:r w:rsidRPr="00BF3585">
        <w:rPr>
          <w:lang w:val="en-GB"/>
        </w:rPr>
        <w:t xml:space="preserve">the Public Prosecution Service within the meaning </w:t>
      </w:r>
      <w:r w:rsidRPr="00BF3585" w:rsidR="00B17470">
        <w:rPr>
          <w:lang w:val="en-GB"/>
        </w:rPr>
        <w:t xml:space="preserve">of </w:t>
      </w:r>
      <w:r w:rsidRPr="00BF3585">
        <w:rPr>
          <w:lang w:val="en-GB"/>
        </w:rPr>
        <w:t xml:space="preserve">Article 30 </w:t>
      </w:r>
      <w:r w:rsidRPr="00BF3585" w:rsidR="00B17470">
        <w:rPr>
          <w:lang w:val="en-GB"/>
        </w:rPr>
        <w:t xml:space="preserve">of </w:t>
      </w:r>
      <w:r w:rsidRPr="00BF3585">
        <w:rPr>
          <w:lang w:val="en-GB"/>
        </w:rPr>
        <w:t xml:space="preserve">the Code </w:t>
      </w:r>
      <w:r w:rsidRPr="00BF3585" w:rsidR="00B17470">
        <w:rPr>
          <w:lang w:val="en-GB"/>
        </w:rPr>
        <w:t xml:space="preserve">of </w:t>
      </w:r>
      <w:r w:rsidRPr="00BF3585">
        <w:rPr>
          <w:lang w:val="en-GB"/>
        </w:rPr>
        <w:t xml:space="preserve">Criminal Procedure; none </w:t>
      </w:r>
      <w:r w:rsidRPr="00BF3585" w:rsidR="00B17470">
        <w:rPr>
          <w:lang w:val="en-GB"/>
        </w:rPr>
        <w:t xml:space="preserve">of </w:t>
      </w:r>
      <w:r w:rsidRPr="00BF3585">
        <w:rPr>
          <w:lang w:val="en-GB"/>
        </w:rPr>
        <w:t xml:space="preserve">the participants in the proceedings is aware </w:t>
      </w:r>
      <w:r w:rsidRPr="00BF3585" w:rsidR="00B17470">
        <w:rPr>
          <w:lang w:val="en-GB"/>
        </w:rPr>
        <w:t xml:space="preserve">of </w:t>
      </w:r>
      <w:r w:rsidRPr="00BF3585">
        <w:rPr>
          <w:lang w:val="en-GB"/>
        </w:rPr>
        <w:t xml:space="preserve">the content </w:t>
      </w:r>
      <w:r w:rsidRPr="00BF3585" w:rsidR="00B17470">
        <w:rPr>
          <w:lang w:val="en-GB"/>
        </w:rPr>
        <w:t xml:space="preserve">of </w:t>
      </w:r>
      <w:r w:rsidRPr="00BF3585">
        <w:rPr>
          <w:lang w:val="en-GB"/>
        </w:rPr>
        <w:t xml:space="preserve">the internal investigations, save for what has been stated by witnesses in this respect, and what is set out in the said criminal complaints. There is therefore no violation </w:t>
      </w:r>
      <w:r w:rsidRPr="00BF3585" w:rsidR="00B17470">
        <w:rPr>
          <w:lang w:val="en-GB"/>
        </w:rPr>
        <w:t xml:space="preserve">of </w:t>
      </w:r>
      <w:r w:rsidRPr="00BF3585">
        <w:rPr>
          <w:lang w:val="en-GB"/>
        </w:rPr>
        <w:t xml:space="preserve">the principle </w:t>
      </w:r>
      <w:r w:rsidRPr="00BF3585" w:rsidR="00B17470">
        <w:rPr>
          <w:lang w:val="en-GB"/>
        </w:rPr>
        <w:t xml:space="preserve">of </w:t>
      </w:r>
      <w:r w:rsidRPr="00BF3585" w:rsidR="00BF3585">
        <w:rPr>
          <w:lang w:val="en-GB"/>
        </w:rPr>
        <w:t>‘</w:t>
      </w:r>
      <w:r w:rsidRPr="00BF3585">
        <w:rPr>
          <w:lang w:val="en-GB"/>
        </w:rPr>
        <w:t xml:space="preserve">equality </w:t>
      </w:r>
      <w:r w:rsidRPr="00BF3585" w:rsidR="00B17470">
        <w:rPr>
          <w:lang w:val="en-GB"/>
        </w:rPr>
        <w:t xml:space="preserve">of </w:t>
      </w:r>
      <w:r w:rsidRPr="00BF3585">
        <w:rPr>
          <w:lang w:val="en-GB"/>
        </w:rPr>
        <w:t>arms</w:t>
      </w:r>
      <w:r w:rsidRPr="00BF3585" w:rsidR="00BF3585">
        <w:rPr>
          <w:lang w:val="en-GB"/>
        </w:rPr>
        <w:t>’</w:t>
      </w:r>
      <w:r w:rsidRPr="00BF3585">
        <w:rPr>
          <w:rStyle w:val="FootnoteReference"/>
          <w:lang w:val="en-GB"/>
        </w:rPr>
        <w:footnoteReference w:id="1"/>
      </w:r>
      <w:r w:rsidRPr="00BF3585">
        <w:rPr>
          <w:lang w:val="en-GB"/>
        </w:rPr>
        <w:t>.</w:t>
      </w:r>
    </w:p>
    <w:p w:rsidRPr="00BF3585" w:rsidR="00C6083D" w:rsidP="00BF3585" w:rsidRDefault="00C6083D">
      <w:pPr>
        <w:pStyle w:val="ECHRParaQuote"/>
        <w:rPr>
          <w:lang w:val="en-GB"/>
        </w:rPr>
      </w:pPr>
      <w:r w:rsidRPr="00BF3585">
        <w:rPr>
          <w:lang w:val="en-GB"/>
        </w:rPr>
        <w:t>Quite apart from the question whether the AIVD, given its duty and responsibility ..., would be willing to submit its report or any written documents concerning its internal investigation to the public prosecution service to be added to the file, the question needs to be considered whether these documents, which do not emanate from any investigatory body, c</w:t>
      </w:r>
      <w:r w:rsidRPr="00BF3585" w:rsidR="00B17470">
        <w:rPr>
          <w:lang w:val="en-GB"/>
        </w:rPr>
        <w:t xml:space="preserve">an </w:t>
      </w:r>
      <w:r w:rsidRPr="00BF3585">
        <w:rPr>
          <w:lang w:val="en-GB"/>
        </w:rPr>
        <w:t>in reason be relevant to the defence.</w:t>
      </w:r>
    </w:p>
    <w:p w:rsidRPr="00BF3585" w:rsidR="00C6083D" w:rsidP="00BF3585" w:rsidRDefault="00C6083D">
      <w:pPr>
        <w:pStyle w:val="ECHRParaQuote"/>
        <w:rPr>
          <w:lang w:val="en-GB"/>
        </w:rPr>
      </w:pPr>
      <w:r w:rsidRPr="00BF3585">
        <w:rPr>
          <w:lang w:val="en-GB"/>
        </w:rPr>
        <w:t xml:space="preserve">The defence has not, in the present case, suggested, let alone shown, that the materials compiled by the AIVD within the framework </w:t>
      </w:r>
      <w:r w:rsidRPr="00BF3585" w:rsidR="00B17470">
        <w:rPr>
          <w:lang w:val="en-GB"/>
        </w:rPr>
        <w:t xml:space="preserve">of </w:t>
      </w:r>
      <w:r w:rsidRPr="00BF3585">
        <w:rPr>
          <w:lang w:val="en-GB"/>
        </w:rPr>
        <w:t>its internal investigation have been obtained unlawfully or are unreliable, but only that the documents and information provided by that service have been accepted uncritically (</w:t>
      </w:r>
      <w:r w:rsidRPr="00BF3585">
        <w:rPr>
          <w:i/>
          <w:lang w:val="en-GB"/>
        </w:rPr>
        <w:t>voor zoete koek aangenomen</w:t>
      </w:r>
      <w:r w:rsidRPr="00BF3585">
        <w:rPr>
          <w:lang w:val="en-GB"/>
        </w:rPr>
        <w:t>) first by the National Police Internal Investigations Department (</w:t>
      </w:r>
      <w:r w:rsidRPr="00BF3585">
        <w:rPr>
          <w:i/>
          <w:lang w:val="en-GB"/>
        </w:rPr>
        <w:t>Rijksrecherche</w:t>
      </w:r>
      <w:r w:rsidRPr="00BF3585">
        <w:rPr>
          <w:lang w:val="en-GB"/>
        </w:rPr>
        <w:t>) and then by the Public Prosecution Service and cannot be checked.</w:t>
      </w:r>
    </w:p>
    <w:p w:rsidRPr="00BF3585" w:rsidR="00C6083D" w:rsidP="00BF3585" w:rsidRDefault="00C6083D">
      <w:pPr>
        <w:pStyle w:val="ECHRParaQuote"/>
        <w:rPr>
          <w:lang w:val="en-GB"/>
        </w:rPr>
      </w:pPr>
      <w:r w:rsidRPr="00BF3585">
        <w:rPr>
          <w:lang w:val="en-GB"/>
        </w:rPr>
        <w:t xml:space="preserve">The Court </w:t>
      </w:r>
      <w:r w:rsidRPr="00BF3585" w:rsidR="00B17470">
        <w:rPr>
          <w:lang w:val="en-GB"/>
        </w:rPr>
        <w:t xml:space="preserve">of </w:t>
      </w:r>
      <w:r w:rsidRPr="00BF3585">
        <w:rPr>
          <w:lang w:val="en-GB"/>
        </w:rPr>
        <w:t>Appeal takes the provisional view – without wishing to prejudge its final decision [on the question whether the trial was fair] – that the said materials c</w:t>
      </w:r>
      <w:r w:rsidRPr="00BF3585" w:rsidR="00B17470">
        <w:rPr>
          <w:lang w:val="en-GB"/>
        </w:rPr>
        <w:t xml:space="preserve">an </w:t>
      </w:r>
      <w:r w:rsidRPr="00BF3585">
        <w:rPr>
          <w:lang w:val="en-GB"/>
        </w:rPr>
        <w:t xml:space="preserve">be assessed based on the statements </w:t>
      </w:r>
      <w:r w:rsidRPr="00BF3585" w:rsidR="00B17470">
        <w:rPr>
          <w:lang w:val="en-GB"/>
        </w:rPr>
        <w:t xml:space="preserve">of </w:t>
      </w:r>
      <w:r w:rsidRPr="00BF3585">
        <w:rPr>
          <w:lang w:val="en-GB"/>
        </w:rPr>
        <w:t xml:space="preserve">the witnesses questioned, albeit, as far as AIVD members are concerned, subject to some restrictions owing to their duty </w:t>
      </w:r>
      <w:r w:rsidRPr="00BF3585" w:rsidR="00B17470">
        <w:rPr>
          <w:lang w:val="en-GB"/>
        </w:rPr>
        <w:t xml:space="preserve">of </w:t>
      </w:r>
      <w:r w:rsidRPr="00BF3585">
        <w:rPr>
          <w:lang w:val="en-GB"/>
        </w:rPr>
        <w:t>secrecy.”</w:t>
      </w:r>
    </w:p>
    <w:p w:rsidRPr="00BF3585" w:rsidR="00C6083D" w:rsidP="00BF3585" w:rsidRDefault="00C6083D">
      <w:pPr>
        <w:pStyle w:val="ECHRPara"/>
        <w:rPr>
          <w:lang w:val="en-GB"/>
        </w:rPr>
      </w:pPr>
      <w:r w:rsidRPr="00BF3585">
        <w:rPr>
          <w:lang w:val="en-GB"/>
        </w:rPr>
        <w:t>It noted the “particular tension between fundamentally opposed interests”, namely the applicant</w:t>
      </w:r>
      <w:r w:rsidRPr="00BF3585" w:rsidR="00BF3585">
        <w:rPr>
          <w:lang w:val="en-GB"/>
        </w:rPr>
        <w:t>’</w:t>
      </w:r>
      <w:r w:rsidRPr="00BF3585">
        <w:rPr>
          <w:lang w:val="en-GB"/>
        </w:rPr>
        <w:t xml:space="preserve">s interest as </w:t>
      </w:r>
      <w:r w:rsidRPr="00BF3585" w:rsidR="00B17470">
        <w:rPr>
          <w:lang w:val="en-GB"/>
        </w:rPr>
        <w:t xml:space="preserve">a </w:t>
      </w:r>
      <w:r w:rsidRPr="00BF3585">
        <w:rPr>
          <w:lang w:val="en-GB"/>
        </w:rPr>
        <w:t xml:space="preserve">defendant in </w:t>
      </w:r>
      <w:r w:rsidRPr="00BF3585" w:rsidR="00B17470">
        <w:rPr>
          <w:lang w:val="en-GB"/>
        </w:rPr>
        <w:t xml:space="preserve">a </w:t>
      </w:r>
      <w:r w:rsidRPr="00BF3585">
        <w:rPr>
          <w:lang w:val="en-GB"/>
        </w:rPr>
        <w:t xml:space="preserve">criminal trial and the State interest in maintaining the secrecy </w:t>
      </w:r>
      <w:r w:rsidRPr="00BF3585" w:rsidR="00B17470">
        <w:rPr>
          <w:lang w:val="en-GB"/>
        </w:rPr>
        <w:t xml:space="preserve">of </w:t>
      </w:r>
      <w:r w:rsidRPr="00BF3585">
        <w:rPr>
          <w:lang w:val="en-GB"/>
        </w:rPr>
        <w:t>AIVD information, but rejected the protests put forward on the applicant</w:t>
      </w:r>
      <w:r w:rsidRPr="00BF3585" w:rsidR="00BF3585">
        <w:rPr>
          <w:lang w:val="en-GB"/>
        </w:rPr>
        <w:t>’</w:t>
      </w:r>
      <w:r w:rsidRPr="00BF3585">
        <w:rPr>
          <w:lang w:val="en-GB"/>
        </w:rPr>
        <w:t>s behalf. The judgment took</w:t>
      </w:r>
      <w:r w:rsidRPr="00BF3585" w:rsidR="001D5873">
        <w:rPr>
          <w:lang w:val="en-GB"/>
        </w:rPr>
        <w:t xml:space="preserve"> note </w:t>
      </w:r>
      <w:r w:rsidRPr="00BF3585" w:rsidR="00B17470">
        <w:rPr>
          <w:lang w:val="en-GB"/>
        </w:rPr>
        <w:t xml:space="preserve">of a </w:t>
      </w:r>
      <w:r w:rsidRPr="00BF3585" w:rsidR="001D5873">
        <w:rPr>
          <w:lang w:val="en-GB"/>
        </w:rPr>
        <w:t>promise made by the A</w:t>
      </w:r>
      <w:r w:rsidRPr="00BF3585">
        <w:rPr>
          <w:lang w:val="en-GB"/>
        </w:rPr>
        <w:t>dvocate</w:t>
      </w:r>
      <w:r w:rsidRPr="00BF3585" w:rsidR="003336F4">
        <w:rPr>
          <w:lang w:val="en-GB"/>
        </w:rPr>
        <w:t xml:space="preserve"> </w:t>
      </w:r>
      <w:r w:rsidRPr="00BF3585" w:rsidR="001D5873">
        <w:rPr>
          <w:lang w:val="en-GB"/>
        </w:rPr>
        <w:t>G</w:t>
      </w:r>
      <w:r w:rsidRPr="00BF3585" w:rsidR="003336F4">
        <w:rPr>
          <w:lang w:val="en-GB"/>
        </w:rPr>
        <w:t xml:space="preserve">eneral not to prosecute for </w:t>
      </w:r>
      <w:r w:rsidRPr="00BF3585" w:rsidR="00B17470">
        <w:rPr>
          <w:lang w:val="en-GB"/>
        </w:rPr>
        <w:t xml:space="preserve">a </w:t>
      </w:r>
      <w:r w:rsidRPr="00BF3585">
        <w:rPr>
          <w:lang w:val="en-GB"/>
        </w:rPr>
        <w:t xml:space="preserve">violation </w:t>
      </w:r>
      <w:r w:rsidRPr="00BF3585" w:rsidR="00B17470">
        <w:rPr>
          <w:lang w:val="en-GB"/>
        </w:rPr>
        <w:t xml:space="preserve">of </w:t>
      </w:r>
      <w:r w:rsidRPr="00BF3585">
        <w:rPr>
          <w:lang w:val="en-GB"/>
        </w:rPr>
        <w:t xml:space="preserve">the duty </w:t>
      </w:r>
      <w:r w:rsidRPr="00BF3585" w:rsidR="00B17470">
        <w:rPr>
          <w:lang w:val="en-GB"/>
        </w:rPr>
        <w:t xml:space="preserve">of </w:t>
      </w:r>
      <w:r w:rsidRPr="00BF3585">
        <w:rPr>
          <w:lang w:val="en-GB"/>
        </w:rPr>
        <w:t xml:space="preserve">secrecy if that violation was justified by reliance on Article 6 </w:t>
      </w:r>
      <w:r w:rsidRPr="00BF3585" w:rsidR="00B17470">
        <w:rPr>
          <w:lang w:val="en-GB"/>
        </w:rPr>
        <w:t xml:space="preserve">of </w:t>
      </w:r>
      <w:r w:rsidRPr="00BF3585">
        <w:rPr>
          <w:lang w:val="en-GB"/>
        </w:rPr>
        <w:t>the Convention (</w:t>
      </w:r>
      <w:r w:rsidRPr="00BF3585">
        <w:rPr>
          <w:i/>
          <w:lang w:val="en-GB"/>
        </w:rPr>
        <w:t>gerechtvaardigd is door een beroep op artikel 6 EVRM</w:t>
      </w:r>
      <w:r w:rsidRPr="00BF3585">
        <w:rPr>
          <w:lang w:val="en-GB"/>
        </w:rPr>
        <w:t>). It asked the prosecution to submit certain official reports but not the uncensored AIVD documents requested by the defence.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35</w:t>
      </w:r>
      <w:r w:rsidRPr="00BF3585">
        <w:rPr>
          <w:lang w:val="en-GB"/>
        </w:rPr>
        <w:fldChar w:fldCharType="end"/>
      </w:r>
      <w:r w:rsidRPr="00BF3585">
        <w:rPr>
          <w:lang w:val="en-GB"/>
        </w:rPr>
        <w:t xml:space="preserve">.  The appeal hearing was resumed on 12 February 2007. The applicant announced that he might, in his own defence, have to reveal State secret information. This prompted the Court </w:t>
      </w:r>
      <w:r w:rsidRPr="00BF3585" w:rsidR="00B17470">
        <w:rPr>
          <w:lang w:val="en-GB"/>
        </w:rPr>
        <w:t xml:space="preserve">of </w:t>
      </w:r>
      <w:r w:rsidRPr="00BF3585">
        <w:rPr>
          <w:lang w:val="en-GB"/>
        </w:rPr>
        <w:t xml:space="preserve">Appeal to exclude the public from the interrogation </w:t>
      </w:r>
      <w:r w:rsidRPr="00BF3585" w:rsidR="00B17470">
        <w:rPr>
          <w:lang w:val="en-GB"/>
        </w:rPr>
        <w:t xml:space="preserve">of </w:t>
      </w:r>
      <w:r w:rsidRPr="00BF3585">
        <w:rPr>
          <w:lang w:val="en-GB"/>
        </w:rPr>
        <w:t>the applicant, despite the latter</w:t>
      </w:r>
      <w:r w:rsidRPr="00BF3585" w:rsidR="00BF3585">
        <w:rPr>
          <w:lang w:val="en-GB"/>
        </w:rPr>
        <w:t>’</w:t>
      </w:r>
      <w:r w:rsidRPr="00BF3585">
        <w:rPr>
          <w:lang w:val="en-GB"/>
        </w:rPr>
        <w:t>s protests.</w:t>
      </w:r>
    </w:p>
    <w:bookmarkStart w:name="staff_members" w:id="3"/>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36</w:t>
      </w:r>
      <w:r w:rsidRPr="00BF3585">
        <w:rPr>
          <w:lang w:val="en-GB"/>
        </w:rPr>
        <w:fldChar w:fldCharType="end"/>
      </w:r>
      <w:bookmarkEnd w:id="3"/>
      <w:r w:rsidRPr="00BF3585">
        <w:rPr>
          <w:lang w:val="en-GB"/>
        </w:rPr>
        <w:t xml:space="preserve">.  In the course </w:t>
      </w:r>
      <w:r w:rsidRPr="00BF3585" w:rsidR="00B17470">
        <w:rPr>
          <w:lang w:val="en-GB"/>
        </w:rPr>
        <w:t xml:space="preserve">of </w:t>
      </w:r>
      <w:r w:rsidRPr="00BF3585">
        <w:rPr>
          <w:lang w:val="en-GB"/>
        </w:rPr>
        <w:t xml:space="preserve">questioning by his counsel the applicant mentioned the names </w:t>
      </w:r>
      <w:r w:rsidRPr="00BF3585" w:rsidR="00B17470">
        <w:rPr>
          <w:lang w:val="en-GB"/>
        </w:rPr>
        <w:t xml:space="preserve">of </w:t>
      </w:r>
      <w:r w:rsidRPr="00BF3585">
        <w:rPr>
          <w:lang w:val="en-GB"/>
        </w:rPr>
        <w:t xml:space="preserve">particular AIVD staff members; these are not recorded in the official record </w:t>
      </w:r>
      <w:r w:rsidRPr="00BF3585" w:rsidR="00B17470">
        <w:rPr>
          <w:lang w:val="en-GB"/>
        </w:rPr>
        <w:t xml:space="preserve">of </w:t>
      </w:r>
      <w:r w:rsidRPr="00BF3585">
        <w:rPr>
          <w:lang w:val="en-GB"/>
        </w:rPr>
        <w:t xml:space="preserve">the hearing. The </w:t>
      </w:r>
      <w:r w:rsidRPr="00BF3585" w:rsidR="001D5873">
        <w:rPr>
          <w:lang w:val="en-GB"/>
        </w:rPr>
        <w:t>A</w:t>
      </w:r>
      <w:r w:rsidRPr="00BF3585">
        <w:rPr>
          <w:lang w:val="en-GB"/>
        </w:rPr>
        <w:t xml:space="preserve">dvocate </w:t>
      </w:r>
      <w:r w:rsidRPr="00BF3585" w:rsidR="001D5873">
        <w:rPr>
          <w:lang w:val="en-GB"/>
        </w:rPr>
        <w:t>G</w:t>
      </w:r>
      <w:r w:rsidRPr="00BF3585">
        <w:rPr>
          <w:lang w:val="en-GB"/>
        </w:rPr>
        <w:t xml:space="preserve">eneral protested against the mentioning </w:t>
      </w:r>
      <w:r w:rsidRPr="00BF3585" w:rsidR="00B17470">
        <w:rPr>
          <w:lang w:val="en-GB"/>
        </w:rPr>
        <w:t xml:space="preserve">of </w:t>
      </w:r>
      <w:r w:rsidRPr="00BF3585">
        <w:rPr>
          <w:lang w:val="en-GB"/>
        </w:rPr>
        <w:t xml:space="preserve">these names in so far as they were not already to be found in the case file, which in his view was not justified by Article 6 </w:t>
      </w:r>
      <w:r w:rsidRPr="00BF3585" w:rsidR="00B17470">
        <w:rPr>
          <w:lang w:val="en-GB"/>
        </w:rPr>
        <w:t xml:space="preserve">of </w:t>
      </w:r>
      <w:r w:rsidRPr="00BF3585">
        <w:rPr>
          <w:lang w:val="en-GB"/>
        </w:rPr>
        <w:t>the Convention, and announced his intention to prosecute if the applicant should “transgress those limits” (</w:t>
      </w:r>
      <w:r w:rsidRPr="00BF3585">
        <w:rPr>
          <w:i/>
          <w:lang w:val="en-GB"/>
        </w:rPr>
        <w:t>mocht hij die grenzen overschrijden</w:t>
      </w:r>
      <w:r w:rsidRPr="00BF3585" w:rsidR="003336F4">
        <w:rPr>
          <w:lang w:val="en-GB"/>
        </w:rPr>
        <w:t>). The</w:t>
      </w:r>
      <w:r w:rsidRPr="00BF3585" w:rsidR="00B17470">
        <w:rPr>
          <w:lang w:val="en-GB"/>
        </w:rPr>
        <w:t xml:space="preserve"> </w:t>
      </w:r>
      <w:r w:rsidRPr="00BF3585">
        <w:rPr>
          <w:lang w:val="en-GB"/>
        </w:rPr>
        <w:t>applicant</w:t>
      </w:r>
      <w:r w:rsidRPr="00BF3585" w:rsidR="00BF3585">
        <w:rPr>
          <w:lang w:val="en-GB"/>
        </w:rPr>
        <w:t>’</w:t>
      </w:r>
      <w:r w:rsidRPr="00BF3585">
        <w:rPr>
          <w:lang w:val="en-GB"/>
        </w:rPr>
        <w:t>s counsel replied that the defence needed these names in order to decide whether to call the persons concerned as defence witnesses and pointed out that the public had been excluded. After the pre</w:t>
      </w:r>
      <w:r w:rsidRPr="00BF3585" w:rsidR="001D5873">
        <w:rPr>
          <w:lang w:val="en-GB"/>
        </w:rPr>
        <w:t>sident decided that the A</w:t>
      </w:r>
      <w:r w:rsidRPr="00BF3585">
        <w:rPr>
          <w:lang w:val="en-GB"/>
        </w:rPr>
        <w:t xml:space="preserve">dvocate </w:t>
      </w:r>
      <w:r w:rsidRPr="00BF3585" w:rsidR="001D5873">
        <w:rPr>
          <w:lang w:val="en-GB"/>
        </w:rPr>
        <w:t>G</w:t>
      </w:r>
      <w:r w:rsidRPr="00BF3585">
        <w:rPr>
          <w:lang w:val="en-GB"/>
        </w:rPr>
        <w:t xml:space="preserve">eneral should be entitled to state </w:t>
      </w:r>
      <w:r w:rsidRPr="00BF3585" w:rsidR="00B17470">
        <w:rPr>
          <w:lang w:val="en-GB"/>
        </w:rPr>
        <w:t xml:space="preserve">a </w:t>
      </w:r>
      <w:r w:rsidRPr="00BF3585">
        <w:rPr>
          <w:lang w:val="en-GB"/>
        </w:rPr>
        <w:t xml:space="preserve">view on the acceptability </w:t>
      </w:r>
      <w:r w:rsidRPr="00BF3585" w:rsidR="00B17470">
        <w:rPr>
          <w:lang w:val="en-GB"/>
        </w:rPr>
        <w:t xml:space="preserve">of </w:t>
      </w:r>
      <w:r w:rsidRPr="00BF3585">
        <w:rPr>
          <w:lang w:val="en-GB"/>
        </w:rPr>
        <w:t xml:space="preserve">questions put to the applicant by his counsel, the applicant stated that he would for the remainder </w:t>
      </w:r>
      <w:r w:rsidRPr="00BF3585" w:rsidR="00B17470">
        <w:rPr>
          <w:lang w:val="en-GB"/>
        </w:rPr>
        <w:t xml:space="preserve">of </w:t>
      </w:r>
      <w:r w:rsidRPr="00BF3585">
        <w:rPr>
          <w:lang w:val="en-GB"/>
        </w:rPr>
        <w:t xml:space="preserve">the hearing comply with his duty </w:t>
      </w:r>
      <w:r w:rsidRPr="00BF3585" w:rsidR="00B17470">
        <w:rPr>
          <w:lang w:val="en-GB"/>
        </w:rPr>
        <w:t xml:space="preserve">of </w:t>
      </w:r>
      <w:r w:rsidRPr="00BF3585">
        <w:rPr>
          <w:lang w:val="en-GB"/>
        </w:rPr>
        <w:t>secrecy. Thereupon the hearing was reopened to the public.</w:t>
      </w:r>
    </w:p>
    <w:bookmarkStart w:name="questions" w:id="4"/>
    <w:p w:rsidRPr="00BF3585" w:rsidR="00C6083D" w:rsidP="00BF3585" w:rsidRDefault="00C6083D">
      <w:pPr>
        <w:pStyle w:val="ECHRPara"/>
      </w:pPr>
      <w:r w:rsidRPr="00BF3585">
        <w:rPr>
          <w:lang w:val="en-GB"/>
        </w:rPr>
        <w:fldChar w:fldCharType="begin"/>
      </w:r>
      <w:r w:rsidRPr="00BF3585">
        <w:instrText xml:space="preserve"> SEQ level0 \*arabic </w:instrText>
      </w:r>
      <w:r w:rsidRPr="00BF3585">
        <w:rPr>
          <w:lang w:val="en-GB"/>
        </w:rPr>
        <w:fldChar w:fldCharType="separate"/>
      </w:r>
      <w:r w:rsidRPr="00BF3585" w:rsidR="00BF3585">
        <w:rPr>
          <w:noProof/>
        </w:rPr>
        <w:t>37</w:t>
      </w:r>
      <w:r w:rsidRPr="00BF3585">
        <w:rPr>
          <w:lang w:val="en-GB"/>
        </w:rPr>
        <w:fldChar w:fldCharType="end"/>
      </w:r>
      <w:bookmarkEnd w:id="4"/>
      <w:r w:rsidRPr="00BF3585">
        <w:t>.  On 14 February 2007 the applicant</w:t>
      </w:r>
      <w:r w:rsidRPr="00BF3585" w:rsidR="00BF3585">
        <w:t>’</w:t>
      </w:r>
      <w:r w:rsidRPr="00BF3585" w:rsidR="001D5873">
        <w:t>s counsel Mr Pestm</w:t>
      </w:r>
      <w:r w:rsidRPr="00BF3585" w:rsidR="00B17470">
        <w:t xml:space="preserve">an </w:t>
      </w:r>
      <w:r w:rsidRPr="00BF3585" w:rsidR="001D5873">
        <w:t>sent the A</w:t>
      </w:r>
      <w:r w:rsidRPr="00BF3585">
        <w:t xml:space="preserve">dvocate </w:t>
      </w:r>
      <w:r w:rsidRPr="00BF3585" w:rsidR="001D5873">
        <w:t>G</w:t>
      </w:r>
      <w:r w:rsidRPr="00BF3585">
        <w:t xml:space="preserve">eneral </w:t>
      </w:r>
      <w:r w:rsidRPr="00BF3585" w:rsidR="00B17470">
        <w:t xml:space="preserve">a </w:t>
      </w:r>
      <w:r w:rsidRPr="00BF3585">
        <w:t xml:space="preserve">letter by fax, to which was appended </w:t>
      </w:r>
      <w:r w:rsidRPr="00BF3585" w:rsidR="00B17470">
        <w:t xml:space="preserve">a </w:t>
      </w:r>
      <w:r w:rsidRPr="00BF3585">
        <w:t xml:space="preserve">list </w:t>
      </w:r>
      <w:r w:rsidRPr="00BF3585" w:rsidR="00B17470">
        <w:t xml:space="preserve">of </w:t>
      </w:r>
      <w:r w:rsidRPr="00BF3585">
        <w:t xml:space="preserve">questions he and Ms Böhler would have wished to ask the applicant in support </w:t>
      </w:r>
      <w:r w:rsidRPr="00BF3585" w:rsidR="00B17470">
        <w:t xml:space="preserve">of </w:t>
      </w:r>
      <w:r w:rsidRPr="00BF3585">
        <w:t xml:space="preserve">the case for the defence. These questions concerned AIVD working methods and procedures and AIVD members. One question asked the applicant to identify individual AIVD members on </w:t>
      </w:r>
      <w:r w:rsidRPr="00BF3585" w:rsidR="00B17470">
        <w:t xml:space="preserve">a </w:t>
      </w:r>
      <w:r w:rsidRPr="00BF3585">
        <w:t xml:space="preserve">handwritten anonymised organigram by name. Other questions asked the applicant to state the names </w:t>
      </w:r>
      <w:r w:rsidRPr="00BF3585" w:rsidR="00B17470">
        <w:t xml:space="preserve">of </w:t>
      </w:r>
      <w:r w:rsidRPr="00BF3585">
        <w:t>AIVD members other th</w:t>
      </w:r>
      <w:r w:rsidRPr="00BF3585" w:rsidR="00B17470">
        <w:t xml:space="preserve">an </w:t>
      </w:r>
      <w:r w:rsidRPr="00BF3585">
        <w:t>himself who would have had access to the documents found to have been leaked.</w:t>
      </w:r>
    </w:p>
    <w:p w:rsidRPr="00BF3585" w:rsidR="00C6083D" w:rsidP="00BF3585" w:rsidRDefault="00BF3585">
      <w:pPr>
        <w:pStyle w:val="ECHRPara"/>
      </w:pPr>
      <w:fldSimple w:instr=" SEQ level0 \*arabic ">
        <w:r w:rsidRPr="00BF3585">
          <w:rPr>
            <w:noProof/>
          </w:rPr>
          <w:t>38</w:t>
        </w:r>
      </w:fldSimple>
      <w:r w:rsidRPr="00BF3585" w:rsidR="00C6083D">
        <w:t xml:space="preserve">.  The hearing continued on 15 February 2007. The </w:t>
      </w:r>
      <w:r w:rsidRPr="00BF3585" w:rsidR="001D5873">
        <w:t>A</w:t>
      </w:r>
      <w:r w:rsidRPr="00BF3585" w:rsidR="00C6083D">
        <w:t xml:space="preserve">dvocate </w:t>
      </w:r>
      <w:r w:rsidRPr="00BF3585" w:rsidR="001D5873">
        <w:t>G</w:t>
      </w:r>
      <w:r w:rsidRPr="00BF3585" w:rsidR="00C6083D">
        <w:t xml:space="preserve">eneral announced his intention to prosecute the applicant should he answer questions naming AIVD sources, providing </w:t>
      </w:r>
      <w:r w:rsidRPr="00BF3585" w:rsidR="00B17470">
        <w:t xml:space="preserve">an </w:t>
      </w:r>
      <w:r w:rsidRPr="00BF3585" w:rsidR="00C6083D">
        <w:t xml:space="preserve">insight into AIVD working methods or relating to the blacked-out parts </w:t>
      </w:r>
      <w:r w:rsidRPr="00BF3585" w:rsidR="00B17470">
        <w:t xml:space="preserve">of </w:t>
      </w:r>
      <w:r w:rsidRPr="00BF3585" w:rsidR="00C6083D">
        <w:t xml:space="preserve">the redacted documents. Responding to protests by the defence, the Court </w:t>
      </w:r>
      <w:r w:rsidRPr="00BF3585" w:rsidR="00B17470">
        <w:t xml:space="preserve">of </w:t>
      </w:r>
      <w:r w:rsidRPr="00BF3585" w:rsidR="00C6083D">
        <w:t xml:space="preserve">Appeal referred to its interlocutory judgment </w:t>
      </w:r>
      <w:r w:rsidRPr="00BF3585" w:rsidR="00B17470">
        <w:t xml:space="preserve">of </w:t>
      </w:r>
      <w:r w:rsidRPr="00BF3585" w:rsidR="00C6083D">
        <w:t>12 October 2006 (</w:t>
      </w:r>
      <w:r w:rsidRPr="00BF3585" w:rsidR="00B17470">
        <w:t xml:space="preserve">see </w:t>
      </w:r>
      <w:r w:rsidRPr="00BF3585" w:rsidR="00C6083D">
        <w:t xml:space="preserve">paragraph </w:t>
      </w:r>
      <w:r w:rsidRPr="00BF3585" w:rsidR="00C6083D">
        <w:fldChar w:fldCharType="begin"/>
      </w:r>
      <w:r w:rsidRPr="00BF3585" w:rsidR="00C6083D">
        <w:instrText xml:space="preserve"> REF Appeal \h </w:instrText>
      </w:r>
      <w:r w:rsidRPr="00BF3585" w:rsidR="00C6083D">
        <w:fldChar w:fldCharType="separate"/>
      </w:r>
      <w:r w:rsidRPr="00BF3585">
        <w:rPr>
          <w:noProof/>
          <w:lang w:val="en-GB"/>
        </w:rPr>
        <w:t>34</w:t>
      </w:r>
      <w:r w:rsidRPr="00BF3585" w:rsidR="00C6083D">
        <w:fldChar w:fldCharType="end"/>
      </w:r>
      <w:r w:rsidRPr="00BF3585" w:rsidR="00C6083D">
        <w:t xml:space="preserve"> above), in which it had stated that if the applicant considered </w:t>
      </w:r>
      <w:r w:rsidRPr="00BF3585" w:rsidR="00B17470">
        <w:t xml:space="preserve">a </w:t>
      </w:r>
      <w:r w:rsidRPr="00BF3585" w:rsidR="00C6083D">
        <w:t xml:space="preserve">breach </w:t>
      </w:r>
      <w:r w:rsidRPr="00BF3585" w:rsidR="00B17470">
        <w:t xml:space="preserve">of </w:t>
      </w:r>
      <w:r w:rsidRPr="00BF3585" w:rsidR="00C6083D">
        <w:t xml:space="preserve">his duty </w:t>
      </w:r>
      <w:r w:rsidRPr="00BF3585" w:rsidR="00B17470">
        <w:t xml:space="preserve">of </w:t>
      </w:r>
      <w:r w:rsidRPr="00BF3585" w:rsidR="00C6083D">
        <w:t xml:space="preserve">secrecy in the interest </w:t>
      </w:r>
      <w:r w:rsidRPr="00BF3585" w:rsidR="00B17470">
        <w:t xml:space="preserve">of </w:t>
      </w:r>
      <w:r w:rsidRPr="00BF3585" w:rsidR="00C6083D">
        <w:t xml:space="preserve">his defence he would, if prosecuted, be able to pray the right under Article 6 </w:t>
      </w:r>
      <w:r w:rsidRPr="00BF3585" w:rsidR="00B17470">
        <w:t xml:space="preserve">of </w:t>
      </w:r>
      <w:r w:rsidRPr="00BF3585" w:rsidR="00C6083D">
        <w:t xml:space="preserve">the Convention to defend himself in justification. The decision to prosecute, however, belonged to the Public Prosecution Service alone to the exclusion </w:t>
      </w:r>
      <w:r w:rsidRPr="00BF3585" w:rsidR="00B17470">
        <w:t xml:space="preserve">of </w:t>
      </w:r>
      <w:r w:rsidRPr="00BF3585" w:rsidR="00C6083D">
        <w:t>the courts.</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39</w:t>
      </w:r>
      <w:r w:rsidRPr="00BF3585">
        <w:rPr>
          <w:lang w:val="en-GB"/>
        </w:rPr>
        <w:fldChar w:fldCharType="end"/>
      </w:r>
      <w:r w:rsidRPr="00BF3585">
        <w:rPr>
          <w:lang w:val="en-GB"/>
        </w:rPr>
        <w:t xml:space="preserve">.  The Court </w:t>
      </w:r>
      <w:r w:rsidRPr="00BF3585" w:rsidR="00B17470">
        <w:rPr>
          <w:lang w:val="en-GB"/>
        </w:rPr>
        <w:t xml:space="preserve">of </w:t>
      </w:r>
      <w:r w:rsidRPr="00BF3585">
        <w:rPr>
          <w:lang w:val="en-GB"/>
        </w:rPr>
        <w:t xml:space="preserve">Appeal gave judgment on 1 March 2007. It quashed the judgment </w:t>
      </w:r>
      <w:r w:rsidRPr="00BF3585" w:rsidR="00B17470">
        <w:rPr>
          <w:lang w:val="en-GB"/>
        </w:rPr>
        <w:t xml:space="preserve">of </w:t>
      </w:r>
      <w:r w:rsidRPr="00BF3585">
        <w:rPr>
          <w:lang w:val="en-GB"/>
        </w:rPr>
        <w:t>the Regional Court on the technical ground that the Regional Court</w:t>
      </w:r>
      <w:r w:rsidRPr="00BF3585" w:rsidR="00BF3585">
        <w:rPr>
          <w:lang w:val="en-GB"/>
        </w:rPr>
        <w:t>’</w:t>
      </w:r>
      <w:r w:rsidRPr="00BF3585">
        <w:rPr>
          <w:lang w:val="en-GB"/>
        </w:rPr>
        <w:t>s judgment could not be simply endorsed, convicted the applicant and sentenced him to four years</w:t>
      </w:r>
      <w:r w:rsidRPr="00BF3585" w:rsidR="00BF3585">
        <w:rPr>
          <w:lang w:val="en-GB"/>
        </w:rPr>
        <w:t>’</w:t>
      </w:r>
      <w:r w:rsidRPr="00BF3585">
        <w:rPr>
          <w:lang w:val="en-GB"/>
        </w:rPr>
        <w:t xml:space="preserve"> imprisonment.</w:t>
      </w:r>
    </w:p>
    <w:bookmarkStart w:name="evidence" w:id="5"/>
    <w:bookmarkStart w:name="convictoin" w:id="6"/>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40</w:t>
      </w:r>
      <w:r w:rsidRPr="00BF3585">
        <w:rPr>
          <w:lang w:val="en-GB"/>
        </w:rPr>
        <w:fldChar w:fldCharType="end"/>
      </w:r>
      <w:bookmarkEnd w:id="5"/>
      <w:bookmarkEnd w:id="6"/>
      <w:r w:rsidRPr="00BF3585">
        <w:rPr>
          <w:lang w:val="en-GB"/>
        </w:rPr>
        <w:t>.  The evidence relied on was the following:</w:t>
      </w:r>
    </w:p>
    <w:p w:rsidRPr="00BF3585" w:rsidR="00C6083D" w:rsidP="00BF3585" w:rsidRDefault="00C6083D">
      <w:pPr>
        <w:pStyle w:val="ECHRPara"/>
        <w:numPr>
          <w:ilvl w:val="0"/>
          <w:numId w:val="24"/>
        </w:numPr>
        <w:rPr>
          <w:lang w:val="en-GB"/>
        </w:rPr>
      </w:pPr>
      <w:r w:rsidRPr="00BF3585">
        <w:rPr>
          <w:lang w:val="en-GB"/>
        </w:rPr>
        <w:t xml:space="preserve">Statement by the applicant at the hearing </w:t>
      </w:r>
      <w:r w:rsidRPr="00BF3585" w:rsidR="00B17470">
        <w:rPr>
          <w:lang w:val="en-GB"/>
        </w:rPr>
        <w:t xml:space="preserve">of </w:t>
      </w:r>
      <w:r w:rsidRPr="00BF3585">
        <w:rPr>
          <w:lang w:val="en-GB"/>
        </w:rPr>
        <w:t xml:space="preserve">the Court </w:t>
      </w:r>
      <w:r w:rsidRPr="00BF3585" w:rsidR="00B17470">
        <w:rPr>
          <w:lang w:val="en-GB"/>
        </w:rPr>
        <w:t xml:space="preserve">of </w:t>
      </w:r>
      <w:r w:rsidRPr="00BF3585">
        <w:rPr>
          <w:lang w:val="en-GB"/>
        </w:rPr>
        <w:t>Appeal (12 February 2007), to the effect that:</w:t>
      </w:r>
    </w:p>
    <w:p w:rsidRPr="00BF3585" w:rsidR="00C6083D" w:rsidP="00BF3585" w:rsidRDefault="00C6083D">
      <w:pPr>
        <w:pStyle w:val="ECHRPara"/>
        <w:numPr>
          <w:ilvl w:val="1"/>
          <w:numId w:val="23"/>
        </w:numPr>
        <w:rPr>
          <w:lang w:val="en-GB"/>
        </w:rPr>
      </w:pPr>
      <w:r w:rsidRPr="00BF3585">
        <w:rPr>
          <w:lang w:val="en-GB"/>
        </w:rPr>
        <w:t>He worked for the AIVD and accordingly had the documents mentioned in the charges at his disposal;</w:t>
      </w:r>
    </w:p>
    <w:p w:rsidRPr="00BF3585" w:rsidR="00C6083D" w:rsidP="00BF3585" w:rsidRDefault="00C6083D">
      <w:pPr>
        <w:pStyle w:val="ECHRPara"/>
        <w:numPr>
          <w:ilvl w:val="1"/>
          <w:numId w:val="23"/>
        </w:numPr>
        <w:rPr>
          <w:lang w:val="en-GB"/>
        </w:rPr>
      </w:pPr>
      <w:r w:rsidRPr="00BF3585">
        <w:rPr>
          <w:lang w:val="en-GB"/>
        </w:rPr>
        <w:t xml:space="preserve">Knew some </w:t>
      </w:r>
      <w:r w:rsidRPr="00BF3585" w:rsidR="00B17470">
        <w:rPr>
          <w:lang w:val="en-GB"/>
        </w:rPr>
        <w:t xml:space="preserve">of </w:t>
      </w:r>
      <w:r w:rsidRPr="00BF3585">
        <w:rPr>
          <w:lang w:val="en-GB"/>
        </w:rPr>
        <w:t>the targets personally;</w:t>
      </w:r>
    </w:p>
    <w:p w:rsidRPr="00BF3585" w:rsidR="00C6083D" w:rsidP="00BF3585" w:rsidRDefault="00C6083D">
      <w:pPr>
        <w:pStyle w:val="ECHRPara"/>
        <w:numPr>
          <w:ilvl w:val="1"/>
          <w:numId w:val="23"/>
        </w:numPr>
        <w:rPr>
          <w:lang w:val="en-GB"/>
        </w:rPr>
      </w:pPr>
      <w:r w:rsidRPr="00BF3585">
        <w:rPr>
          <w:lang w:val="en-GB"/>
        </w:rPr>
        <w:t>Had written down names and addresses found in his address book himself;</w:t>
      </w:r>
    </w:p>
    <w:p w:rsidRPr="00BF3585" w:rsidR="00C6083D" w:rsidP="00BF3585" w:rsidRDefault="00C6083D">
      <w:pPr>
        <w:pStyle w:val="ECHRPara"/>
        <w:numPr>
          <w:ilvl w:val="1"/>
          <w:numId w:val="23"/>
        </w:numPr>
        <w:rPr>
          <w:lang w:val="en-GB"/>
        </w:rPr>
      </w:pPr>
      <w:r w:rsidRPr="00BF3585">
        <w:rPr>
          <w:lang w:val="en-GB"/>
        </w:rPr>
        <w:t xml:space="preserve">Had one </w:t>
      </w:r>
      <w:r w:rsidRPr="00BF3585" w:rsidR="00B17470">
        <w:rPr>
          <w:lang w:val="en-GB"/>
        </w:rPr>
        <w:t xml:space="preserve">of </w:t>
      </w:r>
      <w:r w:rsidRPr="00BF3585">
        <w:rPr>
          <w:lang w:val="en-GB"/>
        </w:rPr>
        <w:t>the documents (</w:t>
      </w:r>
      <w:r w:rsidRPr="00BF3585" w:rsidR="00B17470">
        <w:rPr>
          <w:lang w:val="en-GB"/>
        </w:rPr>
        <w:t xml:space="preserve">a </w:t>
      </w:r>
      <w:r w:rsidRPr="00BF3585">
        <w:rPr>
          <w:lang w:val="en-GB"/>
        </w:rPr>
        <w:t>phone tap report) in his home as well as in his office at work;</w:t>
      </w:r>
    </w:p>
    <w:p w:rsidRPr="00BF3585" w:rsidR="00C6083D" w:rsidP="00BF3585" w:rsidRDefault="00C6083D">
      <w:pPr>
        <w:pStyle w:val="ECHRPara"/>
        <w:numPr>
          <w:ilvl w:val="1"/>
          <w:numId w:val="23"/>
        </w:numPr>
        <w:rPr>
          <w:lang w:val="en-GB"/>
        </w:rPr>
      </w:pPr>
      <w:r w:rsidRPr="00BF3585">
        <w:rPr>
          <w:lang w:val="en-GB"/>
        </w:rPr>
        <w:t xml:space="preserve">He knew the name </w:t>
      </w:r>
      <w:r w:rsidRPr="00BF3585" w:rsidR="00B17470">
        <w:rPr>
          <w:lang w:val="en-GB"/>
        </w:rPr>
        <w:t xml:space="preserve">of </w:t>
      </w:r>
      <w:r w:rsidRPr="00BF3585">
        <w:rPr>
          <w:lang w:val="en-GB"/>
        </w:rPr>
        <w:t>another target.</w:t>
      </w:r>
    </w:p>
    <w:p w:rsidRPr="00BF3585" w:rsidR="00C6083D" w:rsidP="00BF3585" w:rsidRDefault="00C6083D">
      <w:pPr>
        <w:pStyle w:val="ECHRPara"/>
        <w:numPr>
          <w:ilvl w:val="0"/>
          <w:numId w:val="24"/>
        </w:numPr>
        <w:rPr>
          <w:lang w:val="en-GB"/>
        </w:rPr>
      </w:pPr>
      <w:r w:rsidRPr="00BF3585">
        <w:rPr>
          <w:lang w:val="en-GB"/>
        </w:rPr>
        <w:t xml:space="preserve">National Police Internal Investigations Department report </w:t>
      </w:r>
      <w:r w:rsidRPr="00BF3585" w:rsidR="00B17470">
        <w:rPr>
          <w:lang w:val="en-GB"/>
        </w:rPr>
        <w:t xml:space="preserve">of </w:t>
      </w:r>
      <w:r w:rsidRPr="00BF3585">
        <w:rPr>
          <w:lang w:val="en-GB"/>
        </w:rPr>
        <w:t xml:space="preserve">29 September 2004, criminal complaint lodged on behalf </w:t>
      </w:r>
      <w:r w:rsidRPr="00BF3585" w:rsidR="00B17470">
        <w:rPr>
          <w:lang w:val="en-GB"/>
        </w:rPr>
        <w:t xml:space="preserve">of </w:t>
      </w:r>
      <w:r w:rsidRPr="00BF3585">
        <w:rPr>
          <w:lang w:val="en-GB"/>
        </w:rPr>
        <w:t xml:space="preserve">the AIVD by its acting head, to the effect that it has emerged that one </w:t>
      </w:r>
      <w:r w:rsidRPr="00BF3585" w:rsidR="00B17470">
        <w:rPr>
          <w:lang w:val="en-GB"/>
        </w:rPr>
        <w:t xml:space="preserve">of </w:t>
      </w:r>
      <w:r w:rsidRPr="00BF3585">
        <w:rPr>
          <w:lang w:val="en-GB"/>
        </w:rPr>
        <w:t xml:space="preserve">the targets (O.) turns out to be aware that he is </w:t>
      </w:r>
      <w:r w:rsidRPr="00BF3585" w:rsidR="00B17470">
        <w:rPr>
          <w:lang w:val="en-GB"/>
        </w:rPr>
        <w:t xml:space="preserve">an </w:t>
      </w:r>
      <w:r w:rsidRPr="00BF3585">
        <w:rPr>
          <w:lang w:val="en-GB"/>
        </w:rPr>
        <w:t xml:space="preserve">object </w:t>
      </w:r>
      <w:r w:rsidRPr="00BF3585" w:rsidR="00B17470">
        <w:rPr>
          <w:lang w:val="en-GB"/>
        </w:rPr>
        <w:t xml:space="preserve">of </w:t>
      </w:r>
      <w:r w:rsidRPr="00BF3585">
        <w:rPr>
          <w:lang w:val="en-GB"/>
        </w:rPr>
        <w:t xml:space="preserve">investigations. In particular, O. turns out to possess </w:t>
      </w:r>
      <w:r w:rsidRPr="00BF3585" w:rsidR="00B17470">
        <w:rPr>
          <w:lang w:val="en-GB"/>
        </w:rPr>
        <w:t xml:space="preserve">a </w:t>
      </w:r>
      <w:r w:rsidRPr="00BF3585">
        <w:rPr>
          <w:lang w:val="en-GB"/>
        </w:rPr>
        <w:t xml:space="preserve">copy </w:t>
      </w:r>
      <w:r w:rsidRPr="00BF3585" w:rsidR="00B17470">
        <w:rPr>
          <w:lang w:val="en-GB"/>
        </w:rPr>
        <w:t xml:space="preserve">of a </w:t>
      </w:r>
      <w:r w:rsidRPr="00BF3585">
        <w:rPr>
          <w:lang w:val="en-GB"/>
        </w:rPr>
        <w:t xml:space="preserve">document to that effect. The document has been circulated to “tens </w:t>
      </w:r>
      <w:r w:rsidRPr="00BF3585" w:rsidR="00B17470">
        <w:rPr>
          <w:lang w:val="en-GB"/>
        </w:rPr>
        <w:t xml:space="preserve">of </w:t>
      </w:r>
      <w:r w:rsidRPr="00BF3585">
        <w:rPr>
          <w:lang w:val="en-GB"/>
        </w:rPr>
        <w:t>persons” within the AIVD. The applicant is mentioned by name.</w:t>
      </w:r>
    </w:p>
    <w:p w:rsidRPr="00BF3585" w:rsidR="00C6083D" w:rsidP="00BF3585" w:rsidRDefault="00C6083D">
      <w:pPr>
        <w:pStyle w:val="ECHRPara"/>
        <w:numPr>
          <w:ilvl w:val="0"/>
          <w:numId w:val="24"/>
        </w:numPr>
        <w:rPr>
          <w:lang w:val="en-GB"/>
        </w:rPr>
      </w:pPr>
      <w:r w:rsidRPr="00BF3585">
        <w:rPr>
          <w:lang w:val="en-GB"/>
        </w:rPr>
        <w:t xml:space="preserve">National Police Internal Investigations Department report </w:t>
      </w:r>
      <w:r w:rsidRPr="00BF3585" w:rsidR="00B17470">
        <w:rPr>
          <w:lang w:val="en-GB"/>
        </w:rPr>
        <w:t xml:space="preserve">of </w:t>
      </w:r>
      <w:r w:rsidRPr="00BF3585">
        <w:rPr>
          <w:lang w:val="en-GB"/>
        </w:rPr>
        <w:t>5 October 2004, statement by the AIVD</w:t>
      </w:r>
      <w:r w:rsidRPr="00BF3585" w:rsidR="00BF3585">
        <w:rPr>
          <w:lang w:val="en-GB"/>
        </w:rPr>
        <w:t>’</w:t>
      </w:r>
      <w:r w:rsidRPr="00BF3585">
        <w:rPr>
          <w:lang w:val="en-GB"/>
        </w:rPr>
        <w:t xml:space="preserve">s acting head to the effect that </w:t>
      </w:r>
      <w:r w:rsidRPr="00BF3585" w:rsidR="00B17470">
        <w:rPr>
          <w:lang w:val="en-GB"/>
        </w:rPr>
        <w:t xml:space="preserve">a </w:t>
      </w:r>
      <w:r w:rsidRPr="00BF3585">
        <w:rPr>
          <w:lang w:val="en-GB"/>
        </w:rPr>
        <w:t xml:space="preserve">secret AIVD document (copy </w:t>
      </w:r>
      <w:r w:rsidRPr="00BF3585" w:rsidR="00B17470">
        <w:rPr>
          <w:lang w:val="en-GB"/>
        </w:rPr>
        <w:t xml:space="preserve">of a </w:t>
      </w:r>
      <w:r w:rsidRPr="00BF3585">
        <w:rPr>
          <w:lang w:val="en-GB"/>
        </w:rPr>
        <w:t xml:space="preserve">telephone interception report) has been found during </w:t>
      </w:r>
      <w:r w:rsidRPr="00BF3585" w:rsidR="00B17470">
        <w:rPr>
          <w:lang w:val="en-GB"/>
        </w:rPr>
        <w:t xml:space="preserve">a </w:t>
      </w:r>
      <w:r w:rsidRPr="00BF3585">
        <w:rPr>
          <w:lang w:val="en-GB"/>
        </w:rPr>
        <w:t xml:space="preserve">search </w:t>
      </w:r>
      <w:r w:rsidRPr="00BF3585" w:rsidR="00B17470">
        <w:rPr>
          <w:lang w:val="en-GB"/>
        </w:rPr>
        <w:t xml:space="preserve">of </w:t>
      </w:r>
      <w:r w:rsidRPr="00BF3585">
        <w:rPr>
          <w:lang w:val="en-GB"/>
        </w:rPr>
        <w:t>the applicant</w:t>
      </w:r>
      <w:r w:rsidRPr="00BF3585" w:rsidR="00BF3585">
        <w:rPr>
          <w:lang w:val="en-GB"/>
        </w:rPr>
        <w:t>’</w:t>
      </w:r>
      <w:r w:rsidRPr="00BF3585">
        <w:rPr>
          <w:lang w:val="en-GB"/>
        </w:rPr>
        <w:t xml:space="preserve">s home. The name </w:t>
      </w:r>
      <w:r w:rsidRPr="00BF3585" w:rsidR="00B17470">
        <w:rPr>
          <w:lang w:val="en-GB"/>
        </w:rPr>
        <w:t xml:space="preserve">of </w:t>
      </w:r>
      <w:r w:rsidRPr="00BF3585">
        <w:rPr>
          <w:lang w:val="en-GB"/>
        </w:rPr>
        <w:t>the person who printed it out would normally have been stated on the document but appears to have been removed.</w:t>
      </w:r>
    </w:p>
    <w:p w:rsidRPr="00BF3585" w:rsidR="00C6083D" w:rsidP="00BF3585" w:rsidRDefault="00C6083D">
      <w:pPr>
        <w:pStyle w:val="ECHRPara"/>
        <w:numPr>
          <w:ilvl w:val="0"/>
          <w:numId w:val="24"/>
        </w:numPr>
        <w:rPr>
          <w:lang w:val="en-GB"/>
        </w:rPr>
      </w:pPr>
      <w:r w:rsidRPr="00BF3585">
        <w:rPr>
          <w:lang w:val="en-GB"/>
        </w:rPr>
        <w:t>National Police Internal Investigations Department r</w:t>
      </w:r>
      <w:r w:rsidRPr="00BF3585" w:rsidR="003336F4">
        <w:rPr>
          <w:lang w:val="en-GB"/>
        </w:rPr>
        <w:t xml:space="preserve">eport </w:t>
      </w:r>
      <w:r w:rsidRPr="00BF3585" w:rsidR="00B17470">
        <w:rPr>
          <w:lang w:val="en-GB"/>
        </w:rPr>
        <w:t xml:space="preserve">of </w:t>
      </w:r>
      <w:r w:rsidRPr="00BF3585">
        <w:rPr>
          <w:lang w:val="en-GB"/>
        </w:rPr>
        <w:t xml:space="preserve">5 October 2004, statement by </w:t>
      </w:r>
      <w:r w:rsidRPr="00BF3585" w:rsidR="00B17470">
        <w:rPr>
          <w:lang w:val="en-GB"/>
        </w:rPr>
        <w:t xml:space="preserve">an </w:t>
      </w:r>
      <w:r w:rsidRPr="00BF3585">
        <w:rPr>
          <w:lang w:val="en-GB"/>
        </w:rPr>
        <w:t xml:space="preserve">AIVD official to the effect that </w:t>
      </w:r>
      <w:r w:rsidRPr="00BF3585" w:rsidR="00B17470">
        <w:rPr>
          <w:lang w:val="en-GB"/>
        </w:rPr>
        <w:t xml:space="preserve">a </w:t>
      </w:r>
      <w:r w:rsidRPr="00BF3585">
        <w:rPr>
          <w:lang w:val="en-GB"/>
        </w:rPr>
        <w:t xml:space="preserve">document shown him by police officers is secret and that one </w:t>
      </w:r>
      <w:r w:rsidRPr="00BF3585" w:rsidR="00B17470">
        <w:rPr>
          <w:lang w:val="en-GB"/>
        </w:rPr>
        <w:t xml:space="preserve">of </w:t>
      </w:r>
      <w:r w:rsidRPr="00BF3585">
        <w:rPr>
          <w:lang w:val="en-GB"/>
        </w:rPr>
        <w:t>the persons to whom it had been given was the applicant.</w:t>
      </w:r>
    </w:p>
    <w:p w:rsidRPr="00BF3585" w:rsidR="00C6083D" w:rsidP="00BF3585" w:rsidRDefault="00C6083D">
      <w:pPr>
        <w:pStyle w:val="ECHRPara"/>
        <w:numPr>
          <w:ilvl w:val="0"/>
          <w:numId w:val="24"/>
        </w:numPr>
        <w:rPr>
          <w:lang w:val="en-GB"/>
        </w:rPr>
      </w:pPr>
      <w:r w:rsidRPr="00BF3585">
        <w:rPr>
          <w:lang w:val="en-GB"/>
        </w:rPr>
        <w:t xml:space="preserve">National Police Internal Investigations Department report </w:t>
      </w:r>
      <w:r w:rsidRPr="00BF3585" w:rsidR="00B17470">
        <w:rPr>
          <w:lang w:val="en-GB"/>
        </w:rPr>
        <w:t xml:space="preserve">of </w:t>
      </w:r>
      <w:r w:rsidRPr="00BF3585">
        <w:rPr>
          <w:lang w:val="en-GB"/>
        </w:rPr>
        <w:t xml:space="preserve">28 October 2004, statement by </w:t>
      </w:r>
      <w:r w:rsidRPr="00BF3585" w:rsidR="00B17470">
        <w:rPr>
          <w:lang w:val="en-GB"/>
        </w:rPr>
        <w:t xml:space="preserve">an </w:t>
      </w:r>
      <w:r w:rsidRPr="00BF3585">
        <w:rPr>
          <w:lang w:val="en-GB"/>
        </w:rPr>
        <w:t xml:space="preserve">AIVD official relating to investigations undertaken by the AIVD itself on </w:t>
      </w:r>
      <w:r w:rsidRPr="00BF3585" w:rsidR="00B17470">
        <w:rPr>
          <w:lang w:val="en-GB"/>
        </w:rPr>
        <w:t xml:space="preserve">a </w:t>
      </w:r>
      <w:r w:rsidRPr="00BF3585">
        <w:rPr>
          <w:lang w:val="en-GB"/>
        </w:rPr>
        <w:t xml:space="preserve">copy </w:t>
      </w:r>
      <w:r w:rsidRPr="00BF3585" w:rsidR="00B17470">
        <w:rPr>
          <w:lang w:val="en-GB"/>
        </w:rPr>
        <w:t xml:space="preserve">of </w:t>
      </w:r>
      <w:r w:rsidRPr="00BF3585">
        <w:rPr>
          <w:lang w:val="en-GB"/>
        </w:rPr>
        <w:t xml:space="preserve">the hard disk </w:t>
      </w:r>
      <w:r w:rsidRPr="00BF3585" w:rsidR="00B17470">
        <w:rPr>
          <w:lang w:val="en-GB"/>
        </w:rPr>
        <w:t xml:space="preserve">of </w:t>
      </w:r>
      <w:r w:rsidRPr="00BF3585">
        <w:rPr>
          <w:lang w:val="en-GB"/>
        </w:rPr>
        <w:t>the applicant</w:t>
      </w:r>
      <w:r w:rsidRPr="00BF3585" w:rsidR="00BF3585">
        <w:rPr>
          <w:lang w:val="en-GB"/>
        </w:rPr>
        <w:t>’</w:t>
      </w:r>
      <w:r w:rsidRPr="00BF3585">
        <w:rPr>
          <w:lang w:val="en-GB"/>
        </w:rPr>
        <w:t>s home computer. This is stated to have revealed information</w:t>
      </w:r>
      <w:r w:rsidRPr="00BF3585" w:rsidR="003336F4">
        <w:rPr>
          <w:lang w:val="en-GB"/>
        </w:rPr>
        <w:t xml:space="preserve"> compromising the applicant. In </w:t>
      </w:r>
      <w:r w:rsidRPr="00BF3585">
        <w:rPr>
          <w:lang w:val="en-GB"/>
        </w:rPr>
        <w:t xml:space="preserve">particular, the applicant is reported to have informed </w:t>
      </w:r>
      <w:r w:rsidRPr="00BF3585" w:rsidR="00B17470">
        <w:rPr>
          <w:lang w:val="en-GB"/>
        </w:rPr>
        <w:t xml:space="preserve">a </w:t>
      </w:r>
      <w:r w:rsidRPr="00BF3585">
        <w:rPr>
          <w:lang w:val="en-GB"/>
        </w:rPr>
        <w:t>target about AIVD investigations.</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3336F4">
        <w:rPr>
          <w:lang w:val="en-GB"/>
        </w:rPr>
        <w:t xml:space="preserve">igations Department report </w:t>
      </w:r>
      <w:r w:rsidRPr="00BF3585" w:rsidR="00B17470">
        <w:rPr>
          <w:lang w:val="en-GB"/>
        </w:rPr>
        <w:t xml:space="preserve">of </w:t>
      </w:r>
      <w:r w:rsidRPr="00BF3585">
        <w:rPr>
          <w:lang w:val="en-GB"/>
        </w:rPr>
        <w:t xml:space="preserve">4 November 2004, statement by </w:t>
      </w:r>
      <w:r w:rsidRPr="00BF3585" w:rsidR="00B17470">
        <w:rPr>
          <w:lang w:val="en-GB"/>
        </w:rPr>
        <w:t xml:space="preserve">an </w:t>
      </w:r>
      <w:r w:rsidRPr="00BF3585">
        <w:rPr>
          <w:lang w:val="en-GB"/>
        </w:rPr>
        <w:t xml:space="preserve">AIVD official to the effect that </w:t>
      </w:r>
      <w:r w:rsidRPr="00BF3585" w:rsidR="00B17470">
        <w:rPr>
          <w:lang w:val="en-GB"/>
        </w:rPr>
        <w:t xml:space="preserve">a </w:t>
      </w:r>
      <w:r w:rsidRPr="00BF3585">
        <w:rPr>
          <w:lang w:val="en-GB"/>
        </w:rPr>
        <w:t xml:space="preserve">fax seized from </w:t>
      </w:r>
      <w:r w:rsidRPr="00BF3585" w:rsidR="00B17470">
        <w:rPr>
          <w:lang w:val="en-GB"/>
        </w:rPr>
        <w:t xml:space="preserve">a </w:t>
      </w:r>
      <w:r w:rsidRPr="00BF3585">
        <w:rPr>
          <w:lang w:val="en-GB"/>
        </w:rPr>
        <w:t xml:space="preserve">target was </w:t>
      </w:r>
      <w:r w:rsidRPr="00BF3585" w:rsidR="00B17470">
        <w:rPr>
          <w:lang w:val="en-GB"/>
        </w:rPr>
        <w:t xml:space="preserve">a </w:t>
      </w:r>
      <w:r w:rsidRPr="00BF3585">
        <w:rPr>
          <w:lang w:val="en-GB"/>
        </w:rPr>
        <w:t xml:space="preserve">transcript </w:t>
      </w:r>
      <w:r w:rsidRPr="00BF3585" w:rsidR="00B17470">
        <w:rPr>
          <w:lang w:val="en-GB"/>
        </w:rPr>
        <w:t xml:space="preserve">of an </w:t>
      </w:r>
      <w:r w:rsidRPr="00BF3585">
        <w:rPr>
          <w:lang w:val="en-GB"/>
        </w:rPr>
        <w:t xml:space="preserve">intercepted phone call prepared by the applicant. The content </w:t>
      </w:r>
      <w:r w:rsidRPr="00BF3585" w:rsidR="00B17470">
        <w:rPr>
          <w:lang w:val="en-GB"/>
        </w:rPr>
        <w:t xml:space="preserve">of </w:t>
      </w:r>
      <w:r w:rsidRPr="00BF3585">
        <w:rPr>
          <w:lang w:val="en-GB"/>
        </w:rPr>
        <w:t>the document reveals speci</w:t>
      </w:r>
      <w:r w:rsidRPr="00BF3585" w:rsidR="003336F4">
        <w:rPr>
          <w:lang w:val="en-GB"/>
        </w:rPr>
        <w:t>fic methods used by the AIVD in </w:t>
      </w:r>
      <w:r w:rsidRPr="00BF3585">
        <w:rPr>
          <w:lang w:val="en-GB"/>
        </w:rPr>
        <w:t>terrorism-related investigations.</w:t>
      </w:r>
      <w:r w:rsidRPr="00BF3585" w:rsidR="003336F4">
        <w:rPr>
          <w:lang w:val="en-GB"/>
        </w:rPr>
        <w:t xml:space="preserve"> The document is identical to </w:t>
      </w:r>
      <w:r w:rsidRPr="00BF3585" w:rsidR="00B17470">
        <w:rPr>
          <w:lang w:val="en-GB"/>
        </w:rPr>
        <w:t xml:space="preserve">a </w:t>
      </w:r>
      <w:r w:rsidRPr="00BF3585">
        <w:rPr>
          <w:lang w:val="en-GB"/>
        </w:rPr>
        <w:t>document found in the applicant</w:t>
      </w:r>
      <w:r w:rsidRPr="00BF3585" w:rsidR="00BF3585">
        <w:rPr>
          <w:lang w:val="en-GB"/>
        </w:rPr>
        <w:t>’</w:t>
      </w:r>
      <w:r w:rsidRPr="00BF3585">
        <w:rPr>
          <w:lang w:val="en-GB"/>
        </w:rPr>
        <w:t>s office desk, which bears the applicant</w:t>
      </w:r>
      <w:r w:rsidRPr="00BF3585" w:rsidR="00BF3585">
        <w:rPr>
          <w:lang w:val="en-GB"/>
        </w:rPr>
        <w:t>’</w:t>
      </w:r>
      <w:r w:rsidRPr="00BF3585">
        <w:rPr>
          <w:lang w:val="en-GB"/>
        </w:rPr>
        <w:t>s ID.</w:t>
      </w:r>
    </w:p>
    <w:p w:rsidRPr="00BF3585" w:rsidR="00C6083D" w:rsidP="00BF3585" w:rsidRDefault="00C6083D">
      <w:pPr>
        <w:pStyle w:val="ECHRPara"/>
        <w:numPr>
          <w:ilvl w:val="0"/>
          <w:numId w:val="24"/>
        </w:numPr>
        <w:rPr>
          <w:lang w:val="en-GB"/>
        </w:rPr>
      </w:pPr>
      <w:r w:rsidRPr="00BF3585">
        <w:rPr>
          <w:lang w:val="en-GB"/>
        </w:rPr>
        <w:t>National Police Internal Investi</w:t>
      </w:r>
      <w:r w:rsidRPr="00BF3585" w:rsidR="003336F4">
        <w:rPr>
          <w:lang w:val="en-GB"/>
        </w:rPr>
        <w:t xml:space="preserve">gations Department report </w:t>
      </w:r>
      <w:r w:rsidRPr="00BF3585" w:rsidR="00B17470">
        <w:rPr>
          <w:lang w:val="en-GB"/>
        </w:rPr>
        <w:t xml:space="preserve">of </w:t>
      </w:r>
      <w:r w:rsidRPr="00BF3585">
        <w:rPr>
          <w:lang w:val="en-GB"/>
        </w:rPr>
        <w:t xml:space="preserve">31 January 2005, statement by </w:t>
      </w:r>
      <w:r w:rsidRPr="00BF3585" w:rsidR="00B17470">
        <w:rPr>
          <w:lang w:val="en-GB"/>
        </w:rPr>
        <w:t xml:space="preserve">an </w:t>
      </w:r>
      <w:r w:rsidRPr="00BF3585">
        <w:rPr>
          <w:lang w:val="en-GB"/>
        </w:rPr>
        <w:t>AIVD official to the effect that the leaked information is State secret, sensitive, and relates to ongoing AIVD operatio</w:t>
      </w:r>
      <w:r w:rsidRPr="00BF3585" w:rsidR="003336F4">
        <w:rPr>
          <w:lang w:val="en-GB"/>
        </w:rPr>
        <w:t>ns for gathering information on </w:t>
      </w:r>
      <w:r w:rsidRPr="00BF3585">
        <w:rPr>
          <w:lang w:val="en-GB"/>
        </w:rPr>
        <w:t>terrorist groups.</w:t>
      </w:r>
    </w:p>
    <w:p w:rsidRPr="00BF3585" w:rsidR="00C6083D" w:rsidP="00BF3585" w:rsidRDefault="00C6083D">
      <w:pPr>
        <w:pStyle w:val="ECHRPara"/>
        <w:numPr>
          <w:ilvl w:val="0"/>
          <w:numId w:val="24"/>
        </w:numPr>
        <w:rPr>
          <w:lang w:val="en-GB"/>
        </w:rPr>
      </w:pPr>
      <w:r w:rsidRPr="00BF3585">
        <w:rPr>
          <w:lang w:val="en-GB"/>
        </w:rPr>
        <w:t>National Police Internal Investi</w:t>
      </w:r>
      <w:r w:rsidRPr="00BF3585" w:rsidR="003336F4">
        <w:rPr>
          <w:lang w:val="en-GB"/>
        </w:rPr>
        <w:t xml:space="preserve">gations Department report </w:t>
      </w:r>
      <w:r w:rsidRPr="00BF3585" w:rsidR="00B17470">
        <w:rPr>
          <w:lang w:val="en-GB"/>
        </w:rPr>
        <w:t xml:space="preserve">of </w:t>
      </w:r>
      <w:r w:rsidRPr="00BF3585">
        <w:rPr>
          <w:lang w:val="en-GB"/>
        </w:rPr>
        <w:t>30 September 2004, from which it appears that the applicant was arrested that day and wa</w:t>
      </w:r>
      <w:r w:rsidRPr="00BF3585" w:rsidR="003336F4">
        <w:rPr>
          <w:lang w:val="en-GB"/>
        </w:rPr>
        <w:t xml:space="preserve">s found in the possession </w:t>
      </w:r>
      <w:r w:rsidRPr="00BF3585" w:rsidR="00B17470">
        <w:rPr>
          <w:lang w:val="en-GB"/>
        </w:rPr>
        <w:t xml:space="preserve">of an </w:t>
      </w:r>
      <w:r w:rsidRPr="00BF3585">
        <w:rPr>
          <w:lang w:val="en-GB"/>
        </w:rPr>
        <w:t>address book.</w:t>
      </w:r>
    </w:p>
    <w:p w:rsidRPr="00BF3585" w:rsidR="00C6083D" w:rsidP="00BF3585" w:rsidRDefault="00C6083D">
      <w:pPr>
        <w:pStyle w:val="ECHRPara"/>
        <w:numPr>
          <w:ilvl w:val="0"/>
          <w:numId w:val="24"/>
        </w:numPr>
        <w:rPr>
          <w:lang w:val="en-GB"/>
        </w:rPr>
      </w:pPr>
      <w:r w:rsidRPr="00BF3585">
        <w:rPr>
          <w:lang w:val="en-GB"/>
        </w:rPr>
        <w:t>National Police Internal Investigations Depa</w:t>
      </w:r>
      <w:r w:rsidRPr="00BF3585" w:rsidR="003336F4">
        <w:rPr>
          <w:lang w:val="en-GB"/>
        </w:rPr>
        <w:t xml:space="preserve">rtment report </w:t>
      </w:r>
      <w:r w:rsidRPr="00BF3585" w:rsidR="00B17470">
        <w:rPr>
          <w:lang w:val="en-GB"/>
        </w:rPr>
        <w:t xml:space="preserve">of </w:t>
      </w:r>
      <w:r w:rsidRPr="00BF3585">
        <w:rPr>
          <w:lang w:val="en-GB"/>
        </w:rPr>
        <w:t>4 October 2004, mentioning that</w:t>
      </w:r>
      <w:r w:rsidRPr="00BF3585" w:rsidR="003336F4">
        <w:rPr>
          <w:lang w:val="en-GB"/>
        </w:rPr>
        <w:t xml:space="preserve"> objects (envelopes, diaries, </w:t>
      </w:r>
      <w:r w:rsidRPr="00BF3585" w:rsidR="00B17470">
        <w:rPr>
          <w:lang w:val="en-GB"/>
        </w:rPr>
        <w:t xml:space="preserve">a </w:t>
      </w:r>
      <w:r w:rsidRPr="00BF3585">
        <w:rPr>
          <w:lang w:val="en-GB"/>
        </w:rPr>
        <w:t>phone tap report, written notes, floppy discs, compact discs and computers) were seized in the applicant</w:t>
      </w:r>
      <w:r w:rsidRPr="00BF3585" w:rsidR="00BF3585">
        <w:rPr>
          <w:lang w:val="en-GB"/>
        </w:rPr>
        <w:t>’</w:t>
      </w:r>
      <w:r w:rsidRPr="00BF3585">
        <w:rPr>
          <w:lang w:val="en-GB"/>
        </w:rPr>
        <w:t>s home. No further details given.</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3336F4">
        <w:rPr>
          <w:lang w:val="en-GB"/>
        </w:rPr>
        <w:t xml:space="preserve">igations Department report </w:t>
      </w:r>
      <w:r w:rsidRPr="00BF3585" w:rsidR="00B17470">
        <w:rPr>
          <w:lang w:val="en-GB"/>
        </w:rPr>
        <w:t xml:space="preserve">of </w:t>
      </w:r>
      <w:r w:rsidRPr="00BF3585">
        <w:rPr>
          <w:lang w:val="en-GB"/>
        </w:rPr>
        <w:t xml:space="preserve">4 October 2004, list </w:t>
      </w:r>
      <w:r w:rsidRPr="00BF3585" w:rsidR="00B17470">
        <w:rPr>
          <w:lang w:val="en-GB"/>
        </w:rPr>
        <w:t xml:space="preserve">of </w:t>
      </w:r>
      <w:r w:rsidRPr="00BF3585">
        <w:rPr>
          <w:lang w:val="en-GB"/>
        </w:rPr>
        <w:t xml:space="preserve">goods seized in the home </w:t>
      </w:r>
      <w:r w:rsidRPr="00BF3585" w:rsidR="00B17470">
        <w:rPr>
          <w:lang w:val="en-GB"/>
        </w:rPr>
        <w:t xml:space="preserve">of a </w:t>
      </w:r>
      <w:r w:rsidRPr="00BF3585">
        <w:rPr>
          <w:lang w:val="en-GB"/>
        </w:rPr>
        <w:t>target.</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3336F4">
        <w:rPr>
          <w:lang w:val="en-GB"/>
        </w:rPr>
        <w:t xml:space="preserve">igations Department report </w:t>
      </w:r>
      <w:r w:rsidRPr="00BF3585" w:rsidR="00B17470">
        <w:rPr>
          <w:lang w:val="en-GB"/>
        </w:rPr>
        <w:t xml:space="preserve">of </w:t>
      </w:r>
      <w:r w:rsidRPr="00BF3585">
        <w:rPr>
          <w:lang w:val="en-GB"/>
        </w:rPr>
        <w:t xml:space="preserve">6 October 2004, relating the search </w:t>
      </w:r>
      <w:r w:rsidRPr="00BF3585" w:rsidR="00B17470">
        <w:rPr>
          <w:lang w:val="en-GB"/>
        </w:rPr>
        <w:t xml:space="preserve">of </w:t>
      </w:r>
      <w:r w:rsidRPr="00BF3585">
        <w:rPr>
          <w:lang w:val="en-GB"/>
        </w:rPr>
        <w:t>the applicant</w:t>
      </w:r>
      <w:r w:rsidRPr="00BF3585" w:rsidR="00BF3585">
        <w:rPr>
          <w:lang w:val="en-GB"/>
        </w:rPr>
        <w:t>’</w:t>
      </w:r>
      <w:r w:rsidRPr="00BF3585">
        <w:rPr>
          <w:lang w:val="en-GB"/>
        </w:rPr>
        <w:t xml:space="preserve">s office and describing State secret documents found in his desk. One </w:t>
      </w:r>
      <w:r w:rsidRPr="00BF3585" w:rsidR="00B17470">
        <w:rPr>
          <w:lang w:val="en-GB"/>
        </w:rPr>
        <w:t xml:space="preserve">of </w:t>
      </w:r>
      <w:r w:rsidRPr="00BF3585">
        <w:rPr>
          <w:lang w:val="en-GB"/>
        </w:rPr>
        <w:t xml:space="preserve">these is identical to </w:t>
      </w:r>
      <w:r w:rsidRPr="00BF3585" w:rsidR="00B17470">
        <w:rPr>
          <w:lang w:val="en-GB"/>
        </w:rPr>
        <w:t xml:space="preserve">a </w:t>
      </w:r>
      <w:r w:rsidRPr="00BF3585">
        <w:rPr>
          <w:lang w:val="en-GB"/>
        </w:rPr>
        <w:t>docume</w:t>
      </w:r>
      <w:r w:rsidRPr="00BF3585" w:rsidR="003336F4">
        <w:rPr>
          <w:lang w:val="en-GB"/>
        </w:rPr>
        <w:t xml:space="preserve">nt found in the possession </w:t>
      </w:r>
      <w:r w:rsidRPr="00BF3585" w:rsidR="00B17470">
        <w:rPr>
          <w:lang w:val="en-GB"/>
        </w:rPr>
        <w:t xml:space="preserve">of a </w:t>
      </w:r>
      <w:r w:rsidRPr="00BF3585">
        <w:rPr>
          <w:lang w:val="en-GB"/>
        </w:rPr>
        <w:t xml:space="preserve">target; another is identical to </w:t>
      </w:r>
      <w:r w:rsidRPr="00BF3585" w:rsidR="00B17470">
        <w:rPr>
          <w:lang w:val="en-GB"/>
        </w:rPr>
        <w:t xml:space="preserve">a </w:t>
      </w:r>
      <w:r w:rsidRPr="00BF3585">
        <w:rPr>
          <w:lang w:val="en-GB"/>
        </w:rPr>
        <w:t>document found in the applicant</w:t>
      </w:r>
      <w:r w:rsidRPr="00BF3585" w:rsidR="00BF3585">
        <w:rPr>
          <w:lang w:val="en-GB"/>
        </w:rPr>
        <w:t>’</w:t>
      </w:r>
      <w:r w:rsidRPr="00BF3585">
        <w:rPr>
          <w:lang w:val="en-GB"/>
        </w:rPr>
        <w:t>s home (albeit that the applicant</w:t>
      </w:r>
      <w:r w:rsidRPr="00BF3585" w:rsidR="00BF3585">
        <w:rPr>
          <w:lang w:val="en-GB"/>
        </w:rPr>
        <w:t>’</w:t>
      </w:r>
      <w:r w:rsidRPr="00BF3585">
        <w:rPr>
          <w:lang w:val="en-GB"/>
        </w:rPr>
        <w:t xml:space="preserve">s ID has been whited out). These documents are identified by the acting head </w:t>
      </w:r>
      <w:r w:rsidRPr="00BF3585" w:rsidR="00B17470">
        <w:rPr>
          <w:lang w:val="en-GB"/>
        </w:rPr>
        <w:t xml:space="preserve">of </w:t>
      </w:r>
      <w:r w:rsidRPr="00BF3585">
        <w:rPr>
          <w:lang w:val="en-GB"/>
        </w:rPr>
        <w:t>the AIVD as State secret.</w:t>
      </w:r>
    </w:p>
    <w:p w:rsidRPr="00BF3585" w:rsidR="00C6083D" w:rsidP="00BF3585" w:rsidRDefault="00B17470">
      <w:pPr>
        <w:pStyle w:val="ECHRPara"/>
        <w:numPr>
          <w:ilvl w:val="0"/>
          <w:numId w:val="24"/>
        </w:numPr>
        <w:rPr>
          <w:lang w:val="en-GB"/>
        </w:rPr>
      </w:pPr>
      <w:r w:rsidRPr="00BF3585">
        <w:rPr>
          <w:lang w:val="en-GB"/>
        </w:rPr>
        <w:t xml:space="preserve">A </w:t>
      </w:r>
      <w:r w:rsidRPr="00BF3585" w:rsidR="00C6083D">
        <w:rPr>
          <w:lang w:val="en-GB"/>
        </w:rPr>
        <w:t xml:space="preserve">transcript </w:t>
      </w:r>
      <w:r w:rsidRPr="00BF3585">
        <w:rPr>
          <w:lang w:val="en-GB"/>
        </w:rPr>
        <w:t xml:space="preserve">of a </w:t>
      </w:r>
      <w:r w:rsidRPr="00BF3585" w:rsidR="00C6083D">
        <w:rPr>
          <w:lang w:val="en-GB"/>
        </w:rPr>
        <w:t xml:space="preserve">page out </w:t>
      </w:r>
      <w:r w:rsidRPr="00BF3585">
        <w:rPr>
          <w:lang w:val="en-GB"/>
        </w:rPr>
        <w:t xml:space="preserve">of </w:t>
      </w:r>
      <w:r w:rsidRPr="00BF3585" w:rsidR="00C6083D">
        <w:rPr>
          <w:lang w:val="en-GB"/>
        </w:rPr>
        <w:t>the applicant</w:t>
      </w:r>
      <w:r w:rsidRPr="00BF3585" w:rsidR="00BF3585">
        <w:rPr>
          <w:lang w:val="en-GB"/>
        </w:rPr>
        <w:t>’</w:t>
      </w:r>
      <w:r w:rsidRPr="00BF3585" w:rsidR="00C6083D">
        <w:rPr>
          <w:lang w:val="en-GB"/>
        </w:rPr>
        <w:t xml:space="preserve">s address book, bearing names in Arabic script </w:t>
      </w:r>
      <w:r w:rsidRPr="00BF3585" w:rsidR="003336F4">
        <w:rPr>
          <w:lang w:val="en-GB"/>
        </w:rPr>
        <w:t xml:space="preserve">identified by </w:t>
      </w:r>
      <w:r w:rsidRPr="00BF3585">
        <w:rPr>
          <w:lang w:val="en-GB"/>
        </w:rPr>
        <w:t xml:space="preserve">an </w:t>
      </w:r>
      <w:r w:rsidRPr="00BF3585" w:rsidR="003336F4">
        <w:rPr>
          <w:lang w:val="en-GB"/>
        </w:rPr>
        <w:t>AIVD expert as </w:t>
      </w:r>
      <w:r w:rsidRPr="00BF3585" w:rsidR="00C6083D">
        <w:rPr>
          <w:lang w:val="en-GB"/>
        </w:rPr>
        <w:t xml:space="preserve">the names </w:t>
      </w:r>
      <w:r w:rsidRPr="00BF3585">
        <w:rPr>
          <w:lang w:val="en-GB"/>
        </w:rPr>
        <w:t xml:space="preserve">of </w:t>
      </w:r>
      <w:r w:rsidRPr="00BF3585" w:rsidR="00C6083D">
        <w:rPr>
          <w:lang w:val="en-GB"/>
        </w:rPr>
        <w:t>targets.</w:t>
      </w:r>
    </w:p>
    <w:p w:rsidRPr="00BF3585" w:rsidR="00C6083D" w:rsidP="00BF3585" w:rsidRDefault="00B17470">
      <w:pPr>
        <w:pStyle w:val="ECHRPara"/>
        <w:numPr>
          <w:ilvl w:val="0"/>
          <w:numId w:val="24"/>
        </w:numPr>
        <w:rPr>
          <w:lang w:val="en-GB"/>
        </w:rPr>
      </w:pPr>
      <w:r w:rsidRPr="00BF3585">
        <w:rPr>
          <w:lang w:val="en-GB"/>
        </w:rPr>
        <w:t xml:space="preserve">A </w:t>
      </w:r>
      <w:r w:rsidRPr="00BF3585" w:rsidR="00C6083D">
        <w:rPr>
          <w:lang w:val="en-GB"/>
        </w:rPr>
        <w:t xml:space="preserve">copy </w:t>
      </w:r>
      <w:r w:rsidRPr="00BF3585">
        <w:rPr>
          <w:lang w:val="en-GB"/>
        </w:rPr>
        <w:t xml:space="preserve">of a </w:t>
      </w:r>
      <w:r w:rsidRPr="00BF3585" w:rsidR="00C6083D">
        <w:rPr>
          <w:lang w:val="en-GB"/>
        </w:rPr>
        <w:t>post-it note found in the applicant</w:t>
      </w:r>
      <w:r w:rsidRPr="00BF3585" w:rsidR="00BF3585">
        <w:rPr>
          <w:lang w:val="en-GB"/>
        </w:rPr>
        <w:t>’</w:t>
      </w:r>
      <w:r w:rsidRPr="00BF3585" w:rsidR="00C6083D">
        <w:rPr>
          <w:lang w:val="en-GB"/>
        </w:rPr>
        <w:t>s address book.</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3336F4">
        <w:rPr>
          <w:lang w:val="en-GB"/>
        </w:rPr>
        <w:t xml:space="preserve">igations Department report </w:t>
      </w:r>
      <w:r w:rsidRPr="00BF3585" w:rsidR="00B17470">
        <w:rPr>
          <w:lang w:val="en-GB"/>
        </w:rPr>
        <w:t xml:space="preserve">of </w:t>
      </w:r>
      <w:r w:rsidRPr="00BF3585">
        <w:rPr>
          <w:lang w:val="en-GB"/>
        </w:rPr>
        <w:t xml:space="preserve">8 October 2004 to the effect that two (unnamed) AIVD members have classified the list </w:t>
      </w:r>
      <w:r w:rsidRPr="00BF3585" w:rsidR="00B17470">
        <w:rPr>
          <w:lang w:val="en-GB"/>
        </w:rPr>
        <w:t xml:space="preserve">of </w:t>
      </w:r>
      <w:r w:rsidRPr="00BF3585">
        <w:rPr>
          <w:lang w:val="en-GB"/>
        </w:rPr>
        <w:t>goods seized in the applicant</w:t>
      </w:r>
      <w:r w:rsidRPr="00BF3585" w:rsidR="00BF3585">
        <w:rPr>
          <w:lang w:val="en-GB"/>
        </w:rPr>
        <w:t>’</w:t>
      </w:r>
      <w:r w:rsidRPr="00BF3585">
        <w:rPr>
          <w:lang w:val="en-GB"/>
        </w:rPr>
        <w:t>s home (paragraph 9 above) as State secret.</w:t>
      </w:r>
    </w:p>
    <w:p w:rsidRPr="00BF3585" w:rsidR="00C6083D" w:rsidP="00BF3585" w:rsidRDefault="00C6083D">
      <w:pPr>
        <w:pStyle w:val="ECHRPara"/>
        <w:numPr>
          <w:ilvl w:val="0"/>
          <w:numId w:val="24"/>
        </w:numPr>
        <w:rPr>
          <w:lang w:val="en-GB"/>
        </w:rPr>
      </w:pPr>
      <w:r w:rsidRPr="00BF3585">
        <w:rPr>
          <w:lang w:val="en-GB"/>
        </w:rPr>
        <w:t>National Police Internal Investigations D</w:t>
      </w:r>
      <w:r w:rsidRPr="00BF3585" w:rsidR="003336F4">
        <w:rPr>
          <w:lang w:val="en-GB"/>
        </w:rPr>
        <w:t xml:space="preserve">epartment report </w:t>
      </w:r>
      <w:r w:rsidRPr="00BF3585" w:rsidR="00B17470">
        <w:rPr>
          <w:lang w:val="en-GB"/>
        </w:rPr>
        <w:t xml:space="preserve">of </w:t>
      </w:r>
      <w:r w:rsidRPr="00BF3585">
        <w:rPr>
          <w:lang w:val="en-GB"/>
        </w:rPr>
        <w:t xml:space="preserve">8 October 2004 identifying persons mentioned in the transcript </w:t>
      </w:r>
      <w:r w:rsidRPr="00BF3585" w:rsidR="00B17470">
        <w:rPr>
          <w:lang w:val="en-GB"/>
        </w:rPr>
        <w:t xml:space="preserve">of </w:t>
      </w:r>
      <w:r w:rsidRPr="00BF3585">
        <w:rPr>
          <w:lang w:val="en-GB"/>
        </w:rPr>
        <w:t>the phone tap.</w:t>
      </w:r>
    </w:p>
    <w:p w:rsidRPr="00BF3585" w:rsidR="00C6083D" w:rsidP="00BF3585" w:rsidRDefault="00C6083D">
      <w:pPr>
        <w:pStyle w:val="ECHRPara"/>
        <w:numPr>
          <w:ilvl w:val="0"/>
          <w:numId w:val="24"/>
        </w:numPr>
        <w:rPr>
          <w:lang w:val="en-GB"/>
        </w:rPr>
      </w:pPr>
      <w:r w:rsidRPr="00BF3585">
        <w:rPr>
          <w:lang w:val="en-GB"/>
        </w:rPr>
        <w:t>National Police Internal Investi</w:t>
      </w:r>
      <w:r w:rsidRPr="00BF3585" w:rsidR="003336F4">
        <w:rPr>
          <w:lang w:val="en-GB"/>
        </w:rPr>
        <w:t xml:space="preserve">gations Department report </w:t>
      </w:r>
      <w:r w:rsidRPr="00BF3585" w:rsidR="00B17470">
        <w:rPr>
          <w:lang w:val="en-GB"/>
        </w:rPr>
        <w:t xml:space="preserve">of </w:t>
      </w:r>
      <w:r w:rsidRPr="00BF3585">
        <w:rPr>
          <w:lang w:val="en-GB"/>
        </w:rPr>
        <w:t xml:space="preserve">12 October 2004 identifying the transcript </w:t>
      </w:r>
      <w:r w:rsidRPr="00BF3585" w:rsidR="00B17470">
        <w:rPr>
          <w:lang w:val="en-GB"/>
        </w:rPr>
        <w:t xml:space="preserve">of </w:t>
      </w:r>
      <w:r w:rsidRPr="00BF3585">
        <w:rPr>
          <w:lang w:val="en-GB"/>
        </w:rPr>
        <w:t xml:space="preserve">the intercepted telephone conversation as identical to </w:t>
      </w:r>
      <w:r w:rsidRPr="00BF3585" w:rsidR="00B17470">
        <w:rPr>
          <w:lang w:val="en-GB"/>
        </w:rPr>
        <w:t xml:space="preserve">a </w:t>
      </w:r>
      <w:r w:rsidRPr="00BF3585">
        <w:rPr>
          <w:lang w:val="en-GB"/>
        </w:rPr>
        <w:t>document found in the applicant</w:t>
      </w:r>
      <w:r w:rsidRPr="00BF3585" w:rsidR="00BF3585">
        <w:rPr>
          <w:lang w:val="en-GB"/>
        </w:rPr>
        <w:t>’</w:t>
      </w:r>
      <w:r w:rsidRPr="00BF3585">
        <w:rPr>
          <w:lang w:val="en-GB"/>
        </w:rPr>
        <w:t>s office desk.</w:t>
      </w:r>
    </w:p>
    <w:p w:rsidRPr="00BF3585" w:rsidR="00C6083D" w:rsidP="00BF3585" w:rsidRDefault="00C6083D">
      <w:pPr>
        <w:pStyle w:val="ECHRPara"/>
        <w:numPr>
          <w:ilvl w:val="0"/>
          <w:numId w:val="24"/>
        </w:numPr>
        <w:rPr>
          <w:lang w:val="en-GB"/>
        </w:rPr>
      </w:pPr>
      <w:r w:rsidRPr="00BF3585">
        <w:rPr>
          <w:lang w:val="en-GB"/>
        </w:rPr>
        <w:t>National Police Internal Investigatio</w:t>
      </w:r>
      <w:r w:rsidRPr="00BF3585" w:rsidR="003336F4">
        <w:rPr>
          <w:lang w:val="en-GB"/>
        </w:rPr>
        <w:t xml:space="preserve">ns Department report </w:t>
      </w:r>
      <w:r w:rsidRPr="00BF3585" w:rsidR="00B17470">
        <w:rPr>
          <w:lang w:val="en-GB"/>
        </w:rPr>
        <w:t xml:space="preserve">of </w:t>
      </w:r>
      <w:r w:rsidRPr="00BF3585">
        <w:rPr>
          <w:lang w:val="en-GB"/>
        </w:rPr>
        <w:t>27 October 2004 to the ef</w:t>
      </w:r>
      <w:r w:rsidRPr="00BF3585" w:rsidR="003336F4">
        <w:rPr>
          <w:lang w:val="en-GB"/>
        </w:rPr>
        <w:t xml:space="preserve">fect that </w:t>
      </w:r>
      <w:r w:rsidRPr="00BF3585" w:rsidR="00B17470">
        <w:rPr>
          <w:lang w:val="en-GB"/>
        </w:rPr>
        <w:t xml:space="preserve">a </w:t>
      </w:r>
      <w:r w:rsidRPr="00BF3585" w:rsidR="003336F4">
        <w:rPr>
          <w:lang w:val="en-GB"/>
        </w:rPr>
        <w:t xml:space="preserve">document found in </w:t>
      </w:r>
      <w:r w:rsidRPr="00BF3585" w:rsidR="00B17470">
        <w:rPr>
          <w:lang w:val="en-GB"/>
        </w:rPr>
        <w:t xml:space="preserve">a </w:t>
      </w:r>
      <w:r w:rsidRPr="00BF3585">
        <w:rPr>
          <w:lang w:val="en-GB"/>
        </w:rPr>
        <w:t xml:space="preserve">search </w:t>
      </w:r>
      <w:r w:rsidRPr="00BF3585" w:rsidR="00B17470">
        <w:rPr>
          <w:lang w:val="en-GB"/>
        </w:rPr>
        <w:t xml:space="preserve">of </w:t>
      </w:r>
      <w:r w:rsidRPr="00BF3585">
        <w:rPr>
          <w:lang w:val="en-GB"/>
        </w:rPr>
        <w:t xml:space="preserve">the home </w:t>
      </w:r>
      <w:r w:rsidRPr="00BF3585" w:rsidR="00B17470">
        <w:rPr>
          <w:lang w:val="en-GB"/>
        </w:rPr>
        <w:t xml:space="preserve">of a </w:t>
      </w:r>
      <w:r w:rsidRPr="00BF3585" w:rsidR="003336F4">
        <w:rPr>
          <w:lang w:val="en-GB"/>
        </w:rPr>
        <w:t xml:space="preserve">target (C.) was identical to </w:t>
      </w:r>
      <w:r w:rsidRPr="00BF3585" w:rsidR="00B17470">
        <w:rPr>
          <w:lang w:val="en-GB"/>
        </w:rPr>
        <w:t xml:space="preserve">a </w:t>
      </w:r>
      <w:r w:rsidRPr="00BF3585">
        <w:rPr>
          <w:lang w:val="en-GB"/>
        </w:rPr>
        <w:t>classified document found in the applicant</w:t>
      </w:r>
      <w:r w:rsidRPr="00BF3585" w:rsidR="00BF3585">
        <w:rPr>
          <w:lang w:val="en-GB"/>
        </w:rPr>
        <w:t>’</w:t>
      </w:r>
      <w:r w:rsidRPr="00BF3585">
        <w:rPr>
          <w:lang w:val="en-GB"/>
        </w:rPr>
        <w:t>s office desk.</w:t>
      </w:r>
    </w:p>
    <w:p w:rsidRPr="00BF3585" w:rsidR="00C6083D" w:rsidP="00BF3585" w:rsidRDefault="00C6083D">
      <w:pPr>
        <w:pStyle w:val="ECHRPara"/>
        <w:numPr>
          <w:ilvl w:val="0"/>
          <w:numId w:val="24"/>
        </w:numPr>
        <w:rPr>
          <w:lang w:val="en-GB"/>
        </w:rPr>
      </w:pPr>
      <w:r w:rsidRPr="00BF3585">
        <w:rPr>
          <w:lang w:val="en-GB"/>
        </w:rPr>
        <w:t>National Police Internal Inve</w:t>
      </w:r>
      <w:r w:rsidRPr="00BF3585" w:rsidR="003336F4">
        <w:rPr>
          <w:lang w:val="en-GB"/>
        </w:rPr>
        <w:t xml:space="preserve">stigations Department report </w:t>
      </w:r>
      <w:r w:rsidRPr="00BF3585" w:rsidR="00B17470">
        <w:rPr>
          <w:lang w:val="en-GB"/>
        </w:rPr>
        <w:t xml:space="preserve">of </w:t>
      </w:r>
      <w:r w:rsidRPr="00BF3585">
        <w:rPr>
          <w:lang w:val="en-GB"/>
        </w:rPr>
        <w:t xml:space="preserve">29 December 2004 relating the arrest </w:t>
      </w:r>
      <w:r w:rsidRPr="00BF3585" w:rsidR="00B17470">
        <w:rPr>
          <w:lang w:val="en-GB"/>
        </w:rPr>
        <w:t xml:space="preserve">of </w:t>
      </w:r>
      <w:r w:rsidRPr="00BF3585">
        <w:rPr>
          <w:lang w:val="en-GB"/>
        </w:rPr>
        <w:t xml:space="preserve">another target (O.), who was found to be in possession </w:t>
      </w:r>
      <w:r w:rsidRPr="00BF3585" w:rsidR="00B17470">
        <w:rPr>
          <w:lang w:val="en-GB"/>
        </w:rPr>
        <w:t xml:space="preserve">of </w:t>
      </w:r>
      <w:r w:rsidRPr="00BF3585">
        <w:rPr>
          <w:lang w:val="en-GB"/>
        </w:rPr>
        <w:t xml:space="preserve">classified AIVD documents. O. stated that these had been sent to </w:t>
      </w:r>
      <w:r w:rsidRPr="00BF3585" w:rsidR="00B17470">
        <w:rPr>
          <w:lang w:val="en-GB"/>
        </w:rPr>
        <w:t xml:space="preserve">a </w:t>
      </w:r>
      <w:r w:rsidRPr="00BF3585">
        <w:rPr>
          <w:lang w:val="en-GB"/>
        </w:rPr>
        <w:t xml:space="preserve">friend </w:t>
      </w:r>
      <w:r w:rsidRPr="00BF3585" w:rsidR="00B17470">
        <w:rPr>
          <w:lang w:val="en-GB"/>
        </w:rPr>
        <w:t xml:space="preserve">of </w:t>
      </w:r>
      <w:r w:rsidRPr="00BF3585">
        <w:rPr>
          <w:lang w:val="en-GB"/>
        </w:rPr>
        <w:t xml:space="preserve">his anonymously by post. </w:t>
      </w:r>
      <w:r w:rsidRPr="00BF3585" w:rsidR="00B17470">
        <w:rPr>
          <w:lang w:val="en-GB"/>
        </w:rPr>
        <w:t xml:space="preserve">A </w:t>
      </w:r>
      <w:r w:rsidRPr="00BF3585">
        <w:rPr>
          <w:lang w:val="en-GB"/>
        </w:rPr>
        <w:t xml:space="preserve">search </w:t>
      </w:r>
      <w:r w:rsidRPr="00BF3585" w:rsidR="00B17470">
        <w:rPr>
          <w:lang w:val="en-GB"/>
        </w:rPr>
        <w:t xml:space="preserve">of </w:t>
      </w:r>
      <w:r w:rsidRPr="00BF3585">
        <w:rPr>
          <w:lang w:val="en-GB"/>
        </w:rPr>
        <w:t>the applicant</w:t>
      </w:r>
      <w:r w:rsidRPr="00BF3585" w:rsidR="00BF3585">
        <w:rPr>
          <w:lang w:val="en-GB"/>
        </w:rPr>
        <w:t>’</w:t>
      </w:r>
      <w:r w:rsidRPr="00BF3585">
        <w:rPr>
          <w:lang w:val="en-GB"/>
        </w:rPr>
        <w:t xml:space="preserve">s hard disk revealed </w:t>
      </w:r>
      <w:r w:rsidRPr="00BF3585" w:rsidR="00B17470">
        <w:rPr>
          <w:lang w:val="en-GB"/>
        </w:rPr>
        <w:t xml:space="preserve">an </w:t>
      </w:r>
      <w:r w:rsidRPr="00BF3585">
        <w:rPr>
          <w:lang w:val="en-GB"/>
        </w:rPr>
        <w:t xml:space="preserve">e-mail inquiring </w:t>
      </w:r>
      <w:r w:rsidRPr="00BF3585" w:rsidR="00B17470">
        <w:rPr>
          <w:lang w:val="en-GB"/>
        </w:rPr>
        <w:t xml:space="preserve">of a </w:t>
      </w:r>
      <w:r w:rsidRPr="00BF3585">
        <w:rPr>
          <w:lang w:val="en-GB"/>
        </w:rPr>
        <w:t xml:space="preserve">friend (S.B.) whether “the information sent to him by post had been </w:t>
      </w:r>
      <w:r w:rsidRPr="00BF3585" w:rsidR="00B17470">
        <w:rPr>
          <w:lang w:val="en-GB"/>
        </w:rPr>
        <w:t xml:space="preserve">of </w:t>
      </w:r>
      <w:r w:rsidRPr="00BF3585">
        <w:rPr>
          <w:lang w:val="en-GB"/>
        </w:rPr>
        <w:t>any use.”</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3336F4">
        <w:rPr>
          <w:lang w:val="en-GB"/>
        </w:rPr>
        <w:t xml:space="preserve">igations Department report </w:t>
      </w:r>
      <w:r w:rsidRPr="00BF3585" w:rsidR="00B17470">
        <w:rPr>
          <w:lang w:val="en-GB"/>
        </w:rPr>
        <w:t xml:space="preserve">of </w:t>
      </w:r>
      <w:r w:rsidRPr="00BF3585">
        <w:rPr>
          <w:lang w:val="en-GB"/>
        </w:rPr>
        <w:t xml:space="preserve">3 February 2005. </w:t>
      </w:r>
      <w:r w:rsidRPr="00BF3585" w:rsidR="00B17470">
        <w:rPr>
          <w:lang w:val="en-GB"/>
        </w:rPr>
        <w:t xml:space="preserve">A </w:t>
      </w:r>
      <w:r w:rsidRPr="00BF3585">
        <w:rPr>
          <w:lang w:val="en-GB"/>
        </w:rPr>
        <w:t xml:space="preserve">search </w:t>
      </w:r>
      <w:r w:rsidRPr="00BF3585" w:rsidR="00B17470">
        <w:rPr>
          <w:lang w:val="en-GB"/>
        </w:rPr>
        <w:t xml:space="preserve">of </w:t>
      </w:r>
      <w:r w:rsidRPr="00BF3585">
        <w:rPr>
          <w:lang w:val="en-GB"/>
        </w:rPr>
        <w:t>the dwelling shared by Mohammed B., who was l</w:t>
      </w:r>
      <w:r w:rsidRPr="00BF3585" w:rsidR="003336F4">
        <w:rPr>
          <w:lang w:val="en-GB"/>
        </w:rPr>
        <w:t xml:space="preserve">ater convicted </w:t>
      </w:r>
      <w:r w:rsidRPr="00BF3585" w:rsidR="00B17470">
        <w:rPr>
          <w:lang w:val="en-GB"/>
        </w:rPr>
        <w:t xml:space="preserve">of </w:t>
      </w:r>
      <w:r w:rsidRPr="00BF3585" w:rsidR="003336F4">
        <w:rPr>
          <w:lang w:val="en-GB"/>
        </w:rPr>
        <w:t xml:space="preserve">the murder </w:t>
      </w:r>
      <w:r w:rsidRPr="00BF3585" w:rsidR="00B17470">
        <w:rPr>
          <w:lang w:val="en-GB"/>
        </w:rPr>
        <w:t xml:space="preserve">of </w:t>
      </w:r>
      <w:r w:rsidRPr="00BF3585">
        <w:rPr>
          <w:lang w:val="en-GB"/>
        </w:rPr>
        <w:t>filmmaker Theo v</w:t>
      </w:r>
      <w:r w:rsidRPr="00BF3585" w:rsidR="00B17470">
        <w:rPr>
          <w:lang w:val="en-GB"/>
        </w:rPr>
        <w:t xml:space="preserve">an </w:t>
      </w:r>
      <w:r w:rsidRPr="00BF3585">
        <w:rPr>
          <w:lang w:val="en-GB"/>
        </w:rPr>
        <w:t xml:space="preserve">Gogh, had led to the finding, among the personal effects </w:t>
      </w:r>
      <w:r w:rsidRPr="00BF3585" w:rsidR="00B17470">
        <w:rPr>
          <w:lang w:val="en-GB"/>
        </w:rPr>
        <w:t xml:space="preserve">of </w:t>
      </w:r>
      <w:r w:rsidRPr="00BF3585">
        <w:rPr>
          <w:lang w:val="en-GB"/>
        </w:rPr>
        <w:t>Mohammed B.</w:t>
      </w:r>
      <w:r w:rsidRPr="00BF3585" w:rsidR="00BF3585">
        <w:rPr>
          <w:lang w:val="en-GB"/>
        </w:rPr>
        <w:t>’</w:t>
      </w:r>
      <w:r w:rsidRPr="00BF3585">
        <w:rPr>
          <w:lang w:val="en-GB"/>
        </w:rPr>
        <w:t>s flat-mate,</w:t>
      </w:r>
      <w:r w:rsidRPr="00BF3585" w:rsidR="003336F4">
        <w:rPr>
          <w:lang w:val="en-GB"/>
        </w:rPr>
        <w:t xml:space="preserve"> </w:t>
      </w:r>
      <w:r w:rsidRPr="00BF3585" w:rsidR="00B17470">
        <w:rPr>
          <w:lang w:val="en-GB"/>
        </w:rPr>
        <w:t xml:space="preserve">of a </w:t>
      </w:r>
      <w:r w:rsidRPr="00BF3585" w:rsidR="003336F4">
        <w:rPr>
          <w:lang w:val="en-GB"/>
        </w:rPr>
        <w:t xml:space="preserve">transcript </w:t>
      </w:r>
      <w:r w:rsidRPr="00BF3585" w:rsidR="00B17470">
        <w:rPr>
          <w:lang w:val="en-GB"/>
        </w:rPr>
        <w:t xml:space="preserve">of a </w:t>
      </w:r>
      <w:r w:rsidRPr="00BF3585">
        <w:rPr>
          <w:lang w:val="en-GB"/>
        </w:rPr>
        <w:t xml:space="preserve">conversation that was part </w:t>
      </w:r>
      <w:r w:rsidRPr="00BF3585" w:rsidR="00B17470">
        <w:rPr>
          <w:lang w:val="en-GB"/>
        </w:rPr>
        <w:t xml:space="preserve">of an </w:t>
      </w:r>
      <w:r w:rsidRPr="00BF3585">
        <w:rPr>
          <w:lang w:val="en-GB"/>
        </w:rPr>
        <w:t>AIVD investigation.</w:t>
      </w:r>
    </w:p>
    <w:p w:rsidRPr="00BF3585" w:rsidR="00C6083D" w:rsidP="00BF3585" w:rsidRDefault="00C6083D">
      <w:pPr>
        <w:pStyle w:val="ECHRPara"/>
        <w:numPr>
          <w:ilvl w:val="0"/>
          <w:numId w:val="24"/>
        </w:numPr>
        <w:rPr>
          <w:lang w:val="en-GB"/>
        </w:rPr>
      </w:pPr>
      <w:r w:rsidRPr="00BF3585">
        <w:rPr>
          <w:lang w:val="en-GB"/>
        </w:rPr>
        <w:t xml:space="preserve">National Police Internal Investigations Department report </w:t>
      </w:r>
      <w:r w:rsidRPr="00BF3585" w:rsidR="00B17470">
        <w:rPr>
          <w:lang w:val="en-GB"/>
        </w:rPr>
        <w:t xml:space="preserve">of </w:t>
      </w:r>
      <w:r w:rsidRPr="00BF3585">
        <w:rPr>
          <w:lang w:val="en-GB"/>
        </w:rPr>
        <w:t>3 February 2005. The post-it note found in the applicant</w:t>
      </w:r>
      <w:r w:rsidRPr="00BF3585" w:rsidR="00BF3585">
        <w:rPr>
          <w:lang w:val="en-GB"/>
        </w:rPr>
        <w:t>’</w:t>
      </w:r>
      <w:r w:rsidRPr="00BF3585">
        <w:rPr>
          <w:lang w:val="en-GB"/>
        </w:rPr>
        <w:t xml:space="preserve">s address book bore </w:t>
      </w:r>
      <w:r w:rsidRPr="00BF3585" w:rsidR="00B17470">
        <w:rPr>
          <w:lang w:val="en-GB"/>
        </w:rPr>
        <w:t xml:space="preserve">an </w:t>
      </w:r>
      <w:r w:rsidRPr="00BF3585">
        <w:rPr>
          <w:lang w:val="en-GB"/>
        </w:rPr>
        <w:t>address to which it appears that “the aforementioned document” was found to have been sent.</w:t>
      </w:r>
    </w:p>
    <w:p w:rsidRPr="00BF3585" w:rsidR="00C6083D" w:rsidP="00BF3585" w:rsidRDefault="00C6083D">
      <w:pPr>
        <w:pStyle w:val="ECHRPara"/>
        <w:numPr>
          <w:ilvl w:val="0"/>
          <w:numId w:val="24"/>
        </w:numPr>
        <w:rPr>
          <w:lang w:val="en-GB"/>
        </w:rPr>
      </w:pPr>
      <w:r w:rsidRPr="00BF3585">
        <w:rPr>
          <w:lang w:val="en-GB"/>
        </w:rPr>
        <w:t>National Police Internal Investi</w:t>
      </w:r>
      <w:r w:rsidRPr="00BF3585" w:rsidR="003336F4">
        <w:rPr>
          <w:lang w:val="en-GB"/>
        </w:rPr>
        <w:t xml:space="preserve">gations Department report </w:t>
      </w:r>
      <w:r w:rsidRPr="00BF3585" w:rsidR="00B17470">
        <w:rPr>
          <w:lang w:val="en-GB"/>
        </w:rPr>
        <w:t xml:space="preserve">of </w:t>
      </w:r>
      <w:r w:rsidRPr="00BF3585">
        <w:rPr>
          <w:lang w:val="en-GB"/>
        </w:rPr>
        <w:t xml:space="preserve">18 March 2005. Description </w:t>
      </w:r>
      <w:r w:rsidRPr="00BF3585" w:rsidR="00B17470">
        <w:rPr>
          <w:lang w:val="en-GB"/>
        </w:rPr>
        <w:t xml:space="preserve">of </w:t>
      </w:r>
      <w:r w:rsidRPr="00BF3585">
        <w:rPr>
          <w:lang w:val="en-GB"/>
        </w:rPr>
        <w:t xml:space="preserve">documents found in the possession </w:t>
      </w:r>
      <w:r w:rsidRPr="00BF3585" w:rsidR="00B17470">
        <w:rPr>
          <w:lang w:val="en-GB"/>
        </w:rPr>
        <w:t xml:space="preserve">of </w:t>
      </w:r>
      <w:r w:rsidRPr="00BF3585">
        <w:rPr>
          <w:lang w:val="en-GB"/>
        </w:rPr>
        <w:t xml:space="preserve">the target C., whose house had been searched, and copies </w:t>
      </w:r>
      <w:r w:rsidRPr="00BF3585" w:rsidR="00B17470">
        <w:rPr>
          <w:lang w:val="en-GB"/>
        </w:rPr>
        <w:t xml:space="preserve">of </w:t>
      </w:r>
      <w:r w:rsidRPr="00BF3585">
        <w:rPr>
          <w:lang w:val="en-GB"/>
        </w:rPr>
        <w:t xml:space="preserve">some </w:t>
      </w:r>
      <w:r w:rsidRPr="00BF3585" w:rsidR="00B17470">
        <w:rPr>
          <w:lang w:val="en-GB"/>
        </w:rPr>
        <w:t xml:space="preserve">of </w:t>
      </w:r>
      <w:r w:rsidRPr="00BF3585">
        <w:rPr>
          <w:lang w:val="en-GB"/>
        </w:rPr>
        <w:t xml:space="preserve">which </w:t>
      </w:r>
      <w:r w:rsidRPr="00BF3585" w:rsidR="003336F4">
        <w:rPr>
          <w:lang w:val="en-GB"/>
        </w:rPr>
        <w:t xml:space="preserve">were found in the possession </w:t>
      </w:r>
      <w:r w:rsidRPr="00BF3585" w:rsidR="00B17470">
        <w:rPr>
          <w:lang w:val="en-GB"/>
        </w:rPr>
        <w:t xml:space="preserve">of </w:t>
      </w:r>
      <w:r w:rsidRPr="00BF3585">
        <w:rPr>
          <w:lang w:val="en-GB"/>
        </w:rPr>
        <w:t>the target O. All are classified documents already mentioned in other National Police Internal Investigations Department reports.</w:t>
      </w:r>
    </w:p>
    <w:p w:rsidRPr="00BF3585" w:rsidR="00C6083D" w:rsidP="00BF3585" w:rsidRDefault="00C6083D">
      <w:pPr>
        <w:pStyle w:val="ECHRPara"/>
        <w:numPr>
          <w:ilvl w:val="0"/>
          <w:numId w:val="24"/>
        </w:numPr>
        <w:rPr>
          <w:lang w:val="en-GB"/>
        </w:rPr>
      </w:pPr>
      <w:r w:rsidRPr="00BF3585">
        <w:rPr>
          <w:lang w:val="en-GB"/>
        </w:rPr>
        <w:t>National Police Internal Investi</w:t>
      </w:r>
      <w:r w:rsidRPr="00BF3585" w:rsidR="003336F4">
        <w:rPr>
          <w:lang w:val="en-GB"/>
        </w:rPr>
        <w:t xml:space="preserve">gations Department report </w:t>
      </w:r>
      <w:r w:rsidRPr="00BF3585" w:rsidR="00B17470">
        <w:rPr>
          <w:lang w:val="en-GB"/>
        </w:rPr>
        <w:t xml:space="preserve">of </w:t>
      </w:r>
      <w:r w:rsidRPr="00BF3585">
        <w:rPr>
          <w:lang w:val="en-GB"/>
        </w:rPr>
        <w:t xml:space="preserve">21 January 2005. Interview </w:t>
      </w:r>
      <w:r w:rsidRPr="00BF3585" w:rsidR="00B17470">
        <w:rPr>
          <w:lang w:val="en-GB"/>
        </w:rPr>
        <w:t xml:space="preserve">of an </w:t>
      </w:r>
      <w:r w:rsidRPr="00BF3585">
        <w:rPr>
          <w:lang w:val="en-GB"/>
        </w:rPr>
        <w:t xml:space="preserve">AIVD official responsible for the security </w:t>
      </w:r>
      <w:r w:rsidRPr="00BF3585" w:rsidR="00B17470">
        <w:rPr>
          <w:lang w:val="en-GB"/>
        </w:rPr>
        <w:t xml:space="preserve">of </w:t>
      </w:r>
      <w:r w:rsidRPr="00BF3585">
        <w:rPr>
          <w:lang w:val="en-GB"/>
        </w:rPr>
        <w:t xml:space="preserve">the IT system. No name is given, the official identified only by </w:t>
      </w:r>
      <w:r w:rsidRPr="00BF3585" w:rsidR="00B17470">
        <w:rPr>
          <w:lang w:val="en-GB"/>
        </w:rPr>
        <w:t xml:space="preserve">a </w:t>
      </w:r>
      <w:r w:rsidRPr="00BF3585">
        <w:rPr>
          <w:lang w:val="en-GB"/>
        </w:rPr>
        <w:t xml:space="preserve">number (05/20040094). It emerges that the applicant had access to all the systems needed for his work as </w:t>
      </w:r>
      <w:r w:rsidRPr="00BF3585" w:rsidR="00B17470">
        <w:rPr>
          <w:lang w:val="en-GB"/>
        </w:rPr>
        <w:t xml:space="preserve">an </w:t>
      </w:r>
      <w:r w:rsidRPr="00BF3585">
        <w:rPr>
          <w:lang w:val="en-GB"/>
        </w:rPr>
        <w:t>audio analyst and had his own user ID and password.</w:t>
      </w:r>
    </w:p>
    <w:p w:rsidRPr="00BF3585" w:rsidR="00C6083D" w:rsidP="00BF3585" w:rsidRDefault="00C6083D">
      <w:pPr>
        <w:pStyle w:val="ECHRPara"/>
        <w:numPr>
          <w:ilvl w:val="0"/>
          <w:numId w:val="24"/>
        </w:numPr>
        <w:rPr>
          <w:lang w:val="en-GB"/>
        </w:rPr>
      </w:pPr>
      <w:r w:rsidRPr="00BF3585">
        <w:rPr>
          <w:lang w:val="en-GB"/>
        </w:rPr>
        <w:t>National Police Internal Investigation</w:t>
      </w:r>
      <w:r w:rsidRPr="00BF3585" w:rsidR="003336F4">
        <w:rPr>
          <w:lang w:val="en-GB"/>
        </w:rPr>
        <w:t xml:space="preserve">s Department report </w:t>
      </w:r>
      <w:r w:rsidRPr="00BF3585" w:rsidR="00B17470">
        <w:rPr>
          <w:lang w:val="en-GB"/>
        </w:rPr>
        <w:t xml:space="preserve">of </w:t>
      </w:r>
      <w:r w:rsidRPr="00BF3585">
        <w:rPr>
          <w:lang w:val="en-GB"/>
        </w:rPr>
        <w:t xml:space="preserve">21 February 2005. Interview </w:t>
      </w:r>
      <w:r w:rsidRPr="00BF3585" w:rsidR="00B17470">
        <w:rPr>
          <w:lang w:val="en-GB"/>
        </w:rPr>
        <w:t xml:space="preserve">of </w:t>
      </w:r>
      <w:r w:rsidRPr="00BF3585">
        <w:rPr>
          <w:lang w:val="en-GB"/>
        </w:rPr>
        <w:t>witness 05/20040094 to the effect that the applicant, and he al</w:t>
      </w:r>
      <w:r w:rsidRPr="00BF3585" w:rsidR="003336F4">
        <w:rPr>
          <w:lang w:val="en-GB"/>
        </w:rPr>
        <w:t xml:space="preserve">one, prepared </w:t>
      </w:r>
      <w:r w:rsidRPr="00BF3585" w:rsidR="00B17470">
        <w:rPr>
          <w:lang w:val="en-GB"/>
        </w:rPr>
        <w:t xml:space="preserve">a </w:t>
      </w:r>
      <w:r w:rsidRPr="00BF3585" w:rsidR="003336F4">
        <w:rPr>
          <w:lang w:val="en-GB"/>
        </w:rPr>
        <w:t xml:space="preserve">transcript </w:t>
      </w:r>
      <w:r w:rsidRPr="00BF3585" w:rsidR="00B17470">
        <w:rPr>
          <w:lang w:val="en-GB"/>
        </w:rPr>
        <w:t xml:space="preserve">of a </w:t>
      </w:r>
      <w:r w:rsidRPr="00BF3585">
        <w:rPr>
          <w:lang w:val="en-GB"/>
        </w:rPr>
        <w:t xml:space="preserve">conversation later found in the possession </w:t>
      </w:r>
      <w:r w:rsidRPr="00BF3585" w:rsidR="00B17470">
        <w:rPr>
          <w:lang w:val="en-GB"/>
        </w:rPr>
        <w:t xml:space="preserve">of </w:t>
      </w:r>
      <w:r w:rsidRPr="00BF3585">
        <w:rPr>
          <w:lang w:val="en-GB"/>
        </w:rPr>
        <w:t>the target H.</w:t>
      </w:r>
    </w:p>
    <w:p w:rsidRPr="00BF3585" w:rsidR="00C6083D" w:rsidP="00BF3585" w:rsidRDefault="00C6083D">
      <w:pPr>
        <w:pStyle w:val="ECHRPara"/>
        <w:numPr>
          <w:ilvl w:val="0"/>
          <w:numId w:val="24"/>
        </w:numPr>
        <w:rPr>
          <w:lang w:val="en-GB"/>
        </w:rPr>
      </w:pPr>
      <w:r w:rsidRPr="00BF3585">
        <w:rPr>
          <w:lang w:val="en-GB"/>
        </w:rPr>
        <w:t>National Police Internal Investigations Departm</w:t>
      </w:r>
      <w:r w:rsidRPr="00BF3585" w:rsidR="003336F4">
        <w:rPr>
          <w:lang w:val="en-GB"/>
        </w:rPr>
        <w:t xml:space="preserve">ent report </w:t>
      </w:r>
      <w:r w:rsidRPr="00BF3585" w:rsidR="00B17470">
        <w:rPr>
          <w:lang w:val="en-GB"/>
        </w:rPr>
        <w:t xml:space="preserve">of </w:t>
      </w:r>
      <w:r w:rsidRPr="00BF3585">
        <w:rPr>
          <w:lang w:val="en-GB"/>
        </w:rPr>
        <w:t xml:space="preserve">30 September 2004. Interview </w:t>
      </w:r>
      <w:r w:rsidRPr="00BF3585" w:rsidR="00B17470">
        <w:rPr>
          <w:lang w:val="en-GB"/>
        </w:rPr>
        <w:t xml:space="preserve">of </w:t>
      </w:r>
      <w:r w:rsidRPr="00BF3585">
        <w:rPr>
          <w:lang w:val="en-GB"/>
        </w:rPr>
        <w:t xml:space="preserve">the applicant from which it appears that the applicant has been employed by the AIVD since 2003, receives weekly </w:t>
      </w:r>
      <w:r w:rsidRPr="00BF3585" w:rsidR="00B17470">
        <w:rPr>
          <w:lang w:val="en-GB"/>
        </w:rPr>
        <w:t xml:space="preserve">reports about investigations in </w:t>
      </w:r>
      <w:r w:rsidRPr="00BF3585">
        <w:rPr>
          <w:lang w:val="en-GB"/>
        </w:rPr>
        <w:t>progress (which are class</w:t>
      </w:r>
      <w:r w:rsidRPr="00BF3585" w:rsidR="003336F4">
        <w:rPr>
          <w:lang w:val="en-GB"/>
        </w:rPr>
        <w:t xml:space="preserve">ified), has signed </w:t>
      </w:r>
      <w:r w:rsidRPr="00BF3585" w:rsidR="00B17470">
        <w:rPr>
          <w:lang w:val="en-GB"/>
        </w:rPr>
        <w:t xml:space="preserve">a </w:t>
      </w:r>
      <w:r w:rsidRPr="00BF3585" w:rsidR="003336F4">
        <w:rPr>
          <w:lang w:val="en-GB"/>
        </w:rPr>
        <w:t xml:space="preserve">promise </w:t>
      </w:r>
      <w:r w:rsidRPr="00BF3585" w:rsidR="00B17470">
        <w:rPr>
          <w:lang w:val="en-GB"/>
        </w:rPr>
        <w:t xml:space="preserve">of </w:t>
      </w:r>
      <w:r w:rsidRPr="00BF3585">
        <w:rPr>
          <w:lang w:val="en-GB"/>
        </w:rPr>
        <w:t>secrecy and knows the targe</w:t>
      </w:r>
      <w:r w:rsidRPr="00BF3585" w:rsidR="003336F4">
        <w:rPr>
          <w:lang w:val="en-GB"/>
        </w:rPr>
        <w:t xml:space="preserve">ts O. and C. who are friends </w:t>
      </w:r>
      <w:r w:rsidRPr="00BF3585" w:rsidR="00B17470">
        <w:rPr>
          <w:lang w:val="en-GB"/>
        </w:rPr>
        <w:t xml:space="preserve">of </w:t>
      </w:r>
      <w:r w:rsidRPr="00BF3585">
        <w:rPr>
          <w:lang w:val="en-GB"/>
        </w:rPr>
        <w:t>his brother-in-law. He is aware that O. and C. are investigation targets.</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3336F4">
        <w:rPr>
          <w:lang w:val="en-GB"/>
        </w:rPr>
        <w:t xml:space="preserve">igations Department report </w:t>
      </w:r>
      <w:r w:rsidRPr="00BF3585" w:rsidR="00B17470">
        <w:rPr>
          <w:lang w:val="en-GB"/>
        </w:rPr>
        <w:t xml:space="preserve">of </w:t>
      </w:r>
      <w:r w:rsidRPr="00BF3585">
        <w:rPr>
          <w:lang w:val="en-GB"/>
        </w:rPr>
        <w:t xml:space="preserve">2 October 2004. Interview </w:t>
      </w:r>
      <w:r w:rsidRPr="00BF3585" w:rsidR="00B17470">
        <w:rPr>
          <w:lang w:val="en-GB"/>
        </w:rPr>
        <w:t xml:space="preserve">of </w:t>
      </w:r>
      <w:r w:rsidRPr="00BF3585">
        <w:rPr>
          <w:lang w:val="en-GB"/>
        </w:rPr>
        <w:t xml:space="preserve">the applicant, who recognises the transcript </w:t>
      </w:r>
      <w:r w:rsidRPr="00BF3585" w:rsidR="00B17470">
        <w:rPr>
          <w:lang w:val="en-GB"/>
        </w:rPr>
        <w:t xml:space="preserve">of </w:t>
      </w:r>
      <w:r w:rsidRPr="00BF3585">
        <w:rPr>
          <w:lang w:val="en-GB"/>
        </w:rPr>
        <w:t xml:space="preserve">the intercepted telephone conversation, which he admits is classified and should not have left AIVD premises, but which he must have taken home by mistake. The applicant also recognises </w:t>
      </w:r>
      <w:r w:rsidRPr="00BF3585" w:rsidR="00B17470">
        <w:rPr>
          <w:lang w:val="en-GB"/>
        </w:rPr>
        <w:t xml:space="preserve">a </w:t>
      </w:r>
      <w:r w:rsidRPr="00BF3585">
        <w:rPr>
          <w:lang w:val="en-GB"/>
        </w:rPr>
        <w:t xml:space="preserve">note bearing </w:t>
      </w:r>
      <w:r w:rsidRPr="00BF3585" w:rsidR="00B17470">
        <w:rPr>
          <w:lang w:val="en-GB"/>
        </w:rPr>
        <w:t xml:space="preserve">a </w:t>
      </w:r>
      <w:r w:rsidRPr="00BF3585">
        <w:rPr>
          <w:lang w:val="en-GB"/>
        </w:rPr>
        <w:t>name.</w:t>
      </w:r>
    </w:p>
    <w:p w:rsidRPr="00BF3585" w:rsidR="00C6083D" w:rsidP="00BF3585" w:rsidRDefault="00C6083D">
      <w:pPr>
        <w:pStyle w:val="ECHRPara"/>
        <w:numPr>
          <w:ilvl w:val="0"/>
          <w:numId w:val="24"/>
        </w:numPr>
        <w:rPr>
          <w:lang w:val="en-GB"/>
        </w:rPr>
      </w:pPr>
      <w:r w:rsidRPr="00BF3585">
        <w:rPr>
          <w:lang w:val="en-GB"/>
        </w:rPr>
        <w:t xml:space="preserve">National Police Internal Investigations </w:t>
      </w:r>
      <w:r w:rsidRPr="00BF3585" w:rsidR="003336F4">
        <w:rPr>
          <w:lang w:val="en-GB"/>
        </w:rPr>
        <w:t xml:space="preserve">Department report </w:t>
      </w:r>
      <w:r w:rsidRPr="00BF3585" w:rsidR="00B17470">
        <w:rPr>
          <w:lang w:val="en-GB"/>
        </w:rPr>
        <w:t xml:space="preserve">of </w:t>
      </w:r>
      <w:r w:rsidRPr="00BF3585">
        <w:rPr>
          <w:lang w:val="en-GB"/>
        </w:rPr>
        <w:t xml:space="preserve">6 October 2004. Interview </w:t>
      </w:r>
      <w:r w:rsidRPr="00BF3585" w:rsidR="00B17470">
        <w:rPr>
          <w:lang w:val="en-GB"/>
        </w:rPr>
        <w:t xml:space="preserve">of </w:t>
      </w:r>
      <w:r w:rsidRPr="00BF3585">
        <w:rPr>
          <w:lang w:val="en-GB"/>
        </w:rPr>
        <w:t xml:space="preserve">the applicant, who recognises the post-it note with the names </w:t>
      </w:r>
      <w:r w:rsidRPr="00BF3585" w:rsidR="00B17470">
        <w:rPr>
          <w:lang w:val="en-GB"/>
        </w:rPr>
        <w:t xml:space="preserve">of </w:t>
      </w:r>
      <w:r w:rsidRPr="00BF3585">
        <w:rPr>
          <w:lang w:val="en-GB"/>
        </w:rPr>
        <w:t xml:space="preserve">three targets (O., K. and H.) and admits that he knows he should not take names </w:t>
      </w:r>
      <w:r w:rsidRPr="00BF3585" w:rsidR="00B17470">
        <w:rPr>
          <w:lang w:val="en-GB"/>
        </w:rPr>
        <w:t xml:space="preserve">of </w:t>
      </w:r>
      <w:r w:rsidRPr="00BF3585">
        <w:rPr>
          <w:lang w:val="en-GB"/>
        </w:rPr>
        <w:t xml:space="preserve">targets home. The applicant also admits that there is no other possible explanation for finding the transcript </w:t>
      </w:r>
      <w:r w:rsidRPr="00BF3585" w:rsidR="00B17470">
        <w:rPr>
          <w:lang w:val="en-GB"/>
        </w:rPr>
        <w:t xml:space="preserve">of </w:t>
      </w:r>
      <w:r w:rsidRPr="00BF3585">
        <w:rPr>
          <w:lang w:val="en-GB"/>
        </w:rPr>
        <w:t>the intercepted telephone conversation in his office desk th</w:t>
      </w:r>
      <w:r w:rsidRPr="00BF3585" w:rsidR="00B17470">
        <w:rPr>
          <w:lang w:val="en-GB"/>
        </w:rPr>
        <w:t xml:space="preserve">an </w:t>
      </w:r>
      <w:r w:rsidRPr="00BF3585">
        <w:rPr>
          <w:lang w:val="en-GB"/>
        </w:rPr>
        <w:t>that he himself put it there.</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3336F4">
        <w:rPr>
          <w:lang w:val="en-GB"/>
        </w:rPr>
        <w:t xml:space="preserve">igations Department report </w:t>
      </w:r>
      <w:r w:rsidRPr="00BF3585" w:rsidR="00B17470">
        <w:rPr>
          <w:lang w:val="en-GB"/>
        </w:rPr>
        <w:t xml:space="preserve">of </w:t>
      </w:r>
      <w:r w:rsidRPr="00BF3585">
        <w:rPr>
          <w:lang w:val="en-GB"/>
        </w:rPr>
        <w:t xml:space="preserve">7 October 2004. The applicant identifies two observation reports which are classified. One </w:t>
      </w:r>
      <w:r w:rsidRPr="00BF3585" w:rsidR="00B17470">
        <w:rPr>
          <w:lang w:val="en-GB"/>
        </w:rPr>
        <w:t xml:space="preserve">of </w:t>
      </w:r>
      <w:r w:rsidRPr="00BF3585">
        <w:rPr>
          <w:lang w:val="en-GB"/>
        </w:rPr>
        <w:t>them is stated to have been found in his office at work.</w:t>
      </w:r>
    </w:p>
    <w:p w:rsidRPr="00BF3585" w:rsidR="00C6083D" w:rsidP="00BF3585" w:rsidRDefault="00C6083D">
      <w:pPr>
        <w:pStyle w:val="ECHRPara"/>
        <w:numPr>
          <w:ilvl w:val="0"/>
          <w:numId w:val="24"/>
        </w:numPr>
        <w:rPr>
          <w:lang w:val="en-GB"/>
        </w:rPr>
      </w:pPr>
      <w:r w:rsidRPr="00BF3585">
        <w:rPr>
          <w:lang w:val="en-GB"/>
        </w:rPr>
        <w:t>National Police Internal Investi</w:t>
      </w:r>
      <w:r w:rsidRPr="00BF3585" w:rsidR="003336F4">
        <w:rPr>
          <w:lang w:val="en-GB"/>
        </w:rPr>
        <w:t xml:space="preserve">gations Department report </w:t>
      </w:r>
      <w:r w:rsidRPr="00BF3585" w:rsidR="00B17470">
        <w:rPr>
          <w:lang w:val="en-GB"/>
        </w:rPr>
        <w:t xml:space="preserve">of </w:t>
      </w:r>
      <w:r w:rsidRPr="00BF3585">
        <w:rPr>
          <w:lang w:val="en-GB"/>
        </w:rPr>
        <w:t xml:space="preserve">26 October 2004. The applicant identifies the name </w:t>
      </w:r>
      <w:r w:rsidRPr="00BF3585" w:rsidR="00B17470">
        <w:rPr>
          <w:lang w:val="en-GB"/>
        </w:rPr>
        <w:t xml:space="preserve">of </w:t>
      </w:r>
      <w:r w:rsidRPr="00BF3585">
        <w:rPr>
          <w:lang w:val="en-GB"/>
        </w:rPr>
        <w:t>the target H. on the post-it note.</w:t>
      </w:r>
    </w:p>
    <w:p w:rsidRPr="00BF3585" w:rsidR="00C6083D" w:rsidP="00BF3585" w:rsidRDefault="00C6083D">
      <w:pPr>
        <w:pStyle w:val="ECHRPara"/>
        <w:numPr>
          <w:ilvl w:val="0"/>
          <w:numId w:val="24"/>
        </w:numPr>
        <w:rPr>
          <w:lang w:val="en-GB"/>
        </w:rPr>
      </w:pPr>
      <w:r w:rsidRPr="00BF3585">
        <w:rPr>
          <w:lang w:val="en-GB"/>
        </w:rPr>
        <w:t xml:space="preserve">National Police Internal Investigations Department report </w:t>
      </w:r>
      <w:r w:rsidRPr="00BF3585" w:rsidR="00B17470">
        <w:rPr>
          <w:lang w:val="en-GB"/>
        </w:rPr>
        <w:t xml:space="preserve">of </w:t>
      </w:r>
      <w:r w:rsidRPr="00BF3585">
        <w:rPr>
          <w:lang w:val="en-GB"/>
        </w:rPr>
        <w:t xml:space="preserve">8 November 2004. The applicant identifies private e-mail addresses used by him (in his </w:t>
      </w:r>
      <w:r w:rsidRPr="00BF3585" w:rsidR="003336F4">
        <w:rPr>
          <w:lang w:val="en-GB"/>
        </w:rPr>
        <w:t xml:space="preserve">private capacity </w:t>
      </w:r>
      <w:r w:rsidRPr="00BF3585" w:rsidR="00B17470">
        <w:rPr>
          <w:lang w:val="en-GB"/>
        </w:rPr>
        <w:t xml:space="preserve">of </w:t>
      </w:r>
      <w:r w:rsidRPr="00BF3585" w:rsidR="003336F4">
        <w:rPr>
          <w:lang w:val="en-GB"/>
        </w:rPr>
        <w:t xml:space="preserve">agent for </w:t>
      </w:r>
      <w:r w:rsidRPr="00BF3585" w:rsidR="00B17470">
        <w:rPr>
          <w:lang w:val="en-GB"/>
        </w:rPr>
        <w:t xml:space="preserve">a </w:t>
      </w:r>
      <w:r w:rsidRPr="00BF3585">
        <w:rPr>
          <w:lang w:val="en-GB"/>
        </w:rPr>
        <w:t>travel agency based in Morocco) and by his wife respectively.</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3336F4">
        <w:rPr>
          <w:lang w:val="en-GB"/>
        </w:rPr>
        <w:t xml:space="preserve">igations Department report </w:t>
      </w:r>
      <w:r w:rsidRPr="00BF3585" w:rsidR="00B17470">
        <w:rPr>
          <w:lang w:val="en-GB"/>
        </w:rPr>
        <w:t xml:space="preserve">of </w:t>
      </w:r>
      <w:r w:rsidRPr="00BF3585">
        <w:rPr>
          <w:lang w:val="en-GB"/>
        </w:rPr>
        <w:t xml:space="preserve">8 November 2004. The applicant admits that the transcript </w:t>
      </w:r>
      <w:r w:rsidRPr="00BF3585" w:rsidR="00B17470">
        <w:rPr>
          <w:lang w:val="en-GB"/>
        </w:rPr>
        <w:t xml:space="preserve">of </w:t>
      </w:r>
      <w:r w:rsidRPr="00BF3585">
        <w:rPr>
          <w:lang w:val="en-GB"/>
        </w:rPr>
        <w:t xml:space="preserve">the intercepted telephone conversation bears his user ID. The name H. on the post-it note corresponds to the person H. who is </w:t>
      </w:r>
      <w:r w:rsidRPr="00BF3585" w:rsidR="00B17470">
        <w:rPr>
          <w:lang w:val="en-GB"/>
        </w:rPr>
        <w:t xml:space="preserve">a </w:t>
      </w:r>
      <w:r w:rsidRPr="00BF3585">
        <w:rPr>
          <w:lang w:val="en-GB"/>
        </w:rPr>
        <w:t xml:space="preserve">target </w:t>
      </w:r>
      <w:r w:rsidRPr="00BF3585" w:rsidR="00B17470">
        <w:rPr>
          <w:lang w:val="en-GB"/>
        </w:rPr>
        <w:t xml:space="preserve">of an </w:t>
      </w:r>
      <w:r w:rsidRPr="00BF3585">
        <w:rPr>
          <w:lang w:val="en-GB"/>
        </w:rPr>
        <w:t xml:space="preserve">AIVD investigation; the applicant himself identified him as </w:t>
      </w:r>
      <w:r w:rsidRPr="00BF3585" w:rsidR="00B17470">
        <w:rPr>
          <w:lang w:val="en-GB"/>
        </w:rPr>
        <w:t xml:space="preserve">a </w:t>
      </w:r>
      <w:r w:rsidRPr="00BF3585">
        <w:rPr>
          <w:lang w:val="en-GB"/>
        </w:rPr>
        <w:t>target.</w:t>
      </w:r>
    </w:p>
    <w:p w:rsidRPr="00BF3585" w:rsidR="00C6083D" w:rsidP="00BF3585" w:rsidRDefault="00C6083D">
      <w:pPr>
        <w:pStyle w:val="ECHRPara"/>
        <w:numPr>
          <w:ilvl w:val="0"/>
          <w:numId w:val="24"/>
        </w:numPr>
        <w:rPr>
          <w:lang w:val="en-GB"/>
        </w:rPr>
      </w:pPr>
      <w:r w:rsidRPr="00BF3585">
        <w:rPr>
          <w:lang w:val="en-GB"/>
        </w:rPr>
        <w:t>National Police Internal Investi</w:t>
      </w:r>
      <w:r w:rsidRPr="00BF3585" w:rsidR="003336F4">
        <w:rPr>
          <w:lang w:val="en-GB"/>
        </w:rPr>
        <w:t xml:space="preserve">gations Department report </w:t>
      </w:r>
      <w:r w:rsidRPr="00BF3585" w:rsidR="00B17470">
        <w:rPr>
          <w:lang w:val="en-GB"/>
        </w:rPr>
        <w:t xml:space="preserve">of </w:t>
      </w:r>
      <w:r w:rsidRPr="00BF3585">
        <w:rPr>
          <w:lang w:val="en-GB"/>
        </w:rPr>
        <w:t xml:space="preserve">27 October 2004. </w:t>
      </w:r>
      <w:r w:rsidRPr="00BF3585" w:rsidR="00B17470">
        <w:rPr>
          <w:lang w:val="en-GB"/>
        </w:rPr>
        <w:t xml:space="preserve">A </w:t>
      </w:r>
      <w:r w:rsidRPr="00BF3585">
        <w:rPr>
          <w:lang w:val="en-GB"/>
        </w:rPr>
        <w:t>DN</w:t>
      </w:r>
      <w:r w:rsidRPr="00BF3585" w:rsidR="00B17470">
        <w:rPr>
          <w:lang w:val="en-GB"/>
        </w:rPr>
        <w:t xml:space="preserve">A </w:t>
      </w:r>
      <w:r w:rsidRPr="00BF3585">
        <w:rPr>
          <w:lang w:val="en-GB"/>
        </w:rPr>
        <w:t>sample is taken from the applicant.</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3336F4">
        <w:rPr>
          <w:lang w:val="en-GB"/>
        </w:rPr>
        <w:t xml:space="preserve">igations Department report </w:t>
      </w:r>
      <w:r w:rsidRPr="00BF3585" w:rsidR="00B17470">
        <w:rPr>
          <w:lang w:val="en-GB"/>
        </w:rPr>
        <w:t xml:space="preserve">of </w:t>
      </w:r>
      <w:r w:rsidRPr="00BF3585">
        <w:rPr>
          <w:lang w:val="en-GB"/>
        </w:rPr>
        <w:t>9 November 2004. The DN</w:t>
      </w:r>
      <w:r w:rsidRPr="00BF3585" w:rsidR="00B17470">
        <w:rPr>
          <w:lang w:val="en-GB"/>
        </w:rPr>
        <w:t xml:space="preserve">A </w:t>
      </w:r>
      <w:r w:rsidRPr="00BF3585">
        <w:rPr>
          <w:lang w:val="en-GB"/>
        </w:rPr>
        <w:t>sample corresponds to DN</w:t>
      </w:r>
      <w:r w:rsidRPr="00BF3585" w:rsidR="00B17470">
        <w:rPr>
          <w:lang w:val="en-GB"/>
        </w:rPr>
        <w:t xml:space="preserve">A </w:t>
      </w:r>
      <w:r w:rsidRPr="00BF3585">
        <w:rPr>
          <w:lang w:val="en-GB"/>
        </w:rPr>
        <w:t xml:space="preserve">found on </w:t>
      </w:r>
      <w:r w:rsidRPr="00BF3585" w:rsidR="00B17470">
        <w:rPr>
          <w:lang w:val="en-GB"/>
        </w:rPr>
        <w:t xml:space="preserve">an </w:t>
      </w:r>
      <w:r w:rsidRPr="00BF3585">
        <w:rPr>
          <w:lang w:val="en-GB"/>
        </w:rPr>
        <w:t>envelope.</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3336F4">
        <w:rPr>
          <w:lang w:val="en-GB"/>
        </w:rPr>
        <w:t xml:space="preserve">igations Department report </w:t>
      </w:r>
      <w:r w:rsidRPr="00BF3585" w:rsidR="00B17470">
        <w:rPr>
          <w:lang w:val="en-GB"/>
        </w:rPr>
        <w:t xml:space="preserve">of </w:t>
      </w:r>
      <w:r w:rsidRPr="00BF3585">
        <w:rPr>
          <w:lang w:val="en-GB"/>
        </w:rPr>
        <w:t xml:space="preserve">8 November 2004. </w:t>
      </w:r>
      <w:r w:rsidRPr="00BF3585" w:rsidR="00B17470">
        <w:rPr>
          <w:lang w:val="en-GB"/>
        </w:rPr>
        <w:t xml:space="preserve">A </w:t>
      </w:r>
      <w:r w:rsidRPr="00BF3585">
        <w:rPr>
          <w:lang w:val="en-GB"/>
        </w:rPr>
        <w:t>further DN</w:t>
      </w:r>
      <w:r w:rsidRPr="00BF3585" w:rsidR="00B17470">
        <w:rPr>
          <w:lang w:val="en-GB"/>
        </w:rPr>
        <w:t xml:space="preserve">A </w:t>
      </w:r>
      <w:r w:rsidRPr="00BF3585">
        <w:rPr>
          <w:lang w:val="en-GB"/>
        </w:rPr>
        <w:t xml:space="preserve">match is found on </w:t>
      </w:r>
      <w:r w:rsidRPr="00BF3585" w:rsidR="00B17470">
        <w:rPr>
          <w:lang w:val="en-GB"/>
        </w:rPr>
        <w:t xml:space="preserve">an </w:t>
      </w:r>
      <w:r w:rsidRPr="00BF3585">
        <w:rPr>
          <w:lang w:val="en-GB"/>
        </w:rPr>
        <w:t>envelope.</w:t>
      </w:r>
    </w:p>
    <w:p w:rsidRPr="00BF3585" w:rsidR="00C6083D" w:rsidP="00BF3585" w:rsidRDefault="00C6083D">
      <w:pPr>
        <w:pStyle w:val="ECHRPara"/>
        <w:numPr>
          <w:ilvl w:val="0"/>
          <w:numId w:val="24"/>
        </w:numPr>
        <w:rPr>
          <w:lang w:val="en-GB"/>
        </w:rPr>
      </w:pPr>
      <w:r w:rsidRPr="00BF3585">
        <w:rPr>
          <w:lang w:val="en-GB"/>
        </w:rPr>
        <w:t>National Police Internal Investi</w:t>
      </w:r>
      <w:r w:rsidRPr="00BF3585" w:rsidR="003336F4">
        <w:rPr>
          <w:lang w:val="en-GB"/>
        </w:rPr>
        <w:t xml:space="preserve">gations Department report </w:t>
      </w:r>
      <w:r w:rsidRPr="00BF3585" w:rsidR="00B17470">
        <w:rPr>
          <w:lang w:val="en-GB"/>
        </w:rPr>
        <w:t xml:space="preserve">of </w:t>
      </w:r>
      <w:r w:rsidRPr="00BF3585">
        <w:rPr>
          <w:lang w:val="en-GB"/>
        </w:rPr>
        <w:t>25 March 2005. It is more th</w:t>
      </w:r>
      <w:r w:rsidRPr="00BF3585" w:rsidR="00B17470">
        <w:rPr>
          <w:lang w:val="en-GB"/>
        </w:rPr>
        <w:t xml:space="preserve">an </w:t>
      </w:r>
      <w:r w:rsidRPr="00BF3585">
        <w:rPr>
          <w:lang w:val="en-GB"/>
        </w:rPr>
        <w:t>one billion times more likely that the DN</w:t>
      </w:r>
      <w:r w:rsidRPr="00BF3585" w:rsidR="00B17470">
        <w:rPr>
          <w:lang w:val="en-GB"/>
        </w:rPr>
        <w:t xml:space="preserve">A </w:t>
      </w:r>
      <w:r w:rsidRPr="00BF3585">
        <w:rPr>
          <w:lang w:val="en-GB"/>
        </w:rPr>
        <w:t>match c</w:t>
      </w:r>
      <w:r w:rsidRPr="00BF3585" w:rsidR="00B17470">
        <w:rPr>
          <w:lang w:val="en-GB"/>
        </w:rPr>
        <w:t xml:space="preserve">an </w:t>
      </w:r>
      <w:r w:rsidRPr="00BF3585">
        <w:rPr>
          <w:lang w:val="en-GB"/>
        </w:rPr>
        <w:t xml:space="preserve">be explained by the presence </w:t>
      </w:r>
      <w:r w:rsidRPr="00BF3585" w:rsidR="00B17470">
        <w:rPr>
          <w:lang w:val="en-GB"/>
        </w:rPr>
        <w:t xml:space="preserve">of </w:t>
      </w:r>
      <w:r w:rsidRPr="00BF3585">
        <w:rPr>
          <w:lang w:val="en-GB"/>
        </w:rPr>
        <w:t>the DN</w:t>
      </w:r>
      <w:r w:rsidRPr="00BF3585" w:rsidR="00B17470">
        <w:rPr>
          <w:lang w:val="en-GB"/>
        </w:rPr>
        <w:t xml:space="preserve">A of </w:t>
      </w:r>
      <w:r w:rsidRPr="00BF3585">
        <w:rPr>
          <w:lang w:val="en-GB"/>
        </w:rPr>
        <w:t>the applicant th</w:t>
      </w:r>
      <w:r w:rsidRPr="00BF3585" w:rsidR="00B17470">
        <w:rPr>
          <w:lang w:val="en-GB"/>
        </w:rPr>
        <w:t xml:space="preserve">an </w:t>
      </w:r>
      <w:r w:rsidRPr="00BF3585" w:rsidR="003336F4">
        <w:rPr>
          <w:lang w:val="en-GB"/>
        </w:rPr>
        <w:t xml:space="preserve">by the presence </w:t>
      </w:r>
      <w:r w:rsidRPr="00BF3585" w:rsidR="00B17470">
        <w:rPr>
          <w:lang w:val="en-GB"/>
        </w:rPr>
        <w:t xml:space="preserve">of </w:t>
      </w:r>
      <w:r w:rsidRPr="00BF3585" w:rsidR="003336F4">
        <w:rPr>
          <w:lang w:val="en-GB"/>
        </w:rPr>
        <w:t>the DN</w:t>
      </w:r>
      <w:r w:rsidRPr="00BF3585" w:rsidR="00B17470">
        <w:rPr>
          <w:lang w:val="en-GB"/>
        </w:rPr>
        <w:t xml:space="preserve">A of </w:t>
      </w:r>
      <w:r w:rsidRPr="00BF3585">
        <w:rPr>
          <w:lang w:val="en-GB"/>
        </w:rPr>
        <w:t>strangers.</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3336F4">
        <w:rPr>
          <w:lang w:val="en-GB"/>
        </w:rPr>
        <w:t xml:space="preserve">igations Department report </w:t>
      </w:r>
      <w:r w:rsidRPr="00BF3585" w:rsidR="00B17470">
        <w:rPr>
          <w:lang w:val="en-GB"/>
        </w:rPr>
        <w:t xml:space="preserve">of </w:t>
      </w:r>
      <w:r w:rsidRPr="00BF3585">
        <w:rPr>
          <w:lang w:val="en-GB"/>
        </w:rPr>
        <w:t>1 October 2004. The target C. states that he received two envelopes containing documents from which it appeared that he and other Morocc</w:t>
      </w:r>
      <w:r w:rsidRPr="00BF3585" w:rsidR="00B17470">
        <w:rPr>
          <w:lang w:val="en-GB"/>
        </w:rPr>
        <w:t xml:space="preserve">an </w:t>
      </w:r>
      <w:r w:rsidRPr="00BF3585">
        <w:rPr>
          <w:lang w:val="en-GB"/>
        </w:rPr>
        <w:t>men were being watched.</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3336F4">
        <w:rPr>
          <w:lang w:val="en-GB"/>
        </w:rPr>
        <w:t xml:space="preserve">igations Department report </w:t>
      </w:r>
      <w:r w:rsidRPr="00BF3585" w:rsidR="00B17470">
        <w:rPr>
          <w:lang w:val="en-GB"/>
        </w:rPr>
        <w:t xml:space="preserve">of </w:t>
      </w:r>
      <w:r w:rsidRPr="00BF3585">
        <w:rPr>
          <w:lang w:val="en-GB"/>
        </w:rPr>
        <w:t xml:space="preserve">2 October 2004. The target C. relates how he received the two envelopes. The first had been sent to him at his home address. The second had been addressed to him, but sent to the home address </w:t>
      </w:r>
      <w:r w:rsidRPr="00BF3585" w:rsidR="00B17470">
        <w:rPr>
          <w:lang w:val="en-GB"/>
        </w:rPr>
        <w:t xml:space="preserve">of a </w:t>
      </w:r>
      <w:r w:rsidRPr="00BF3585">
        <w:rPr>
          <w:lang w:val="en-GB"/>
        </w:rPr>
        <w:t>second per</w:t>
      </w:r>
      <w:r w:rsidRPr="00BF3585" w:rsidR="003336F4">
        <w:rPr>
          <w:lang w:val="en-GB"/>
        </w:rPr>
        <w:t xml:space="preserve">son, B1, and handed to him by </w:t>
      </w:r>
      <w:r w:rsidRPr="00BF3585" w:rsidR="00B17470">
        <w:rPr>
          <w:lang w:val="en-GB"/>
        </w:rPr>
        <w:t xml:space="preserve">a </w:t>
      </w:r>
      <w:r w:rsidRPr="00BF3585">
        <w:rPr>
          <w:lang w:val="en-GB"/>
        </w:rPr>
        <w:t>third, B2.</w:t>
      </w:r>
    </w:p>
    <w:p w:rsidRPr="00BF3585" w:rsidR="00C6083D" w:rsidP="00BF3585" w:rsidRDefault="00C6083D">
      <w:pPr>
        <w:pStyle w:val="ECHRPara"/>
        <w:numPr>
          <w:ilvl w:val="0"/>
          <w:numId w:val="24"/>
        </w:numPr>
        <w:rPr>
          <w:lang w:val="en-GB"/>
        </w:rPr>
      </w:pPr>
      <w:r w:rsidRPr="00BF3585">
        <w:rPr>
          <w:lang w:val="en-GB"/>
        </w:rPr>
        <w:t xml:space="preserve">Official record by the investigating judge </w:t>
      </w:r>
      <w:r w:rsidRPr="00BF3585" w:rsidR="00B17470">
        <w:rPr>
          <w:lang w:val="en-GB"/>
        </w:rPr>
        <w:t xml:space="preserve">of </w:t>
      </w:r>
      <w:r w:rsidRPr="00BF3585">
        <w:rPr>
          <w:lang w:val="en-GB"/>
        </w:rPr>
        <w:t>28 June 2005. Target C. recognises the documents sent to him.</w:t>
      </w:r>
    </w:p>
    <w:p w:rsidRPr="00BF3585" w:rsidR="00C6083D" w:rsidP="00BF3585" w:rsidRDefault="00C6083D">
      <w:pPr>
        <w:pStyle w:val="ECHRPara"/>
        <w:numPr>
          <w:ilvl w:val="0"/>
          <w:numId w:val="24"/>
        </w:numPr>
        <w:rPr>
          <w:lang w:val="en-GB"/>
        </w:rPr>
      </w:pPr>
      <w:r w:rsidRPr="00BF3585">
        <w:rPr>
          <w:lang w:val="en-GB"/>
        </w:rPr>
        <w:t>National Police Internal Investi</w:t>
      </w:r>
      <w:r w:rsidRPr="00BF3585" w:rsidR="003336F4">
        <w:rPr>
          <w:lang w:val="en-GB"/>
        </w:rPr>
        <w:t xml:space="preserve">gations Department report </w:t>
      </w:r>
      <w:r w:rsidRPr="00BF3585" w:rsidR="00B17470">
        <w:rPr>
          <w:lang w:val="en-GB"/>
        </w:rPr>
        <w:t xml:space="preserve">of </w:t>
      </w:r>
      <w:r w:rsidRPr="00BF3585">
        <w:rPr>
          <w:lang w:val="en-GB"/>
        </w:rPr>
        <w:t>27 September 2004. Statement by the target O. O was aware that he was being watched, since his friend C. had received reports by post.</w:t>
      </w:r>
    </w:p>
    <w:p w:rsidRPr="00BF3585" w:rsidR="00C6083D" w:rsidP="00BF3585" w:rsidRDefault="00C6083D">
      <w:pPr>
        <w:pStyle w:val="ECHRPara"/>
        <w:numPr>
          <w:ilvl w:val="0"/>
          <w:numId w:val="24"/>
        </w:numPr>
        <w:rPr>
          <w:lang w:val="en-GB"/>
        </w:rPr>
      </w:pPr>
      <w:r w:rsidRPr="00BF3585">
        <w:rPr>
          <w:lang w:val="en-GB"/>
        </w:rPr>
        <w:t xml:space="preserve">Official record by the investigating judge </w:t>
      </w:r>
      <w:r w:rsidRPr="00BF3585" w:rsidR="00B17470">
        <w:rPr>
          <w:lang w:val="en-GB"/>
        </w:rPr>
        <w:t xml:space="preserve">of </w:t>
      </w:r>
      <w:r w:rsidRPr="00BF3585">
        <w:rPr>
          <w:lang w:val="en-GB"/>
        </w:rPr>
        <w:t xml:space="preserve">28 June 2005. The target O. admits that when arrested he had two sheets </w:t>
      </w:r>
      <w:r w:rsidRPr="00BF3585" w:rsidR="00B17470">
        <w:rPr>
          <w:lang w:val="en-GB"/>
        </w:rPr>
        <w:t xml:space="preserve">of </w:t>
      </w:r>
      <w:r w:rsidRPr="00BF3585">
        <w:rPr>
          <w:lang w:val="en-GB"/>
        </w:rPr>
        <w:t xml:space="preserve">paper in his pocket which he had received from </w:t>
      </w:r>
      <w:r w:rsidRPr="00BF3585" w:rsidR="00B17470">
        <w:rPr>
          <w:lang w:val="en-GB"/>
        </w:rPr>
        <w:t xml:space="preserve">a </w:t>
      </w:r>
      <w:r w:rsidRPr="00BF3585">
        <w:rPr>
          <w:lang w:val="en-GB"/>
        </w:rPr>
        <w:t>friend (A.B., the “third person” mentioned in document no. 36).</w:t>
      </w:r>
    </w:p>
    <w:p w:rsidRPr="00BF3585" w:rsidR="00C6083D" w:rsidP="00BF3585" w:rsidRDefault="00C6083D">
      <w:pPr>
        <w:pStyle w:val="ECHRPara"/>
        <w:numPr>
          <w:ilvl w:val="0"/>
          <w:numId w:val="24"/>
        </w:numPr>
        <w:rPr>
          <w:lang w:val="en-GB"/>
        </w:rPr>
      </w:pPr>
      <w:r w:rsidRPr="00BF3585">
        <w:rPr>
          <w:lang w:val="en-GB"/>
        </w:rPr>
        <w:t>National Police Internal Investi</w:t>
      </w:r>
      <w:r w:rsidRPr="00BF3585" w:rsidR="003336F4">
        <w:rPr>
          <w:lang w:val="en-GB"/>
        </w:rPr>
        <w:t xml:space="preserve">gations Department report </w:t>
      </w:r>
      <w:r w:rsidRPr="00BF3585" w:rsidR="00B17470">
        <w:rPr>
          <w:lang w:val="en-GB"/>
        </w:rPr>
        <w:t xml:space="preserve">of </w:t>
      </w:r>
      <w:r w:rsidRPr="00BF3585">
        <w:rPr>
          <w:lang w:val="en-GB"/>
        </w:rPr>
        <w:t xml:space="preserve">30 September 2004. B1 states that the target C. had received letters mentioning “our names”. One had been sent to his address (the address </w:t>
      </w:r>
      <w:r w:rsidRPr="00BF3585" w:rsidR="00B17470">
        <w:rPr>
          <w:lang w:val="en-GB"/>
        </w:rPr>
        <w:t xml:space="preserve">of </w:t>
      </w:r>
      <w:r w:rsidRPr="00BF3585">
        <w:rPr>
          <w:lang w:val="en-GB"/>
        </w:rPr>
        <w:t xml:space="preserve">the target C.); the second had been sent to the address </w:t>
      </w:r>
      <w:r w:rsidRPr="00BF3585" w:rsidR="00B17470">
        <w:rPr>
          <w:lang w:val="en-GB"/>
        </w:rPr>
        <w:t xml:space="preserve">of </w:t>
      </w:r>
      <w:r w:rsidRPr="00BF3585">
        <w:rPr>
          <w:lang w:val="en-GB"/>
        </w:rPr>
        <w:t>B2. The letters had been AIVD documents from which it appeared that a</w:t>
      </w:r>
      <w:r w:rsidRPr="00BF3585" w:rsidR="003336F4">
        <w:rPr>
          <w:lang w:val="en-GB"/>
        </w:rPr>
        <w:t>ll three were being watched. B1 </w:t>
      </w:r>
      <w:r w:rsidRPr="00BF3585">
        <w:rPr>
          <w:lang w:val="en-GB"/>
        </w:rPr>
        <w:t>recognised the documents.</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807DD3">
        <w:rPr>
          <w:lang w:val="en-GB"/>
        </w:rPr>
        <w:t xml:space="preserve">igations Department report </w:t>
      </w:r>
      <w:r w:rsidRPr="00BF3585" w:rsidR="00B17470">
        <w:rPr>
          <w:lang w:val="en-GB"/>
        </w:rPr>
        <w:t xml:space="preserve">of </w:t>
      </w:r>
      <w:r w:rsidRPr="00BF3585">
        <w:rPr>
          <w:lang w:val="en-GB"/>
        </w:rPr>
        <w:t>2 October 2004. B2 recognises</w:t>
      </w:r>
      <w:r w:rsidRPr="00BF3585" w:rsidR="003336F4">
        <w:rPr>
          <w:lang w:val="en-GB"/>
        </w:rPr>
        <w:t xml:space="preserve"> the envelope sent to C. from </w:t>
      </w:r>
      <w:r w:rsidRPr="00BF3585" w:rsidR="00B17470">
        <w:rPr>
          <w:lang w:val="en-GB"/>
        </w:rPr>
        <w:t xml:space="preserve">a </w:t>
      </w:r>
      <w:r w:rsidRPr="00BF3585">
        <w:rPr>
          <w:lang w:val="en-GB"/>
        </w:rPr>
        <w:t>photocopy.</w:t>
      </w:r>
    </w:p>
    <w:p w:rsidRPr="00BF3585" w:rsidR="00C6083D" w:rsidP="00BF3585" w:rsidRDefault="00C6083D">
      <w:pPr>
        <w:pStyle w:val="ECHRPara"/>
        <w:numPr>
          <w:ilvl w:val="0"/>
          <w:numId w:val="24"/>
        </w:numPr>
        <w:rPr>
          <w:lang w:val="en-GB"/>
        </w:rPr>
      </w:pPr>
      <w:r w:rsidRPr="00BF3585">
        <w:rPr>
          <w:lang w:val="en-GB"/>
        </w:rPr>
        <w:t>National Police Internal Invest</w:t>
      </w:r>
      <w:r w:rsidRPr="00BF3585" w:rsidR="00807DD3">
        <w:rPr>
          <w:lang w:val="en-GB"/>
        </w:rPr>
        <w:t xml:space="preserve">igations Department report </w:t>
      </w:r>
      <w:r w:rsidRPr="00BF3585" w:rsidR="00B17470">
        <w:rPr>
          <w:lang w:val="en-GB"/>
        </w:rPr>
        <w:t xml:space="preserve">of </w:t>
      </w:r>
      <w:r w:rsidRPr="00BF3585">
        <w:rPr>
          <w:lang w:val="en-GB"/>
        </w:rPr>
        <w:t>2 October 2004. B2 describes how the second letter, addressed to C. and O., was re</w:t>
      </w:r>
      <w:r w:rsidRPr="00BF3585" w:rsidR="00807DD3">
        <w:rPr>
          <w:lang w:val="en-GB"/>
        </w:rPr>
        <w:t xml:space="preserve">ceived at the address </w:t>
      </w:r>
      <w:r w:rsidRPr="00BF3585" w:rsidR="00B17470">
        <w:rPr>
          <w:lang w:val="en-GB"/>
        </w:rPr>
        <w:t xml:space="preserve">of </w:t>
      </w:r>
      <w:r w:rsidRPr="00BF3585" w:rsidR="00807DD3">
        <w:rPr>
          <w:lang w:val="en-GB"/>
        </w:rPr>
        <w:t>B1. He </w:t>
      </w:r>
      <w:r w:rsidRPr="00BF3585">
        <w:rPr>
          <w:lang w:val="en-GB"/>
        </w:rPr>
        <w:t xml:space="preserve">had opened the letter, which mentioned him and O. He had left it with C. O. had received </w:t>
      </w:r>
      <w:r w:rsidRPr="00BF3585" w:rsidR="00B17470">
        <w:rPr>
          <w:lang w:val="en-GB"/>
        </w:rPr>
        <w:t xml:space="preserve">a </w:t>
      </w:r>
      <w:r w:rsidRPr="00BF3585">
        <w:rPr>
          <w:lang w:val="en-GB"/>
        </w:rPr>
        <w:t>copy as well.</w:t>
      </w:r>
    </w:p>
    <w:p w:rsidRPr="00BF3585" w:rsidR="00C6083D" w:rsidP="00BF3585" w:rsidRDefault="00C6083D">
      <w:pPr>
        <w:pStyle w:val="ECHRPara"/>
        <w:numPr>
          <w:ilvl w:val="0"/>
          <w:numId w:val="24"/>
        </w:numPr>
        <w:rPr>
          <w:lang w:val="en-GB"/>
        </w:rPr>
      </w:pPr>
      <w:r w:rsidRPr="00BF3585">
        <w:rPr>
          <w:lang w:val="en-GB"/>
        </w:rPr>
        <w:t>Official record by the investig</w:t>
      </w:r>
      <w:r w:rsidRPr="00BF3585" w:rsidR="00807DD3">
        <w:rPr>
          <w:lang w:val="en-GB"/>
        </w:rPr>
        <w:t xml:space="preserve">ating judge </w:t>
      </w:r>
      <w:r w:rsidRPr="00BF3585" w:rsidR="00B17470">
        <w:rPr>
          <w:lang w:val="en-GB"/>
        </w:rPr>
        <w:t xml:space="preserve">of </w:t>
      </w:r>
      <w:r w:rsidRPr="00BF3585" w:rsidR="00807DD3">
        <w:rPr>
          <w:lang w:val="en-GB"/>
        </w:rPr>
        <w:t>28 June 2005. B2 </w:t>
      </w:r>
      <w:r w:rsidRPr="00BF3585">
        <w:rPr>
          <w:lang w:val="en-GB"/>
        </w:rPr>
        <w:t xml:space="preserve">recognises the second letter referred to under no. </w:t>
      </w:r>
      <w:r w:rsidRPr="00BF3585" w:rsidR="00B17470">
        <w:rPr>
          <w:lang w:val="en-GB"/>
        </w:rPr>
        <w:t xml:space="preserve">42. He </w:t>
      </w:r>
      <w:r w:rsidRPr="00BF3585">
        <w:rPr>
          <w:lang w:val="en-GB"/>
        </w:rPr>
        <w:t xml:space="preserve">had taken the letter to C. and given </w:t>
      </w:r>
      <w:r w:rsidRPr="00BF3585" w:rsidR="00B17470">
        <w:rPr>
          <w:lang w:val="en-GB"/>
        </w:rPr>
        <w:t xml:space="preserve">a </w:t>
      </w:r>
      <w:r w:rsidRPr="00BF3585">
        <w:rPr>
          <w:lang w:val="en-GB"/>
        </w:rPr>
        <w:t>copy to O.</w:t>
      </w:r>
    </w:p>
    <w:p w:rsidRPr="00BF3585" w:rsidR="00C6083D" w:rsidP="00BF3585" w:rsidRDefault="00C6083D">
      <w:pPr>
        <w:pStyle w:val="ECHRPara"/>
        <w:numPr>
          <w:ilvl w:val="0"/>
          <w:numId w:val="24"/>
        </w:numPr>
        <w:rPr>
          <w:lang w:val="en-GB"/>
        </w:rPr>
      </w:pPr>
      <w:r w:rsidRPr="00BF3585">
        <w:rPr>
          <w:lang w:val="en-GB"/>
        </w:rPr>
        <w:t>National Police Internal Investi</w:t>
      </w:r>
      <w:r w:rsidRPr="00BF3585" w:rsidR="00807DD3">
        <w:rPr>
          <w:lang w:val="en-GB"/>
        </w:rPr>
        <w:t xml:space="preserve">gations Department report </w:t>
      </w:r>
      <w:r w:rsidRPr="00BF3585" w:rsidR="00B17470">
        <w:rPr>
          <w:lang w:val="en-GB"/>
        </w:rPr>
        <w:t xml:space="preserve">of </w:t>
      </w:r>
      <w:r w:rsidRPr="00BF3585">
        <w:rPr>
          <w:lang w:val="en-GB"/>
        </w:rPr>
        <w:t>18 January 2005. Statement by S.B. (</w:t>
      </w:r>
      <w:r w:rsidRPr="00BF3585" w:rsidR="00B17470">
        <w:rPr>
          <w:lang w:val="en-GB"/>
        </w:rPr>
        <w:t xml:space="preserve">see </w:t>
      </w:r>
      <w:r w:rsidRPr="00BF3585">
        <w:rPr>
          <w:lang w:val="en-GB"/>
        </w:rPr>
        <w:t>under no. 18 above) who admits to knowing the applicant and also that he had received the e-mail from</w:t>
      </w:r>
      <w:r w:rsidRPr="00BF3585" w:rsidR="00807DD3">
        <w:rPr>
          <w:lang w:val="en-GB"/>
        </w:rPr>
        <w:t xml:space="preserve"> the applicant. In April or May </w:t>
      </w:r>
      <w:r w:rsidRPr="00BF3585">
        <w:rPr>
          <w:lang w:val="en-GB"/>
        </w:rPr>
        <w:t xml:space="preserve">2004 he had received </w:t>
      </w:r>
      <w:r w:rsidRPr="00BF3585" w:rsidR="00B17470">
        <w:rPr>
          <w:lang w:val="en-GB"/>
        </w:rPr>
        <w:t xml:space="preserve">a </w:t>
      </w:r>
      <w:r w:rsidRPr="00BF3585">
        <w:rPr>
          <w:lang w:val="en-GB"/>
        </w:rPr>
        <w:t xml:space="preserve">transcript </w:t>
      </w:r>
      <w:r w:rsidRPr="00BF3585" w:rsidR="00B17470">
        <w:rPr>
          <w:lang w:val="en-GB"/>
        </w:rPr>
        <w:t xml:space="preserve">of an </w:t>
      </w:r>
      <w:r w:rsidRPr="00BF3585">
        <w:rPr>
          <w:lang w:val="en-GB"/>
        </w:rPr>
        <w:t>intercepted conversation from the applicant.</w:t>
      </w:r>
    </w:p>
    <w:p w:rsidRPr="00BF3585" w:rsidR="00C6083D" w:rsidP="00BF3585" w:rsidRDefault="00C6083D">
      <w:pPr>
        <w:pStyle w:val="ECHRPara"/>
        <w:numPr>
          <w:ilvl w:val="0"/>
          <w:numId w:val="24"/>
        </w:numPr>
        <w:rPr>
          <w:lang w:val="en-GB"/>
        </w:rPr>
      </w:pPr>
      <w:r w:rsidRPr="00BF3585">
        <w:rPr>
          <w:lang w:val="en-GB"/>
        </w:rPr>
        <w:t xml:space="preserve">Official record by the investigating judge </w:t>
      </w:r>
      <w:r w:rsidRPr="00BF3585" w:rsidR="00B17470">
        <w:rPr>
          <w:lang w:val="en-GB"/>
        </w:rPr>
        <w:t xml:space="preserve">of </w:t>
      </w:r>
      <w:r w:rsidRPr="00BF3585">
        <w:rPr>
          <w:lang w:val="en-GB"/>
        </w:rPr>
        <w:t>21 June 2005. S.B. admits to having received th</w:t>
      </w:r>
      <w:r w:rsidRPr="00BF3585" w:rsidR="00807DD3">
        <w:rPr>
          <w:lang w:val="en-GB"/>
        </w:rPr>
        <w:t>e e-mail from the applicant. He </w:t>
      </w:r>
      <w:r w:rsidRPr="00BF3585">
        <w:rPr>
          <w:lang w:val="en-GB"/>
        </w:rPr>
        <w:t xml:space="preserve">admitted to having received </w:t>
      </w:r>
      <w:r w:rsidRPr="00BF3585" w:rsidR="00B17470">
        <w:rPr>
          <w:lang w:val="en-GB"/>
        </w:rPr>
        <w:t xml:space="preserve">a </w:t>
      </w:r>
      <w:r w:rsidRPr="00BF3585">
        <w:rPr>
          <w:lang w:val="en-GB"/>
        </w:rPr>
        <w:t xml:space="preserve">transcript by mail and recognised it from </w:t>
      </w:r>
      <w:r w:rsidRPr="00BF3585" w:rsidR="00B17470">
        <w:rPr>
          <w:lang w:val="en-GB"/>
        </w:rPr>
        <w:t xml:space="preserve">a </w:t>
      </w:r>
      <w:r w:rsidRPr="00BF3585">
        <w:rPr>
          <w:lang w:val="en-GB"/>
        </w:rPr>
        <w:t>photocopy.</w:t>
      </w:r>
    </w:p>
    <w:p w:rsidRPr="00BF3585" w:rsidR="00C6083D" w:rsidP="00BF3585" w:rsidRDefault="00C6083D">
      <w:pPr>
        <w:pStyle w:val="ECHRPara"/>
        <w:numPr>
          <w:ilvl w:val="0"/>
          <w:numId w:val="24"/>
        </w:numPr>
        <w:rPr>
          <w:lang w:val="en-GB"/>
        </w:rPr>
      </w:pPr>
      <w:r w:rsidRPr="00BF3585">
        <w:rPr>
          <w:lang w:val="en-GB"/>
        </w:rPr>
        <w:t>National Police Internal Investi</w:t>
      </w:r>
      <w:r w:rsidRPr="00BF3585" w:rsidR="00807DD3">
        <w:rPr>
          <w:lang w:val="en-GB"/>
        </w:rPr>
        <w:t xml:space="preserve">gations Department report </w:t>
      </w:r>
      <w:r w:rsidRPr="00BF3585" w:rsidR="00B17470">
        <w:rPr>
          <w:lang w:val="en-GB"/>
        </w:rPr>
        <w:t xml:space="preserve">of </w:t>
      </w:r>
      <w:r w:rsidRPr="00BF3585">
        <w:rPr>
          <w:lang w:val="en-GB"/>
        </w:rPr>
        <w:t>10 November 2004. Target H. recognises the telephone transcript, which was sent</w:t>
      </w:r>
      <w:r w:rsidRPr="00BF3585" w:rsidR="00B17470">
        <w:rPr>
          <w:lang w:val="en-GB"/>
        </w:rPr>
        <w:t xml:space="preserve"> to him at his home address. He </w:t>
      </w:r>
      <w:r w:rsidRPr="00BF3585">
        <w:rPr>
          <w:lang w:val="en-GB"/>
        </w:rPr>
        <w:t>suggests that it was sent to him because the other targets still lived with their parents.</w:t>
      </w:r>
    </w:p>
    <w:p w:rsidRPr="00BF3585" w:rsidR="00C6083D" w:rsidP="00BF3585" w:rsidRDefault="00C6083D">
      <w:pPr>
        <w:pStyle w:val="ECHRPara"/>
        <w:numPr>
          <w:ilvl w:val="0"/>
          <w:numId w:val="24"/>
        </w:numPr>
        <w:rPr>
          <w:lang w:val="en-GB"/>
        </w:rPr>
      </w:pPr>
      <w:r w:rsidRPr="00BF3585">
        <w:rPr>
          <w:lang w:val="en-GB"/>
        </w:rPr>
        <w:t xml:space="preserve">Official report </w:t>
      </w:r>
      <w:r w:rsidRPr="00BF3585" w:rsidR="00B17470">
        <w:rPr>
          <w:lang w:val="en-GB"/>
        </w:rPr>
        <w:t xml:space="preserve">of </w:t>
      </w:r>
      <w:r w:rsidRPr="00BF3585">
        <w:rPr>
          <w:lang w:val="en-GB"/>
        </w:rPr>
        <w:t xml:space="preserve">the Ministry </w:t>
      </w:r>
      <w:r w:rsidRPr="00BF3585" w:rsidR="00B17470">
        <w:rPr>
          <w:lang w:val="en-GB"/>
        </w:rPr>
        <w:t xml:space="preserve">of </w:t>
      </w:r>
      <w:r w:rsidRPr="00BF3585">
        <w:rPr>
          <w:lang w:val="en-GB"/>
        </w:rPr>
        <w:t xml:space="preserve">Internal Affairs and Kingdom Relations [which is the Ministry responsible for the AIVD], 15 March 2005, with </w:t>
      </w:r>
      <w:r w:rsidRPr="00BF3585" w:rsidR="00B17470">
        <w:rPr>
          <w:lang w:val="en-GB"/>
        </w:rPr>
        <w:t xml:space="preserve">a </w:t>
      </w:r>
      <w:r w:rsidRPr="00BF3585">
        <w:rPr>
          <w:lang w:val="en-GB"/>
        </w:rPr>
        <w:t xml:space="preserve">statement </w:t>
      </w:r>
      <w:r w:rsidRPr="00BF3585" w:rsidR="00B17470">
        <w:rPr>
          <w:lang w:val="en-GB"/>
        </w:rPr>
        <w:t xml:space="preserve">of </w:t>
      </w:r>
      <w:r w:rsidRPr="00BF3585">
        <w:rPr>
          <w:lang w:val="en-GB"/>
        </w:rPr>
        <w:t xml:space="preserve">the (by then) Head </w:t>
      </w:r>
      <w:r w:rsidRPr="00BF3585" w:rsidR="00B17470">
        <w:rPr>
          <w:lang w:val="en-GB"/>
        </w:rPr>
        <w:t xml:space="preserve">of </w:t>
      </w:r>
      <w:r w:rsidRPr="00BF3585">
        <w:rPr>
          <w:lang w:val="en-GB"/>
        </w:rPr>
        <w:t>the AIVD to the effect that it is now possible to accommodate the applicant</w:t>
      </w:r>
      <w:r w:rsidRPr="00BF3585" w:rsidR="00BF3585">
        <w:rPr>
          <w:lang w:val="en-GB"/>
        </w:rPr>
        <w:t>’</w:t>
      </w:r>
      <w:r w:rsidRPr="00BF3585">
        <w:rPr>
          <w:lang w:val="en-GB"/>
        </w:rPr>
        <w:t xml:space="preserve">s defence by offering documents with fewer parts blacked out, but noting that the documents in issue come from </w:t>
      </w:r>
      <w:r w:rsidRPr="00BF3585" w:rsidR="00B17470">
        <w:rPr>
          <w:lang w:val="en-GB"/>
        </w:rPr>
        <w:t xml:space="preserve">a </w:t>
      </w:r>
      <w:r w:rsidRPr="00BF3585">
        <w:rPr>
          <w:lang w:val="en-GB"/>
        </w:rPr>
        <w:t xml:space="preserve">place that is out </w:t>
      </w:r>
      <w:r w:rsidRPr="00BF3585" w:rsidR="00B17470">
        <w:rPr>
          <w:lang w:val="en-GB"/>
        </w:rPr>
        <w:t xml:space="preserve">of </w:t>
      </w:r>
      <w:r w:rsidRPr="00BF3585">
        <w:rPr>
          <w:lang w:val="en-GB"/>
        </w:rPr>
        <w:t>bounds.</w:t>
      </w:r>
    </w:p>
    <w:p w:rsidRPr="00BF3585" w:rsidR="00C6083D" w:rsidP="00BF3585" w:rsidRDefault="00B17470">
      <w:pPr>
        <w:pStyle w:val="ECHRPara"/>
        <w:numPr>
          <w:ilvl w:val="0"/>
          <w:numId w:val="24"/>
        </w:numPr>
        <w:rPr>
          <w:lang w:val="en-GB"/>
        </w:rPr>
      </w:pPr>
      <w:r w:rsidRPr="00BF3585">
        <w:rPr>
          <w:lang w:val="en-GB"/>
        </w:rPr>
        <w:t xml:space="preserve">A </w:t>
      </w:r>
      <w:r w:rsidRPr="00BF3585" w:rsidR="00C6083D">
        <w:rPr>
          <w:lang w:val="en-GB"/>
        </w:rPr>
        <w:t xml:space="preserve">copy </w:t>
      </w:r>
      <w:r w:rsidRPr="00BF3585">
        <w:rPr>
          <w:lang w:val="en-GB"/>
        </w:rPr>
        <w:t xml:space="preserve">of </w:t>
      </w:r>
      <w:r w:rsidRPr="00BF3585" w:rsidR="00C6083D">
        <w:rPr>
          <w:lang w:val="en-GB"/>
        </w:rPr>
        <w:t xml:space="preserve">the Royal Decree designating the AIVD offices out </w:t>
      </w:r>
      <w:r w:rsidRPr="00BF3585">
        <w:rPr>
          <w:lang w:val="en-GB"/>
        </w:rPr>
        <w:t xml:space="preserve">of </w:t>
      </w:r>
      <w:r w:rsidRPr="00BF3585" w:rsidR="00C6083D">
        <w:rPr>
          <w:lang w:val="en-GB"/>
        </w:rPr>
        <w:t>bounds.</w:t>
      </w:r>
    </w:p>
    <w:p w:rsidRPr="00BF3585" w:rsidR="00C6083D" w:rsidP="00BF3585" w:rsidRDefault="00C6083D">
      <w:pPr>
        <w:pStyle w:val="ECHRPara"/>
        <w:numPr>
          <w:ilvl w:val="0"/>
          <w:numId w:val="24"/>
        </w:numPr>
        <w:rPr>
          <w:lang w:val="en-GB"/>
        </w:rPr>
      </w:pPr>
      <w:r w:rsidRPr="00BF3585">
        <w:rPr>
          <w:lang w:val="en-GB"/>
        </w:rPr>
        <w:t>The applicant</w:t>
      </w:r>
      <w:r w:rsidRPr="00BF3585" w:rsidR="00BF3585">
        <w:rPr>
          <w:lang w:val="en-GB"/>
        </w:rPr>
        <w:t>’</w:t>
      </w:r>
      <w:r w:rsidRPr="00BF3585">
        <w:rPr>
          <w:lang w:val="en-GB"/>
        </w:rPr>
        <w:t xml:space="preserve">s letter </w:t>
      </w:r>
      <w:r w:rsidRPr="00BF3585" w:rsidR="00B17470">
        <w:rPr>
          <w:lang w:val="en-GB"/>
        </w:rPr>
        <w:t xml:space="preserve">of </w:t>
      </w:r>
      <w:r w:rsidRPr="00BF3585">
        <w:rPr>
          <w:lang w:val="en-GB"/>
        </w:rPr>
        <w:t xml:space="preserve">appointment as </w:t>
      </w:r>
      <w:r w:rsidRPr="00BF3585" w:rsidR="00B17470">
        <w:rPr>
          <w:lang w:val="en-GB"/>
        </w:rPr>
        <w:t xml:space="preserve">a </w:t>
      </w:r>
      <w:r w:rsidRPr="00BF3585">
        <w:rPr>
          <w:lang w:val="en-GB"/>
        </w:rPr>
        <w:t xml:space="preserve">member </w:t>
      </w:r>
      <w:r w:rsidRPr="00BF3585" w:rsidR="00B17470">
        <w:rPr>
          <w:lang w:val="en-GB"/>
        </w:rPr>
        <w:t xml:space="preserve">of </w:t>
      </w:r>
      <w:r w:rsidRPr="00BF3585">
        <w:rPr>
          <w:lang w:val="en-GB"/>
        </w:rPr>
        <w:t>the AIVD (17 October 2003).</w:t>
      </w:r>
    </w:p>
    <w:p w:rsidRPr="00BF3585" w:rsidR="00C6083D" w:rsidP="00BF3585" w:rsidRDefault="00C6083D">
      <w:pPr>
        <w:pStyle w:val="ECHRPara"/>
        <w:numPr>
          <w:ilvl w:val="0"/>
          <w:numId w:val="24"/>
        </w:numPr>
        <w:rPr>
          <w:lang w:val="en-GB"/>
        </w:rPr>
      </w:pPr>
      <w:r w:rsidRPr="00BF3585">
        <w:rPr>
          <w:lang w:val="en-GB"/>
        </w:rPr>
        <w:t xml:space="preserve">Official report </w:t>
      </w:r>
      <w:r w:rsidRPr="00BF3585" w:rsidR="00B17470">
        <w:rPr>
          <w:lang w:val="en-GB"/>
        </w:rPr>
        <w:t xml:space="preserve">of </w:t>
      </w:r>
      <w:r w:rsidRPr="00BF3585">
        <w:rPr>
          <w:lang w:val="en-GB"/>
        </w:rPr>
        <w:t xml:space="preserve">the Ministry </w:t>
      </w:r>
      <w:r w:rsidRPr="00BF3585" w:rsidR="00B17470">
        <w:rPr>
          <w:lang w:val="en-GB"/>
        </w:rPr>
        <w:t xml:space="preserve">of </w:t>
      </w:r>
      <w:r w:rsidRPr="00BF3585">
        <w:rPr>
          <w:lang w:val="en-GB"/>
        </w:rPr>
        <w:t xml:space="preserve">Internal Affairs and Kingdom Relations, 10 February 2010, to the effect that the documents found in the possession </w:t>
      </w:r>
      <w:r w:rsidRPr="00BF3585" w:rsidR="00B17470">
        <w:rPr>
          <w:lang w:val="en-GB"/>
        </w:rPr>
        <w:t xml:space="preserve">of </w:t>
      </w:r>
      <w:r w:rsidRPr="00BF3585">
        <w:rPr>
          <w:lang w:val="en-GB"/>
        </w:rPr>
        <w:t xml:space="preserve">unauthorised third parties in the course </w:t>
      </w:r>
      <w:r w:rsidRPr="00BF3585" w:rsidR="00B17470">
        <w:rPr>
          <w:lang w:val="en-GB"/>
        </w:rPr>
        <w:t xml:space="preserve">of </w:t>
      </w:r>
      <w:r w:rsidRPr="00BF3585">
        <w:rPr>
          <w:lang w:val="en-GB"/>
        </w:rPr>
        <w:t>the criminal investigation against the applicant concern current AIVD counterterrorist operations and destroying their secrecy endangers national security.</w:t>
      </w:r>
    </w:p>
    <w:p w:rsidRPr="00BF3585" w:rsidR="00C6083D" w:rsidP="00BF3585" w:rsidRDefault="00C6083D">
      <w:pPr>
        <w:pStyle w:val="ECHRPara"/>
        <w:numPr>
          <w:ilvl w:val="0"/>
          <w:numId w:val="24"/>
        </w:numPr>
        <w:rPr>
          <w:lang w:val="en-GB"/>
        </w:rPr>
      </w:pPr>
      <w:r w:rsidRPr="00BF3585">
        <w:rPr>
          <w:lang w:val="en-GB"/>
        </w:rPr>
        <w:t xml:space="preserve">Letter from the Head </w:t>
      </w:r>
      <w:r w:rsidRPr="00BF3585" w:rsidR="00B17470">
        <w:rPr>
          <w:lang w:val="en-GB"/>
        </w:rPr>
        <w:t xml:space="preserve">of </w:t>
      </w:r>
      <w:r w:rsidRPr="00BF3585">
        <w:rPr>
          <w:lang w:val="en-GB"/>
        </w:rPr>
        <w:t xml:space="preserve">the AIVD to the investigating judge, 17 June 2005, confirming that those documents concern AIVD counterterrorist operations and endanger the interests </w:t>
      </w:r>
      <w:r w:rsidRPr="00BF3585" w:rsidR="00B17470">
        <w:rPr>
          <w:lang w:val="en-GB"/>
        </w:rPr>
        <w:t xml:space="preserve">of </w:t>
      </w:r>
      <w:r w:rsidRPr="00BF3585">
        <w:rPr>
          <w:lang w:val="en-GB"/>
        </w:rPr>
        <w:t xml:space="preserve">the State by offering </w:t>
      </w:r>
      <w:r w:rsidRPr="00BF3585" w:rsidR="00B17470">
        <w:rPr>
          <w:lang w:val="en-GB"/>
        </w:rPr>
        <w:t xml:space="preserve">an </w:t>
      </w:r>
      <w:r w:rsidRPr="00BF3585">
        <w:rPr>
          <w:lang w:val="en-GB"/>
        </w:rPr>
        <w:t>insight into the AIVD</w:t>
      </w:r>
      <w:r w:rsidRPr="00BF3585" w:rsidR="00BF3585">
        <w:rPr>
          <w:lang w:val="en-GB"/>
        </w:rPr>
        <w:t>’</w:t>
      </w:r>
      <w:r w:rsidRPr="00BF3585" w:rsidR="003A16D3">
        <w:rPr>
          <w:lang w:val="en-GB"/>
        </w:rPr>
        <w:t xml:space="preserve">s state </w:t>
      </w:r>
      <w:r w:rsidRPr="00BF3585" w:rsidR="00B17470">
        <w:rPr>
          <w:lang w:val="en-GB"/>
        </w:rPr>
        <w:t xml:space="preserve">of </w:t>
      </w:r>
      <w:r w:rsidRPr="00BF3585">
        <w:rPr>
          <w:lang w:val="en-GB"/>
        </w:rPr>
        <w:t>intelligence, sources and operational methods.</w:t>
      </w:r>
    </w:p>
    <w:p w:rsidRPr="00BF3585" w:rsidR="00C6083D" w:rsidP="00BF3585" w:rsidRDefault="00C6083D">
      <w:pPr>
        <w:pStyle w:val="ECHRPara"/>
        <w:numPr>
          <w:ilvl w:val="0"/>
          <w:numId w:val="24"/>
        </w:numPr>
        <w:rPr>
          <w:lang w:val="en-GB"/>
        </w:rPr>
      </w:pPr>
      <w:r w:rsidRPr="00BF3585">
        <w:rPr>
          <w:lang w:val="en-GB"/>
        </w:rPr>
        <w:t xml:space="preserve">Official report </w:t>
      </w:r>
      <w:r w:rsidRPr="00BF3585" w:rsidR="00B17470">
        <w:rPr>
          <w:lang w:val="en-GB"/>
        </w:rPr>
        <w:t xml:space="preserve">of </w:t>
      </w:r>
      <w:r w:rsidRPr="00BF3585">
        <w:rPr>
          <w:lang w:val="en-GB"/>
        </w:rPr>
        <w:t xml:space="preserve">the Ministry </w:t>
      </w:r>
      <w:r w:rsidRPr="00BF3585" w:rsidR="00B17470">
        <w:rPr>
          <w:lang w:val="en-GB"/>
        </w:rPr>
        <w:t xml:space="preserve">of </w:t>
      </w:r>
      <w:r w:rsidRPr="00BF3585">
        <w:rPr>
          <w:lang w:val="en-GB"/>
        </w:rPr>
        <w:t xml:space="preserve">Internal Affairs and Kingdom Relations, 28 December 2006, signed by the Head </w:t>
      </w:r>
      <w:r w:rsidRPr="00BF3585" w:rsidR="00B17470">
        <w:rPr>
          <w:lang w:val="en-GB"/>
        </w:rPr>
        <w:t xml:space="preserve">of </w:t>
      </w:r>
      <w:r w:rsidRPr="00BF3585">
        <w:rPr>
          <w:lang w:val="en-GB"/>
        </w:rPr>
        <w:t>the AIVD, stating that not blacki</w:t>
      </w:r>
      <w:r w:rsidRPr="00BF3585" w:rsidR="003A16D3">
        <w:rPr>
          <w:lang w:val="en-GB"/>
        </w:rPr>
        <w:t xml:space="preserve">ng out the blacked-out parts </w:t>
      </w:r>
      <w:r w:rsidRPr="00BF3585" w:rsidR="00B17470">
        <w:rPr>
          <w:lang w:val="en-GB"/>
        </w:rPr>
        <w:t xml:space="preserve">of </w:t>
      </w:r>
      <w:r w:rsidRPr="00BF3585">
        <w:rPr>
          <w:lang w:val="en-GB"/>
        </w:rPr>
        <w:t>particular documents would harm the State by disclosing the AIVD</w:t>
      </w:r>
      <w:r w:rsidRPr="00BF3585" w:rsidR="00BF3585">
        <w:rPr>
          <w:lang w:val="en-GB"/>
        </w:rPr>
        <w:t>’</w:t>
      </w:r>
      <w:r w:rsidRPr="00BF3585">
        <w:rPr>
          <w:lang w:val="en-GB"/>
        </w:rPr>
        <w:t xml:space="preserve">s state </w:t>
      </w:r>
      <w:r w:rsidRPr="00BF3585" w:rsidR="00B17470">
        <w:rPr>
          <w:lang w:val="en-GB"/>
        </w:rPr>
        <w:t xml:space="preserve">of </w:t>
      </w:r>
      <w:r w:rsidRPr="00BF3585">
        <w:rPr>
          <w:lang w:val="en-GB"/>
        </w:rPr>
        <w:t>intelligence, sources (including one hum</w:t>
      </w:r>
      <w:r w:rsidRPr="00BF3585" w:rsidR="00B17470">
        <w:rPr>
          <w:lang w:val="en-GB"/>
        </w:rPr>
        <w:t xml:space="preserve">an </w:t>
      </w:r>
      <w:r w:rsidRPr="00BF3585">
        <w:rPr>
          <w:lang w:val="en-GB"/>
        </w:rPr>
        <w:t xml:space="preserve">source) and operational methods, naming the foreign intelligence services with which the AIVD cooperates, and disclosing the nature </w:t>
      </w:r>
      <w:r w:rsidRPr="00BF3585" w:rsidR="00B17470">
        <w:rPr>
          <w:lang w:val="en-GB"/>
        </w:rPr>
        <w:t xml:space="preserve">of </w:t>
      </w:r>
      <w:r w:rsidRPr="00BF3585">
        <w:rPr>
          <w:lang w:val="en-GB"/>
        </w:rPr>
        <w:t>information exchanged with those foreign services; identifying targeted organisations and their members (referred to as “Arab nationalist extremists”).</w:t>
      </w:r>
    </w:p>
    <w:p w:rsidRPr="00BF3585" w:rsidR="00C6083D" w:rsidP="00BF3585" w:rsidRDefault="00C6083D">
      <w:pPr>
        <w:pStyle w:val="ECHRPara"/>
        <w:numPr>
          <w:ilvl w:val="0"/>
          <w:numId w:val="24"/>
        </w:numPr>
        <w:rPr>
          <w:lang w:val="en-GB"/>
        </w:rPr>
      </w:pPr>
      <w:r w:rsidRPr="00BF3585">
        <w:rPr>
          <w:lang w:val="en-GB"/>
        </w:rPr>
        <w:t xml:space="preserve">Official record </w:t>
      </w:r>
      <w:r w:rsidRPr="00BF3585" w:rsidR="00B17470">
        <w:rPr>
          <w:lang w:val="en-GB"/>
        </w:rPr>
        <w:t xml:space="preserve">of </w:t>
      </w:r>
      <w:r w:rsidRPr="00BF3585">
        <w:rPr>
          <w:lang w:val="en-GB"/>
        </w:rPr>
        <w:t>verification by the National Public Prosecutor for Counter-t</w:t>
      </w:r>
      <w:r w:rsidRPr="00BF3585" w:rsidR="00807DD3">
        <w:rPr>
          <w:lang w:val="en-GB"/>
        </w:rPr>
        <w:t>errorism, 29 December 2006. The </w:t>
      </w:r>
      <w:r w:rsidRPr="00BF3585">
        <w:rPr>
          <w:lang w:val="en-GB"/>
        </w:rPr>
        <w:t xml:space="preserve">prosecutor has personally examined the documents in issue in unredacted form and found the unredacted parts </w:t>
      </w:r>
      <w:r w:rsidRPr="00BF3585" w:rsidR="00B17470">
        <w:rPr>
          <w:lang w:val="en-GB"/>
        </w:rPr>
        <w:t xml:space="preserve">of </w:t>
      </w:r>
      <w:r w:rsidRPr="00BF3585">
        <w:rPr>
          <w:lang w:val="en-GB"/>
        </w:rPr>
        <w:t xml:space="preserve">the redacted documents identical to the corresponding parts </w:t>
      </w:r>
      <w:r w:rsidRPr="00BF3585" w:rsidR="00B17470">
        <w:rPr>
          <w:lang w:val="en-GB"/>
        </w:rPr>
        <w:t xml:space="preserve">of </w:t>
      </w:r>
      <w:r w:rsidRPr="00BF3585">
        <w:rPr>
          <w:lang w:val="en-GB"/>
        </w:rPr>
        <w:t>the unredacted documents.</w:t>
      </w:r>
    </w:p>
    <w:p w:rsidRPr="00BF3585" w:rsidR="00C6083D" w:rsidP="00BF3585" w:rsidRDefault="00C6083D">
      <w:pPr>
        <w:pStyle w:val="ECHRPara"/>
      </w:pPr>
      <w:r w:rsidRPr="00BF3585">
        <w:t xml:space="preserve">Photocopies </w:t>
      </w:r>
      <w:r w:rsidRPr="00BF3585" w:rsidR="00B17470">
        <w:t xml:space="preserve">of </w:t>
      </w:r>
      <w:r w:rsidRPr="00BF3585">
        <w:t>the address book with the post-it note and the redacted AIVD documents were attached to the judgment.</w:t>
      </w:r>
    </w:p>
    <w:bookmarkStart w:name="raisonning" w:id="7"/>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41</w:t>
      </w:r>
      <w:r w:rsidRPr="00BF3585">
        <w:rPr>
          <w:lang w:val="en-GB"/>
        </w:rPr>
        <w:fldChar w:fldCharType="end"/>
      </w:r>
      <w:bookmarkEnd w:id="7"/>
      <w:r w:rsidRPr="00BF3585">
        <w:rPr>
          <w:lang w:val="en-GB"/>
        </w:rPr>
        <w:t xml:space="preserve">.  The Court </w:t>
      </w:r>
      <w:r w:rsidRPr="00BF3585" w:rsidR="00B17470">
        <w:rPr>
          <w:lang w:val="en-GB"/>
        </w:rPr>
        <w:t xml:space="preserve">of </w:t>
      </w:r>
      <w:r w:rsidRPr="00BF3585">
        <w:rPr>
          <w:lang w:val="en-GB"/>
        </w:rPr>
        <w:t>Appeal</w:t>
      </w:r>
      <w:r w:rsidRPr="00BF3585" w:rsidR="00BF3585">
        <w:rPr>
          <w:lang w:val="en-GB"/>
        </w:rPr>
        <w:t>’</w:t>
      </w:r>
      <w:r w:rsidRPr="00BF3585">
        <w:rPr>
          <w:lang w:val="en-GB"/>
        </w:rPr>
        <w:t>s reasoning included the following:</w:t>
      </w:r>
    </w:p>
    <w:p w:rsidRPr="00BF3585" w:rsidR="00C6083D" w:rsidP="00BF3585" w:rsidRDefault="00C6083D">
      <w:pPr>
        <w:pStyle w:val="ECHRParaQuote"/>
      </w:pPr>
      <w:r w:rsidRPr="00BF3585">
        <w:t>“In considering whether the positions adopted by the</w:t>
      </w:r>
      <w:r w:rsidRPr="00BF3585" w:rsidR="00807DD3">
        <w:t xml:space="preserve"> service [i.e. the AIVD] and/or </w:t>
      </w:r>
      <w:r w:rsidRPr="00BF3585">
        <w:t>its members as regards the necessary secrecy and in answering the question to what extent restrictions on (among other things) the right to question witnesses c</w:t>
      </w:r>
      <w:r w:rsidRPr="00BF3585" w:rsidR="00B17470">
        <w:t xml:space="preserve">an </w:t>
      </w:r>
      <w:r w:rsidRPr="00BF3585">
        <w:t>be justified, other issues th</w:t>
      </w:r>
      <w:r w:rsidRPr="00BF3585" w:rsidR="00B17470">
        <w:t xml:space="preserve">an </w:t>
      </w:r>
      <w:r w:rsidRPr="00BF3585">
        <w:t xml:space="preserve">that </w:t>
      </w:r>
      <w:r w:rsidRPr="00BF3585" w:rsidR="00B17470">
        <w:t xml:space="preserve">of </w:t>
      </w:r>
      <w:r w:rsidRPr="00BF3585">
        <w:t>defining State secret</w:t>
      </w:r>
      <w:r w:rsidRPr="00BF3585" w:rsidR="00807DD3">
        <w:t xml:space="preserve">s in </w:t>
      </w:r>
      <w:r w:rsidRPr="00BF3585" w:rsidR="00B17470">
        <w:t xml:space="preserve">a </w:t>
      </w:r>
      <w:r w:rsidRPr="00BF3585" w:rsidR="00807DD3">
        <w:t xml:space="preserve">strict sense also play </w:t>
      </w:r>
      <w:r w:rsidRPr="00BF3585" w:rsidR="00B17470">
        <w:t xml:space="preserve">a </w:t>
      </w:r>
      <w:r w:rsidRPr="00BF3585">
        <w:t xml:space="preserve">part. That is apparent from the chapeau paragraph </w:t>
      </w:r>
      <w:r w:rsidRPr="00BF3585" w:rsidR="00B17470">
        <w:t xml:space="preserve">of </w:t>
      </w:r>
      <w:r w:rsidRPr="00BF3585">
        <w:t xml:space="preserve">section 85(1) </w:t>
      </w:r>
      <w:r w:rsidRPr="00BF3585" w:rsidR="00B17470">
        <w:t xml:space="preserve">of </w:t>
      </w:r>
      <w:r w:rsidRPr="00BF3585">
        <w:t xml:space="preserve">the 2002 Intelligence and Security Services Act, which imposes on AIVD officials </w:t>
      </w:r>
      <w:r w:rsidRPr="00BF3585" w:rsidR="00B17470">
        <w:t xml:space="preserve">a </w:t>
      </w:r>
      <w:r w:rsidRPr="00BF3585">
        <w:t xml:space="preserve">duty </w:t>
      </w:r>
      <w:r w:rsidRPr="00BF3585" w:rsidR="00B17470">
        <w:t xml:space="preserve">of </w:t>
      </w:r>
      <w:r w:rsidRPr="00BF3585">
        <w:t xml:space="preserve">secrecy </w:t>
      </w:r>
      <w:r w:rsidRPr="00BF3585" w:rsidR="00BF3585">
        <w:t>‘</w:t>
      </w:r>
      <w:r w:rsidRPr="00BF3585">
        <w:t xml:space="preserve">without prejudice to Articles 98-98c </w:t>
      </w:r>
      <w:r w:rsidRPr="00BF3585" w:rsidR="00B17470">
        <w:t xml:space="preserve">of </w:t>
      </w:r>
      <w:r w:rsidRPr="00BF3585">
        <w:t>the Criminal Code</w:t>
      </w:r>
      <w:r w:rsidRPr="00BF3585" w:rsidR="00BF3585">
        <w:t>’</w:t>
      </w:r>
      <w:r w:rsidRPr="00BF3585">
        <w:t xml:space="preserve">. That obligation extends to </w:t>
      </w:r>
      <w:r w:rsidRPr="00BF3585" w:rsidR="00BF3585">
        <w:t>‘</w:t>
      </w:r>
      <w:r w:rsidRPr="00BF3585">
        <w:t xml:space="preserve">all information the confidential character </w:t>
      </w:r>
      <w:r w:rsidRPr="00BF3585" w:rsidR="00B17470">
        <w:t xml:space="preserve">of </w:t>
      </w:r>
      <w:r w:rsidRPr="00BF3585">
        <w:t>which he knows or ought reasonably to suspect</w:t>
      </w:r>
      <w:r w:rsidRPr="00BF3585" w:rsidR="00BF3585">
        <w:t>’</w:t>
      </w:r>
      <w:r w:rsidRPr="00BF3585">
        <w:t xml:space="preserve">. Only </w:t>
      </w:r>
      <w:r w:rsidRPr="00BF3585" w:rsidR="00B17470">
        <w:t xml:space="preserve">a </w:t>
      </w:r>
      <w:r w:rsidRPr="00BF3585">
        <w:t xml:space="preserve">ministerial decision as referred to in section 86(2) </w:t>
      </w:r>
      <w:r w:rsidRPr="00BF3585" w:rsidR="00B17470">
        <w:t xml:space="preserve">of </w:t>
      </w:r>
      <w:r w:rsidRPr="00BF3585">
        <w:t>that Act c</w:t>
      </w:r>
      <w:r w:rsidRPr="00BF3585" w:rsidR="00B17470">
        <w:t xml:space="preserve">an </w:t>
      </w:r>
      <w:r w:rsidRPr="00BF3585">
        <w:t xml:space="preserve">relieve the official </w:t>
      </w:r>
      <w:r w:rsidRPr="00BF3585" w:rsidR="00B17470">
        <w:t xml:space="preserve">of </w:t>
      </w:r>
      <w:r w:rsidRPr="00BF3585">
        <w:t xml:space="preserve">this duty </w:t>
      </w:r>
      <w:r w:rsidRPr="00BF3585" w:rsidR="00B17470">
        <w:t xml:space="preserve">of </w:t>
      </w:r>
      <w:r w:rsidRPr="00BF3585">
        <w:t xml:space="preserve">secrecy if he wishes to act as </w:t>
      </w:r>
      <w:r w:rsidRPr="00BF3585" w:rsidR="00B17470">
        <w:t xml:space="preserve">a </w:t>
      </w:r>
      <w:r w:rsidRPr="00BF3585">
        <w:t xml:space="preserve">witness. The legislature has thus placed the choice in the </w:t>
      </w:r>
      <w:r w:rsidRPr="00BF3585" w:rsidR="00BF3585">
        <w:t>‘</w:t>
      </w:r>
      <w:r w:rsidRPr="00BF3585">
        <w:t xml:space="preserve">conflict ... between the interests </w:t>
      </w:r>
      <w:r w:rsidRPr="00BF3585" w:rsidR="00B17470">
        <w:t xml:space="preserve">of </w:t>
      </w:r>
      <w:r w:rsidRPr="00BF3585">
        <w:t xml:space="preserve">State security, which may imperatively require certain sources or information to be kept secret, and the interest </w:t>
      </w:r>
      <w:r w:rsidRPr="00BF3585" w:rsidR="00B17470">
        <w:t xml:space="preserve">of </w:t>
      </w:r>
      <w:r w:rsidRPr="00BF3585">
        <w:t>establishing the material truth in, among other things, ... criminal procedure</w:t>
      </w:r>
      <w:r w:rsidRPr="00BF3585" w:rsidR="00BF3585">
        <w:t>’</w:t>
      </w:r>
      <w:r w:rsidRPr="00BF3585">
        <w:t xml:space="preserve"> [reference to the statutory drafting history </w:t>
      </w:r>
      <w:r w:rsidRPr="00BF3585" w:rsidR="00B17470">
        <w:t xml:space="preserve">of an </w:t>
      </w:r>
      <w:r w:rsidRPr="00BF3585">
        <w:t xml:space="preserve">earlier Act, repealed by the 2002 Intelligence and Security Services Act, omitted] in the hands </w:t>
      </w:r>
      <w:r w:rsidRPr="00BF3585" w:rsidR="00B17470">
        <w:t xml:space="preserve">of </w:t>
      </w:r>
      <w:r w:rsidRPr="00BF3585">
        <w:t>the said Ministers.</w:t>
      </w:r>
    </w:p>
    <w:p w:rsidRPr="00BF3585" w:rsidR="00C6083D" w:rsidP="00BF3585" w:rsidRDefault="00C6083D">
      <w:pPr>
        <w:pStyle w:val="ECHRParaQuote"/>
      </w:pPr>
      <w:r w:rsidRPr="00BF3585">
        <w:t>...</w:t>
      </w:r>
    </w:p>
    <w:p w:rsidRPr="00BF3585" w:rsidR="00C6083D" w:rsidP="00BF3585" w:rsidRDefault="00C6083D">
      <w:pPr>
        <w:pStyle w:val="ECHRParaQuote"/>
      </w:pPr>
      <w:r w:rsidRPr="00BF3585">
        <w:t xml:space="preserve">The above leads the Court </w:t>
      </w:r>
      <w:r w:rsidRPr="00BF3585" w:rsidR="00B17470">
        <w:t xml:space="preserve">of </w:t>
      </w:r>
      <w:r w:rsidRPr="00BF3585">
        <w:t xml:space="preserve">Appeal to conclude as follows. In addition to State secrets within the meaning </w:t>
      </w:r>
      <w:r w:rsidRPr="00BF3585" w:rsidR="00B17470">
        <w:t xml:space="preserve">of </w:t>
      </w:r>
      <w:r w:rsidRPr="00BF3585">
        <w:t xml:space="preserve">Article 98 </w:t>
      </w:r>
      <w:r w:rsidRPr="00BF3585" w:rsidR="00B17470">
        <w:t xml:space="preserve">of </w:t>
      </w:r>
      <w:r w:rsidRPr="00BF3585">
        <w:t xml:space="preserve">the Criminal Code there are other matters that (in the view </w:t>
      </w:r>
      <w:r w:rsidRPr="00BF3585" w:rsidR="00B17470">
        <w:t xml:space="preserve">of </w:t>
      </w:r>
      <w:r w:rsidRPr="00BF3585">
        <w:t xml:space="preserve">the AIVD) fall under the duty </w:t>
      </w:r>
      <w:r w:rsidRPr="00BF3585" w:rsidR="00B17470">
        <w:t xml:space="preserve">of </w:t>
      </w:r>
      <w:r w:rsidRPr="00BF3585">
        <w:t xml:space="preserve">secrecy </w:t>
      </w:r>
      <w:r w:rsidRPr="00BF3585" w:rsidR="00B17470">
        <w:t xml:space="preserve">of </w:t>
      </w:r>
      <w:r w:rsidRPr="00BF3585">
        <w:t xml:space="preserve">section 85 </w:t>
      </w:r>
      <w:r w:rsidRPr="00BF3585" w:rsidR="00B17470">
        <w:t xml:space="preserve">of </w:t>
      </w:r>
      <w:r w:rsidRPr="00BF3585">
        <w:t xml:space="preserve">the 2002 Intelligence and Security Services Act. The Court </w:t>
      </w:r>
      <w:r w:rsidRPr="00BF3585" w:rsidR="00B17470">
        <w:t xml:space="preserve">of </w:t>
      </w:r>
      <w:r w:rsidRPr="00BF3585">
        <w:t xml:space="preserve">Appeal deduces, on the basis </w:t>
      </w:r>
      <w:r w:rsidRPr="00BF3585" w:rsidR="00B17470">
        <w:t xml:space="preserve">of </w:t>
      </w:r>
      <w:r w:rsidRPr="00BF3585">
        <w:t xml:space="preserve">what is laid down in section 86 </w:t>
      </w:r>
      <w:r w:rsidRPr="00BF3585" w:rsidR="00B17470">
        <w:t xml:space="preserve">of </w:t>
      </w:r>
      <w:r w:rsidRPr="00BF3585">
        <w:t xml:space="preserve">that Act, that that obligation (in principle) prevails over the duties </w:t>
      </w:r>
      <w:r w:rsidRPr="00BF3585" w:rsidR="00B17470">
        <w:t xml:space="preserve">of a </w:t>
      </w:r>
      <w:r w:rsidRPr="00BF3585">
        <w:t xml:space="preserve">witness in </w:t>
      </w:r>
      <w:r w:rsidRPr="00BF3585" w:rsidR="00B17470">
        <w:t xml:space="preserve">a </w:t>
      </w:r>
      <w:r w:rsidRPr="00BF3585">
        <w:t xml:space="preserve">criminal trial. The Court </w:t>
      </w:r>
      <w:r w:rsidRPr="00BF3585" w:rsidR="00B17470">
        <w:t xml:space="preserve">of </w:t>
      </w:r>
      <w:r w:rsidRPr="00BF3585">
        <w:t>Appeal</w:t>
      </w:r>
      <w:r w:rsidRPr="00BF3585" w:rsidR="00BF3585">
        <w:t>’</w:t>
      </w:r>
      <w:r w:rsidRPr="00BF3585">
        <w:t xml:space="preserve">s examination </w:t>
      </w:r>
      <w:r w:rsidRPr="00BF3585" w:rsidR="00B17470">
        <w:t xml:space="preserve">of </w:t>
      </w:r>
      <w:r w:rsidRPr="00BF3585">
        <w:t xml:space="preserve">the question whether </w:t>
      </w:r>
      <w:r w:rsidRPr="00BF3585" w:rsidR="00B17470">
        <w:t xml:space="preserve">an </w:t>
      </w:r>
      <w:r w:rsidRPr="00BF3585">
        <w:t>AIVD staff member has rightly invoked his duty [</w:t>
      </w:r>
      <w:r w:rsidRPr="00BF3585" w:rsidR="00B17470">
        <w:t xml:space="preserve">of </w:t>
      </w:r>
      <w:r w:rsidRPr="00BF3585">
        <w:t xml:space="preserve">secrecy] is necessarily detached/marginal. Things are different where it concerns the question whether the right </w:t>
      </w:r>
      <w:r w:rsidRPr="00BF3585" w:rsidR="00B17470">
        <w:t xml:space="preserve">of </w:t>
      </w:r>
      <w:r w:rsidRPr="00BF3585">
        <w:t xml:space="preserve">the defence to question witnesses is materially impaired, it being relevant, in the opinion </w:t>
      </w:r>
      <w:r w:rsidRPr="00BF3585" w:rsidR="00B17470">
        <w:t xml:space="preserve">of </w:t>
      </w:r>
      <w:r w:rsidRPr="00BF3585">
        <w:t xml:space="preserve">the Court </w:t>
      </w:r>
      <w:r w:rsidRPr="00BF3585" w:rsidR="00B17470">
        <w:t xml:space="preserve">of </w:t>
      </w:r>
      <w:r w:rsidRPr="00BF3585">
        <w:t xml:space="preserve">Appeal, whether the statement </w:t>
      </w:r>
      <w:r w:rsidRPr="00BF3585" w:rsidR="00B17470">
        <w:t xml:space="preserve">of </w:t>
      </w:r>
      <w:r w:rsidRPr="00BF3585">
        <w:t>that particular witness is used in evidence.”</w:t>
      </w:r>
    </w:p>
    <w:p w:rsidRPr="00BF3585" w:rsidR="00C6083D" w:rsidP="00BF3585" w:rsidRDefault="00C6083D">
      <w:pPr>
        <w:pStyle w:val="ECHRPara"/>
      </w:pPr>
      <w:r w:rsidRPr="00BF3585">
        <w:t>and</w:t>
      </w:r>
    </w:p>
    <w:p w:rsidRPr="00BF3585" w:rsidR="00C6083D" w:rsidP="00BF3585" w:rsidRDefault="00C6083D">
      <w:pPr>
        <w:pStyle w:val="ECHRParaQuote"/>
      </w:pPr>
      <w:r w:rsidRPr="00BF3585">
        <w:t xml:space="preserve">“The interests </w:t>
      </w:r>
      <w:r w:rsidRPr="00BF3585" w:rsidR="00B17470">
        <w:t xml:space="preserve">of </w:t>
      </w:r>
      <w:r w:rsidRPr="00BF3585">
        <w:t xml:space="preserve">State security, which the 2002 Intelligence and Security Services Act and Articles 98 and following </w:t>
      </w:r>
      <w:r w:rsidRPr="00BF3585" w:rsidR="00B17470">
        <w:t xml:space="preserve">of </w:t>
      </w:r>
      <w:r w:rsidRPr="00BF3585">
        <w:t xml:space="preserve">the Criminal Code are intended to protect, stand in the way </w:t>
      </w:r>
      <w:r w:rsidRPr="00BF3585" w:rsidR="00B17470">
        <w:t xml:space="preserve">of </w:t>
      </w:r>
      <w:r w:rsidRPr="00BF3585">
        <w:t xml:space="preserve">granting </w:t>
      </w:r>
      <w:r w:rsidRPr="00BF3585" w:rsidR="00B17470">
        <w:t xml:space="preserve">a </w:t>
      </w:r>
      <w:r w:rsidRPr="00BF3585">
        <w:t xml:space="preserve">complete exemption from the duty </w:t>
      </w:r>
      <w:r w:rsidRPr="00BF3585" w:rsidR="00B17470">
        <w:t xml:space="preserve">of </w:t>
      </w:r>
      <w:r w:rsidRPr="00BF3585">
        <w:t>secrecy as desired by the defence.</w:t>
      </w:r>
    </w:p>
    <w:p w:rsidRPr="00BF3585" w:rsidR="00C6083D" w:rsidP="00BF3585" w:rsidRDefault="00C6083D">
      <w:pPr>
        <w:pStyle w:val="ECHRParaQuote"/>
      </w:pPr>
      <w:r w:rsidRPr="00BF3585">
        <w:t xml:space="preserve">It is obvious that the said duty </w:t>
      </w:r>
      <w:r w:rsidRPr="00BF3585" w:rsidR="00B17470">
        <w:t xml:space="preserve">of </w:t>
      </w:r>
      <w:r w:rsidRPr="00BF3585">
        <w:t xml:space="preserve">secrecy constitutes, to some extent, </w:t>
      </w:r>
      <w:r w:rsidRPr="00BF3585" w:rsidR="00B17470">
        <w:t xml:space="preserve">a </w:t>
      </w:r>
      <w:r w:rsidRPr="00BF3585">
        <w:t xml:space="preserve">restriction on – normally entirely – unimpeded free and confidential discussion between the suspect and his counsel and that – had it been in force unmitigated – it would prevent </w:t>
      </w:r>
      <w:r w:rsidRPr="00BF3585" w:rsidR="00B17470">
        <w:t xml:space="preserve">a </w:t>
      </w:r>
      <w:r w:rsidRPr="00BF3585">
        <w:t>fair trial.</w:t>
      </w:r>
    </w:p>
    <w:p w:rsidRPr="00BF3585" w:rsidR="00C6083D" w:rsidP="00BF3585" w:rsidRDefault="00C6083D">
      <w:pPr>
        <w:pStyle w:val="ECHRParaQuote"/>
      </w:pPr>
      <w:r w:rsidRPr="00BF3585">
        <w:t xml:space="preserve">As the Court </w:t>
      </w:r>
      <w:r w:rsidRPr="00BF3585" w:rsidR="00B17470">
        <w:t xml:space="preserve">of </w:t>
      </w:r>
      <w:r w:rsidRPr="00BF3585">
        <w:t xml:space="preserve">Appeal held in its interlocutory judgment </w:t>
      </w:r>
      <w:r w:rsidRPr="00BF3585" w:rsidR="00B17470">
        <w:t xml:space="preserve">of </w:t>
      </w:r>
      <w:r w:rsidRPr="00BF3585">
        <w:t xml:space="preserve">12 October 2006, the duty </w:t>
      </w:r>
      <w:r w:rsidRPr="00BF3585" w:rsidR="00B17470">
        <w:t xml:space="preserve">of </w:t>
      </w:r>
      <w:r w:rsidRPr="00BF3585">
        <w:t>secrecy is subject only to the exceptions set out in the 2002 Intelligence and Security Services Act.</w:t>
      </w:r>
    </w:p>
    <w:p w:rsidRPr="00BF3585" w:rsidR="00C6083D" w:rsidP="00BF3585" w:rsidRDefault="00C6083D">
      <w:pPr>
        <w:pStyle w:val="ECHRParaQuote"/>
      </w:pPr>
      <w:r w:rsidRPr="00BF3585">
        <w:t xml:space="preserve">This means that the situation in which the suspect finds himself in the present criminal case leaves only the avenue left by section 86(1) </w:t>
      </w:r>
      <w:r w:rsidRPr="00BF3585" w:rsidR="00B17470">
        <w:t xml:space="preserve">of </w:t>
      </w:r>
      <w:r w:rsidRPr="00BF3585">
        <w:t>the said Act.”</w:t>
      </w:r>
    </w:p>
    <w:p w:rsidRPr="00BF3585" w:rsidR="00C6083D" w:rsidP="00BF3585" w:rsidRDefault="00C6083D">
      <w:pPr>
        <w:pStyle w:val="ECHRPara"/>
      </w:pPr>
      <w:r w:rsidRPr="00BF3585">
        <w:t>and</w:t>
      </w:r>
    </w:p>
    <w:p w:rsidRPr="00BF3585" w:rsidR="00C6083D" w:rsidP="00BF3585" w:rsidRDefault="009A1025">
      <w:pPr>
        <w:pStyle w:val="ECHRParaQuote"/>
      </w:pPr>
      <w:r w:rsidRPr="00BF3585">
        <w:t>“The A</w:t>
      </w:r>
      <w:r w:rsidRPr="00BF3585" w:rsidR="00C6083D">
        <w:t xml:space="preserve">dvocate </w:t>
      </w:r>
      <w:r w:rsidRPr="00BF3585">
        <w:t>G</w:t>
      </w:r>
      <w:r w:rsidRPr="00BF3585" w:rsidR="00C6083D">
        <w:t xml:space="preserve">eneral has given the undertaking, at the Court </w:t>
      </w:r>
      <w:r w:rsidRPr="00BF3585" w:rsidR="00B17470">
        <w:t xml:space="preserve">of </w:t>
      </w:r>
      <w:r w:rsidRPr="00BF3585" w:rsidR="00C6083D">
        <w:t>Appeal</w:t>
      </w:r>
      <w:r w:rsidRPr="00BF3585" w:rsidR="00BF3585">
        <w:t>’</w:t>
      </w:r>
      <w:r w:rsidRPr="00BF3585" w:rsidR="00C6083D">
        <w:t xml:space="preserve">s hearing </w:t>
      </w:r>
      <w:r w:rsidRPr="00BF3585" w:rsidR="00B17470">
        <w:t xml:space="preserve">of </w:t>
      </w:r>
      <w:r w:rsidRPr="00BF3585" w:rsidR="00C6083D">
        <w:t xml:space="preserve">2 September 2006, that [the applicant] shall not be prosecuted if </w:t>
      </w:r>
      <w:r w:rsidRPr="00BF3585" w:rsidR="00B17470">
        <w:t xml:space="preserve">a </w:t>
      </w:r>
      <w:r w:rsidRPr="00BF3585" w:rsidR="00C6083D">
        <w:t xml:space="preserve">violation </w:t>
      </w:r>
      <w:r w:rsidRPr="00BF3585" w:rsidR="00B17470">
        <w:t xml:space="preserve">of </w:t>
      </w:r>
      <w:r w:rsidRPr="00BF3585" w:rsidR="00C6083D">
        <w:t xml:space="preserve">the duty </w:t>
      </w:r>
      <w:r w:rsidRPr="00BF3585" w:rsidR="00B17470">
        <w:t xml:space="preserve">of </w:t>
      </w:r>
      <w:r w:rsidRPr="00BF3585" w:rsidR="00C6083D">
        <w:t xml:space="preserve">secrecy by [the applicant] is justified by reliance on Article 6 </w:t>
      </w:r>
      <w:r w:rsidRPr="00BF3585" w:rsidR="00B17470">
        <w:t xml:space="preserve">of </w:t>
      </w:r>
      <w:r w:rsidRPr="00BF3585" w:rsidR="00C6083D">
        <w:t xml:space="preserve">the Convention, with due regard to the demands </w:t>
      </w:r>
      <w:r w:rsidRPr="00BF3585" w:rsidR="00B17470">
        <w:t xml:space="preserve">of </w:t>
      </w:r>
      <w:r w:rsidRPr="00BF3585" w:rsidR="00C6083D">
        <w:t xml:space="preserve">proportionality and subsidiarity inherent pertaining to </w:t>
      </w:r>
      <w:r w:rsidRPr="00BF3585" w:rsidR="00B17470">
        <w:t xml:space="preserve">a </w:t>
      </w:r>
      <w:r w:rsidRPr="00BF3585" w:rsidR="00C6083D">
        <w:t>legal defence (</w:t>
      </w:r>
      <w:r w:rsidRPr="00BF3585" w:rsidR="00C6083D">
        <w:rPr>
          <w:i/>
        </w:rPr>
        <w:t>strafuitsluitingsgrond</w:t>
      </w:r>
      <w:r w:rsidRPr="00BF3585" w:rsidR="00C6083D">
        <w:t>).</w:t>
      </w:r>
    </w:p>
    <w:p w:rsidRPr="00BF3585" w:rsidR="00C6083D" w:rsidP="00BF3585" w:rsidRDefault="00C6083D">
      <w:pPr>
        <w:pStyle w:val="ECHRParaQuote"/>
      </w:pPr>
      <w:r w:rsidRPr="00BF3585">
        <w:t xml:space="preserve">The conditions attached to the exemption aforementioned, all </w:t>
      </w:r>
      <w:r w:rsidRPr="00BF3585" w:rsidR="00B17470">
        <w:t xml:space="preserve">of </w:t>
      </w:r>
      <w:r w:rsidRPr="00BF3585">
        <w:t xml:space="preserve">which concern the interest </w:t>
      </w:r>
      <w:r w:rsidRPr="00BF3585" w:rsidR="00B17470">
        <w:t xml:space="preserve">of </w:t>
      </w:r>
      <w:r w:rsidRPr="00BF3585">
        <w:t xml:space="preserve">State security in relation to the interests </w:t>
      </w:r>
      <w:r w:rsidRPr="00BF3585" w:rsidR="00B17470">
        <w:t xml:space="preserve">of </w:t>
      </w:r>
      <w:r w:rsidRPr="00BF3585">
        <w:t xml:space="preserve">the defence in the present criminal proceedings, do not appear unreasonable to the Court </w:t>
      </w:r>
      <w:r w:rsidRPr="00BF3585" w:rsidR="00B17470">
        <w:t xml:space="preserve">of </w:t>
      </w:r>
      <w:r w:rsidRPr="00BF3585">
        <w:t xml:space="preserve">Appeal within the framework </w:t>
      </w:r>
      <w:r w:rsidRPr="00BF3585" w:rsidR="00B17470">
        <w:t xml:space="preserve">of </w:t>
      </w:r>
      <w:r w:rsidRPr="00BF3585">
        <w:t xml:space="preserve">the interests </w:t>
      </w:r>
      <w:r w:rsidRPr="00BF3585" w:rsidR="00B17470">
        <w:t xml:space="preserve">of </w:t>
      </w:r>
      <w:r w:rsidRPr="00BF3585">
        <w:t xml:space="preserve">State security and in the Court </w:t>
      </w:r>
      <w:r w:rsidRPr="00BF3585" w:rsidR="00B17470">
        <w:t xml:space="preserve">of </w:t>
      </w:r>
      <w:r w:rsidRPr="00BF3585">
        <w:t>Appeal</w:t>
      </w:r>
      <w:r w:rsidRPr="00BF3585" w:rsidR="00BF3585">
        <w:t>’</w:t>
      </w:r>
      <w:r w:rsidRPr="00BF3585">
        <w:t xml:space="preserve">s opinion have done no relevant harm to the interests </w:t>
      </w:r>
      <w:r w:rsidRPr="00BF3585" w:rsidR="00B17470">
        <w:t xml:space="preserve">of </w:t>
      </w:r>
      <w:r w:rsidRPr="00BF3585">
        <w:t>the defence.”</w:t>
      </w:r>
    </w:p>
    <w:p w:rsidRPr="00BF3585" w:rsidR="00C6083D" w:rsidP="00BF3585" w:rsidRDefault="00C6083D">
      <w:pPr>
        <w:pStyle w:val="ECHRPara"/>
      </w:pPr>
      <w:r w:rsidRPr="00BF3585">
        <w:t>and</w:t>
      </w:r>
    </w:p>
    <w:p w:rsidRPr="00BF3585" w:rsidR="00C6083D" w:rsidP="00BF3585" w:rsidRDefault="00C6083D">
      <w:pPr>
        <w:pStyle w:val="ECHRParaQuote"/>
      </w:pPr>
      <w:r w:rsidRPr="00BF3585">
        <w:t xml:space="preserve">“The Court </w:t>
      </w:r>
      <w:r w:rsidRPr="00BF3585" w:rsidR="00B17470">
        <w:t xml:space="preserve">of </w:t>
      </w:r>
      <w:r w:rsidRPr="00BF3585">
        <w:t>Appeal c</w:t>
      </w:r>
      <w:r w:rsidRPr="00BF3585" w:rsidR="00B17470">
        <w:t xml:space="preserve">an </w:t>
      </w:r>
      <w:r w:rsidRPr="00BF3585">
        <w:t xml:space="preserve">only answer the question whether the information in issue is to be considered </w:t>
      </w:r>
      <w:r w:rsidRPr="00BF3585" w:rsidR="00BF3585">
        <w:t>‘</w:t>
      </w:r>
      <w:r w:rsidRPr="00BF3585">
        <w:t>State secret</w:t>
      </w:r>
      <w:r w:rsidRPr="00BF3585" w:rsidR="00BF3585">
        <w:t>’</w:t>
      </w:r>
      <w:r w:rsidRPr="00BF3585">
        <w:t xml:space="preserve"> or as information relating to State security by referring to the texts, as contained in the file, </w:t>
      </w:r>
      <w:r w:rsidRPr="00BF3585" w:rsidR="00B17470">
        <w:t xml:space="preserve">of </w:t>
      </w:r>
      <w:r w:rsidRPr="00BF3585">
        <w:t>[the documents concerned], to the extent that these documents have been added to the file in censored form as appendices to the AIVD</w:t>
      </w:r>
      <w:r w:rsidRPr="00BF3585" w:rsidR="00BF3585">
        <w:t>’</w:t>
      </w:r>
      <w:r w:rsidRPr="00BF3585">
        <w:t xml:space="preserve">s official record </w:t>
      </w:r>
      <w:r w:rsidRPr="00BF3585" w:rsidR="00B17470">
        <w:t xml:space="preserve">of </w:t>
      </w:r>
      <w:r w:rsidRPr="00BF3585">
        <w:t>15 March 2005, [</w:t>
      </w:r>
      <w:r w:rsidRPr="00BF3585" w:rsidR="00B17470">
        <w:t xml:space="preserve">an </w:t>
      </w:r>
      <w:r w:rsidRPr="00BF3585">
        <w:t xml:space="preserve">uncensored e-mail relevant to one </w:t>
      </w:r>
      <w:r w:rsidRPr="00BF3585" w:rsidR="00B17470">
        <w:t xml:space="preserve">of </w:t>
      </w:r>
      <w:r w:rsidRPr="00BF3585">
        <w:t xml:space="preserve">the charges] and the explanations to these documents given by the AIVD, especially as contained in the said official record </w:t>
      </w:r>
      <w:r w:rsidRPr="00BF3585" w:rsidR="00B17470">
        <w:t xml:space="preserve">of </w:t>
      </w:r>
      <w:r w:rsidRPr="00BF3585">
        <w:t xml:space="preserve">the head </w:t>
      </w:r>
      <w:r w:rsidRPr="00BF3585" w:rsidR="00B17470">
        <w:t xml:space="preserve">of </w:t>
      </w:r>
      <w:r w:rsidRPr="00BF3585">
        <w:t xml:space="preserve">the AIVD </w:t>
      </w:r>
      <w:r w:rsidRPr="00BF3585" w:rsidR="00B17470">
        <w:t xml:space="preserve">of </w:t>
      </w:r>
      <w:r w:rsidRPr="00BF3585">
        <w:t xml:space="preserve">10 February 2005 and the official record </w:t>
      </w:r>
      <w:r w:rsidRPr="00BF3585" w:rsidR="00B17470">
        <w:t xml:space="preserve">of </w:t>
      </w:r>
      <w:r w:rsidRPr="00BF3585">
        <w:t xml:space="preserve">the acting head </w:t>
      </w:r>
      <w:r w:rsidRPr="00BF3585" w:rsidR="00B17470">
        <w:t xml:space="preserve">of </w:t>
      </w:r>
      <w:r w:rsidRPr="00BF3585">
        <w:t xml:space="preserve">the AIVD </w:t>
      </w:r>
      <w:r w:rsidRPr="00BF3585" w:rsidR="00B17470">
        <w:t xml:space="preserve">of </w:t>
      </w:r>
      <w:r w:rsidRPr="00BF3585">
        <w:t>28 December 2006, which latter report has been verified by the National Public Prosecutor for Counter-terrorism (</w:t>
      </w:r>
      <w:r w:rsidRPr="00BF3585">
        <w:rPr>
          <w:i/>
        </w:rPr>
        <w:t>Landelijke Officier v</w:t>
      </w:r>
      <w:r w:rsidRPr="00BF3585" w:rsidR="00B17470">
        <w:rPr>
          <w:i/>
        </w:rPr>
        <w:t xml:space="preserve">an </w:t>
      </w:r>
      <w:r w:rsidRPr="00BF3585">
        <w:rPr>
          <w:i/>
        </w:rPr>
        <w:t>Justitie Terrorismebestrijding</w:t>
      </w:r>
      <w:r w:rsidRPr="00BF3585">
        <w:t>) as appears from the latter</w:t>
      </w:r>
      <w:r w:rsidRPr="00BF3585" w:rsidR="00BF3585">
        <w:t>’</w:t>
      </w:r>
      <w:r w:rsidRPr="00BF3585">
        <w:t xml:space="preserve">s official report </w:t>
      </w:r>
      <w:r w:rsidRPr="00BF3585" w:rsidR="00B17470">
        <w:t xml:space="preserve">of </w:t>
      </w:r>
      <w:r w:rsidRPr="00BF3585">
        <w:t>29 December 2006.</w:t>
      </w:r>
    </w:p>
    <w:p w:rsidRPr="00BF3585" w:rsidR="00C6083D" w:rsidP="00BF3585" w:rsidRDefault="00C6083D">
      <w:pPr>
        <w:pStyle w:val="ECHRParaQuote"/>
      </w:pPr>
      <w:r w:rsidRPr="00BF3585">
        <w:t xml:space="preserve">The Court </w:t>
      </w:r>
      <w:r w:rsidRPr="00BF3585" w:rsidR="00B17470">
        <w:t xml:space="preserve">of </w:t>
      </w:r>
      <w:r w:rsidRPr="00BF3585">
        <w:t xml:space="preserve">Appeal considers itself sufficiently able to determine the nature and character </w:t>
      </w:r>
      <w:r w:rsidRPr="00BF3585" w:rsidR="00B17470">
        <w:t xml:space="preserve">of </w:t>
      </w:r>
      <w:r w:rsidRPr="00BF3585">
        <w:t xml:space="preserve">this information on the basis </w:t>
      </w:r>
      <w:r w:rsidRPr="00BF3585" w:rsidR="00B17470">
        <w:t xml:space="preserve">of </w:t>
      </w:r>
      <w:r w:rsidRPr="00BF3585">
        <w:t xml:space="preserve">these documents, considered in context. For that purpose it is not necessary, in the opinion </w:t>
      </w:r>
      <w:r w:rsidRPr="00BF3585" w:rsidR="00B17470">
        <w:t xml:space="preserve">of </w:t>
      </w:r>
      <w:r w:rsidRPr="00BF3585">
        <w:t xml:space="preserve">the Court </w:t>
      </w:r>
      <w:r w:rsidRPr="00BF3585" w:rsidR="00B17470">
        <w:t xml:space="preserve">of </w:t>
      </w:r>
      <w:r w:rsidRPr="00BF3585">
        <w:t xml:space="preserve">Appeal, to possess or have access to entirely uncensored versions </w:t>
      </w:r>
      <w:r w:rsidRPr="00BF3585" w:rsidR="00B17470">
        <w:t xml:space="preserve">of </w:t>
      </w:r>
      <w:r w:rsidRPr="00BF3585">
        <w:t xml:space="preserve">the information. In this connection, the Court </w:t>
      </w:r>
      <w:r w:rsidRPr="00BF3585" w:rsidR="00B17470">
        <w:t xml:space="preserve">of </w:t>
      </w:r>
      <w:r w:rsidRPr="00BF3585">
        <w:t xml:space="preserve">Appeal has sought, in giving its interlocutory judgment aimed at obtaining </w:t>
      </w:r>
      <w:r w:rsidRPr="00BF3585" w:rsidR="00B17470">
        <w:t xml:space="preserve">a </w:t>
      </w:r>
      <w:r w:rsidRPr="00BF3585">
        <w:t xml:space="preserve">further official report about the type and nature </w:t>
      </w:r>
      <w:r w:rsidRPr="00BF3585" w:rsidR="00B17470">
        <w:t xml:space="preserve">of </w:t>
      </w:r>
      <w:r w:rsidRPr="00BF3585">
        <w:t xml:space="preserve">the State security interest </w:t>
      </w:r>
      <w:r w:rsidRPr="00BF3585" w:rsidR="00B17470">
        <w:t xml:space="preserve">of </w:t>
      </w:r>
      <w:r w:rsidRPr="00BF3585">
        <w:t xml:space="preserve">the information contained in the censored texts portions, to gain optimum understanding </w:t>
      </w:r>
      <w:r w:rsidRPr="00BF3585" w:rsidR="00B17470">
        <w:t xml:space="preserve">of </w:t>
      </w:r>
      <w:r w:rsidRPr="00BF3585">
        <w:t xml:space="preserve">the nature and character </w:t>
      </w:r>
      <w:r w:rsidRPr="00BF3585" w:rsidR="00B17470">
        <w:t xml:space="preserve">of </w:t>
      </w:r>
      <w:r w:rsidRPr="00BF3585">
        <w:t xml:space="preserve">the information. Although the AIVD, in submitting its official record </w:t>
      </w:r>
      <w:r w:rsidRPr="00BF3585" w:rsidR="00B17470">
        <w:t xml:space="preserve">of </w:t>
      </w:r>
      <w:r w:rsidRPr="00BF3585">
        <w:t xml:space="preserve">28 December 2006 (verified by the National Public Prosecutor for Counter-terrorism), has not entirely kept to the letter </w:t>
      </w:r>
      <w:r w:rsidRPr="00BF3585" w:rsidR="00B17470">
        <w:t xml:space="preserve">of </w:t>
      </w:r>
      <w:r w:rsidRPr="00BF3585">
        <w:t xml:space="preserve">the Court </w:t>
      </w:r>
      <w:r w:rsidRPr="00BF3585" w:rsidR="00B17470">
        <w:t xml:space="preserve">of </w:t>
      </w:r>
      <w:r w:rsidRPr="00BF3585">
        <w:t>Appeal</w:t>
      </w:r>
      <w:r w:rsidRPr="00BF3585" w:rsidR="00BF3585">
        <w:t>’</w:t>
      </w:r>
      <w:r w:rsidRPr="00BF3585">
        <w:t xml:space="preserve">s order, the Court </w:t>
      </w:r>
      <w:r w:rsidRPr="00BF3585" w:rsidR="00B17470">
        <w:t xml:space="preserve">of </w:t>
      </w:r>
      <w:r w:rsidRPr="00BF3585">
        <w:t>Appeal has, based on the texts before it, considered in context with the AIVD</w:t>
      </w:r>
      <w:r w:rsidRPr="00BF3585" w:rsidR="00BF3585">
        <w:t>’</w:t>
      </w:r>
      <w:r w:rsidRPr="00BF3585">
        <w:t xml:space="preserve">s explanations in its official records </w:t>
      </w:r>
      <w:r w:rsidRPr="00BF3585" w:rsidR="00B17470">
        <w:t xml:space="preserve">of </w:t>
      </w:r>
      <w:r w:rsidRPr="00BF3585">
        <w:t>10 February 2005 and 28 December 2006, sufficiently gained the understanding referred to.”</w:t>
      </w:r>
    </w:p>
    <w:p w:rsidRPr="00BF3585" w:rsidR="00C6083D" w:rsidP="00BF3585" w:rsidRDefault="00C6083D">
      <w:pPr>
        <w:pStyle w:val="ECHRHeading2"/>
      </w:pPr>
      <w:r w:rsidRPr="00BF3585">
        <w:t>D.  Proceedings before the Supreme Court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42</w:t>
      </w:r>
      <w:r w:rsidRPr="00BF3585">
        <w:rPr>
          <w:lang w:val="en-GB"/>
        </w:rPr>
        <w:fldChar w:fldCharType="end"/>
      </w:r>
      <w:r w:rsidRPr="00BF3585">
        <w:rPr>
          <w:lang w:val="en-GB"/>
        </w:rPr>
        <w:t xml:space="preserve">.  The applicant lodged </w:t>
      </w:r>
      <w:r w:rsidRPr="00BF3585" w:rsidR="00B17470">
        <w:rPr>
          <w:lang w:val="en-GB"/>
        </w:rPr>
        <w:t xml:space="preserve">an </w:t>
      </w:r>
      <w:r w:rsidRPr="00BF3585">
        <w:rPr>
          <w:lang w:val="en-GB"/>
        </w:rPr>
        <w:t xml:space="preserve">appeal on points </w:t>
      </w:r>
      <w:r w:rsidRPr="00BF3585" w:rsidR="00B17470">
        <w:rPr>
          <w:lang w:val="en-GB"/>
        </w:rPr>
        <w:t xml:space="preserve">of </w:t>
      </w:r>
      <w:r w:rsidRPr="00BF3585">
        <w:rPr>
          <w:lang w:val="en-GB"/>
        </w:rPr>
        <w:t>law (</w:t>
      </w:r>
      <w:r w:rsidRPr="00BF3585">
        <w:rPr>
          <w:i/>
          <w:lang w:val="en-GB"/>
        </w:rPr>
        <w:t>cassatie</w:t>
      </w:r>
      <w:r w:rsidRPr="00BF3585">
        <w:rPr>
          <w:lang w:val="en-GB"/>
        </w:rPr>
        <w:t>) with the Supreme Court (</w:t>
      </w:r>
      <w:r w:rsidRPr="00BF3585">
        <w:rPr>
          <w:i/>
          <w:lang w:val="en-GB"/>
        </w:rPr>
        <w:t>Hoge Raad</w:t>
      </w:r>
      <w:r w:rsidRPr="00BF3585">
        <w:rPr>
          <w:lang w:val="en-GB"/>
        </w:rPr>
        <w: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43</w:t>
      </w:r>
      <w:r w:rsidRPr="00BF3585">
        <w:rPr>
          <w:lang w:val="en-GB"/>
        </w:rPr>
        <w:fldChar w:fldCharType="end"/>
      </w:r>
      <w:r w:rsidRPr="00BF3585">
        <w:rPr>
          <w:lang w:val="en-GB"/>
        </w:rPr>
        <w:t xml:space="preserve">.  The Supreme Court gave judgment on 7 July 2009 </w:t>
      </w:r>
      <w:r w:rsidRPr="00BF3585" w:rsidR="00B04A58">
        <w:rPr>
          <w:lang w:val="en-GB"/>
        </w:rPr>
        <w:t>(ECLI:NL:</w:t>
      </w:r>
      <w:r w:rsidRPr="00BF3585" w:rsidR="005979E0">
        <w:rPr>
          <w:lang w:val="en-GB"/>
        </w:rPr>
        <w:t>HR</w:t>
      </w:r>
      <w:r w:rsidRPr="00BF3585" w:rsidR="00B04A58">
        <w:t>:</w:t>
      </w:r>
      <w:r w:rsidRPr="00BF3585" w:rsidR="005979E0">
        <w:rPr>
          <w:lang w:val="en-GB"/>
        </w:rPr>
        <w:t>BG7232</w:t>
      </w:r>
      <w:r w:rsidRPr="00BF3585" w:rsidR="00B04A58">
        <w:rPr>
          <w:lang w:val="en-GB"/>
        </w:rPr>
        <w:t>)</w:t>
      </w:r>
      <w:r w:rsidRPr="00BF3585">
        <w:rPr>
          <w:lang w:val="en-GB"/>
        </w:rPr>
        <w:t xml:space="preserve">. It held that the length </w:t>
      </w:r>
      <w:r w:rsidRPr="00BF3585" w:rsidR="00B17470">
        <w:rPr>
          <w:lang w:val="en-GB"/>
        </w:rPr>
        <w:t xml:space="preserve">of </w:t>
      </w:r>
      <w:r w:rsidRPr="00BF3585">
        <w:rPr>
          <w:lang w:val="en-GB"/>
        </w:rPr>
        <w:t xml:space="preserve">the proceedings before it had been excessive and the applicant was entitled </w:t>
      </w:r>
      <w:r w:rsidRPr="00BF3585" w:rsidR="005979E0">
        <w:rPr>
          <w:lang w:val="en-GB"/>
        </w:rPr>
        <w:t>to</w:t>
      </w:r>
      <w:r w:rsidRPr="00BF3585" w:rsidR="003A16D3">
        <w:rPr>
          <w:lang w:val="en-GB"/>
        </w:rPr>
        <w:t xml:space="preserve"> compensation in the form </w:t>
      </w:r>
      <w:r w:rsidRPr="00BF3585" w:rsidR="00B17470">
        <w:rPr>
          <w:lang w:val="en-GB"/>
        </w:rPr>
        <w:t xml:space="preserve">of a </w:t>
      </w:r>
      <w:r w:rsidRPr="00BF3585">
        <w:rPr>
          <w:lang w:val="en-GB"/>
        </w:rPr>
        <w:t xml:space="preserve">reduction </w:t>
      </w:r>
      <w:r w:rsidRPr="00BF3585" w:rsidR="00B17470">
        <w:rPr>
          <w:lang w:val="en-GB"/>
        </w:rPr>
        <w:t xml:space="preserve">of </w:t>
      </w:r>
      <w:r w:rsidRPr="00BF3585">
        <w:rPr>
          <w:lang w:val="en-GB"/>
        </w:rPr>
        <w:t xml:space="preserve">sentence. It therefore quashed the judgment </w:t>
      </w:r>
      <w:r w:rsidRPr="00BF3585" w:rsidR="00B17470">
        <w:rPr>
          <w:lang w:val="en-GB"/>
        </w:rPr>
        <w:t xml:space="preserve">of </w:t>
      </w:r>
      <w:r w:rsidRPr="00BF3585">
        <w:rPr>
          <w:lang w:val="en-GB"/>
        </w:rPr>
        <w:t xml:space="preserve">the Court </w:t>
      </w:r>
      <w:r w:rsidRPr="00BF3585" w:rsidR="00B17470">
        <w:rPr>
          <w:lang w:val="en-GB"/>
        </w:rPr>
        <w:t xml:space="preserve">of </w:t>
      </w:r>
      <w:r w:rsidRPr="00BF3585">
        <w:rPr>
          <w:lang w:val="en-GB"/>
        </w:rPr>
        <w:t>Appeal for technical reasons in order to revise the sentence which it reduced by two months to three years and ten months. It held, however, that the appeal was unfounded. Its reasoning included the following:</w:t>
      </w:r>
    </w:p>
    <w:p w:rsidRPr="00BF3585" w:rsidR="00C6083D" w:rsidP="00BF3585" w:rsidRDefault="00C6083D">
      <w:pPr>
        <w:pStyle w:val="ECHRParaQuote"/>
      </w:pPr>
      <w:r w:rsidRPr="00BF3585">
        <w:t xml:space="preserve">“5.5.  There is no statutory provision for </w:t>
      </w:r>
      <w:r w:rsidRPr="00BF3585" w:rsidR="00B17470">
        <w:t xml:space="preserve">an </w:t>
      </w:r>
      <w:r w:rsidRPr="00BF3585">
        <w:t xml:space="preserve">exception to the duty </w:t>
      </w:r>
      <w:r w:rsidRPr="00BF3585" w:rsidR="00B17470">
        <w:t xml:space="preserve">of </w:t>
      </w:r>
      <w:r w:rsidRPr="00BF3585">
        <w:t xml:space="preserve">secrecy laid down in section 85 </w:t>
      </w:r>
      <w:r w:rsidRPr="00BF3585" w:rsidR="00B17470">
        <w:t xml:space="preserve">of </w:t>
      </w:r>
      <w:r w:rsidRPr="00BF3585">
        <w:t xml:space="preserve">the 2002 Intelligence and Security Services Act in the event that the official concerned is </w:t>
      </w:r>
      <w:r w:rsidRPr="00BF3585" w:rsidR="00B17470">
        <w:t xml:space="preserve">a </w:t>
      </w:r>
      <w:r w:rsidRPr="00BF3585">
        <w:t xml:space="preserve">suspect. Even then the official is bound by his duty </w:t>
      </w:r>
      <w:r w:rsidRPr="00BF3585" w:rsidR="00B17470">
        <w:t xml:space="preserve">of </w:t>
      </w:r>
      <w:r w:rsidRPr="00BF3585">
        <w:t xml:space="preserve">secrecy and he will not be permitted to divulge information in violation </w:t>
      </w:r>
      <w:r w:rsidRPr="00BF3585" w:rsidR="00B17470">
        <w:t xml:space="preserve">of </w:t>
      </w:r>
      <w:r w:rsidRPr="00BF3585">
        <w:t>that duty.</w:t>
      </w:r>
    </w:p>
    <w:p w:rsidRPr="00BF3585" w:rsidR="00C6083D" w:rsidP="00BF3585" w:rsidRDefault="00C6083D">
      <w:pPr>
        <w:pStyle w:val="ECHRParaQuote"/>
      </w:pPr>
      <w:r w:rsidRPr="00BF3585">
        <w:t>If, however, the trial judge takes the view, whethe</w:t>
      </w:r>
      <w:r w:rsidRPr="00BF3585" w:rsidR="00807DD3">
        <w:t xml:space="preserve">r or not it be in response to </w:t>
      </w:r>
      <w:r w:rsidRPr="00BF3585" w:rsidR="00B17470">
        <w:t xml:space="preserve">a </w:t>
      </w:r>
      <w:r w:rsidRPr="00BF3585">
        <w:t xml:space="preserve">request or </w:t>
      </w:r>
      <w:r w:rsidRPr="00BF3585" w:rsidR="00B17470">
        <w:t xml:space="preserve">a </w:t>
      </w:r>
      <w:r w:rsidRPr="00BF3585">
        <w:t>legal argument (</w:t>
      </w:r>
      <w:r w:rsidRPr="00BF3585">
        <w:rPr>
          <w:i/>
        </w:rPr>
        <w:t>verweer</w:t>
      </w:r>
      <w:r w:rsidRPr="00BF3585">
        <w:t xml:space="preserve">) put forward by the defence, that the interest </w:t>
      </w:r>
      <w:r w:rsidRPr="00BF3585" w:rsidR="00B17470">
        <w:t xml:space="preserve">of </w:t>
      </w:r>
      <w:r w:rsidRPr="00BF3585">
        <w:t xml:space="preserve">the defence requires that information falling under the duty </w:t>
      </w:r>
      <w:r w:rsidRPr="00BF3585" w:rsidR="00B17470">
        <w:t xml:space="preserve">of </w:t>
      </w:r>
      <w:r w:rsidRPr="00BF3585">
        <w:t>secrecy is disclosed by the suspect, the court will have to weigh the conflicting interests in the case. The guiding principle (</w:t>
      </w:r>
      <w:r w:rsidRPr="00BF3585">
        <w:rPr>
          <w:i/>
        </w:rPr>
        <w:t>richtsnoer</w:t>
      </w:r>
      <w:r w:rsidRPr="00BF3585">
        <w:t>) in so doing is whether, if this information cannot be disclosed after all, there c</w:t>
      </w:r>
      <w:r w:rsidRPr="00BF3585" w:rsidR="00B17470">
        <w:t xml:space="preserve">an </w:t>
      </w:r>
      <w:r w:rsidRPr="00BF3585">
        <w:t xml:space="preserve">still be </w:t>
      </w:r>
      <w:r w:rsidRPr="00BF3585" w:rsidR="00B17470">
        <w:t xml:space="preserve">a </w:t>
      </w:r>
      <w:r w:rsidRPr="00BF3585">
        <w:t xml:space="preserve">fair trial within the meaning </w:t>
      </w:r>
      <w:r w:rsidRPr="00BF3585" w:rsidR="00B17470">
        <w:t xml:space="preserve">of </w:t>
      </w:r>
      <w:r w:rsidRPr="00BF3585">
        <w:t xml:space="preserve">Article 6 </w:t>
      </w:r>
      <w:r w:rsidRPr="00BF3585" w:rsidR="00B17470">
        <w:t xml:space="preserve">of </w:t>
      </w:r>
      <w:r w:rsidRPr="00BF3585">
        <w:t>the Convention.</w:t>
      </w:r>
    </w:p>
    <w:p w:rsidRPr="00BF3585" w:rsidR="00C6083D" w:rsidP="00BF3585" w:rsidRDefault="00C6083D">
      <w:pPr>
        <w:pStyle w:val="ECHRParaQuote"/>
      </w:pPr>
      <w:r w:rsidRPr="00BF3585">
        <w:t xml:space="preserve">If the trial court reaches the finding that it is necessary, from the point </w:t>
      </w:r>
      <w:r w:rsidRPr="00BF3585" w:rsidR="00B17470">
        <w:t xml:space="preserve">of </w:t>
      </w:r>
      <w:r w:rsidRPr="00BF3585">
        <w:t xml:space="preserve">view </w:t>
      </w:r>
      <w:r w:rsidRPr="00BF3585" w:rsidR="00B17470">
        <w:t xml:space="preserve">of </w:t>
      </w:r>
      <w:r w:rsidRPr="00BF3585">
        <w:t xml:space="preserve">that Convention guarantee, to take cognisance </w:t>
      </w:r>
      <w:r w:rsidRPr="00BF3585" w:rsidR="00B17470">
        <w:t xml:space="preserve">of </w:t>
      </w:r>
      <w:r w:rsidRPr="00BF3585">
        <w:t>that secret information and the handicap for the defence [resulting from not being able to disclose it]</w:t>
      </w:r>
      <w:r w:rsidRPr="00BF3585">
        <w:rPr>
          <w:rStyle w:val="FootnoteReference"/>
        </w:rPr>
        <w:footnoteReference w:id="2"/>
      </w:r>
      <w:r w:rsidRPr="00BF3585">
        <w:t xml:space="preserve"> is not sufficiently compensated by the procedure followed, it will have to determine – for example, by hearing the appropriate AIVD official or officials on this point – whether the duty </w:t>
      </w:r>
      <w:r w:rsidRPr="00BF3585" w:rsidR="00B17470">
        <w:t xml:space="preserve">of </w:t>
      </w:r>
      <w:r w:rsidRPr="00BF3585">
        <w:t>secrecy is to be maintained intact in relation to that information. If that is the case, the conclusion will have to be that there cannot be any fair trial and the prosecution will have to be declared inadmissible (</w:t>
      </w:r>
      <w:r w:rsidRPr="00BF3585">
        <w:rPr>
          <w:i/>
        </w:rPr>
        <w:t>zal de officier v</w:t>
      </w:r>
      <w:r w:rsidRPr="00BF3585" w:rsidR="00B17470">
        <w:rPr>
          <w:i/>
        </w:rPr>
        <w:t xml:space="preserve">an </w:t>
      </w:r>
      <w:r w:rsidRPr="00BF3585">
        <w:rPr>
          <w:i/>
        </w:rPr>
        <w:t>justitie niet-ontvankelijk moeten worden verklaard in de vervolging</w:t>
      </w:r>
      <w:r w:rsidRPr="00BF3585">
        <w:t>).</w:t>
      </w:r>
    </w:p>
    <w:p w:rsidRPr="00BF3585" w:rsidR="00C6083D" w:rsidP="00BF3585" w:rsidRDefault="00C6083D">
      <w:pPr>
        <w:pStyle w:val="ECHRParaQuote"/>
      </w:pPr>
      <w:r w:rsidRPr="00BF3585">
        <w:t xml:space="preserve">5.6.  In so far as the Court </w:t>
      </w:r>
      <w:r w:rsidRPr="00BF3585" w:rsidR="00B17470">
        <w:t xml:space="preserve">of </w:t>
      </w:r>
      <w:r w:rsidRPr="00BF3585">
        <w:t xml:space="preserve">Appeal has been inspired by </w:t>
      </w:r>
      <w:r w:rsidRPr="00BF3585" w:rsidR="00B17470">
        <w:t xml:space="preserve">a </w:t>
      </w:r>
      <w:r w:rsidRPr="00BF3585">
        <w:t>procedural framework other th</w:t>
      </w:r>
      <w:r w:rsidRPr="00BF3585" w:rsidR="00B17470">
        <w:t xml:space="preserve">an </w:t>
      </w:r>
      <w:r w:rsidRPr="00BF3585">
        <w:t>outlined above, it has misinterpreted the law (</w:t>
      </w:r>
      <w:r w:rsidRPr="00BF3585">
        <w:rPr>
          <w:i/>
        </w:rPr>
        <w:t>heeft het blijk gegeven v</w:t>
      </w:r>
      <w:r w:rsidRPr="00BF3585" w:rsidR="00B17470">
        <w:rPr>
          <w:i/>
        </w:rPr>
        <w:t xml:space="preserve">an </w:t>
      </w:r>
      <w:r w:rsidRPr="00BF3585">
        <w:rPr>
          <w:i/>
        </w:rPr>
        <w:t>een onjuiste rechtsopvatting</w:t>
      </w:r>
      <w:r w:rsidRPr="00BF3585">
        <w:t xml:space="preserve">). However, that need not lead to the quashing </w:t>
      </w:r>
      <w:r w:rsidRPr="00BF3585" w:rsidR="00B17470">
        <w:t xml:space="preserve">of </w:t>
      </w:r>
      <w:r w:rsidRPr="00BF3585">
        <w:t>the judgment [</w:t>
      </w:r>
      <w:r w:rsidRPr="00BF3585" w:rsidR="00B17470">
        <w:t xml:space="preserve">of </w:t>
      </w:r>
      <w:r w:rsidRPr="00BF3585">
        <w:t xml:space="preserve">the Court </w:t>
      </w:r>
      <w:r w:rsidRPr="00BF3585" w:rsidR="00B17470">
        <w:t xml:space="preserve">of </w:t>
      </w:r>
      <w:r w:rsidRPr="00BF3585">
        <w:t>Appeal] for the following reasons. ...”</w:t>
      </w:r>
    </w:p>
    <w:p w:rsidRPr="00BF3585" w:rsidR="00C6083D" w:rsidP="00BF3585" w:rsidRDefault="00C6083D">
      <w:pPr>
        <w:pStyle w:val="ECHRPara"/>
        <w:rPr>
          <w:lang w:val="en-GB"/>
        </w:rPr>
      </w:pPr>
      <w:r w:rsidRPr="00BF3585">
        <w:rPr>
          <w:lang w:val="en-GB"/>
        </w:rPr>
        <w:t xml:space="preserve">The Supreme Court went on to find that the compensatory measures had been sufficient in the circumstances: the possibility had been offered to hear AIVD officials as witnesses without disclosing their identities, and the Court </w:t>
      </w:r>
      <w:r w:rsidRPr="00BF3585" w:rsidR="00B17470">
        <w:rPr>
          <w:lang w:val="en-GB"/>
        </w:rPr>
        <w:t xml:space="preserve">of </w:t>
      </w:r>
      <w:r w:rsidRPr="00BF3585">
        <w:rPr>
          <w:lang w:val="en-GB"/>
        </w:rPr>
        <w:t xml:space="preserve">Appeal had been sufficiently informed by the information contained in the case file – the uncensored parts </w:t>
      </w:r>
      <w:r w:rsidRPr="00BF3585" w:rsidR="00B17470">
        <w:rPr>
          <w:lang w:val="en-GB"/>
        </w:rPr>
        <w:t xml:space="preserve">of </w:t>
      </w:r>
      <w:r w:rsidRPr="00BF3585">
        <w:rPr>
          <w:lang w:val="en-GB"/>
        </w:rPr>
        <w:t xml:space="preserve">documents, the official explanatory documents submitted by the AIVD, and the checking </w:t>
      </w:r>
      <w:r w:rsidRPr="00BF3585" w:rsidR="00B17470">
        <w:rPr>
          <w:lang w:val="en-GB"/>
        </w:rPr>
        <w:t xml:space="preserve">of </w:t>
      </w:r>
      <w:r w:rsidRPr="00BF3585">
        <w:rPr>
          <w:lang w:val="en-GB"/>
        </w:rPr>
        <w:t xml:space="preserve">the AIVD position by the </w:t>
      </w:r>
      <w:r w:rsidRPr="00BF3585">
        <w:t xml:space="preserve">National Public Prosecutor for Counter-terrorism </w:t>
      </w:r>
      <w:r w:rsidRPr="00BF3585">
        <w:rPr>
          <w:lang w:val="en-GB"/>
        </w:rPr>
        <w:t xml:space="preserve">– to make </w:t>
      </w:r>
      <w:r w:rsidRPr="00BF3585" w:rsidR="00B17470">
        <w:rPr>
          <w:lang w:val="en-GB"/>
        </w:rPr>
        <w:t xml:space="preserve">a </w:t>
      </w:r>
      <w:r w:rsidRPr="00BF3585">
        <w:rPr>
          <w:lang w:val="en-GB"/>
        </w:rPr>
        <w:t>proper assessment as to whether the documents in issue were properly classified State secret.</w:t>
      </w:r>
    </w:p>
    <w:p w:rsidRPr="00BF3585" w:rsidR="00C6083D" w:rsidP="00BF3585" w:rsidRDefault="00C6083D">
      <w:pPr>
        <w:pStyle w:val="ECHRHeading1"/>
      </w:pPr>
      <w:r w:rsidRPr="00BF3585">
        <w:t>II.  RELEVANT DOMESTIC LAW</w:t>
      </w:r>
    </w:p>
    <w:p w:rsidRPr="00BF3585" w:rsidR="00C6083D" w:rsidP="00BF3585" w:rsidRDefault="00C6083D">
      <w:pPr>
        <w:pStyle w:val="ECHRHeading2"/>
      </w:pPr>
      <w:r w:rsidRPr="00BF3585">
        <w:t>A.  The Criminal Code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44</w:t>
      </w:r>
      <w:r w:rsidRPr="00BF3585">
        <w:rPr>
          <w:lang w:val="en-GB"/>
        </w:rPr>
        <w:fldChar w:fldCharType="end"/>
      </w:r>
      <w:r w:rsidRPr="00BF3585">
        <w:rPr>
          <w:lang w:val="en-GB"/>
        </w:rPr>
        <w:t xml:space="preserve">.  Provisions </w:t>
      </w:r>
      <w:r w:rsidRPr="00BF3585" w:rsidR="00B17470">
        <w:rPr>
          <w:lang w:val="en-GB"/>
        </w:rPr>
        <w:t xml:space="preserve">of </w:t>
      </w:r>
      <w:r w:rsidRPr="00BF3585">
        <w:rPr>
          <w:lang w:val="en-GB"/>
        </w:rPr>
        <w:t>the Criminal Code relevant to the case before the Court are the following:</w:t>
      </w:r>
    </w:p>
    <w:p w:rsidRPr="00BF3585" w:rsidR="00C6083D" w:rsidP="00BF3585" w:rsidRDefault="00C6083D">
      <w:pPr>
        <w:pStyle w:val="ECHRTitleCentre3"/>
      </w:pPr>
      <w:r w:rsidRPr="00BF3585">
        <w:t>Article 98</w:t>
      </w:r>
    </w:p>
    <w:p w:rsidRPr="00BF3585" w:rsidR="00C6083D" w:rsidP="00BF3585" w:rsidRDefault="00C6083D">
      <w:pPr>
        <w:pStyle w:val="ECHRParaQuote"/>
      </w:pPr>
      <w:r w:rsidRPr="00BF3585">
        <w:t>“1.  Anyone who deliberately delivers or makes available knowledge (</w:t>
      </w:r>
      <w:r w:rsidRPr="00BF3585">
        <w:rPr>
          <w:i/>
        </w:rPr>
        <w:t>inlichting</w:t>
      </w:r>
      <w:r w:rsidRPr="00BF3585">
        <w:t xml:space="preserve">) which needs to be kept secret in the interest </w:t>
      </w:r>
      <w:r w:rsidRPr="00BF3585" w:rsidR="00B17470">
        <w:t xml:space="preserve">of </w:t>
      </w:r>
      <w:r w:rsidRPr="00BF3585">
        <w:t xml:space="preserve">the State or its allies, </w:t>
      </w:r>
      <w:r w:rsidRPr="00BF3585" w:rsidR="00B17470">
        <w:t xml:space="preserve">an </w:t>
      </w:r>
      <w:r w:rsidRPr="00BF3585">
        <w:t>object from which such information c</w:t>
      </w:r>
      <w:r w:rsidRPr="00BF3585" w:rsidR="00B17470">
        <w:t xml:space="preserve">an </w:t>
      </w:r>
      <w:r w:rsidRPr="00BF3585">
        <w:t>be derived, or such information (</w:t>
      </w:r>
      <w:r w:rsidRPr="00BF3585">
        <w:rPr>
          <w:i/>
        </w:rPr>
        <w:t>gegevens</w:t>
      </w:r>
      <w:r w:rsidRPr="00BF3585">
        <w:t xml:space="preserve">) to </w:t>
      </w:r>
      <w:r w:rsidRPr="00BF3585" w:rsidR="00B17470">
        <w:t xml:space="preserve">a </w:t>
      </w:r>
      <w:r w:rsidRPr="00BF3585">
        <w:t xml:space="preserve">person or body not authorised to take cognisance </w:t>
      </w:r>
      <w:r w:rsidRPr="00BF3585" w:rsidR="00B17470">
        <w:t xml:space="preserve">of </w:t>
      </w:r>
      <w:r w:rsidRPr="00BF3585">
        <w:t xml:space="preserve">it, shall, if he knows or ought reasonably to be aware that it concerns such knowledge, such </w:t>
      </w:r>
      <w:r w:rsidRPr="00BF3585" w:rsidR="00B17470">
        <w:t xml:space="preserve">an </w:t>
      </w:r>
      <w:r w:rsidRPr="00BF3585">
        <w:t xml:space="preserve">object or such information, be sentenced to </w:t>
      </w:r>
      <w:r w:rsidRPr="00BF3585" w:rsidR="00B17470">
        <w:t xml:space="preserve">a </w:t>
      </w:r>
      <w:r w:rsidRPr="00BF3585">
        <w:t xml:space="preserve">term </w:t>
      </w:r>
      <w:r w:rsidRPr="00BF3585" w:rsidR="00B17470">
        <w:t xml:space="preserve">of </w:t>
      </w:r>
      <w:r w:rsidRPr="00BF3585">
        <w:t xml:space="preserve">imprisonment not exceeding six years or </w:t>
      </w:r>
      <w:r w:rsidRPr="00BF3585" w:rsidR="00B17470">
        <w:t xml:space="preserve">a </w:t>
      </w:r>
      <w:r w:rsidRPr="00BF3585">
        <w:t>fifth-category fine [i.e. up to 74,000 euros (EUR)]. ...”</w:t>
      </w:r>
    </w:p>
    <w:p w:rsidRPr="00BF3585" w:rsidR="00C6083D" w:rsidP="00BF3585" w:rsidRDefault="00C6083D">
      <w:pPr>
        <w:pStyle w:val="ECHRTitleCentre3"/>
      </w:pPr>
      <w:r w:rsidRPr="00BF3585">
        <w:t>Article 98c</w:t>
      </w:r>
    </w:p>
    <w:p w:rsidRPr="00BF3585" w:rsidR="00C6083D" w:rsidP="00BF3585" w:rsidRDefault="00C6083D">
      <w:pPr>
        <w:pStyle w:val="ECHRParaQuote"/>
      </w:pPr>
      <w:r w:rsidRPr="00BF3585">
        <w:t xml:space="preserve">“1.  The following shall be sentenced to </w:t>
      </w:r>
      <w:r w:rsidRPr="00BF3585" w:rsidR="00B17470">
        <w:t xml:space="preserve">a </w:t>
      </w:r>
      <w:r w:rsidRPr="00BF3585">
        <w:t xml:space="preserve">term </w:t>
      </w:r>
      <w:r w:rsidRPr="00BF3585" w:rsidR="00B17470">
        <w:t xml:space="preserve">of </w:t>
      </w:r>
      <w:r w:rsidRPr="00BF3585">
        <w:t xml:space="preserve">imprisonment not exceeding six years or </w:t>
      </w:r>
      <w:r w:rsidRPr="00BF3585" w:rsidR="00B17470">
        <w:t xml:space="preserve">a </w:t>
      </w:r>
      <w:r w:rsidRPr="00BF3585">
        <w:t>fifth-category fine:</w:t>
      </w:r>
    </w:p>
    <w:p w:rsidRPr="00BF3585" w:rsidR="00C6083D" w:rsidP="00BF3585" w:rsidRDefault="00C6083D">
      <w:pPr>
        <w:pStyle w:val="JuQuotSub"/>
      </w:pPr>
      <w:r w:rsidRPr="00BF3585">
        <w:t>i.  anyone who deliberately takes or keeps knowled</w:t>
      </w:r>
      <w:r w:rsidRPr="00BF3585" w:rsidR="00807DD3">
        <w:t xml:space="preserve">ge, </w:t>
      </w:r>
      <w:r w:rsidRPr="00BF3585" w:rsidR="00B17470">
        <w:t xml:space="preserve">an object or information as </w:t>
      </w:r>
      <w:r w:rsidRPr="00BF3585">
        <w:t>referred to in Article 98 without being duly authorised;</w:t>
      </w:r>
    </w:p>
    <w:p w:rsidRPr="00BF3585" w:rsidR="00C6083D" w:rsidP="00BF3585" w:rsidRDefault="00C6083D">
      <w:pPr>
        <w:pStyle w:val="JuQuotSub"/>
      </w:pPr>
      <w:r w:rsidRPr="00BF3585">
        <w:t xml:space="preserve">ii.  anyone who undertakes any action with intent to obtain knowledge, </w:t>
      </w:r>
      <w:r w:rsidRPr="00BF3585" w:rsidR="00B17470">
        <w:t xml:space="preserve">an </w:t>
      </w:r>
      <w:r w:rsidRPr="00BF3585">
        <w:t>object or information as referred to in Article 98 without being duly authorised; ...”</w:t>
      </w:r>
    </w:p>
    <w:p w:rsidRPr="00BF3585" w:rsidR="00C6083D" w:rsidP="00BF3585" w:rsidRDefault="00C6083D">
      <w:pPr>
        <w:pStyle w:val="ECHRHeading2"/>
      </w:pPr>
      <w:r w:rsidRPr="00BF3585">
        <w:t xml:space="preserve">B.  The Code </w:t>
      </w:r>
      <w:r w:rsidRPr="00BF3585" w:rsidR="00B17470">
        <w:t xml:space="preserve">of </w:t>
      </w:r>
      <w:r w:rsidRPr="00BF3585">
        <w:t>Criminal Procedure</w:t>
      </w:r>
    </w:p>
    <w:p w:rsidRPr="00BF3585" w:rsidR="00C6083D" w:rsidP="00BF3585" w:rsidRDefault="00BF3585">
      <w:pPr>
        <w:pStyle w:val="ECHRPara"/>
      </w:pPr>
      <w:fldSimple w:instr=" SEQ level0 \*arabic ">
        <w:r w:rsidRPr="00BF3585">
          <w:rPr>
            <w:noProof/>
          </w:rPr>
          <w:t>45</w:t>
        </w:r>
      </w:fldSimple>
      <w:r w:rsidRPr="00BF3585" w:rsidR="00C6083D">
        <w:t xml:space="preserve">.  At the time </w:t>
      </w:r>
      <w:r w:rsidRPr="00BF3585" w:rsidR="00B17470">
        <w:t xml:space="preserve">of </w:t>
      </w:r>
      <w:r w:rsidRPr="00BF3585" w:rsidR="00C6083D">
        <w:t xml:space="preserve">the events complained of, provisions </w:t>
      </w:r>
      <w:r w:rsidRPr="00BF3585" w:rsidR="00B17470">
        <w:t xml:space="preserve">of </w:t>
      </w:r>
      <w:r w:rsidRPr="00BF3585" w:rsidR="00C6083D">
        <w:t xml:space="preserve">the Code </w:t>
      </w:r>
      <w:r w:rsidRPr="00BF3585" w:rsidR="00B17470">
        <w:t xml:space="preserve">of </w:t>
      </w:r>
      <w:r w:rsidRPr="00BF3585" w:rsidR="00C6083D">
        <w:t>Criminal Procedure (</w:t>
      </w:r>
      <w:r w:rsidRPr="00BF3585" w:rsidR="00C6083D">
        <w:rPr>
          <w:i/>
        </w:rPr>
        <w:t>Wetboek v</w:t>
      </w:r>
      <w:r w:rsidRPr="00BF3585" w:rsidR="00B17470">
        <w:rPr>
          <w:i/>
        </w:rPr>
        <w:t xml:space="preserve">an </w:t>
      </w:r>
      <w:r w:rsidRPr="00BF3585" w:rsidR="00C6083D">
        <w:rPr>
          <w:i/>
        </w:rPr>
        <w:t>Strafvordering</w:t>
      </w:r>
      <w:r w:rsidRPr="00BF3585" w:rsidR="00C6083D">
        <w:t>) relevant to the case before the Court were the following:</w:t>
      </w:r>
    </w:p>
    <w:p w:rsidRPr="00BF3585" w:rsidR="00C6083D" w:rsidP="00BF3585" w:rsidRDefault="00C6083D">
      <w:pPr>
        <w:pStyle w:val="ECHRTitleCentre3"/>
      </w:pPr>
      <w:r w:rsidRPr="00BF3585">
        <w:t>Article 190</w:t>
      </w:r>
    </w:p>
    <w:p w:rsidRPr="00BF3585" w:rsidR="00C6083D" w:rsidP="00BF3585" w:rsidRDefault="00C6083D">
      <w:pPr>
        <w:pStyle w:val="ECHRParaQuote"/>
      </w:pPr>
      <w:r w:rsidRPr="00BF3585">
        <w:t xml:space="preserve">“1.  The investigating judge shall ask suspects, witnesses and experts to state their names and first names, age, profession and place </w:t>
      </w:r>
      <w:r w:rsidRPr="00BF3585" w:rsidR="00B17470">
        <w:t xml:space="preserve">of </w:t>
      </w:r>
      <w:r w:rsidRPr="00BF3585">
        <w:t xml:space="preserve">residence or abode; and the suspect to state his place </w:t>
      </w:r>
      <w:r w:rsidRPr="00BF3585" w:rsidR="00B17470">
        <w:t xml:space="preserve">of </w:t>
      </w:r>
      <w:r w:rsidRPr="00BF3585">
        <w:t xml:space="preserve">birth. If the suspect is known, the investigating judge shall ask witnesses and experts whether they are his relatives by blood or marriage, and in the affirmative, in what degree </w:t>
      </w:r>
      <w:r w:rsidRPr="00BF3585" w:rsidR="00B17470">
        <w:t xml:space="preserve">of </w:t>
      </w:r>
      <w:r w:rsidRPr="00BF3585">
        <w:t>kinship.</w:t>
      </w:r>
    </w:p>
    <w:p w:rsidRPr="00BF3585" w:rsidR="00C6083D" w:rsidP="00BF3585" w:rsidRDefault="00C6083D">
      <w:pPr>
        <w:pStyle w:val="ECHRParaQuote"/>
      </w:pPr>
      <w:r w:rsidRPr="00BF3585">
        <w:t xml:space="preserve">2.  The investigating judge may, either </w:t>
      </w:r>
      <w:r w:rsidRPr="00BF3585">
        <w:rPr>
          <w:i/>
        </w:rPr>
        <w:t>ex officio</w:t>
      </w:r>
      <w:r w:rsidRPr="00BF3585">
        <w:t xml:space="preserve"> or on </w:t>
      </w:r>
      <w:r w:rsidRPr="00BF3585" w:rsidR="00B17470">
        <w:t xml:space="preserve">an </w:t>
      </w:r>
      <w:r w:rsidRPr="00BF3585">
        <w:t>application (</w:t>
      </w:r>
      <w:r w:rsidRPr="00BF3585">
        <w:rPr>
          <w:i/>
        </w:rPr>
        <w:t>vordering</w:t>
      </w:r>
      <w:r w:rsidRPr="00BF3585">
        <w:t xml:space="preserve">) </w:t>
      </w:r>
      <w:r w:rsidRPr="00BF3585" w:rsidR="00B17470">
        <w:t xml:space="preserve">of </w:t>
      </w:r>
      <w:r w:rsidRPr="00BF3585">
        <w:t xml:space="preserve">the public prosecutor or at the request </w:t>
      </w:r>
      <w:r w:rsidRPr="00BF3585" w:rsidR="00B17470">
        <w:t xml:space="preserve">of </w:t>
      </w:r>
      <w:r w:rsidRPr="00BF3585">
        <w:t>the suspect or the witness, determine that particular information as referred to in the first paragraph shall not be asked for if there is reason to suspect (</w:t>
      </w:r>
      <w:r w:rsidRPr="00BF3585">
        <w:rPr>
          <w:i/>
        </w:rPr>
        <w:t>vermoeden</w:t>
      </w:r>
      <w:r w:rsidRPr="00BF3585">
        <w:t xml:space="preserve">) that the witness will be inconvenienced in connection with the making </w:t>
      </w:r>
      <w:r w:rsidRPr="00BF3585" w:rsidR="00B17470">
        <w:t xml:space="preserve">of </w:t>
      </w:r>
      <w:r w:rsidRPr="00BF3585">
        <w:t xml:space="preserve">his statement or will be hindered in the exercise </w:t>
      </w:r>
      <w:r w:rsidRPr="00BF3585" w:rsidR="00B17470">
        <w:t xml:space="preserve">of </w:t>
      </w:r>
      <w:r w:rsidRPr="00BF3585">
        <w:t xml:space="preserve">his profession. The investigating judge shall take whatever measures are reasonably necessary to prevent the disclosure </w:t>
      </w:r>
      <w:r w:rsidRPr="00BF3585" w:rsidR="00B17470">
        <w:t xml:space="preserve">of </w:t>
      </w:r>
      <w:r w:rsidRPr="00BF3585">
        <w:t>this information.</w:t>
      </w:r>
    </w:p>
    <w:p w:rsidRPr="00BF3585" w:rsidR="00C6083D" w:rsidP="00BF3585" w:rsidRDefault="00C6083D">
      <w:pPr>
        <w:pStyle w:val="ECHRParaQuote"/>
      </w:pPr>
      <w:r w:rsidRPr="00BF3585">
        <w:t>3.  The investigating judge shall state the reasons for which the second paragraph has been applied in his official record. ...”</w:t>
      </w:r>
    </w:p>
    <w:p w:rsidRPr="00BF3585" w:rsidR="00C6083D" w:rsidP="00BF3585" w:rsidRDefault="00C6083D">
      <w:pPr>
        <w:pStyle w:val="ECHRHeading2"/>
      </w:pPr>
      <w:r w:rsidRPr="00BF3585">
        <w:t>C.  The 2002 Intelligence and Security Services Act</w:t>
      </w:r>
    </w:p>
    <w:p w:rsidRPr="00BF3585" w:rsidR="00C6083D" w:rsidP="00BF3585" w:rsidRDefault="00BF3585">
      <w:pPr>
        <w:pStyle w:val="ECHRPara"/>
      </w:pPr>
      <w:fldSimple w:instr=" SEQ level0 \*arabic ">
        <w:r w:rsidRPr="00BF3585">
          <w:rPr>
            <w:noProof/>
          </w:rPr>
          <w:t>46</w:t>
        </w:r>
      </w:fldSimple>
      <w:r w:rsidRPr="00BF3585" w:rsidR="00C6083D">
        <w:t xml:space="preserve">.  Provisions </w:t>
      </w:r>
      <w:r w:rsidRPr="00BF3585" w:rsidR="00B17470">
        <w:t xml:space="preserve">of </w:t>
      </w:r>
      <w:r w:rsidRPr="00BF3585" w:rsidR="00C6083D">
        <w:t>the 2002 Intelligence and Security Services Act relevant to the case before the Court are the following:</w:t>
      </w:r>
    </w:p>
    <w:p w:rsidRPr="00BF3585" w:rsidR="00C6083D" w:rsidP="00BF3585" w:rsidRDefault="00C6083D">
      <w:pPr>
        <w:pStyle w:val="ECHRTitleCentre3"/>
      </w:pPr>
      <w:r w:rsidRPr="00BF3585">
        <w:t>Section 6</w:t>
      </w:r>
    </w:p>
    <w:p w:rsidRPr="00BF3585" w:rsidR="00C6083D" w:rsidP="00BF3585" w:rsidRDefault="00C6083D">
      <w:pPr>
        <w:pStyle w:val="ECHRParaQuote"/>
      </w:pPr>
      <w:r w:rsidRPr="00BF3585">
        <w:t xml:space="preserve">“1.  There shall be </w:t>
      </w:r>
      <w:r w:rsidRPr="00BF3585" w:rsidR="00B17470">
        <w:t xml:space="preserve">a </w:t>
      </w:r>
      <w:r w:rsidRPr="00BF3585">
        <w:t>General Intelligence and Security Service [i.e. the AIVD].</w:t>
      </w:r>
    </w:p>
    <w:p w:rsidRPr="00BF3585" w:rsidR="00C6083D" w:rsidP="00BF3585" w:rsidRDefault="00C6083D">
      <w:pPr>
        <w:pStyle w:val="ECHRParaQuote"/>
      </w:pPr>
      <w:r w:rsidRPr="00BF3585">
        <w:t>2.  The [AIVD]</w:t>
      </w:r>
      <w:r w:rsidRPr="00BF3585" w:rsidR="00BF3585">
        <w:t>’</w:t>
      </w:r>
      <w:r w:rsidRPr="00BF3585">
        <w:t xml:space="preserve">s tasks, in the interest </w:t>
      </w:r>
      <w:r w:rsidRPr="00BF3585" w:rsidR="00B17470">
        <w:t xml:space="preserve">of </w:t>
      </w:r>
      <w:r w:rsidRPr="00BF3585">
        <w:t>national security, are the following:</w:t>
      </w:r>
    </w:p>
    <w:p w:rsidRPr="00BF3585" w:rsidR="00C6083D" w:rsidP="00BF3585" w:rsidRDefault="00C6083D">
      <w:pPr>
        <w:pStyle w:val="ECHRParaQuote"/>
      </w:pPr>
      <w:r w:rsidRPr="00BF3585">
        <w:t>a.</w:t>
      </w:r>
      <w:r w:rsidRPr="00BF3585">
        <w:tab/>
        <w:t>  to carry out investigations relative to organisations and persons who, by the aims which they pursue or their activities, give rise to serious suspicion (</w:t>
      </w:r>
      <w:r w:rsidRPr="00BF3585">
        <w:rPr>
          <w:i/>
        </w:rPr>
        <w:t>het ernstige vermoeden</w:t>
      </w:r>
      <w:r w:rsidRPr="00BF3585">
        <w:t xml:space="preserve">) that they constitute </w:t>
      </w:r>
      <w:r w:rsidRPr="00BF3585" w:rsidR="00B17470">
        <w:t xml:space="preserve">a </w:t>
      </w:r>
      <w:r w:rsidRPr="00BF3585">
        <w:t xml:space="preserve">danger to the continued existence </w:t>
      </w:r>
      <w:r w:rsidRPr="00BF3585" w:rsidR="00B17470">
        <w:t xml:space="preserve">of </w:t>
      </w:r>
      <w:r w:rsidRPr="00BF3585">
        <w:t xml:space="preserve">the democratic legal order or to the security or other weighty interests </w:t>
      </w:r>
      <w:r w:rsidRPr="00BF3585" w:rsidR="00B17470">
        <w:t xml:space="preserve">of </w:t>
      </w:r>
      <w:r w:rsidRPr="00BF3585">
        <w:t>the State;</w:t>
      </w:r>
    </w:p>
    <w:p w:rsidRPr="00BF3585" w:rsidR="00C6083D" w:rsidP="00BF3585" w:rsidRDefault="00C6083D">
      <w:pPr>
        <w:pStyle w:val="ECHRParaQuote"/>
      </w:pPr>
      <w:r w:rsidRPr="00BF3585">
        <w:t>b.  ...</w:t>
      </w:r>
    </w:p>
    <w:p w:rsidRPr="00BF3585" w:rsidR="00C6083D" w:rsidP="00BF3585" w:rsidRDefault="00C6083D">
      <w:pPr>
        <w:pStyle w:val="ECHRParaQuote"/>
      </w:pPr>
      <w:r w:rsidRPr="00BF3585">
        <w:t>c.  to promote measures (</w:t>
      </w:r>
      <w:r w:rsidRPr="00BF3585">
        <w:rPr>
          <w:i/>
        </w:rPr>
        <w:t>het bevorderen v</w:t>
      </w:r>
      <w:r w:rsidRPr="00BF3585" w:rsidR="00B17470">
        <w:rPr>
          <w:i/>
        </w:rPr>
        <w:t xml:space="preserve">an </w:t>
      </w:r>
      <w:r w:rsidRPr="00BF3585">
        <w:rPr>
          <w:i/>
        </w:rPr>
        <w:t>maatregelen</w:t>
      </w:r>
      <w:r w:rsidRPr="00BF3585">
        <w:t xml:space="preserve">) for the protection </w:t>
      </w:r>
      <w:r w:rsidRPr="00BF3585" w:rsidR="00B17470">
        <w:t xml:space="preserve">of </w:t>
      </w:r>
      <w:r w:rsidRPr="00BF3585">
        <w:t xml:space="preserve">the interests mentioned in sub-paragraph a, including measures aimed at securing information which needs to be kept secret in the interest </w:t>
      </w:r>
      <w:r w:rsidRPr="00BF3585" w:rsidR="00B17470">
        <w:t xml:space="preserve">of </w:t>
      </w:r>
      <w:r w:rsidRPr="00BF3585">
        <w:t xml:space="preserve">national security and </w:t>
      </w:r>
      <w:r w:rsidRPr="00BF3585" w:rsidR="00B17470">
        <w:t xml:space="preserve">of </w:t>
      </w:r>
      <w:r w:rsidRPr="00BF3585">
        <w:t xml:space="preserve">those parts </w:t>
      </w:r>
      <w:r w:rsidRPr="00BF3585" w:rsidR="00B17470">
        <w:t xml:space="preserve">of </w:t>
      </w:r>
      <w:r w:rsidRPr="00BF3585">
        <w:t>Government service and private enterprise (</w:t>
      </w:r>
      <w:r w:rsidRPr="00BF3585">
        <w:rPr>
          <w:i/>
        </w:rPr>
        <w:t>bedrijfsleven</w:t>
      </w:r>
      <w:r w:rsidRPr="00BF3585">
        <w:t xml:space="preserve">) which in the judgment </w:t>
      </w:r>
      <w:r w:rsidRPr="00BF3585" w:rsidR="00B17470">
        <w:t xml:space="preserve">of </w:t>
      </w:r>
      <w:r w:rsidRPr="00BF3585">
        <w:t xml:space="preserve">the Ministers invested with responsibility in the matter are </w:t>
      </w:r>
      <w:r w:rsidRPr="00BF3585" w:rsidR="00B17470">
        <w:t xml:space="preserve">of </w:t>
      </w:r>
      <w:r w:rsidRPr="00BF3585">
        <w:t xml:space="preserve">vital importance for the maintenance </w:t>
      </w:r>
      <w:r w:rsidRPr="00BF3585" w:rsidR="00B17470">
        <w:t xml:space="preserve">of </w:t>
      </w:r>
      <w:r w:rsidRPr="00BF3585">
        <w:t>social life (</w:t>
      </w:r>
      <w:r w:rsidRPr="00BF3585">
        <w:rPr>
          <w:i/>
        </w:rPr>
        <w:t>de instandhouding v</w:t>
      </w:r>
      <w:r w:rsidRPr="00BF3585" w:rsidR="00B17470">
        <w:rPr>
          <w:i/>
        </w:rPr>
        <w:t xml:space="preserve">an </w:t>
      </w:r>
      <w:r w:rsidRPr="00BF3585">
        <w:rPr>
          <w:i/>
        </w:rPr>
        <w:t>het maatschappelijk leven</w:t>
      </w:r>
      <w:r w:rsidRPr="00BF3585">
        <w:t>);</w:t>
      </w:r>
    </w:p>
    <w:p w:rsidRPr="00BF3585" w:rsidR="00C6083D" w:rsidP="00BF3585" w:rsidRDefault="00C6083D">
      <w:pPr>
        <w:pStyle w:val="ECHRParaQuote"/>
      </w:pPr>
      <w:r w:rsidRPr="00BF3585">
        <w:t xml:space="preserve">d.  to carry out investigations concerning other countries relative to subject-matter indicated by the Prime Minister, Minister </w:t>
      </w:r>
      <w:r w:rsidRPr="00BF3585" w:rsidR="00B17470">
        <w:t xml:space="preserve">of </w:t>
      </w:r>
      <w:r w:rsidRPr="00BF3585">
        <w:t>General Affairs (</w:t>
      </w:r>
      <w:r w:rsidRPr="00BF3585">
        <w:rPr>
          <w:i/>
        </w:rPr>
        <w:t>Minister-President, Minister v</w:t>
      </w:r>
      <w:r w:rsidRPr="00BF3585" w:rsidR="00B17470">
        <w:rPr>
          <w:i/>
        </w:rPr>
        <w:t xml:space="preserve">an </w:t>
      </w:r>
      <w:r w:rsidRPr="00BF3585">
        <w:rPr>
          <w:i/>
        </w:rPr>
        <w:t xml:space="preserve">Algemene Zaken </w:t>
      </w:r>
      <w:r w:rsidRPr="00BF3585">
        <w:t>[the Prime Minister be</w:t>
      </w:r>
      <w:r w:rsidRPr="00BF3585" w:rsidR="00807DD3">
        <w:t>ing both at the same time]), in </w:t>
      </w:r>
      <w:r w:rsidRPr="00BF3585">
        <w:t>agreement with other Ministers involved; ...”</w:t>
      </w:r>
    </w:p>
    <w:p w:rsidRPr="00BF3585" w:rsidR="00C6083D" w:rsidP="00BF3585" w:rsidRDefault="00C6083D">
      <w:pPr>
        <w:pStyle w:val="ECHRTitleCentre3"/>
      </w:pPr>
      <w:r w:rsidRPr="00BF3585">
        <w:t>Section 9</w:t>
      </w:r>
    </w:p>
    <w:p w:rsidRPr="00BF3585" w:rsidR="00C6083D" w:rsidP="00BF3585" w:rsidRDefault="00C6083D">
      <w:pPr>
        <w:pStyle w:val="ECHRParaQuote"/>
      </w:pPr>
      <w:r w:rsidRPr="00BF3585">
        <w:t xml:space="preserve">“1.  Officials </w:t>
      </w:r>
      <w:r w:rsidRPr="00BF3585" w:rsidR="00B17470">
        <w:t xml:space="preserve">of </w:t>
      </w:r>
      <w:r w:rsidRPr="00BF3585">
        <w:t xml:space="preserve">the [intelligence and security] services are not invested with powers </w:t>
      </w:r>
      <w:r w:rsidRPr="00BF3585" w:rsidR="00B17470">
        <w:t xml:space="preserve">of </w:t>
      </w:r>
      <w:r w:rsidRPr="00BF3585">
        <w:t>criminal investigation (</w:t>
      </w:r>
      <w:r w:rsidRPr="00BF3585">
        <w:rPr>
          <w:i/>
        </w:rPr>
        <w:t>bezitten geen bevoegdheid tot het opsporen v</w:t>
      </w:r>
      <w:r w:rsidRPr="00BF3585" w:rsidR="00B17470">
        <w:rPr>
          <w:i/>
        </w:rPr>
        <w:t xml:space="preserve">an </w:t>
      </w:r>
      <w:r w:rsidRPr="00BF3585">
        <w:rPr>
          <w:i/>
        </w:rPr>
        <w:t>strafbare feiten</w:t>
      </w:r>
      <w:r w:rsidRPr="00BF3585">
        <w:t>). ...”</w:t>
      </w:r>
    </w:p>
    <w:p w:rsidRPr="00BF3585" w:rsidR="00C6083D" w:rsidP="00BF3585" w:rsidRDefault="00C6083D">
      <w:pPr>
        <w:pStyle w:val="ECHRTitleCentre3"/>
      </w:pPr>
      <w:r w:rsidRPr="00BF3585">
        <w:t>Section 12</w:t>
      </w:r>
    </w:p>
    <w:p w:rsidRPr="00BF3585" w:rsidR="00C6083D" w:rsidP="00BF3585" w:rsidRDefault="00C6083D">
      <w:pPr>
        <w:pStyle w:val="ECHRParaQuote"/>
      </w:pPr>
      <w:r w:rsidRPr="00BF3585">
        <w:t>“1.  The [intelligence and security] services are empowered (</w:t>
      </w:r>
      <w:r w:rsidRPr="00BF3585">
        <w:rPr>
          <w:i/>
        </w:rPr>
        <w:t>bevoegd</w:t>
      </w:r>
      <w:r w:rsidRPr="00BF3585">
        <w:t>) to process dat</w:t>
      </w:r>
      <w:r w:rsidRPr="00BF3585" w:rsidR="00B17470">
        <w:t xml:space="preserve">a </w:t>
      </w:r>
      <w:r w:rsidRPr="00BF3585">
        <w:t>taking into account the constraints (</w:t>
      </w:r>
      <w:r w:rsidRPr="00BF3585">
        <w:rPr>
          <w:i/>
        </w:rPr>
        <w:t>eisen</w:t>
      </w:r>
      <w:r w:rsidRPr="00BF3585">
        <w:t>) posed thereon by the present Act ...</w:t>
      </w:r>
    </w:p>
    <w:p w:rsidRPr="00BF3585" w:rsidR="00C6083D" w:rsidP="00BF3585" w:rsidRDefault="00C6083D">
      <w:pPr>
        <w:pStyle w:val="ECHRParaQuote"/>
      </w:pPr>
      <w:r w:rsidRPr="00BF3585">
        <w:t>2.  Dat</w:t>
      </w:r>
      <w:r w:rsidRPr="00BF3585" w:rsidR="00B17470">
        <w:t xml:space="preserve">a </w:t>
      </w:r>
      <w:r w:rsidRPr="00BF3585">
        <w:t xml:space="preserve">shall be processed only for </w:t>
      </w:r>
      <w:r w:rsidRPr="00BF3585" w:rsidR="00B17470">
        <w:t xml:space="preserve">a </w:t>
      </w:r>
      <w:r w:rsidRPr="00BF3585">
        <w:t xml:space="preserve">particular purpose and only in so far as is necessary for the proper implementation </w:t>
      </w:r>
      <w:r w:rsidRPr="00BF3585" w:rsidR="00B17470">
        <w:t xml:space="preserve">of </w:t>
      </w:r>
      <w:r w:rsidRPr="00BF3585">
        <w:t>this Act ...</w:t>
      </w:r>
    </w:p>
    <w:p w:rsidRPr="00BF3585" w:rsidR="00C6083D" w:rsidP="00BF3585" w:rsidRDefault="00C6083D">
      <w:pPr>
        <w:pStyle w:val="ECHRParaQuote"/>
      </w:pPr>
      <w:r w:rsidRPr="00BF3585">
        <w:t>3.  Dat</w:t>
      </w:r>
      <w:r w:rsidRPr="00BF3585" w:rsidR="00B17470">
        <w:t xml:space="preserve">a </w:t>
      </w:r>
      <w:r w:rsidRPr="00BF3585">
        <w:t>shall be processed in accordance with the law and properly and with due care.”</w:t>
      </w:r>
    </w:p>
    <w:p w:rsidRPr="00BF3585" w:rsidR="00C6083D" w:rsidP="00BF3585" w:rsidRDefault="00C6083D">
      <w:pPr>
        <w:pStyle w:val="ECHRTitleCentre3"/>
      </w:pPr>
      <w:r w:rsidRPr="00BF3585">
        <w:t>Section 15</w:t>
      </w:r>
    </w:p>
    <w:p w:rsidRPr="00BF3585" w:rsidR="00C6083D" w:rsidP="00BF3585" w:rsidRDefault="00C6083D">
      <w:pPr>
        <w:pStyle w:val="ECHRParaQuote"/>
      </w:pPr>
      <w:r w:rsidRPr="00BF3585">
        <w:t xml:space="preserve">“The heads </w:t>
      </w:r>
      <w:r w:rsidRPr="00BF3585" w:rsidR="00B17470">
        <w:t xml:space="preserve">of </w:t>
      </w:r>
      <w:r w:rsidRPr="00BF3585">
        <w:t xml:space="preserve">the [intelligence and security] services shall </w:t>
      </w:r>
      <w:r w:rsidRPr="00BF3585" w:rsidR="00B17470">
        <w:t xml:space="preserve">see </w:t>
      </w:r>
      <w:r w:rsidRPr="00BF3585">
        <w:t>to:</w:t>
      </w:r>
    </w:p>
    <w:p w:rsidRPr="00BF3585" w:rsidR="00C6083D" w:rsidP="00BF3585" w:rsidRDefault="00C6083D">
      <w:pPr>
        <w:pStyle w:val="ECHRParaQuote"/>
      </w:pPr>
      <w:r w:rsidRPr="00BF3585">
        <w:t xml:space="preserve">a.  the maintenance </w:t>
      </w:r>
      <w:r w:rsidRPr="00BF3585" w:rsidR="00B17470">
        <w:t xml:space="preserve">of </w:t>
      </w:r>
      <w:r w:rsidRPr="00BF3585">
        <w:t xml:space="preserve">the secrecy </w:t>
      </w:r>
      <w:r w:rsidRPr="00BF3585" w:rsidR="00B17470">
        <w:t xml:space="preserve">of </w:t>
      </w:r>
      <w:r w:rsidRPr="00BF3585">
        <w:t>dat</w:t>
      </w:r>
      <w:r w:rsidRPr="00BF3585" w:rsidR="00B17470">
        <w:t xml:space="preserve">a </w:t>
      </w:r>
      <w:r w:rsidRPr="00BF3585">
        <w:t>so designated (</w:t>
      </w:r>
      <w:r w:rsidRPr="00BF3585">
        <w:rPr>
          <w:i/>
        </w:rPr>
        <w:t>daarvoor in aanmerking komende gegevens</w:t>
      </w:r>
      <w:r w:rsidRPr="00BF3585">
        <w:t>);</w:t>
      </w:r>
    </w:p>
    <w:p w:rsidRPr="00BF3585" w:rsidR="00C6083D" w:rsidP="00BF3585" w:rsidRDefault="00C6083D">
      <w:pPr>
        <w:pStyle w:val="ECHRParaQuote"/>
      </w:pPr>
      <w:r w:rsidRPr="00BF3585">
        <w:t xml:space="preserve">b.  the maintenance </w:t>
      </w:r>
      <w:r w:rsidRPr="00BF3585" w:rsidR="00B17470">
        <w:t xml:space="preserve">of </w:t>
      </w:r>
      <w:r w:rsidRPr="00BF3585">
        <w:t xml:space="preserve">the secrecy </w:t>
      </w:r>
      <w:r w:rsidRPr="00BF3585" w:rsidR="00B17470">
        <w:t xml:space="preserve">of </w:t>
      </w:r>
      <w:r w:rsidRPr="00BF3585">
        <w:t>sources so designated from which dat</w:t>
      </w:r>
      <w:r w:rsidRPr="00BF3585" w:rsidR="00B17470">
        <w:t xml:space="preserve">a </w:t>
      </w:r>
      <w:r w:rsidRPr="00BF3585">
        <w:t>are obtained;</w:t>
      </w:r>
    </w:p>
    <w:p w:rsidRPr="00BF3585" w:rsidR="00C6083D" w:rsidP="00BF3585" w:rsidRDefault="00C6083D">
      <w:pPr>
        <w:pStyle w:val="ECHRParaQuote"/>
      </w:pPr>
      <w:r w:rsidRPr="00BF3585">
        <w:t xml:space="preserve">c.  the safety </w:t>
      </w:r>
      <w:r w:rsidRPr="00BF3585" w:rsidR="00B17470">
        <w:t xml:space="preserve">of </w:t>
      </w:r>
      <w:r w:rsidRPr="00BF3585">
        <w:t>the persons with whose co-operation dat</w:t>
      </w:r>
      <w:r w:rsidRPr="00BF3585" w:rsidR="00B17470">
        <w:t xml:space="preserve">a </w:t>
      </w:r>
      <w:r w:rsidRPr="00BF3585">
        <w:t>are collected.”</w:t>
      </w:r>
    </w:p>
    <w:p w:rsidRPr="00BF3585" w:rsidR="00C6083D" w:rsidP="00BF3585" w:rsidRDefault="00C6083D">
      <w:pPr>
        <w:pStyle w:val="ECHRTitleCentre3"/>
      </w:pPr>
      <w:r w:rsidRPr="00BF3585">
        <w:t>Section 16</w:t>
      </w:r>
    </w:p>
    <w:p w:rsidRPr="00BF3585" w:rsidR="00C6083D" w:rsidP="00BF3585" w:rsidRDefault="00C6083D">
      <w:pPr>
        <w:pStyle w:val="ECHRParaQuote"/>
      </w:pPr>
      <w:r w:rsidRPr="00BF3585">
        <w:t xml:space="preserve">“The heads </w:t>
      </w:r>
      <w:r w:rsidRPr="00BF3585" w:rsidR="00B17470">
        <w:t xml:space="preserve">of </w:t>
      </w:r>
      <w:r w:rsidRPr="00BF3585">
        <w:t xml:space="preserve">the [intelligence and security] services shall also </w:t>
      </w:r>
      <w:r w:rsidRPr="00BF3585" w:rsidR="00B17470">
        <w:t xml:space="preserve">see </w:t>
      </w:r>
      <w:r w:rsidRPr="00BF3585">
        <w:t>to:</w:t>
      </w:r>
    </w:p>
    <w:p w:rsidRPr="00BF3585" w:rsidR="00C6083D" w:rsidP="00BF3585" w:rsidRDefault="00C6083D">
      <w:pPr>
        <w:pStyle w:val="ECHRParaQuote"/>
      </w:pPr>
      <w:r w:rsidRPr="00BF3585">
        <w:t xml:space="preserve">a.  the making </w:t>
      </w:r>
      <w:r w:rsidRPr="00BF3585" w:rsidR="00B17470">
        <w:t xml:space="preserve">of </w:t>
      </w:r>
      <w:r w:rsidRPr="00BF3585">
        <w:t xml:space="preserve">the arrangements necessary to ensure the correctness and completeness </w:t>
      </w:r>
      <w:r w:rsidRPr="00BF3585" w:rsidR="00B17470">
        <w:t xml:space="preserve">of </w:t>
      </w:r>
      <w:r w:rsidRPr="00BF3585">
        <w:t>the dat</w:t>
      </w:r>
      <w:r w:rsidRPr="00BF3585" w:rsidR="00B17470">
        <w:t xml:space="preserve">a </w:t>
      </w:r>
      <w:r w:rsidRPr="00BF3585">
        <w:t>to be processed;</w:t>
      </w:r>
    </w:p>
    <w:p w:rsidRPr="00BF3585" w:rsidR="00C6083D" w:rsidP="00BF3585" w:rsidRDefault="00C6083D">
      <w:pPr>
        <w:pStyle w:val="ECHRParaQuote"/>
      </w:pPr>
      <w:r w:rsidRPr="00BF3585">
        <w:t xml:space="preserve">b.  the making </w:t>
      </w:r>
      <w:r w:rsidRPr="00BF3585" w:rsidR="00B17470">
        <w:t xml:space="preserve">of </w:t>
      </w:r>
      <w:r w:rsidRPr="00BF3585">
        <w:t xml:space="preserve">the arrangements </w:t>
      </w:r>
      <w:r w:rsidRPr="00BF3585" w:rsidR="00B17470">
        <w:t xml:space="preserve">of a </w:t>
      </w:r>
      <w:r w:rsidRPr="00BF3585">
        <w:t xml:space="preserve">technical and organisational nature necessary to secure the safety </w:t>
      </w:r>
      <w:r w:rsidRPr="00BF3585" w:rsidR="00B17470">
        <w:t xml:space="preserve">of </w:t>
      </w:r>
      <w:r w:rsidRPr="00BF3585">
        <w:t xml:space="preserve">the processing </w:t>
      </w:r>
      <w:r w:rsidRPr="00BF3585" w:rsidR="00B17470">
        <w:t xml:space="preserve">of </w:t>
      </w:r>
      <w:r w:rsidRPr="00BF3585">
        <w:t>dat</w:t>
      </w:r>
      <w:r w:rsidRPr="00BF3585" w:rsidR="00B17470">
        <w:t xml:space="preserve">a </w:t>
      </w:r>
      <w:r w:rsidRPr="00BF3585">
        <w:t>against loss or damage and against unauthorised processing;</w:t>
      </w:r>
    </w:p>
    <w:p w:rsidRPr="00BF3585" w:rsidR="00C6083D" w:rsidP="00BF3585" w:rsidRDefault="00C6083D">
      <w:pPr>
        <w:pStyle w:val="ECHRParaQuote"/>
      </w:pPr>
      <w:r w:rsidRPr="00BF3585">
        <w:t xml:space="preserve">c.  the appointment </w:t>
      </w:r>
      <w:r w:rsidRPr="00BF3585" w:rsidR="00B17470">
        <w:t xml:space="preserve">of </w:t>
      </w:r>
      <w:r w:rsidRPr="00BF3585">
        <w:t xml:space="preserve">persons who shall be authorised, to the exclusion </w:t>
      </w:r>
      <w:r w:rsidRPr="00BF3585" w:rsidR="00B17470">
        <w:t xml:space="preserve">of </w:t>
      </w:r>
      <w:r w:rsidRPr="00BF3585">
        <w:t xml:space="preserve">others, to carry out the tasks appointed in the framework </w:t>
      </w:r>
      <w:r w:rsidRPr="00BF3585" w:rsidR="00B17470">
        <w:t xml:space="preserve">of </w:t>
      </w:r>
      <w:r w:rsidRPr="00BF3585">
        <w:t>dat</w:t>
      </w:r>
      <w:r w:rsidRPr="00BF3585" w:rsidR="00B17470">
        <w:t xml:space="preserve">a </w:t>
      </w:r>
      <w:r w:rsidRPr="00BF3585">
        <w:t>processing.”</w:t>
      </w:r>
    </w:p>
    <w:p w:rsidRPr="00BF3585" w:rsidR="00C6083D" w:rsidP="00BF3585" w:rsidRDefault="00C6083D">
      <w:pPr>
        <w:pStyle w:val="ECHRTitleCentre3"/>
      </w:pPr>
      <w:r w:rsidRPr="00BF3585">
        <w:t>Section 85</w:t>
      </w:r>
    </w:p>
    <w:p w:rsidRPr="00BF3585" w:rsidR="00C6083D" w:rsidP="00BF3585" w:rsidRDefault="00C6083D">
      <w:pPr>
        <w:pStyle w:val="ECHRParaQuote"/>
      </w:pPr>
      <w:r w:rsidRPr="00BF3585">
        <w:t xml:space="preserve">“1.  Without prejudice to Articles 98-98c </w:t>
      </w:r>
      <w:r w:rsidRPr="00BF3585" w:rsidR="00B17470">
        <w:t xml:space="preserve">of </w:t>
      </w:r>
      <w:r w:rsidRPr="00BF3585">
        <w:t xml:space="preserve">the Criminal Code, everyone who is involved in the execution </w:t>
      </w:r>
      <w:r w:rsidRPr="00BF3585" w:rsidR="00B17470">
        <w:t xml:space="preserve">of </w:t>
      </w:r>
      <w:r w:rsidRPr="00BF3585">
        <w:t xml:space="preserve">this Act and thereby enters into the possession </w:t>
      </w:r>
      <w:r w:rsidRPr="00BF3585" w:rsidR="00B17470">
        <w:t xml:space="preserve">of </w:t>
      </w:r>
      <w:r w:rsidRPr="00BF3585">
        <w:t xml:space="preserve">information the confidential character </w:t>
      </w:r>
      <w:r w:rsidRPr="00BF3585" w:rsidR="00B17470">
        <w:t xml:space="preserve">of </w:t>
      </w:r>
      <w:r w:rsidRPr="00BF3585">
        <w:t>which he knows or ought reasonably to suspect (</w:t>
      </w:r>
      <w:r w:rsidRPr="00BF3585">
        <w:rPr>
          <w:i/>
        </w:rPr>
        <w:t>en daarbij de beschikking krijgt over gegevens waarv</w:t>
      </w:r>
      <w:r w:rsidRPr="00BF3585" w:rsidR="00B17470">
        <w:rPr>
          <w:i/>
        </w:rPr>
        <w:t xml:space="preserve">an </w:t>
      </w:r>
      <w:r w:rsidRPr="00BF3585">
        <w:rPr>
          <w:i/>
        </w:rPr>
        <w:t xml:space="preserve">hij het vertrouwelijke karakter kent </w:t>
      </w:r>
      <w:r w:rsidRPr="00BF3585" w:rsidR="00B17470">
        <w:rPr>
          <w:i/>
        </w:rPr>
        <w:t xml:space="preserve">of </w:t>
      </w:r>
      <w:r w:rsidRPr="00BF3585">
        <w:rPr>
          <w:i/>
        </w:rPr>
        <w:t>redelijkerwijs moet vermoeden</w:t>
      </w:r>
      <w:r w:rsidRPr="00BF3585" w:rsidR="00807DD3">
        <w:t xml:space="preserve">) shall have </w:t>
      </w:r>
      <w:r w:rsidRPr="00BF3585" w:rsidR="00B17470">
        <w:t xml:space="preserve">a </w:t>
      </w:r>
      <w:r w:rsidRPr="00BF3585" w:rsidR="00807DD3">
        <w:t>duty to </w:t>
      </w:r>
      <w:r w:rsidRPr="00BF3585">
        <w:t xml:space="preserve">keep it secret except in so far as </w:t>
      </w:r>
      <w:r w:rsidRPr="00BF3585" w:rsidR="00B17470">
        <w:t xml:space="preserve">a </w:t>
      </w:r>
      <w:r w:rsidRPr="00BF3585">
        <w:t xml:space="preserve">legal provision places him under </w:t>
      </w:r>
      <w:r w:rsidRPr="00BF3585" w:rsidR="00B17470">
        <w:t xml:space="preserve">an </w:t>
      </w:r>
      <w:r w:rsidRPr="00BF3585">
        <w:t>obligation to divulge it. ...”</w:t>
      </w:r>
    </w:p>
    <w:p w:rsidRPr="00BF3585" w:rsidR="00C6083D" w:rsidP="00BF3585" w:rsidRDefault="00C6083D">
      <w:pPr>
        <w:pStyle w:val="ECHRTitleCentre3"/>
      </w:pPr>
      <w:r w:rsidRPr="00BF3585">
        <w:t>Section 86</w:t>
      </w:r>
    </w:p>
    <w:p w:rsidRPr="00BF3585" w:rsidR="00C6083D" w:rsidP="00BF3585" w:rsidRDefault="00C6083D">
      <w:pPr>
        <w:pStyle w:val="ECHRParaQuote"/>
      </w:pPr>
      <w:r w:rsidRPr="00BF3585">
        <w:t xml:space="preserve">“1.  The duty </w:t>
      </w:r>
      <w:r w:rsidRPr="00BF3585" w:rsidR="00B17470">
        <w:t xml:space="preserve">of </w:t>
      </w:r>
      <w:r w:rsidRPr="00BF3585">
        <w:t xml:space="preserve">secrecy owed by </w:t>
      </w:r>
      <w:r w:rsidRPr="00BF3585" w:rsidR="00B17470">
        <w:t xml:space="preserve">an </w:t>
      </w:r>
      <w:r w:rsidRPr="00BF3585">
        <w:t xml:space="preserve">official involved in the execution </w:t>
      </w:r>
      <w:r w:rsidRPr="00BF3585" w:rsidR="00B17470">
        <w:t xml:space="preserve">of </w:t>
      </w:r>
      <w:r w:rsidRPr="00BF3585">
        <w:t xml:space="preserve">this Act shall not apply </w:t>
      </w:r>
      <w:r w:rsidRPr="00BF3585">
        <w:rPr>
          <w:i/>
        </w:rPr>
        <w:t xml:space="preserve">vis-à-vis </w:t>
      </w:r>
      <w:r w:rsidRPr="00BF3585">
        <w:t>the person to whom the official is directly or indirectly subordinate, nor to the extent that he has been</w:t>
      </w:r>
      <w:r w:rsidRPr="00BF3585" w:rsidR="00807DD3">
        <w:t xml:space="preserve"> exonerated from that duty by </w:t>
      </w:r>
      <w:r w:rsidRPr="00BF3585" w:rsidR="00B17470">
        <w:t xml:space="preserve">a </w:t>
      </w:r>
      <w:r w:rsidRPr="00BF3585">
        <w:t>superior.</w:t>
      </w:r>
    </w:p>
    <w:p w:rsidRPr="00BF3585" w:rsidR="00C6083D" w:rsidP="00BF3585" w:rsidRDefault="00C6083D">
      <w:pPr>
        <w:pStyle w:val="ECHRParaQuote"/>
      </w:pPr>
      <w:r w:rsidRPr="00BF3585">
        <w:t xml:space="preserve">2.  The official referred to in the first paragraph, if obliged pursuant to </w:t>
      </w:r>
      <w:r w:rsidRPr="00BF3585" w:rsidR="00B17470">
        <w:t xml:space="preserve">a </w:t>
      </w:r>
      <w:r w:rsidRPr="00BF3585">
        <w:t xml:space="preserve">legal provision to act as </w:t>
      </w:r>
      <w:r w:rsidRPr="00BF3585" w:rsidR="00B17470">
        <w:t xml:space="preserve">a </w:t>
      </w:r>
      <w:r w:rsidRPr="00BF3585">
        <w:t xml:space="preserve">witness or </w:t>
      </w:r>
      <w:r w:rsidRPr="00BF3585" w:rsidR="00B17470">
        <w:t xml:space="preserve">an </w:t>
      </w:r>
      <w:r w:rsidRPr="00BF3585">
        <w:t xml:space="preserve">expert, shall only make </w:t>
      </w:r>
      <w:r w:rsidRPr="00BF3585" w:rsidR="00B17470">
        <w:t xml:space="preserve">a </w:t>
      </w:r>
      <w:r w:rsidRPr="00BF3585">
        <w:t xml:space="preserve">statement about the matters covered by his duty </w:t>
      </w:r>
      <w:r w:rsidRPr="00BF3585" w:rsidR="00B17470">
        <w:t xml:space="preserve">of </w:t>
      </w:r>
      <w:r w:rsidRPr="00BF3585">
        <w:t xml:space="preserve">secrecy to the extent that the Minister concerned and the Minister </w:t>
      </w:r>
      <w:r w:rsidRPr="00BF3585" w:rsidR="00B17470">
        <w:t xml:space="preserve">of </w:t>
      </w:r>
      <w:r w:rsidRPr="00BF3585">
        <w:t>Justice together have exonerated him from that duty in writing. ...”</w:t>
      </w:r>
    </w:p>
    <w:p w:rsidRPr="00BF3585" w:rsidR="00C6083D" w:rsidP="00BF3585" w:rsidRDefault="00C6083D">
      <w:pPr>
        <w:pStyle w:val="ECHRHeading2"/>
      </w:pPr>
      <w:r w:rsidRPr="00BF3585">
        <w:t xml:space="preserve">D.  The Protection </w:t>
      </w:r>
      <w:r w:rsidRPr="00BF3585" w:rsidR="00B17470">
        <w:t xml:space="preserve">of </w:t>
      </w:r>
      <w:r w:rsidRPr="00BF3585">
        <w:t>State Secrets Act</w:t>
      </w:r>
    </w:p>
    <w:p w:rsidRPr="00BF3585" w:rsidR="00C6083D" w:rsidP="00BF3585" w:rsidRDefault="00BF3585">
      <w:pPr>
        <w:pStyle w:val="ECHRPara"/>
      </w:pPr>
      <w:fldSimple w:instr=" SEQ level0 \*arabic ">
        <w:r w:rsidRPr="00BF3585">
          <w:rPr>
            <w:noProof/>
          </w:rPr>
          <w:t>47</w:t>
        </w:r>
      </w:fldSimple>
      <w:r w:rsidRPr="00BF3585" w:rsidR="00C6083D">
        <w:t xml:space="preserve">.  Provisions </w:t>
      </w:r>
      <w:r w:rsidRPr="00BF3585" w:rsidR="00B17470">
        <w:t xml:space="preserve">of </w:t>
      </w:r>
      <w:r w:rsidRPr="00BF3585" w:rsidR="00C6083D">
        <w:t xml:space="preserve">the Protection </w:t>
      </w:r>
      <w:r w:rsidRPr="00BF3585" w:rsidR="00B17470">
        <w:t xml:space="preserve">of </w:t>
      </w:r>
      <w:r w:rsidRPr="00BF3585" w:rsidR="00C6083D">
        <w:t>State Secrets Act (</w:t>
      </w:r>
      <w:r w:rsidRPr="00BF3585" w:rsidR="00C6083D">
        <w:rPr>
          <w:i/>
        </w:rPr>
        <w:t>Wet bescherming staatsgeheimen</w:t>
      </w:r>
      <w:r w:rsidRPr="00BF3585" w:rsidR="00C6083D">
        <w:t>) relevant to the case are the following:</w:t>
      </w:r>
    </w:p>
    <w:p w:rsidRPr="00BF3585" w:rsidR="00C6083D" w:rsidP="00BF3585" w:rsidRDefault="00C6083D">
      <w:pPr>
        <w:pStyle w:val="ECHRTitleCentre3"/>
      </w:pPr>
      <w:r w:rsidRPr="00BF3585">
        <w:t>Section 1</w:t>
      </w:r>
    </w:p>
    <w:p w:rsidRPr="00BF3585" w:rsidR="00C6083D" w:rsidP="00BF3585" w:rsidRDefault="00C6083D">
      <w:pPr>
        <w:pStyle w:val="ECHRParaQuote"/>
      </w:pPr>
      <w:r w:rsidRPr="00BF3585">
        <w:t xml:space="preserve">“Every place used by the State or </w:t>
      </w:r>
      <w:r w:rsidRPr="00BF3585" w:rsidR="00B17470">
        <w:t xml:space="preserve">a </w:t>
      </w:r>
      <w:r w:rsidRPr="00BF3585">
        <w:t>State company (</w:t>
      </w:r>
      <w:r w:rsidRPr="00BF3585">
        <w:rPr>
          <w:i/>
        </w:rPr>
        <w:t>staatsbedrijf</w:t>
      </w:r>
      <w:r w:rsidRPr="00BF3585">
        <w:t xml:space="preserve">) may be designated out </w:t>
      </w:r>
      <w:r w:rsidRPr="00BF3585" w:rsidR="00B17470">
        <w:t xml:space="preserve">of </w:t>
      </w:r>
      <w:r w:rsidRPr="00BF3585">
        <w:t xml:space="preserve">bounds by Us [i.e. the Monarch, effectively the Minister </w:t>
      </w:r>
      <w:r w:rsidRPr="00BF3585" w:rsidR="00B17470">
        <w:t xml:space="preserve">of </w:t>
      </w:r>
      <w:r w:rsidRPr="00BF3585">
        <w:t>the Interior and Kingdom Relations (</w:t>
      </w:r>
      <w:r w:rsidRPr="00BF3585">
        <w:rPr>
          <w:i/>
        </w:rPr>
        <w:t>Minister v</w:t>
      </w:r>
      <w:r w:rsidRPr="00BF3585" w:rsidR="00B17470">
        <w:rPr>
          <w:i/>
        </w:rPr>
        <w:t xml:space="preserve">an </w:t>
      </w:r>
      <w:r w:rsidRPr="00BF3585">
        <w:rPr>
          <w:i/>
        </w:rPr>
        <w:t>Binnenlandse Zaken en Koninkrijksrelaties</w:t>
      </w:r>
      <w:r w:rsidRPr="00BF3585">
        <w:t>)] (</w:t>
      </w:r>
      <w:r w:rsidRPr="00BF3585">
        <w:rPr>
          <w:i/>
        </w:rPr>
        <w:t>k</w:t>
      </w:r>
      <w:r w:rsidRPr="00BF3585" w:rsidR="00B17470">
        <w:rPr>
          <w:i/>
        </w:rPr>
        <w:t xml:space="preserve">an </w:t>
      </w:r>
      <w:r w:rsidRPr="00BF3585">
        <w:rPr>
          <w:i/>
        </w:rPr>
        <w:t>door Ons als verboden plaats worden aangewezen</w:t>
      </w:r>
      <w:r w:rsidRPr="00BF3585">
        <w:t xml:space="preserve">) for the protection </w:t>
      </w:r>
      <w:r w:rsidRPr="00BF3585" w:rsidR="00B17470">
        <w:t xml:space="preserve">of </w:t>
      </w:r>
      <w:r w:rsidRPr="00BF3585">
        <w:t xml:space="preserve">information that needs to be kept secret in the interest </w:t>
      </w:r>
      <w:r w:rsidRPr="00BF3585" w:rsidR="00B17470">
        <w:t xml:space="preserve">of </w:t>
      </w:r>
      <w:r w:rsidRPr="00BF3585">
        <w:t>State security (</w:t>
      </w:r>
      <w:r w:rsidRPr="00BF3585">
        <w:rPr>
          <w:i/>
        </w:rPr>
        <w:t>waarv</w:t>
      </w:r>
      <w:r w:rsidRPr="00BF3585" w:rsidR="00B17470">
        <w:rPr>
          <w:i/>
        </w:rPr>
        <w:t xml:space="preserve">an </w:t>
      </w:r>
      <w:r w:rsidRPr="00BF3585">
        <w:rPr>
          <w:i/>
        </w:rPr>
        <w:t>de geheimhouding door het belang v</w:t>
      </w:r>
      <w:r w:rsidRPr="00BF3585" w:rsidR="00B17470">
        <w:rPr>
          <w:i/>
        </w:rPr>
        <w:t xml:space="preserve">an </w:t>
      </w:r>
      <w:r w:rsidRPr="00BF3585">
        <w:rPr>
          <w:i/>
        </w:rPr>
        <w:t>de veiligheid v</w:t>
      </w:r>
      <w:r w:rsidRPr="00BF3585" w:rsidR="00B17470">
        <w:rPr>
          <w:i/>
        </w:rPr>
        <w:t xml:space="preserve">an </w:t>
      </w:r>
      <w:r w:rsidRPr="00BF3585">
        <w:rPr>
          <w:i/>
        </w:rPr>
        <w:t>de Staat wordt geboden</w:t>
      </w:r>
      <w:r w:rsidRPr="00BF3585">
        <w:t>).”</w:t>
      </w:r>
    </w:p>
    <w:p w:rsidRPr="00BF3585" w:rsidR="00C6083D" w:rsidP="00BF3585" w:rsidRDefault="00BF3585">
      <w:pPr>
        <w:pStyle w:val="ECHRPara"/>
      </w:pPr>
      <w:fldSimple w:instr=" SEQ level0 \*arabic ">
        <w:r w:rsidRPr="00BF3585">
          <w:rPr>
            <w:noProof/>
          </w:rPr>
          <w:t>48</w:t>
        </w:r>
      </w:fldSimple>
      <w:r w:rsidRPr="00BF3585" w:rsidR="00C6083D">
        <w:t xml:space="preserve">.  Places designated out </w:t>
      </w:r>
      <w:r w:rsidRPr="00BF3585" w:rsidR="00B17470">
        <w:t xml:space="preserve">of </w:t>
      </w:r>
      <w:r w:rsidRPr="00BF3585" w:rsidR="00C6083D">
        <w:t>bounds by Royal Decree (</w:t>
      </w:r>
      <w:r w:rsidRPr="00BF3585" w:rsidR="00C6083D">
        <w:rPr>
          <w:i/>
        </w:rPr>
        <w:t>koninklijk</w:t>
      </w:r>
      <w:r w:rsidRPr="00BF3585" w:rsidR="00C6083D">
        <w:t xml:space="preserve"> </w:t>
      </w:r>
      <w:r w:rsidRPr="00BF3585" w:rsidR="00C6083D">
        <w:rPr>
          <w:i/>
        </w:rPr>
        <w:t xml:space="preserve">besluit) </w:t>
      </w:r>
      <w:r w:rsidRPr="00BF3585" w:rsidR="00C6083D">
        <w:t>pursuant to this provision include buildings used by the AIVD.</w:t>
      </w:r>
    </w:p>
    <w:p w:rsidRPr="00BF3585" w:rsidR="00C6083D" w:rsidP="00BF3585" w:rsidRDefault="00C6083D">
      <w:pPr>
        <w:pStyle w:val="ECHRHeading2"/>
      </w:pPr>
      <w:r w:rsidRPr="00BF3585">
        <w:t>E.  The Information specific to State service (Security) Order</w:t>
      </w:r>
    </w:p>
    <w:p w:rsidRPr="00BF3585" w:rsidR="00C6083D" w:rsidP="00BF3585" w:rsidRDefault="00BF3585">
      <w:pPr>
        <w:pStyle w:val="ECHRPara"/>
      </w:pPr>
      <w:fldSimple w:instr=" SEQ level0 \*arabic ">
        <w:r w:rsidRPr="00BF3585">
          <w:rPr>
            <w:noProof/>
          </w:rPr>
          <w:t>49</w:t>
        </w:r>
      </w:fldSimple>
      <w:r w:rsidRPr="00BF3585" w:rsidR="00C6083D">
        <w:t xml:space="preserve">.  Provisions </w:t>
      </w:r>
      <w:r w:rsidRPr="00BF3585" w:rsidR="00B17470">
        <w:t xml:space="preserve">of </w:t>
      </w:r>
      <w:r w:rsidRPr="00BF3585" w:rsidR="00C6083D">
        <w:t>the Information specific to State service (Security) Order (</w:t>
      </w:r>
      <w:r w:rsidRPr="00BF3585" w:rsidR="00C6083D">
        <w:rPr>
          <w:i/>
        </w:rPr>
        <w:t>Voorschrift informatiebeveiliging rijksdienst-bijzondere informatie</w:t>
      </w:r>
      <w:r w:rsidRPr="00BF3585" w:rsidR="00C6083D">
        <w:t>, also known domestically as “Vir-bi”) relevant to the case are the following:</w:t>
      </w:r>
    </w:p>
    <w:p w:rsidRPr="00BF3585" w:rsidR="00C6083D" w:rsidP="00BF3585" w:rsidRDefault="00C6083D">
      <w:pPr>
        <w:pStyle w:val="ECHRTitleCentre3"/>
      </w:pPr>
      <w:r w:rsidRPr="00BF3585">
        <w:t>Section 1</w:t>
      </w:r>
    </w:p>
    <w:p w:rsidRPr="00BF3585" w:rsidR="00C6083D" w:rsidP="00BF3585" w:rsidRDefault="00C6083D">
      <w:pPr>
        <w:pStyle w:val="ECHRParaQuote"/>
      </w:pPr>
      <w:r w:rsidRPr="00BF3585">
        <w:t>“In this Order:</w:t>
      </w:r>
    </w:p>
    <w:p w:rsidRPr="00BF3585" w:rsidR="00C6083D" w:rsidP="00BF3585" w:rsidRDefault="00BF3585">
      <w:pPr>
        <w:pStyle w:val="ECHRParaQuote"/>
      </w:pPr>
      <w:r w:rsidRPr="00BF3585">
        <w:t>‘</w:t>
      </w:r>
      <w:r w:rsidRPr="00BF3585" w:rsidR="00C6083D">
        <w:t>State secret</w:t>
      </w:r>
      <w:r w:rsidRPr="00BF3585">
        <w:t>’</w:t>
      </w:r>
      <w:r w:rsidRPr="00BF3585" w:rsidR="00C6083D">
        <w:t xml:space="preserve"> shall mean: specific knowledge which needs to be kept secret in the interest </w:t>
      </w:r>
      <w:r w:rsidRPr="00BF3585" w:rsidR="00B17470">
        <w:t xml:space="preserve">of </w:t>
      </w:r>
      <w:r w:rsidRPr="00BF3585" w:rsidR="00C6083D">
        <w:t>the State or its allies;</w:t>
      </w:r>
    </w:p>
    <w:p w:rsidRPr="00BF3585" w:rsidR="00C6083D" w:rsidP="00BF3585" w:rsidRDefault="00BF3585">
      <w:pPr>
        <w:pStyle w:val="ECHRParaQuote"/>
      </w:pPr>
      <w:r w:rsidRPr="00BF3585">
        <w:t>‘</w:t>
      </w:r>
      <w:r w:rsidRPr="00BF3585" w:rsidR="00C6083D">
        <w:t>Classify</w:t>
      </w:r>
      <w:r w:rsidRPr="00BF3585">
        <w:t>’</w:t>
      </w:r>
      <w:r w:rsidRPr="00BF3585" w:rsidR="00C6083D">
        <w:t xml:space="preserve"> shall mean: to establish and indicate that particular information (</w:t>
      </w:r>
      <w:r w:rsidRPr="00BF3585" w:rsidR="00C6083D">
        <w:rPr>
          <w:i/>
        </w:rPr>
        <w:t>een gegeven</w:t>
      </w:r>
      <w:r w:rsidRPr="00BF3585" w:rsidR="00C6083D">
        <w:t xml:space="preserve">) constitute specific information and to determine and indicate the level </w:t>
      </w:r>
      <w:r w:rsidRPr="00BF3585" w:rsidR="00B17470">
        <w:t xml:space="preserve">of </w:t>
      </w:r>
      <w:r w:rsidRPr="00BF3585" w:rsidR="00C6083D">
        <w:t>security to be assigned to this information.”</w:t>
      </w:r>
    </w:p>
    <w:p w:rsidRPr="00BF3585" w:rsidR="00C6083D" w:rsidP="00BF3585" w:rsidRDefault="00C6083D">
      <w:pPr>
        <w:pStyle w:val="ECHRTitleCentre3"/>
      </w:pPr>
      <w:r w:rsidRPr="00BF3585">
        <w:t>Section 5</w:t>
      </w:r>
    </w:p>
    <w:p w:rsidRPr="00BF3585" w:rsidR="00C6083D" w:rsidP="00BF3585" w:rsidRDefault="00C6083D">
      <w:pPr>
        <w:pStyle w:val="ECHRParaQuote"/>
      </w:pPr>
      <w:r w:rsidRPr="00BF3585">
        <w:t>“State secrets shall be classified as follows:</w:t>
      </w:r>
    </w:p>
    <w:p w:rsidRPr="00BF3585" w:rsidR="00C6083D" w:rsidP="00BF3585" w:rsidRDefault="00C6083D">
      <w:pPr>
        <w:pStyle w:val="ECHRParaQuote"/>
      </w:pPr>
      <w:r w:rsidRPr="00BF3585">
        <w:t>a.  State secret TOP SECRET (</w:t>
      </w:r>
      <w:r w:rsidRPr="00BF3585">
        <w:rPr>
          <w:i/>
        </w:rPr>
        <w:t>Stg. ZEER GEHEIM</w:t>
      </w:r>
      <w:r w:rsidRPr="00BF3585">
        <w:t xml:space="preserve">), if the interests </w:t>
      </w:r>
      <w:r w:rsidRPr="00BF3585" w:rsidR="00B17470">
        <w:t xml:space="preserve">of </w:t>
      </w:r>
      <w:r w:rsidRPr="00BF3585">
        <w:t>the State or its allies c</w:t>
      </w:r>
      <w:r w:rsidRPr="00BF3585" w:rsidR="00B17470">
        <w:t xml:space="preserve">an </w:t>
      </w:r>
      <w:r w:rsidRPr="00BF3585">
        <w:t>be very seriously harmed should unauthorised persons take cognisance thereof;</w:t>
      </w:r>
    </w:p>
    <w:p w:rsidRPr="00BF3585" w:rsidR="00C6083D" w:rsidP="00BF3585" w:rsidRDefault="00C6083D">
      <w:pPr>
        <w:pStyle w:val="ECHRParaQuote"/>
      </w:pPr>
      <w:r w:rsidRPr="00BF3585">
        <w:t>b.  State secret SECRET (</w:t>
      </w:r>
      <w:r w:rsidRPr="00BF3585">
        <w:rPr>
          <w:i/>
        </w:rPr>
        <w:t>Stg. GEHEIM</w:t>
      </w:r>
      <w:r w:rsidRPr="00BF3585">
        <w:t xml:space="preserve">), if the interests </w:t>
      </w:r>
      <w:r w:rsidRPr="00BF3585" w:rsidR="00B17470">
        <w:t xml:space="preserve">of </w:t>
      </w:r>
      <w:r w:rsidRPr="00BF3585">
        <w:t>the State or its allies c</w:t>
      </w:r>
      <w:r w:rsidRPr="00BF3585" w:rsidR="00B17470">
        <w:t xml:space="preserve">an </w:t>
      </w:r>
      <w:r w:rsidRPr="00BF3585">
        <w:t>be seriously harmed should unauthorised persons take cognisance thereof;</w:t>
      </w:r>
    </w:p>
    <w:p w:rsidRPr="00BF3585" w:rsidR="00C6083D" w:rsidP="00BF3585" w:rsidRDefault="00C6083D">
      <w:pPr>
        <w:pStyle w:val="ECHRParaQuote"/>
      </w:pPr>
      <w:r w:rsidRPr="00BF3585">
        <w:t>c.  State secret CONFIDENTIAL (</w:t>
      </w:r>
      <w:r w:rsidRPr="00BF3585">
        <w:rPr>
          <w:i/>
        </w:rPr>
        <w:t>Stg. CONFIDENTIEEL</w:t>
      </w:r>
      <w:r w:rsidRPr="00BF3585">
        <w:t xml:space="preserve">), if the interests </w:t>
      </w:r>
      <w:r w:rsidRPr="00BF3585" w:rsidR="00B17470">
        <w:t xml:space="preserve">of </w:t>
      </w:r>
      <w:r w:rsidRPr="00BF3585">
        <w:t>the State or its allies c</w:t>
      </w:r>
      <w:r w:rsidRPr="00BF3585" w:rsidR="00B17470">
        <w:t xml:space="preserve">an </w:t>
      </w:r>
      <w:r w:rsidRPr="00BF3585">
        <w:t>be harmed should unauthorised persons take cognisance thereof.”</w:t>
      </w:r>
    </w:p>
    <w:p w:rsidRPr="00BF3585" w:rsidR="00C6083D" w:rsidP="00BF3585" w:rsidRDefault="00C6083D">
      <w:pPr>
        <w:pStyle w:val="ECHRHeading2"/>
      </w:pPr>
      <w:r w:rsidRPr="00BF3585">
        <w:t xml:space="preserve">F.  Classification </w:t>
      </w:r>
      <w:r w:rsidRPr="00BF3585" w:rsidR="00B17470">
        <w:t xml:space="preserve">of </w:t>
      </w:r>
      <w:r w:rsidRPr="00BF3585">
        <w:t xml:space="preserve">the identity </w:t>
      </w:r>
      <w:r w:rsidRPr="00BF3585" w:rsidR="00B17470">
        <w:t xml:space="preserve">of </w:t>
      </w:r>
      <w:r w:rsidRPr="00BF3585">
        <w:t>AIVD staff members</w:t>
      </w:r>
    </w:p>
    <w:p w:rsidRPr="00BF3585" w:rsidR="00C6083D" w:rsidP="00BF3585" w:rsidRDefault="00BF3585">
      <w:pPr>
        <w:pStyle w:val="ECHRPara"/>
      </w:pPr>
      <w:fldSimple w:instr=" SEQ level0 \*arabic ">
        <w:r w:rsidRPr="00BF3585">
          <w:rPr>
            <w:noProof/>
          </w:rPr>
          <w:t>50</w:t>
        </w:r>
      </w:fldSimple>
      <w:r w:rsidRPr="00BF3585" w:rsidR="00C6083D">
        <w:t xml:space="preserve">.  It is reflected in the drafting history </w:t>
      </w:r>
      <w:r w:rsidRPr="00BF3585" w:rsidR="00B17470">
        <w:t xml:space="preserve">of </w:t>
      </w:r>
      <w:r w:rsidRPr="00BF3585" w:rsidR="00C6083D">
        <w:t xml:space="preserve">the 2002 Intelligence and Security Services Act (Parliamentary Documents, Lower House </w:t>
      </w:r>
      <w:r w:rsidRPr="00BF3585" w:rsidR="00B17470">
        <w:t xml:space="preserve">of </w:t>
      </w:r>
      <w:r w:rsidRPr="00BF3585" w:rsidR="00C6083D">
        <w:t>Parliament (</w:t>
      </w:r>
      <w:r w:rsidRPr="00BF3585" w:rsidR="00C6083D">
        <w:rPr>
          <w:i/>
        </w:rPr>
        <w:t>Kamerstukken II</w:t>
      </w:r>
      <w:r w:rsidRPr="00BF3585" w:rsidR="00C6083D">
        <w:t>) 1997-98, 25877, no. 3 (Explanatory Memorandum (</w:t>
      </w:r>
      <w:r w:rsidRPr="00BF3585" w:rsidR="00C6083D">
        <w:rPr>
          <w:i/>
        </w:rPr>
        <w:t>Memorie v</w:t>
      </w:r>
      <w:r w:rsidRPr="00BF3585" w:rsidR="00B17470">
        <w:rPr>
          <w:i/>
        </w:rPr>
        <w:t xml:space="preserve">an </w:t>
      </w:r>
      <w:r w:rsidRPr="00BF3585" w:rsidR="00C6083D">
        <w:rPr>
          <w:i/>
        </w:rPr>
        <w:t>Toelichting</w:t>
      </w:r>
      <w:r w:rsidRPr="00BF3585" w:rsidR="00C6083D">
        <w:t xml:space="preserve">), page 93) that the identity </w:t>
      </w:r>
      <w:r w:rsidRPr="00BF3585" w:rsidR="00B17470">
        <w:t xml:space="preserve">of </w:t>
      </w:r>
      <w:r w:rsidRPr="00BF3585" w:rsidR="00C6083D">
        <w:t>AIVD staff may, depending on the circumstances, be State secret.</w:t>
      </w:r>
    </w:p>
    <w:p w:rsidRPr="00BF3585" w:rsidR="00C6083D" w:rsidP="00BF3585" w:rsidRDefault="00C6083D">
      <w:pPr>
        <w:pStyle w:val="ECHRTitle1"/>
        <w:rPr>
          <w:lang w:val="en-GB"/>
        </w:rPr>
      </w:pPr>
      <w:r w:rsidRPr="00BF3585">
        <w:rPr>
          <w:lang w:val="en-GB"/>
        </w:rPr>
        <w:t>THE LAW</w:t>
      </w:r>
    </w:p>
    <w:p w:rsidRPr="00BF3585" w:rsidR="00C6083D" w:rsidP="00BF3585" w:rsidRDefault="00C6083D">
      <w:pPr>
        <w:pStyle w:val="ECHRHeading1"/>
        <w:rPr>
          <w:lang w:val="en-GB"/>
        </w:rPr>
      </w:pPr>
      <w:r w:rsidRPr="00BF3585">
        <w:rPr>
          <w:lang w:val="en-GB"/>
        </w:rPr>
        <w:t xml:space="preserve">I.  ALLEGED VIOLATION </w:t>
      </w:r>
      <w:r w:rsidRPr="00BF3585" w:rsidR="00B17470">
        <w:rPr>
          <w:lang w:val="en-GB"/>
        </w:rPr>
        <w:t xml:space="preserve">OF </w:t>
      </w:r>
      <w:r w:rsidRPr="00BF3585">
        <w:rPr>
          <w:lang w:val="en-GB"/>
        </w:rPr>
        <w:t xml:space="preserve">ARTICLE 6 </w:t>
      </w:r>
      <w:r w:rsidRPr="00BF3585" w:rsidR="00B17470">
        <w:rPr>
          <w:lang w:val="en-GB"/>
        </w:rPr>
        <w:t xml:space="preserve">OF </w:t>
      </w:r>
      <w:r w:rsidRPr="00BF3585">
        <w:rPr>
          <w:lang w:val="en-GB"/>
        </w:rPr>
        <w:t>THE CONVENTION</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51</w:t>
      </w:r>
      <w:r w:rsidRPr="00BF3585">
        <w:rPr>
          <w:lang w:val="en-GB"/>
        </w:rPr>
        <w:fldChar w:fldCharType="end"/>
      </w:r>
      <w:r w:rsidRPr="00BF3585">
        <w:rPr>
          <w:lang w:val="en-GB"/>
        </w:rPr>
        <w:t xml:space="preserve">.  The applicant complained that the criminal proceedings against him were unfair in that the AIVD </w:t>
      </w:r>
      <w:r w:rsidRPr="00BF3585" w:rsidR="005979E0">
        <w:rPr>
          <w:lang w:val="en-GB"/>
        </w:rPr>
        <w:t xml:space="preserve">had </w:t>
      </w:r>
      <w:r w:rsidRPr="00BF3585">
        <w:rPr>
          <w:lang w:val="en-GB"/>
        </w:rPr>
        <w:t>exercised decisive control over the evidence, restricting his and the domestic courts</w:t>
      </w:r>
      <w:r w:rsidRPr="00BF3585" w:rsidR="00BF3585">
        <w:rPr>
          <w:lang w:val="en-GB"/>
        </w:rPr>
        <w:t>’</w:t>
      </w:r>
      <w:r w:rsidRPr="00BF3585">
        <w:rPr>
          <w:lang w:val="en-GB"/>
        </w:rPr>
        <w:t xml:space="preserve"> access to it and controlling its use, and preventing him from instructing his defence counsel</w:t>
      </w:r>
      <w:r w:rsidRPr="00BF3585">
        <w:t xml:space="preserve"> </w:t>
      </w:r>
      <w:r w:rsidRPr="00BF3585">
        <w:rPr>
          <w:lang w:val="en-GB"/>
        </w:rPr>
        <w:t>effectively</w:t>
      </w:r>
      <w:r w:rsidRPr="00BF3585" w:rsidR="00B17470">
        <w:rPr>
          <w:lang w:val="en-GB"/>
        </w:rPr>
        <w:t xml:space="preserve">. He </w:t>
      </w:r>
      <w:r w:rsidRPr="00BF3585">
        <w:rPr>
          <w:lang w:val="en-GB"/>
        </w:rPr>
        <w:t xml:space="preserve">alleged violations </w:t>
      </w:r>
      <w:r w:rsidRPr="00BF3585" w:rsidR="00B17470">
        <w:rPr>
          <w:lang w:val="en-GB"/>
        </w:rPr>
        <w:t xml:space="preserve">of </w:t>
      </w:r>
      <w:r w:rsidRPr="00BF3585">
        <w:rPr>
          <w:lang w:val="en-GB"/>
        </w:rPr>
        <w:t>Article 6 §§ 1 and 3 (</w:t>
      </w:r>
      <w:r w:rsidRPr="00BF3585" w:rsidR="005979E0">
        <w:rPr>
          <w:lang w:val="en-GB"/>
        </w:rPr>
        <w:t xml:space="preserve">b), (c) and (d), which provide </w:t>
      </w:r>
      <w:r w:rsidRPr="00BF3585">
        <w:rPr>
          <w:lang w:val="en-GB"/>
        </w:rPr>
        <w:t>as follows:</w:t>
      </w:r>
    </w:p>
    <w:p w:rsidRPr="00BF3585" w:rsidR="00C6083D" w:rsidP="00BF3585" w:rsidRDefault="00C6083D">
      <w:pPr>
        <w:pStyle w:val="ECHRParaQuote"/>
      </w:pPr>
      <w:r w:rsidRPr="00BF3585">
        <w:t xml:space="preserve">“1.  In the determination </w:t>
      </w:r>
      <w:r w:rsidRPr="00BF3585" w:rsidR="00B17470">
        <w:t xml:space="preserve">of </w:t>
      </w:r>
      <w:r w:rsidRPr="00BF3585">
        <w:t xml:space="preserve">... any criminal charge against him, everyone is entitled to </w:t>
      </w:r>
      <w:r w:rsidRPr="00BF3585" w:rsidR="00B17470">
        <w:t xml:space="preserve">a </w:t>
      </w:r>
      <w:r w:rsidRPr="00BF3585">
        <w:t xml:space="preserve">fair and public hearing within </w:t>
      </w:r>
      <w:r w:rsidRPr="00BF3585" w:rsidR="00B17470">
        <w:t xml:space="preserve">a </w:t>
      </w:r>
      <w:r w:rsidRPr="00BF3585">
        <w:t xml:space="preserve">reasonable time by </w:t>
      </w:r>
      <w:r w:rsidRPr="00BF3585" w:rsidR="00B17470">
        <w:t xml:space="preserve">an </w:t>
      </w:r>
      <w:r w:rsidRPr="00BF3585">
        <w:t xml:space="preserve">independent and impartial tribunal established by law. Judgment shall be pronounced publicly but the press and public may be excluded from all or part </w:t>
      </w:r>
      <w:r w:rsidRPr="00BF3585" w:rsidR="00B17470">
        <w:t xml:space="preserve">of </w:t>
      </w:r>
      <w:r w:rsidRPr="00BF3585">
        <w:t xml:space="preserve">the trial in the interests </w:t>
      </w:r>
      <w:r w:rsidRPr="00BF3585" w:rsidR="00B17470">
        <w:t xml:space="preserve">of </w:t>
      </w:r>
      <w:r w:rsidRPr="00BF3585">
        <w:t xml:space="preserve">morals, public order or national security in </w:t>
      </w:r>
      <w:r w:rsidRPr="00BF3585" w:rsidR="00B17470">
        <w:t xml:space="preserve">a </w:t>
      </w:r>
      <w:r w:rsidRPr="00BF3585">
        <w:t xml:space="preserve">democratic society, where the interests </w:t>
      </w:r>
      <w:r w:rsidRPr="00BF3585" w:rsidR="00B17470">
        <w:t xml:space="preserve">of </w:t>
      </w:r>
      <w:r w:rsidRPr="00BF3585">
        <w:t xml:space="preserve">juveniles or the protection </w:t>
      </w:r>
      <w:r w:rsidRPr="00BF3585" w:rsidR="00B17470">
        <w:t xml:space="preserve">of </w:t>
      </w:r>
      <w:r w:rsidRPr="00BF3585">
        <w:t xml:space="preserve">the private life </w:t>
      </w:r>
      <w:r w:rsidRPr="00BF3585" w:rsidR="00B17470">
        <w:t xml:space="preserve">of </w:t>
      </w:r>
      <w:r w:rsidRPr="00BF3585">
        <w:t xml:space="preserve">the parties so require, or to the extent strictly necessary in the opinion </w:t>
      </w:r>
      <w:r w:rsidRPr="00BF3585" w:rsidR="00B17470">
        <w:t xml:space="preserve">of </w:t>
      </w:r>
      <w:r w:rsidRPr="00BF3585">
        <w:t xml:space="preserve">the court in special circumstances where publicity would prejudice the interests </w:t>
      </w:r>
      <w:r w:rsidRPr="00BF3585" w:rsidR="00B17470">
        <w:t xml:space="preserve">of </w:t>
      </w:r>
      <w:r w:rsidRPr="00BF3585">
        <w:t>justice.</w:t>
      </w:r>
    </w:p>
    <w:p w:rsidRPr="00BF3585" w:rsidR="00C6083D" w:rsidP="00BF3585" w:rsidRDefault="00C6083D">
      <w:pPr>
        <w:pStyle w:val="ECHRParaQuote"/>
      </w:pPr>
      <w:r w:rsidRPr="00BF3585">
        <w:t>...</w:t>
      </w:r>
    </w:p>
    <w:p w:rsidRPr="00BF3585" w:rsidR="00C6083D" w:rsidP="00BF3585" w:rsidRDefault="00C6083D">
      <w:pPr>
        <w:pStyle w:val="ECHRParaQuote"/>
      </w:pPr>
      <w:r w:rsidRPr="00BF3585">
        <w:t xml:space="preserve">3.  Everyone charged with </w:t>
      </w:r>
      <w:r w:rsidRPr="00BF3585" w:rsidR="00B17470">
        <w:t xml:space="preserve">a </w:t>
      </w:r>
      <w:r w:rsidRPr="00BF3585">
        <w:t>criminal offence has the following minimum rights:</w:t>
      </w:r>
    </w:p>
    <w:p w:rsidRPr="00BF3585" w:rsidR="00C6083D" w:rsidP="00BF3585" w:rsidRDefault="00C6083D">
      <w:pPr>
        <w:pStyle w:val="ECHRParaQuote"/>
      </w:pPr>
      <w:r w:rsidRPr="00BF3585">
        <w:t>...</w:t>
      </w:r>
    </w:p>
    <w:p w:rsidRPr="00BF3585" w:rsidR="00C6083D" w:rsidP="00BF3585" w:rsidRDefault="00C6083D">
      <w:pPr>
        <w:pStyle w:val="ECHRParaQuote"/>
      </w:pPr>
      <w:r w:rsidRPr="00BF3585">
        <w:t xml:space="preserve">(b)  to have adequate time and facilities for the preparation </w:t>
      </w:r>
      <w:r w:rsidRPr="00BF3585" w:rsidR="00B17470">
        <w:t xml:space="preserve">of </w:t>
      </w:r>
      <w:r w:rsidRPr="00BF3585">
        <w:t>his defence;</w:t>
      </w:r>
    </w:p>
    <w:p w:rsidRPr="00BF3585" w:rsidR="00C6083D" w:rsidP="00BF3585" w:rsidRDefault="00C6083D">
      <w:pPr>
        <w:pStyle w:val="ECHRParaQuote"/>
      </w:pPr>
      <w:r w:rsidRPr="00BF3585">
        <w:t xml:space="preserve">(c)  to defend himself in person or through legal assistance </w:t>
      </w:r>
      <w:r w:rsidRPr="00BF3585" w:rsidR="00B17470">
        <w:t xml:space="preserve">of </w:t>
      </w:r>
      <w:r w:rsidRPr="00BF3585">
        <w:t xml:space="preserve">his own choosing or, if he has not sufficient means to pay for legal assistance, to be given it free when the interests </w:t>
      </w:r>
      <w:r w:rsidRPr="00BF3585" w:rsidR="00B17470">
        <w:t xml:space="preserve">of </w:t>
      </w:r>
      <w:r w:rsidRPr="00BF3585">
        <w:t>justice so require;</w:t>
      </w:r>
    </w:p>
    <w:p w:rsidRPr="00BF3585" w:rsidR="00C6083D" w:rsidP="00BF3585" w:rsidRDefault="00C6083D">
      <w:pPr>
        <w:pStyle w:val="ECHRParaQuote"/>
      </w:pPr>
      <w:r w:rsidRPr="00BF3585">
        <w:t xml:space="preserve">(d)  to examine or have examined witnesses against him and to obtain the attendance and examination </w:t>
      </w:r>
      <w:r w:rsidRPr="00BF3585" w:rsidR="00B17470">
        <w:t xml:space="preserve">of </w:t>
      </w:r>
      <w:r w:rsidRPr="00BF3585">
        <w:t>witnesses on his behalf under the same conditions as witnesses against him; ...”</w:t>
      </w:r>
    </w:p>
    <w:p w:rsidRPr="00BF3585" w:rsidR="00C6083D" w:rsidP="00BF3585" w:rsidRDefault="00BF3585">
      <w:pPr>
        <w:pStyle w:val="ECHRPara"/>
      </w:pPr>
      <w:fldSimple w:instr=" SEQ level0 \*arabic ">
        <w:r w:rsidRPr="00BF3585">
          <w:rPr>
            <w:noProof/>
          </w:rPr>
          <w:t>52</w:t>
        </w:r>
      </w:fldSimple>
      <w:r w:rsidRPr="00BF3585" w:rsidR="00C6083D">
        <w:t>.  The Government disputed this.</w:t>
      </w:r>
    </w:p>
    <w:p w:rsidRPr="00BF3585" w:rsidR="00C6083D" w:rsidP="00BF3585" w:rsidRDefault="00BF3585">
      <w:pPr>
        <w:pStyle w:val="ECHRPara"/>
      </w:pPr>
      <w:fldSimple w:instr=" SEQ level0 \*arabic ">
        <w:r w:rsidRPr="00BF3585">
          <w:rPr>
            <w:noProof/>
          </w:rPr>
          <w:t>53</w:t>
        </w:r>
      </w:fldSimple>
      <w:r w:rsidRPr="00BF3585" w:rsidR="00C6083D">
        <w:t>.  The applicant</w:t>
      </w:r>
      <w:r w:rsidRPr="00BF3585">
        <w:t>’</w:t>
      </w:r>
      <w:r w:rsidRPr="00BF3585" w:rsidR="00C6083D">
        <w:t xml:space="preserve">s complaints concern the redacting </w:t>
      </w:r>
      <w:r w:rsidRPr="00BF3585" w:rsidR="00B17470">
        <w:t xml:space="preserve">of </w:t>
      </w:r>
      <w:r w:rsidRPr="00BF3585" w:rsidR="00C6083D">
        <w:t xml:space="preserve">certain documents and the alleged withholding </w:t>
      </w:r>
      <w:r w:rsidRPr="00BF3585" w:rsidR="00B17470">
        <w:t xml:space="preserve">of </w:t>
      </w:r>
      <w:r w:rsidRPr="00BF3585" w:rsidR="00C6083D">
        <w:t>others; the restrictions on the applicant</w:t>
      </w:r>
      <w:r w:rsidRPr="00BF3585">
        <w:t>’</w:t>
      </w:r>
      <w:r w:rsidRPr="00BF3585" w:rsidR="00C6083D">
        <w:t xml:space="preserve">s right to give information and instructions to counsel; the refusal to allow the applicant to state the names </w:t>
      </w:r>
      <w:r w:rsidRPr="00BF3585" w:rsidR="00B17470">
        <w:t xml:space="preserve">of </w:t>
      </w:r>
      <w:r w:rsidRPr="00BF3585" w:rsidR="00C6083D">
        <w:t xml:space="preserve">AIVD members to the Court </w:t>
      </w:r>
      <w:r w:rsidRPr="00BF3585" w:rsidR="00B17470">
        <w:t xml:space="preserve">of </w:t>
      </w:r>
      <w:r w:rsidRPr="00BF3585" w:rsidR="00C6083D">
        <w:t>Appeal; the conditions under which certain AIVD members were heard as witnesses; and the refusal to call certain other AIVD members as defence witnesses.</w:t>
      </w:r>
    </w:p>
    <w:p w:rsidRPr="00BF3585" w:rsidR="00C6083D" w:rsidP="00BF3585" w:rsidRDefault="00C6083D">
      <w:pPr>
        <w:pStyle w:val="ECHRHeading2"/>
        <w:rPr>
          <w:lang w:val="en-GB"/>
        </w:rPr>
      </w:pPr>
      <w:r w:rsidRPr="00BF3585">
        <w:rPr>
          <w:lang w:val="en-GB"/>
        </w:rPr>
        <w:t>A.  Admissibility</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54</w:t>
      </w:r>
      <w:r w:rsidRPr="00BF3585">
        <w:rPr>
          <w:lang w:val="en-GB"/>
        </w:rPr>
        <w:fldChar w:fldCharType="end"/>
      </w:r>
      <w:r w:rsidRPr="00BF3585">
        <w:rPr>
          <w:lang w:val="en-GB"/>
        </w:rPr>
        <w:t xml:space="preserve">.  The Court notes that these complaints are not manifestly ill-founded within the meaning </w:t>
      </w:r>
      <w:r w:rsidRPr="00BF3585" w:rsidR="00B17470">
        <w:rPr>
          <w:lang w:val="en-GB"/>
        </w:rPr>
        <w:t xml:space="preserve">of </w:t>
      </w:r>
      <w:r w:rsidRPr="00BF3585">
        <w:rPr>
          <w:lang w:val="en-GB"/>
        </w:rPr>
        <w:t xml:space="preserve">Article 35 § 3 (a) </w:t>
      </w:r>
      <w:r w:rsidRPr="00BF3585" w:rsidR="00B17470">
        <w:rPr>
          <w:lang w:val="en-GB"/>
        </w:rPr>
        <w:t xml:space="preserve">of </w:t>
      </w:r>
      <w:r w:rsidRPr="00BF3585">
        <w:rPr>
          <w:lang w:val="en-GB"/>
        </w:rPr>
        <w:t>the Convention. It further notes that they are not inadmissible on any other grounds. They must therefore be declared admissible.</w:t>
      </w:r>
    </w:p>
    <w:p w:rsidRPr="00BF3585" w:rsidR="00C6083D" w:rsidP="00BF3585" w:rsidRDefault="00C6083D">
      <w:pPr>
        <w:pStyle w:val="ECHRHeading2"/>
        <w:rPr>
          <w:lang w:val="en-GB"/>
        </w:rPr>
      </w:pPr>
      <w:r w:rsidRPr="00BF3585">
        <w:rPr>
          <w:lang w:val="en-GB"/>
        </w:rPr>
        <w:t>B.  Merits</w:t>
      </w:r>
    </w:p>
    <w:p w:rsidRPr="00BF3585" w:rsidR="00C6083D" w:rsidP="00BF3585" w:rsidRDefault="00C6083D">
      <w:pPr>
        <w:pStyle w:val="ECHRHeading3"/>
        <w:rPr>
          <w:lang w:val="en-GB"/>
        </w:rPr>
      </w:pPr>
      <w:r w:rsidRPr="00BF3585">
        <w:rPr>
          <w:lang w:val="en-GB"/>
        </w:rPr>
        <w:t>1.  General</w:t>
      </w:r>
    </w:p>
    <w:p w:rsidRPr="00BF3585" w:rsidR="00C6083D" w:rsidP="00BF3585" w:rsidRDefault="00C6083D">
      <w:pPr>
        <w:pStyle w:val="ECHRPara"/>
        <w:rPr>
          <w:i/>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55</w:t>
      </w:r>
      <w:r w:rsidRPr="00BF3585">
        <w:rPr>
          <w:lang w:val="en-GB"/>
        </w:rPr>
        <w:fldChar w:fldCharType="end"/>
      </w:r>
      <w:r w:rsidRPr="00BF3585">
        <w:rPr>
          <w:lang w:val="en-GB"/>
        </w:rPr>
        <w:t>.  </w:t>
      </w:r>
      <w:r w:rsidRPr="00BF3585">
        <w:t xml:space="preserve">As the Court has held many times, the requirements </w:t>
      </w:r>
      <w:r w:rsidRPr="00BF3585" w:rsidR="00B17470">
        <w:t xml:space="preserve">of </w:t>
      </w:r>
      <w:r w:rsidRPr="00BF3585">
        <w:t xml:space="preserve">Article 6 § 3 are to be seen as particular aspects </w:t>
      </w:r>
      <w:r w:rsidRPr="00BF3585" w:rsidR="00B17470">
        <w:t xml:space="preserve">of </w:t>
      </w:r>
      <w:r w:rsidRPr="00BF3585">
        <w:t xml:space="preserve">the right to </w:t>
      </w:r>
      <w:r w:rsidRPr="00BF3585" w:rsidR="00B17470">
        <w:t xml:space="preserve">a </w:t>
      </w:r>
      <w:r w:rsidRPr="00BF3585">
        <w:t xml:space="preserve">fair trial guaranteed by Article 6 § 1 (see, among many other authorities, </w:t>
      </w:r>
      <w:r w:rsidRPr="00BF3585">
        <w:rPr>
          <w:i/>
          <w:lang w:val="en-GB"/>
        </w:rPr>
        <w:t>Sakhnovskiy v. Russi</w:t>
      </w:r>
      <w:r w:rsidRPr="00BF3585" w:rsidR="00B17470">
        <w:rPr>
          <w:i/>
          <w:lang w:val="en-GB"/>
        </w:rPr>
        <w:t xml:space="preserve">a </w:t>
      </w:r>
      <w:r w:rsidRPr="00BF3585">
        <w:rPr>
          <w:lang w:val="en-GB"/>
        </w:rPr>
        <w:t>[GC], no. 21272/03</w:t>
      </w:r>
      <w:r w:rsidRPr="00BF3585">
        <w:rPr>
          <w:szCs w:val="24"/>
          <w:lang w:val="en-GB"/>
        </w:rPr>
        <w:t>, § 94, 2</w:t>
      </w:r>
      <w:r w:rsidRPr="00BF3585">
        <w:rPr>
          <w:snapToGrid w:val="0"/>
          <w:szCs w:val="24"/>
          <w:lang w:val="en-GB"/>
        </w:rPr>
        <w:t xml:space="preserve"> </w:t>
      </w:r>
      <w:r w:rsidRPr="00BF3585">
        <w:rPr>
          <w:szCs w:val="24"/>
          <w:lang w:val="en-GB"/>
        </w:rPr>
        <w:t xml:space="preserve">November </w:t>
      </w:r>
      <w:r w:rsidRPr="00BF3585">
        <w:rPr>
          <w:snapToGrid w:val="0"/>
          <w:szCs w:val="24"/>
          <w:lang w:val="en-GB"/>
        </w:rPr>
        <w:t xml:space="preserve">2010, and </w:t>
      </w:r>
      <w:r w:rsidRPr="00BF3585">
        <w:rPr>
          <w:i/>
        </w:rPr>
        <w:t xml:space="preserve">Schatschaschwili v. Germany </w:t>
      </w:r>
      <w:r w:rsidRPr="00BF3585">
        <w:t>[GC], no. 9154/10, § 100, ECHR 2015</w:t>
      </w:r>
      <w:r w:rsidRPr="00BF3585">
        <w:rPr>
          <w:snapToGrid w:val="0"/>
          <w:szCs w:val="24"/>
          <w:lang w:val="en-GB"/>
        </w:rPr>
        <w: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56</w:t>
      </w:r>
      <w:r w:rsidRPr="00BF3585">
        <w:rPr>
          <w:lang w:val="en-GB"/>
        </w:rPr>
        <w:fldChar w:fldCharType="end"/>
      </w:r>
      <w:r w:rsidRPr="00BF3585">
        <w:rPr>
          <w:lang w:val="en-GB"/>
        </w:rPr>
        <w:t xml:space="preserve">.  The right to </w:t>
      </w:r>
      <w:r w:rsidRPr="00BF3585" w:rsidR="00B17470">
        <w:rPr>
          <w:lang w:val="en-GB"/>
        </w:rPr>
        <w:t xml:space="preserve">a </w:t>
      </w:r>
      <w:r w:rsidRPr="00BF3585">
        <w:rPr>
          <w:lang w:val="en-GB"/>
        </w:rPr>
        <w:t xml:space="preserve">fair trial under Article 6 § 1 is </w:t>
      </w:r>
      <w:r w:rsidRPr="00BF3585" w:rsidR="00B17470">
        <w:rPr>
          <w:lang w:val="en-GB"/>
        </w:rPr>
        <w:t xml:space="preserve">an </w:t>
      </w:r>
      <w:r w:rsidRPr="00BF3585">
        <w:rPr>
          <w:lang w:val="en-GB"/>
        </w:rPr>
        <w:t xml:space="preserve">unqualified right. However, what constitutes </w:t>
      </w:r>
      <w:r w:rsidRPr="00BF3585" w:rsidR="00B17470">
        <w:rPr>
          <w:lang w:val="en-GB"/>
        </w:rPr>
        <w:t xml:space="preserve">a </w:t>
      </w:r>
      <w:r w:rsidRPr="00BF3585">
        <w:rPr>
          <w:lang w:val="en-GB"/>
        </w:rPr>
        <w:t xml:space="preserve">fair trial cannot be the subject </w:t>
      </w:r>
      <w:r w:rsidRPr="00BF3585" w:rsidR="00B17470">
        <w:rPr>
          <w:lang w:val="en-GB"/>
        </w:rPr>
        <w:t xml:space="preserve">of a </w:t>
      </w:r>
      <w:r w:rsidRPr="00BF3585">
        <w:rPr>
          <w:lang w:val="en-GB"/>
        </w:rPr>
        <w:t xml:space="preserve">single unvarying rule but must depend on the circumstances </w:t>
      </w:r>
      <w:r w:rsidRPr="00BF3585" w:rsidR="00B17470">
        <w:rPr>
          <w:lang w:val="en-GB"/>
        </w:rPr>
        <w:t xml:space="preserve">of </w:t>
      </w:r>
      <w:r w:rsidRPr="00BF3585">
        <w:rPr>
          <w:lang w:val="en-GB"/>
        </w:rPr>
        <w:t>the particular case. The Court</w:t>
      </w:r>
      <w:r w:rsidRPr="00BF3585" w:rsidR="00BF3585">
        <w:rPr>
          <w:rFonts w:ascii="Times New Roman" w:hAnsi="Times New Roman" w:cs="Times New Roman"/>
          <w:lang w:val="en-GB"/>
        </w:rPr>
        <w:t>’</w:t>
      </w:r>
      <w:r w:rsidRPr="00BF3585">
        <w:rPr>
          <w:lang w:val="en-GB"/>
        </w:rPr>
        <w:t xml:space="preserve">s primary concern under Article 6 </w:t>
      </w:r>
      <w:r w:rsidRPr="00BF3585">
        <w:rPr>
          <w:rFonts w:ascii="Times New Roman" w:hAnsi="Times New Roman" w:cs="Times New Roman"/>
          <w:lang w:val="en-GB"/>
        </w:rPr>
        <w:t>§</w:t>
      </w:r>
      <w:r w:rsidRPr="00BF3585">
        <w:rPr>
          <w:lang w:val="en-GB"/>
        </w:rPr>
        <w:t xml:space="preserve"> 1 is to evaluate the overall fairness </w:t>
      </w:r>
      <w:r w:rsidRPr="00BF3585" w:rsidR="00B17470">
        <w:rPr>
          <w:lang w:val="en-GB"/>
        </w:rPr>
        <w:t xml:space="preserve">of </w:t>
      </w:r>
      <w:r w:rsidRPr="00BF3585">
        <w:rPr>
          <w:lang w:val="en-GB"/>
        </w:rPr>
        <w:t>the criminal proceedings (</w:t>
      </w:r>
      <w:r w:rsidRPr="00BF3585" w:rsidR="00B17470">
        <w:rPr>
          <w:lang w:val="en-GB"/>
        </w:rPr>
        <w:t xml:space="preserve">see </w:t>
      </w:r>
      <w:r w:rsidRPr="00BF3585">
        <w:rPr>
          <w:i/>
          <w:snapToGrid w:val="0"/>
        </w:rPr>
        <w:t xml:space="preserve">Ibrahim and Others v. the United Kingdom </w:t>
      </w:r>
      <w:r w:rsidRPr="00BF3585">
        <w:rPr>
          <w:snapToGrid w:val="0"/>
        </w:rPr>
        <w:t xml:space="preserve">[GC], nos. 50541/08, 50571/08, 50573/08 and 40351/09, § 250, </w:t>
      </w:r>
      <w:r w:rsidRPr="00BF3585">
        <w:t>ECHR</w:t>
      </w:r>
      <w:r w:rsidRPr="00BF3585">
        <w:rPr>
          <w:snapToGrid w:val="0"/>
        </w:rPr>
        <w:t xml:space="preserve"> 2016, with further references)</w:t>
      </w:r>
      <w:r w:rsidRPr="00BF3585">
        <w:rPr>
          <w:lang w:val="en-GB"/>
        </w:rPr>
        <w:t>.</w:t>
      </w:r>
    </w:p>
    <w:p w:rsidRPr="00BF3585" w:rsidR="00C6083D" w:rsidP="00BF3585" w:rsidRDefault="00C6083D">
      <w:pPr>
        <w:pStyle w:val="ECHRHeading3"/>
        <w:rPr>
          <w:lang w:val="en-GB"/>
        </w:rPr>
      </w:pPr>
      <w:r w:rsidRPr="00BF3585">
        <w:rPr>
          <w:lang w:val="en-GB"/>
        </w:rPr>
        <w:t xml:space="preserve">2.  The redacting </w:t>
      </w:r>
      <w:r w:rsidRPr="00BF3585" w:rsidR="00B17470">
        <w:rPr>
          <w:lang w:val="en-GB"/>
        </w:rPr>
        <w:t xml:space="preserve">of </w:t>
      </w:r>
      <w:r w:rsidRPr="00BF3585">
        <w:rPr>
          <w:lang w:val="en-GB"/>
        </w:rPr>
        <w:t xml:space="preserve">certain documents and the alleged withholding </w:t>
      </w:r>
      <w:r w:rsidRPr="00BF3585" w:rsidR="00B17470">
        <w:rPr>
          <w:lang w:val="en-GB"/>
        </w:rPr>
        <w:t xml:space="preserve">of </w:t>
      </w:r>
      <w:r w:rsidRPr="00BF3585">
        <w:rPr>
          <w:lang w:val="en-GB"/>
        </w:rPr>
        <w:t>others</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57</w:t>
      </w:r>
      <w:r w:rsidRPr="00BF3585">
        <w:rPr>
          <w:lang w:val="en-GB"/>
        </w:rPr>
        <w:fldChar w:fldCharType="end"/>
      </w:r>
      <w:r w:rsidRPr="00BF3585">
        <w:rPr>
          <w:lang w:val="en-GB"/>
        </w:rPr>
        <w:t>.  The Court will consider these issues under Article 6 §§ 1 and 3 (b).</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58</w:t>
      </w:r>
      <w:r w:rsidRPr="00BF3585">
        <w:rPr>
          <w:lang w:val="en-GB"/>
        </w:rPr>
        <w:fldChar w:fldCharType="end"/>
      </w:r>
      <w:r w:rsidRPr="00BF3585">
        <w:rPr>
          <w:lang w:val="en-GB"/>
        </w:rPr>
        <w:t xml:space="preserve">.  The Government stated that publication </w:t>
      </w:r>
      <w:r w:rsidRPr="00BF3585" w:rsidR="00B17470">
        <w:rPr>
          <w:lang w:val="en-GB"/>
        </w:rPr>
        <w:t xml:space="preserve">of </w:t>
      </w:r>
      <w:r w:rsidRPr="00BF3585">
        <w:rPr>
          <w:lang w:val="en-GB"/>
        </w:rPr>
        <w:t xml:space="preserve">the redacted information would have severely harmed the interests </w:t>
      </w:r>
      <w:r w:rsidRPr="00BF3585" w:rsidR="00B17470">
        <w:rPr>
          <w:lang w:val="en-GB"/>
        </w:rPr>
        <w:t xml:space="preserve">of </w:t>
      </w:r>
      <w:r w:rsidRPr="00BF3585">
        <w:rPr>
          <w:lang w:val="en-GB"/>
        </w:rPr>
        <w:t>the State in that it would have identified individuals and organisations under investigation, hum</w:t>
      </w:r>
      <w:r w:rsidRPr="00BF3585" w:rsidR="00B17470">
        <w:rPr>
          <w:lang w:val="en-GB"/>
        </w:rPr>
        <w:t xml:space="preserve">an </w:t>
      </w:r>
      <w:r w:rsidRPr="00BF3585">
        <w:rPr>
          <w:lang w:val="en-GB"/>
        </w:rPr>
        <w:t xml:space="preserve">sources and foreign intelligence and security services with whom the AIVD cooperated. In some cases the safety </w:t>
      </w:r>
      <w:r w:rsidRPr="00BF3585" w:rsidR="00B17470">
        <w:rPr>
          <w:lang w:val="en-GB"/>
        </w:rPr>
        <w:t xml:space="preserve">of </w:t>
      </w:r>
      <w:r w:rsidRPr="00BF3585">
        <w:rPr>
          <w:lang w:val="en-GB"/>
        </w:rPr>
        <w:t>AIVD staff would have been endangered. The restrictions to which the defence had been subject had therefore been strictly necessary.</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59</w:t>
      </w:r>
      <w:r w:rsidRPr="00BF3585">
        <w:rPr>
          <w:lang w:val="en-GB"/>
        </w:rPr>
        <w:fldChar w:fldCharType="end"/>
      </w:r>
      <w:r w:rsidRPr="00BF3585">
        <w:rPr>
          <w:lang w:val="en-GB"/>
        </w:rPr>
        <w:t xml:space="preserve">.  In each case, the domestic court had assessed whether it was necessary to deny disclosure. This they had done on the basis </w:t>
      </w:r>
      <w:r w:rsidRPr="00BF3585" w:rsidR="00B17470">
        <w:rPr>
          <w:lang w:val="en-GB"/>
        </w:rPr>
        <w:t xml:space="preserve">of </w:t>
      </w:r>
      <w:r w:rsidRPr="00BF3585">
        <w:rPr>
          <w:lang w:val="en-GB"/>
        </w:rPr>
        <w:t xml:space="preserve">the unredacted parts </w:t>
      </w:r>
      <w:r w:rsidRPr="00BF3585" w:rsidR="00B17470">
        <w:rPr>
          <w:lang w:val="en-GB"/>
        </w:rPr>
        <w:t xml:space="preserve">of </w:t>
      </w:r>
      <w:r w:rsidRPr="00BF3585">
        <w:rPr>
          <w:lang w:val="en-GB"/>
        </w:rPr>
        <w:t xml:space="preserve">the text, as contained in the case file; the explanations provided by the AIVD itself concerning the classification and the interest at stake for the State; and the verification by the National Public Prosecutor for Counterterrorism. The approach followed had met with the approval </w:t>
      </w:r>
      <w:r w:rsidRPr="00BF3585" w:rsidR="00B17470">
        <w:rPr>
          <w:lang w:val="en-GB"/>
        </w:rPr>
        <w:t xml:space="preserve">of </w:t>
      </w:r>
      <w:r w:rsidRPr="00BF3585">
        <w:rPr>
          <w:lang w:val="en-GB"/>
        </w:rPr>
        <w:t>the Supreme Court.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60</w:t>
      </w:r>
      <w:r w:rsidRPr="00BF3585">
        <w:rPr>
          <w:lang w:val="en-GB"/>
        </w:rPr>
        <w:fldChar w:fldCharType="end"/>
      </w:r>
      <w:r w:rsidRPr="00BF3585">
        <w:rPr>
          <w:lang w:val="en-GB"/>
        </w:rPr>
        <w:t>.  As time passed</w:t>
      </w:r>
      <w:r w:rsidRPr="00BF3585" w:rsidR="005979E0">
        <w:rPr>
          <w:lang w:val="en-GB"/>
        </w:rPr>
        <w:t>,</w:t>
      </w:r>
      <w:r w:rsidRPr="00BF3585">
        <w:rPr>
          <w:lang w:val="en-GB"/>
        </w:rPr>
        <w:t xml:space="preserve"> the question whether certain information still had to be blacked out had been reconsidered. Fresh versions </w:t>
      </w:r>
      <w:r w:rsidRPr="00BF3585" w:rsidR="00B17470">
        <w:rPr>
          <w:lang w:val="en-GB"/>
        </w:rPr>
        <w:t xml:space="preserve">of </w:t>
      </w:r>
      <w:r w:rsidRPr="00BF3585">
        <w:rPr>
          <w:lang w:val="en-GB"/>
        </w:rPr>
        <w:t xml:space="preserve">some documents had been added to the case file in their original form or with less </w:t>
      </w:r>
      <w:r w:rsidRPr="00BF3585" w:rsidR="00B17470">
        <w:rPr>
          <w:lang w:val="en-GB"/>
        </w:rPr>
        <w:t xml:space="preserve">of </w:t>
      </w:r>
      <w:r w:rsidRPr="00BF3585">
        <w:rPr>
          <w:lang w:val="en-GB"/>
        </w:rPr>
        <w:t>the text blacked out.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61</w:t>
      </w:r>
      <w:r w:rsidRPr="00BF3585">
        <w:rPr>
          <w:lang w:val="en-GB"/>
        </w:rPr>
        <w:fldChar w:fldCharType="end"/>
      </w:r>
      <w:r w:rsidRPr="00BF3585">
        <w:rPr>
          <w:lang w:val="en-GB"/>
        </w:rPr>
        <w:t xml:space="preserve">.  Counterbalancing measures had been available. The applicant had been given the opportunity to assess the reliability </w:t>
      </w:r>
      <w:r w:rsidRPr="00BF3585" w:rsidR="00B17470">
        <w:rPr>
          <w:lang w:val="en-GB"/>
        </w:rPr>
        <w:t xml:space="preserve">of </w:t>
      </w:r>
      <w:r w:rsidRPr="00BF3585">
        <w:rPr>
          <w:lang w:val="en-GB"/>
        </w:rPr>
        <w:t>the AIVD</w:t>
      </w:r>
      <w:r w:rsidRPr="00BF3585" w:rsidR="00BF3585">
        <w:rPr>
          <w:lang w:val="en-GB"/>
        </w:rPr>
        <w:t>’</w:t>
      </w:r>
      <w:r w:rsidRPr="00BF3585">
        <w:rPr>
          <w:lang w:val="en-GB"/>
        </w:rPr>
        <w:t>s internal investigation using the statements made by the witnesses who had been questioned. In addition, at various points in the proceedings the applicant had had the opportunity to challenge t</w:t>
      </w:r>
      <w:r w:rsidRPr="00BF3585" w:rsidR="00807DD3">
        <w:rPr>
          <w:lang w:val="en-GB"/>
        </w:rPr>
        <w:t xml:space="preserve">he withholding </w:t>
      </w:r>
      <w:r w:rsidRPr="00BF3585" w:rsidR="00B17470">
        <w:rPr>
          <w:lang w:val="en-GB"/>
        </w:rPr>
        <w:t xml:space="preserve">of evidence. The </w:t>
      </w:r>
      <w:r w:rsidRPr="00BF3585">
        <w:rPr>
          <w:lang w:val="en-GB"/>
        </w:rPr>
        <w:t xml:space="preserve">Government prayed in aid </w:t>
      </w:r>
      <w:r w:rsidRPr="00BF3585">
        <w:rPr>
          <w:i/>
          <w:lang w:val="en-GB"/>
        </w:rPr>
        <w:t>Jasper v. the United Kingdom</w:t>
      </w:r>
      <w:r w:rsidRPr="00BF3585">
        <w:rPr>
          <w:lang w:val="en-GB"/>
        </w:rPr>
        <w:t xml:space="preserve"> [GC], no. 27052/95, 16 February 2000 and </w:t>
      </w:r>
      <w:r w:rsidRPr="00BF3585">
        <w:rPr>
          <w:i/>
          <w:lang w:val="en-GB"/>
        </w:rPr>
        <w:t>Fitt v. the United Kingdom</w:t>
      </w:r>
      <w:r w:rsidRPr="00BF3585">
        <w:rPr>
          <w:lang w:val="en-GB"/>
        </w:rPr>
        <w:t xml:space="preserve"> [GC], no. 29777/96, ECHR 2000</w:t>
      </w:r>
      <w:r w:rsidRPr="00BF3585">
        <w:rPr>
          <w:lang w:val="en-GB"/>
        </w:rPr>
        <w:noBreakHyphen/>
        <w:t>II.</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62</w:t>
      </w:r>
      <w:r w:rsidRPr="00BF3585">
        <w:rPr>
          <w:lang w:val="en-GB"/>
        </w:rPr>
        <w:fldChar w:fldCharType="end"/>
      </w:r>
      <w:r w:rsidRPr="00BF3585">
        <w:rPr>
          <w:lang w:val="en-GB"/>
        </w:rPr>
        <w:t>.  The applicant complained that certain documents relied on by the prosecution in the case against him were either provided to the defence in redacted form, with parts blacked out by the AIVD, or not provided to the defence at all.</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63</w:t>
      </w:r>
      <w:r w:rsidRPr="00BF3585">
        <w:rPr>
          <w:lang w:val="en-GB"/>
        </w:rPr>
        <w:fldChar w:fldCharType="end"/>
      </w:r>
      <w:r w:rsidRPr="00BF3585">
        <w:rPr>
          <w:lang w:val="en-GB"/>
        </w:rPr>
        <w:t xml:space="preserve">.  The applicant accepted that national security considerations might justify withholding information from the defence. Praying in aid </w:t>
      </w:r>
      <w:r w:rsidRPr="00BF3585">
        <w:rPr>
          <w:i/>
          <w:lang w:val="en-GB"/>
        </w:rPr>
        <w:t xml:space="preserve">Edwards and Lewis v. the United Kingdom </w:t>
      </w:r>
      <w:r w:rsidRPr="00BF3585">
        <w:rPr>
          <w:lang w:val="en-GB"/>
        </w:rPr>
        <w:t>[GC], nos. 39647/98 and 40461/98, ECHR 2004</w:t>
      </w:r>
      <w:r w:rsidRPr="00BF3585">
        <w:rPr>
          <w:lang w:val="en-GB"/>
        </w:rPr>
        <w:noBreakHyphen/>
        <w:t xml:space="preserve">X, and </w:t>
      </w:r>
      <w:r w:rsidRPr="00BF3585">
        <w:rPr>
          <w:i/>
          <w:lang w:val="en-GB"/>
        </w:rPr>
        <w:t>A. and Others v. the United Kingdom</w:t>
      </w:r>
      <w:r w:rsidRPr="00BF3585">
        <w:rPr>
          <w:lang w:val="en-GB"/>
        </w:rPr>
        <w:t xml:space="preserve"> [GC], </w:t>
      </w:r>
      <w:r w:rsidRPr="00BF3585">
        <w:rPr>
          <w:snapToGrid w:val="0"/>
          <w:lang w:val="en-GB"/>
        </w:rPr>
        <w:t>no.</w:t>
      </w:r>
      <w:r w:rsidRPr="00BF3585">
        <w:rPr>
          <w:lang w:val="en-GB"/>
        </w:rPr>
        <w:t> 3455/05, ECHR 2009, he submitted that strict necessity for so doing should be shown; that the restrictions on access to the information should be the least intrusive possible; and that counterbalancing procedures should be in place.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64</w:t>
      </w:r>
      <w:r w:rsidRPr="00BF3585">
        <w:rPr>
          <w:lang w:val="en-GB"/>
        </w:rPr>
        <w:fldChar w:fldCharType="end"/>
      </w:r>
      <w:r w:rsidRPr="00BF3585">
        <w:rPr>
          <w:lang w:val="en-GB"/>
        </w:rPr>
        <w:t>.  It was the applicant</w:t>
      </w:r>
      <w:r w:rsidRPr="00BF3585" w:rsidR="00BF3585">
        <w:rPr>
          <w:lang w:val="en-GB"/>
        </w:rPr>
        <w:t>’</w:t>
      </w:r>
      <w:r w:rsidRPr="00BF3585">
        <w:rPr>
          <w:lang w:val="en-GB"/>
        </w:rPr>
        <w:t xml:space="preserve">s argument that the need to restrict defence access to any materials had not been demonstrated. There had been no independent verification: the domestic courts had made their assessment on the basis </w:t>
      </w:r>
      <w:r w:rsidRPr="00BF3585" w:rsidR="00B17470">
        <w:rPr>
          <w:lang w:val="en-GB"/>
        </w:rPr>
        <w:t xml:space="preserve">of </w:t>
      </w:r>
      <w:r w:rsidRPr="00BF3585">
        <w:rPr>
          <w:lang w:val="en-GB"/>
        </w:rPr>
        <w:t xml:space="preserve">the unredacted parts </w:t>
      </w:r>
      <w:r w:rsidRPr="00BF3585" w:rsidR="00B17470">
        <w:rPr>
          <w:lang w:val="en-GB"/>
        </w:rPr>
        <w:t xml:space="preserve">of </w:t>
      </w:r>
      <w:r w:rsidRPr="00BF3585">
        <w:rPr>
          <w:lang w:val="en-GB"/>
        </w:rPr>
        <w:t xml:space="preserve">each text, the explanation provided by the AIVD and the decision </w:t>
      </w:r>
      <w:r w:rsidRPr="00BF3585" w:rsidR="00B17470">
        <w:rPr>
          <w:lang w:val="en-GB"/>
        </w:rPr>
        <w:t xml:space="preserve">of </w:t>
      </w:r>
      <w:r w:rsidRPr="00BF3585">
        <w:rPr>
          <w:lang w:val="en-GB"/>
        </w:rPr>
        <w:t>the National Public Prosecutor for Counter-terrorism. Neither the AIVD nor the National Public Prosecutor for Counterterrorism was independent. Not even the courts themselves had been allowed access to the information denied the defence. This distinguished the applicant</w:t>
      </w:r>
      <w:r w:rsidRPr="00BF3585" w:rsidR="00BF3585">
        <w:rPr>
          <w:lang w:val="en-GB"/>
        </w:rPr>
        <w:t>’</w:t>
      </w:r>
      <w:r w:rsidRPr="00BF3585">
        <w:rPr>
          <w:lang w:val="en-GB"/>
        </w:rPr>
        <w:t xml:space="preserve">s case from </w:t>
      </w:r>
      <w:r w:rsidRPr="00BF3585">
        <w:rPr>
          <w:i/>
          <w:lang w:val="en-GB"/>
        </w:rPr>
        <w:t xml:space="preserve">Jasper </w:t>
      </w:r>
      <w:r w:rsidRPr="00BF3585">
        <w:rPr>
          <w:lang w:val="en-GB"/>
        </w:rPr>
        <w:t xml:space="preserve">and </w:t>
      </w:r>
      <w:r w:rsidRPr="00BF3585">
        <w:rPr>
          <w:i/>
          <w:lang w:val="en-GB"/>
        </w:rPr>
        <w:t>Fitt</w:t>
      </w:r>
      <w:r w:rsidRPr="00BF3585">
        <w:rPr>
          <w:lang w:val="en-GB"/>
        </w:rPr>
        <w:t>, both cited above.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65</w:t>
      </w:r>
      <w:r w:rsidRPr="00BF3585">
        <w:rPr>
          <w:lang w:val="en-GB"/>
        </w:rPr>
        <w:fldChar w:fldCharType="end"/>
      </w:r>
      <w:r w:rsidRPr="00BF3585">
        <w:rPr>
          <w:lang w:val="en-GB"/>
        </w:rPr>
        <w:t>.  It made no difference in this respect that as time went on certain documents were made available with fewer parts blacked out, since the parts that were later disclosed offered no relevant information in this regard.</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66</w:t>
      </w:r>
      <w:r w:rsidRPr="00BF3585">
        <w:rPr>
          <w:lang w:val="en-GB"/>
        </w:rPr>
        <w:fldChar w:fldCharType="end"/>
      </w:r>
      <w:r w:rsidRPr="00BF3585">
        <w:rPr>
          <w:lang w:val="en-GB"/>
        </w:rPr>
        <w:t xml:space="preserve">.  In </w:t>
      </w:r>
      <w:r w:rsidRPr="00BF3585">
        <w:rPr>
          <w:i/>
          <w:lang w:val="en-GB"/>
        </w:rPr>
        <w:t>Fitt</w:t>
      </w:r>
      <w:r w:rsidRPr="00BF3585">
        <w:rPr>
          <w:lang w:val="en-GB"/>
        </w:rPr>
        <w:t>, cited above, the Court held as follows (</w:t>
      </w:r>
      <w:r w:rsidRPr="00BF3585" w:rsidR="00B17470">
        <w:rPr>
          <w:lang w:val="en-GB"/>
        </w:rPr>
        <w:t xml:space="preserve">see </w:t>
      </w:r>
      <w:r w:rsidRPr="00BF3585">
        <w:rPr>
          <w:lang w:val="en-GB"/>
        </w:rPr>
        <w:t xml:space="preserve">also </w:t>
      </w:r>
      <w:r w:rsidRPr="00BF3585">
        <w:rPr>
          <w:i/>
          <w:lang w:val="en-GB"/>
        </w:rPr>
        <w:t>Jasper</w:t>
      </w:r>
      <w:r w:rsidRPr="00BF3585">
        <w:rPr>
          <w:lang w:val="en-GB"/>
        </w:rPr>
        <w:t>, cited above, §§ 51-53):</w:t>
      </w:r>
    </w:p>
    <w:p w:rsidRPr="00BF3585" w:rsidR="00C6083D" w:rsidP="00BF3585" w:rsidRDefault="00C6083D">
      <w:pPr>
        <w:pStyle w:val="ECHRParaQuote"/>
        <w:rPr>
          <w:rFonts w:eastAsia="Times New Roman"/>
          <w:lang w:val="en-GB" w:eastAsia="ja-JP"/>
        </w:rPr>
      </w:pPr>
      <w:r w:rsidRPr="00BF3585">
        <w:rPr>
          <w:rFonts w:eastAsia="Times New Roman"/>
          <w:lang w:val="en-GB" w:eastAsia="ja-JP"/>
        </w:rPr>
        <w:t xml:space="preserve">“44.  It is </w:t>
      </w:r>
      <w:r w:rsidRPr="00BF3585" w:rsidR="00B17470">
        <w:rPr>
          <w:rFonts w:eastAsia="Times New Roman"/>
          <w:lang w:val="en-GB" w:eastAsia="ja-JP"/>
        </w:rPr>
        <w:t xml:space="preserve">a </w:t>
      </w:r>
      <w:r w:rsidRPr="00BF3585">
        <w:rPr>
          <w:rFonts w:eastAsia="Times New Roman"/>
          <w:lang w:val="en-GB" w:eastAsia="ja-JP"/>
        </w:rPr>
        <w:t xml:space="preserve">fundamental aspect </w:t>
      </w:r>
      <w:r w:rsidRPr="00BF3585" w:rsidR="00B17470">
        <w:rPr>
          <w:rFonts w:eastAsia="Times New Roman"/>
          <w:lang w:val="en-GB" w:eastAsia="ja-JP"/>
        </w:rPr>
        <w:t xml:space="preserve">of </w:t>
      </w:r>
      <w:r w:rsidRPr="00BF3585">
        <w:rPr>
          <w:rFonts w:eastAsia="Times New Roman"/>
          <w:lang w:val="en-GB" w:eastAsia="ja-JP"/>
        </w:rPr>
        <w:t xml:space="preserve">the right to </w:t>
      </w:r>
      <w:r w:rsidRPr="00BF3585" w:rsidR="00B17470">
        <w:rPr>
          <w:rFonts w:eastAsia="Times New Roman"/>
          <w:lang w:val="en-GB" w:eastAsia="ja-JP"/>
        </w:rPr>
        <w:t xml:space="preserve">a </w:t>
      </w:r>
      <w:r w:rsidRPr="00BF3585">
        <w:rPr>
          <w:rFonts w:eastAsia="Times New Roman"/>
          <w:lang w:val="en-GB" w:eastAsia="ja-JP"/>
        </w:rPr>
        <w:t xml:space="preserve">fair trial that criminal proceedings, including the elements </w:t>
      </w:r>
      <w:r w:rsidRPr="00BF3585" w:rsidR="00B17470">
        <w:rPr>
          <w:rFonts w:eastAsia="Times New Roman"/>
          <w:lang w:val="en-GB" w:eastAsia="ja-JP"/>
        </w:rPr>
        <w:t xml:space="preserve">of </w:t>
      </w:r>
      <w:r w:rsidRPr="00BF3585">
        <w:rPr>
          <w:rFonts w:eastAsia="Times New Roman"/>
          <w:lang w:val="en-GB" w:eastAsia="ja-JP"/>
        </w:rPr>
        <w:t xml:space="preserve">such proceedings which relate to procedure, should be adversarial and that there should be equality </w:t>
      </w:r>
      <w:r w:rsidRPr="00BF3585" w:rsidR="00B17470">
        <w:rPr>
          <w:rFonts w:eastAsia="Times New Roman"/>
          <w:lang w:val="en-GB" w:eastAsia="ja-JP"/>
        </w:rPr>
        <w:t xml:space="preserve">of </w:t>
      </w:r>
      <w:r w:rsidRPr="00BF3585">
        <w:rPr>
          <w:rFonts w:eastAsia="Times New Roman"/>
          <w:lang w:val="en-GB" w:eastAsia="ja-JP"/>
        </w:rPr>
        <w:t xml:space="preserve">arms between the prosecution and defence. The right to </w:t>
      </w:r>
      <w:r w:rsidRPr="00BF3585" w:rsidR="00B17470">
        <w:rPr>
          <w:rFonts w:eastAsia="Times New Roman"/>
          <w:lang w:val="en-GB" w:eastAsia="ja-JP"/>
        </w:rPr>
        <w:t xml:space="preserve">an </w:t>
      </w:r>
      <w:r w:rsidRPr="00BF3585">
        <w:rPr>
          <w:rFonts w:eastAsia="Times New Roman"/>
          <w:lang w:val="en-GB" w:eastAsia="ja-JP"/>
        </w:rPr>
        <w:t xml:space="preserve">adversarial trial means, in </w:t>
      </w:r>
      <w:r w:rsidRPr="00BF3585" w:rsidR="00B17470">
        <w:rPr>
          <w:rFonts w:eastAsia="Times New Roman"/>
          <w:lang w:val="en-GB" w:eastAsia="ja-JP"/>
        </w:rPr>
        <w:t xml:space="preserve">a </w:t>
      </w:r>
      <w:r w:rsidRPr="00BF3585">
        <w:rPr>
          <w:rFonts w:eastAsia="Times New Roman"/>
          <w:lang w:val="en-GB" w:eastAsia="ja-JP"/>
        </w:rPr>
        <w:t xml:space="preserve">criminal case, that both prosecution and defence must be given the opportunity to have knowledge </w:t>
      </w:r>
      <w:r w:rsidRPr="00BF3585" w:rsidR="00B17470">
        <w:rPr>
          <w:rFonts w:eastAsia="Times New Roman"/>
          <w:lang w:val="en-GB" w:eastAsia="ja-JP"/>
        </w:rPr>
        <w:t xml:space="preserve">of </w:t>
      </w:r>
      <w:r w:rsidRPr="00BF3585">
        <w:rPr>
          <w:rFonts w:eastAsia="Times New Roman"/>
          <w:lang w:val="en-GB" w:eastAsia="ja-JP"/>
        </w:rPr>
        <w:t>and comment on the observations filed and the evidence adduced by th</w:t>
      </w:r>
      <w:r w:rsidRPr="00BF3585" w:rsidR="00B17470">
        <w:rPr>
          <w:rFonts w:eastAsia="Times New Roman"/>
          <w:lang w:val="en-GB" w:eastAsia="ja-JP"/>
        </w:rPr>
        <w:t xml:space="preserve">e other party (see </w:t>
      </w:r>
      <w:r w:rsidRPr="00BF3585">
        <w:rPr>
          <w:rFonts w:eastAsia="Times New Roman"/>
          <w:lang w:val="en-GB" w:eastAsia="ja-JP"/>
        </w:rPr>
        <w:t>the Brandstetter v. Austri</w:t>
      </w:r>
      <w:r w:rsidRPr="00BF3585" w:rsidR="00B17470">
        <w:rPr>
          <w:rFonts w:eastAsia="Times New Roman"/>
          <w:lang w:val="en-GB" w:eastAsia="ja-JP"/>
        </w:rPr>
        <w:t xml:space="preserve">a </w:t>
      </w:r>
      <w:r w:rsidRPr="00BF3585">
        <w:rPr>
          <w:rFonts w:eastAsia="Times New Roman"/>
          <w:lang w:val="en-GB" w:eastAsia="ja-JP"/>
        </w:rPr>
        <w:t xml:space="preserve">judgment </w:t>
      </w:r>
      <w:r w:rsidRPr="00BF3585" w:rsidR="00B17470">
        <w:rPr>
          <w:rFonts w:eastAsia="Times New Roman"/>
          <w:lang w:val="en-GB" w:eastAsia="ja-JP"/>
        </w:rPr>
        <w:t xml:space="preserve">of </w:t>
      </w:r>
      <w:r w:rsidRPr="00BF3585">
        <w:rPr>
          <w:rFonts w:eastAsia="Times New Roman"/>
          <w:lang w:val="en-GB" w:eastAsia="ja-JP"/>
        </w:rPr>
        <w:t>28 August</w:t>
      </w:r>
      <w:r w:rsidRPr="00BF3585" w:rsidR="00807DD3">
        <w:rPr>
          <w:rFonts w:eastAsia="Times New Roman"/>
          <w:lang w:val="en-GB" w:eastAsia="ja-JP"/>
        </w:rPr>
        <w:t xml:space="preserve"> 1991, Series </w:t>
      </w:r>
      <w:r w:rsidRPr="00BF3585" w:rsidR="00B17470">
        <w:rPr>
          <w:rFonts w:eastAsia="Times New Roman"/>
          <w:lang w:val="en-GB" w:eastAsia="ja-JP"/>
        </w:rPr>
        <w:t>A no. 211, pp. 27</w:t>
      </w:r>
      <w:r w:rsidRPr="00BF3585" w:rsidR="00B17470">
        <w:rPr>
          <w:rFonts w:eastAsia="Times New Roman"/>
          <w:lang w:val="en-GB" w:eastAsia="ja-JP"/>
        </w:rPr>
        <w:noBreakHyphen/>
      </w:r>
      <w:r w:rsidRPr="00BF3585">
        <w:rPr>
          <w:rFonts w:eastAsia="Times New Roman"/>
          <w:lang w:val="en-GB" w:eastAsia="ja-JP"/>
        </w:rPr>
        <w:t>28, §§ 66</w:t>
      </w:r>
      <w:r w:rsidRPr="00BF3585">
        <w:rPr>
          <w:rFonts w:eastAsia="Times New Roman"/>
          <w:lang w:val="en-GB" w:eastAsia="ja-JP"/>
        </w:rPr>
        <w:noBreakHyphen/>
        <w:t xml:space="preserve">67). In addition Article 6 § 1 requires, </w:t>
      </w:r>
      <w:r w:rsidRPr="00BF3585" w:rsidR="00807DD3">
        <w:rPr>
          <w:rFonts w:eastAsia="Times New Roman"/>
          <w:lang w:val="en-GB" w:eastAsia="ja-JP"/>
        </w:rPr>
        <w:t>as indeed does English law (</w:t>
      </w:r>
      <w:r w:rsidRPr="00BF3585" w:rsidR="00B17470">
        <w:rPr>
          <w:rFonts w:eastAsia="Times New Roman"/>
          <w:lang w:val="en-GB" w:eastAsia="ja-JP"/>
        </w:rPr>
        <w:t xml:space="preserve">see </w:t>
      </w:r>
      <w:r w:rsidRPr="00BF3585">
        <w:rPr>
          <w:rFonts w:eastAsia="Times New Roman"/>
          <w:lang w:val="en-GB" w:eastAsia="ja-JP"/>
        </w:rPr>
        <w:t xml:space="preserve">paragraph 18 above), that the prosecution authorities disclose to the defence all material evidence in their possession for or against the accused </w:t>
      </w:r>
      <w:r w:rsidRPr="00BF3585" w:rsidR="006B2933">
        <w:rPr>
          <w:rFonts w:eastAsia="Times New Roman"/>
          <w:lang w:eastAsia="ja-JP"/>
        </w:rPr>
        <w:t>(</w:t>
      </w:r>
      <w:r w:rsidRPr="00BF3585" w:rsidR="00B17470">
        <w:rPr>
          <w:rFonts w:eastAsia="Times New Roman"/>
          <w:lang w:eastAsia="ja-JP"/>
        </w:rPr>
        <w:t xml:space="preserve">see </w:t>
      </w:r>
      <w:r w:rsidRPr="00BF3585" w:rsidR="006B2933">
        <w:rPr>
          <w:rFonts w:eastAsia="Times New Roman"/>
          <w:i/>
          <w:lang w:val="en-GB" w:eastAsia="ja-JP"/>
        </w:rPr>
        <w:t>Edwards v. the </w:t>
      </w:r>
      <w:r w:rsidRPr="00BF3585">
        <w:rPr>
          <w:rFonts w:eastAsia="Times New Roman"/>
          <w:i/>
          <w:lang w:val="en-GB" w:eastAsia="ja-JP"/>
        </w:rPr>
        <w:t>United Kingdom</w:t>
      </w:r>
      <w:r w:rsidRPr="00BF3585">
        <w:rPr>
          <w:rFonts w:eastAsia="Times New Roman"/>
          <w:lang w:val="en-GB" w:eastAsia="ja-JP"/>
        </w:rPr>
        <w:t xml:space="preserve">, 16 December 1992, § 36, Series </w:t>
      </w:r>
      <w:r w:rsidRPr="00BF3585" w:rsidR="00B17470">
        <w:rPr>
          <w:rFonts w:eastAsia="Times New Roman"/>
          <w:lang w:val="en-GB" w:eastAsia="ja-JP"/>
        </w:rPr>
        <w:t xml:space="preserve">A </w:t>
      </w:r>
      <w:r w:rsidRPr="00BF3585">
        <w:rPr>
          <w:rFonts w:eastAsia="Times New Roman"/>
          <w:lang w:val="en-GB" w:eastAsia="ja-JP"/>
        </w:rPr>
        <w:t>no. 247</w:t>
      </w:r>
      <w:r w:rsidRPr="00BF3585">
        <w:rPr>
          <w:rFonts w:eastAsia="Times New Roman"/>
          <w:lang w:val="en-GB" w:eastAsia="ja-JP"/>
        </w:rPr>
        <w:noBreakHyphen/>
        <w:t>B</w:t>
      </w:r>
      <w:r w:rsidRPr="00BF3585">
        <w:rPr>
          <w:rFonts w:eastAsia="Times New Roman"/>
          <w:lang w:eastAsia="ja-JP"/>
        </w:rPr>
        <w:t>)</w:t>
      </w:r>
      <w:r w:rsidRPr="00BF3585">
        <w:rPr>
          <w:rFonts w:eastAsia="Times New Roman"/>
          <w:lang w:val="en-GB" w:eastAsia="ja-JP"/>
        </w:rPr>
        <w:t>.</w:t>
      </w:r>
    </w:p>
    <w:p w:rsidRPr="00BF3585" w:rsidR="00C6083D" w:rsidP="00BF3585" w:rsidRDefault="00C6083D">
      <w:pPr>
        <w:pStyle w:val="ECHRParaQuote"/>
        <w:rPr>
          <w:rFonts w:eastAsia="Times New Roman"/>
          <w:lang w:val="en-GB" w:eastAsia="ja-JP"/>
        </w:rPr>
      </w:pPr>
      <w:r w:rsidRPr="00BF3585">
        <w:rPr>
          <w:rFonts w:eastAsia="Times New Roman"/>
          <w:lang w:val="en-GB" w:eastAsia="ja-JP"/>
        </w:rPr>
        <w:t xml:space="preserve">45.  However, as the applicant recognised (...), the entitlement to disclosure </w:t>
      </w:r>
      <w:r w:rsidRPr="00BF3585" w:rsidR="00B17470">
        <w:rPr>
          <w:rFonts w:eastAsia="Times New Roman"/>
          <w:lang w:val="en-GB" w:eastAsia="ja-JP"/>
        </w:rPr>
        <w:t xml:space="preserve">of </w:t>
      </w:r>
      <w:r w:rsidRPr="00BF3585">
        <w:rPr>
          <w:rFonts w:eastAsia="Times New Roman"/>
          <w:lang w:val="en-GB" w:eastAsia="ja-JP"/>
        </w:rPr>
        <w:t xml:space="preserve">relevant evidence is not </w:t>
      </w:r>
      <w:r w:rsidRPr="00BF3585" w:rsidR="00B17470">
        <w:rPr>
          <w:rFonts w:eastAsia="Times New Roman"/>
          <w:lang w:val="en-GB" w:eastAsia="ja-JP"/>
        </w:rPr>
        <w:t xml:space="preserve">an </w:t>
      </w:r>
      <w:r w:rsidRPr="00BF3585">
        <w:rPr>
          <w:rFonts w:eastAsia="Times New Roman"/>
          <w:lang w:val="en-GB" w:eastAsia="ja-JP"/>
        </w:rPr>
        <w:t xml:space="preserve">absolute right. In any criminal proceedings there may be competing interests, such as national security or the need to protect witnesses at risk </w:t>
      </w:r>
      <w:r w:rsidRPr="00BF3585" w:rsidR="00B17470">
        <w:rPr>
          <w:rFonts w:eastAsia="Times New Roman"/>
          <w:lang w:val="en-GB" w:eastAsia="ja-JP"/>
        </w:rPr>
        <w:t xml:space="preserve">of </w:t>
      </w:r>
      <w:r w:rsidRPr="00BF3585">
        <w:rPr>
          <w:rFonts w:eastAsia="Times New Roman"/>
          <w:lang w:val="en-GB" w:eastAsia="ja-JP"/>
        </w:rPr>
        <w:t xml:space="preserve">reprisals or keep secret police methods </w:t>
      </w:r>
      <w:r w:rsidRPr="00BF3585" w:rsidR="00B17470">
        <w:rPr>
          <w:rFonts w:eastAsia="Times New Roman"/>
          <w:lang w:val="en-GB" w:eastAsia="ja-JP"/>
        </w:rPr>
        <w:t xml:space="preserve">of </w:t>
      </w:r>
      <w:r w:rsidRPr="00BF3585">
        <w:rPr>
          <w:rFonts w:eastAsia="Times New Roman"/>
          <w:lang w:val="en-GB" w:eastAsia="ja-JP"/>
        </w:rPr>
        <w:t xml:space="preserve">investigation </w:t>
      </w:r>
      <w:r w:rsidRPr="00BF3585" w:rsidR="00B17470">
        <w:rPr>
          <w:rFonts w:eastAsia="Times New Roman"/>
          <w:lang w:val="en-GB" w:eastAsia="ja-JP"/>
        </w:rPr>
        <w:t xml:space="preserve">of </w:t>
      </w:r>
      <w:r w:rsidRPr="00BF3585">
        <w:rPr>
          <w:rFonts w:eastAsia="Times New Roman"/>
          <w:lang w:val="en-GB" w:eastAsia="ja-JP"/>
        </w:rPr>
        <w:t xml:space="preserve">crime, which must be weighed against the rights </w:t>
      </w:r>
      <w:r w:rsidRPr="00BF3585" w:rsidR="00B17470">
        <w:rPr>
          <w:rFonts w:eastAsia="Times New Roman"/>
          <w:lang w:val="en-GB" w:eastAsia="ja-JP"/>
        </w:rPr>
        <w:t xml:space="preserve">of </w:t>
      </w:r>
      <w:r w:rsidRPr="00BF3585">
        <w:rPr>
          <w:rFonts w:eastAsia="Times New Roman"/>
          <w:lang w:val="en-GB" w:eastAsia="ja-JP"/>
        </w:rPr>
        <w:t>the accused (see, for example, t</w:t>
      </w:r>
      <w:r w:rsidRPr="00BF3585" w:rsidR="006B2933">
        <w:rPr>
          <w:rFonts w:eastAsia="Times New Roman"/>
          <w:lang w:val="en-GB" w:eastAsia="ja-JP"/>
        </w:rPr>
        <w:t>he Doorson v. the </w:t>
      </w:r>
      <w:r w:rsidRPr="00BF3585">
        <w:rPr>
          <w:rFonts w:eastAsia="Times New Roman"/>
          <w:lang w:val="en-GB" w:eastAsia="ja-JP"/>
        </w:rPr>
        <w:t xml:space="preserve">Netherlands judgment </w:t>
      </w:r>
      <w:r w:rsidRPr="00BF3585" w:rsidR="00B17470">
        <w:rPr>
          <w:rFonts w:eastAsia="Times New Roman"/>
          <w:lang w:val="en-GB" w:eastAsia="ja-JP"/>
        </w:rPr>
        <w:t xml:space="preserve">of </w:t>
      </w:r>
      <w:r w:rsidRPr="00BF3585">
        <w:rPr>
          <w:rFonts w:eastAsia="Times New Roman"/>
          <w:lang w:val="en-GB" w:eastAsia="ja-JP"/>
        </w:rPr>
        <w:t xml:space="preserve">26 March 1996, </w:t>
      </w:r>
      <w:r w:rsidRPr="00BF3585">
        <w:rPr>
          <w:rFonts w:eastAsia="Times New Roman"/>
          <w:i/>
          <w:lang w:val="en-GB" w:eastAsia="ja-JP"/>
        </w:rPr>
        <w:t xml:space="preserve">Reports </w:t>
      </w:r>
      <w:r w:rsidRPr="00BF3585" w:rsidR="00B17470">
        <w:rPr>
          <w:rFonts w:eastAsia="Times New Roman"/>
          <w:i/>
          <w:lang w:val="en-GB" w:eastAsia="ja-JP"/>
        </w:rPr>
        <w:t xml:space="preserve">of </w:t>
      </w:r>
      <w:r w:rsidRPr="00BF3585">
        <w:rPr>
          <w:rFonts w:eastAsia="Times New Roman"/>
          <w:i/>
          <w:lang w:val="en-GB" w:eastAsia="ja-JP"/>
        </w:rPr>
        <w:t xml:space="preserve">Judgments and Decisions </w:t>
      </w:r>
      <w:r w:rsidRPr="00BF3585">
        <w:rPr>
          <w:rFonts w:eastAsia="Times New Roman"/>
          <w:lang w:val="en-GB" w:eastAsia="ja-JP"/>
        </w:rPr>
        <w:t>1996</w:t>
      </w:r>
      <w:r w:rsidRPr="00BF3585">
        <w:rPr>
          <w:rFonts w:eastAsia="Times New Roman"/>
          <w:lang w:val="en-GB" w:eastAsia="ja-JP"/>
        </w:rPr>
        <w:noBreakHyphen/>
        <w:t xml:space="preserve">II, p. 470, § 70). In some cases it may be necessary to withhold certain evidence from the defence so as to preserve the fundamental rights </w:t>
      </w:r>
      <w:r w:rsidRPr="00BF3585" w:rsidR="00B17470">
        <w:rPr>
          <w:rFonts w:eastAsia="Times New Roman"/>
          <w:lang w:val="en-GB" w:eastAsia="ja-JP"/>
        </w:rPr>
        <w:t xml:space="preserve">of </w:t>
      </w:r>
      <w:r w:rsidRPr="00BF3585">
        <w:rPr>
          <w:rFonts w:eastAsia="Times New Roman"/>
          <w:lang w:val="en-GB" w:eastAsia="ja-JP"/>
        </w:rPr>
        <w:t xml:space="preserve">another individual or to safeguard </w:t>
      </w:r>
      <w:r w:rsidRPr="00BF3585" w:rsidR="00B17470">
        <w:rPr>
          <w:rFonts w:eastAsia="Times New Roman"/>
          <w:lang w:val="en-GB" w:eastAsia="ja-JP"/>
        </w:rPr>
        <w:t xml:space="preserve">an </w:t>
      </w:r>
      <w:r w:rsidRPr="00BF3585">
        <w:rPr>
          <w:rFonts w:eastAsia="Times New Roman"/>
          <w:lang w:val="en-GB" w:eastAsia="ja-JP"/>
        </w:rPr>
        <w:t xml:space="preserve">important public interest. However, only such measures restricting the rights </w:t>
      </w:r>
      <w:r w:rsidRPr="00BF3585" w:rsidR="00B17470">
        <w:rPr>
          <w:rFonts w:eastAsia="Times New Roman"/>
          <w:lang w:val="en-GB" w:eastAsia="ja-JP"/>
        </w:rPr>
        <w:t xml:space="preserve">of </w:t>
      </w:r>
      <w:r w:rsidRPr="00BF3585">
        <w:rPr>
          <w:rFonts w:eastAsia="Times New Roman"/>
          <w:lang w:val="en-GB" w:eastAsia="ja-JP"/>
        </w:rPr>
        <w:t>the defence which are strictly necessary are permissible under Article 6 § 1 (</w:t>
      </w:r>
      <w:r w:rsidRPr="00BF3585" w:rsidR="00B17470">
        <w:rPr>
          <w:rFonts w:eastAsia="Times New Roman"/>
          <w:lang w:val="en-GB" w:eastAsia="ja-JP"/>
        </w:rPr>
        <w:t xml:space="preserve">see </w:t>
      </w:r>
      <w:r w:rsidRPr="00BF3585">
        <w:rPr>
          <w:rFonts w:eastAsia="Times New Roman"/>
          <w:lang w:val="en-GB" w:eastAsia="ja-JP"/>
        </w:rPr>
        <w:t>the V</w:t>
      </w:r>
      <w:r w:rsidRPr="00BF3585" w:rsidR="00B17470">
        <w:rPr>
          <w:rFonts w:eastAsia="Times New Roman"/>
          <w:lang w:val="en-GB" w:eastAsia="ja-JP"/>
        </w:rPr>
        <w:t xml:space="preserve">an </w:t>
      </w:r>
      <w:r w:rsidRPr="00BF3585">
        <w:rPr>
          <w:rFonts w:eastAsia="Times New Roman"/>
          <w:lang w:val="en-GB" w:eastAsia="ja-JP"/>
        </w:rPr>
        <w:t xml:space="preserve">Mechelen and Others v. the Netherlands judgment </w:t>
      </w:r>
      <w:r w:rsidRPr="00BF3585" w:rsidR="00B17470">
        <w:rPr>
          <w:rFonts w:eastAsia="Times New Roman"/>
          <w:lang w:val="en-GB" w:eastAsia="ja-JP"/>
        </w:rPr>
        <w:t xml:space="preserve">of </w:t>
      </w:r>
      <w:r w:rsidRPr="00BF3585">
        <w:rPr>
          <w:rFonts w:eastAsia="Times New Roman"/>
          <w:lang w:val="en-GB" w:eastAsia="ja-JP"/>
        </w:rPr>
        <w:t xml:space="preserve">23 April 1997, </w:t>
      </w:r>
      <w:r w:rsidRPr="00BF3585">
        <w:rPr>
          <w:rFonts w:eastAsia="Times New Roman"/>
          <w:i/>
          <w:lang w:val="en-GB" w:eastAsia="ja-JP"/>
        </w:rPr>
        <w:t>Reports</w:t>
      </w:r>
      <w:r w:rsidRPr="00BF3585">
        <w:rPr>
          <w:rFonts w:eastAsia="Times New Roman"/>
          <w:lang w:val="en-GB" w:eastAsia="ja-JP"/>
        </w:rPr>
        <w:t xml:space="preserve"> 1997-III, p. 712, § 58). Moreover, in order to ensure that the accused receives </w:t>
      </w:r>
      <w:r w:rsidRPr="00BF3585" w:rsidR="00B17470">
        <w:rPr>
          <w:rFonts w:eastAsia="Times New Roman"/>
          <w:lang w:val="en-GB" w:eastAsia="ja-JP"/>
        </w:rPr>
        <w:t xml:space="preserve">a </w:t>
      </w:r>
      <w:r w:rsidRPr="00BF3585">
        <w:rPr>
          <w:rFonts w:eastAsia="Times New Roman"/>
          <w:lang w:val="en-GB" w:eastAsia="ja-JP"/>
        </w:rPr>
        <w:t xml:space="preserve">fair trial, any difficulties caused to the defence by </w:t>
      </w:r>
      <w:r w:rsidRPr="00BF3585" w:rsidR="00B17470">
        <w:rPr>
          <w:rFonts w:eastAsia="Times New Roman"/>
          <w:lang w:val="en-GB" w:eastAsia="ja-JP"/>
        </w:rPr>
        <w:t xml:space="preserve">a </w:t>
      </w:r>
      <w:r w:rsidRPr="00BF3585">
        <w:rPr>
          <w:rFonts w:eastAsia="Times New Roman"/>
          <w:lang w:val="en-GB" w:eastAsia="ja-JP"/>
        </w:rPr>
        <w:t>limitation on its rights must be sufficiently counterbalanced by the procedures followed by the judicial authorities (</w:t>
      </w:r>
      <w:r w:rsidRPr="00BF3585" w:rsidR="00B17470">
        <w:rPr>
          <w:rFonts w:eastAsia="Times New Roman"/>
          <w:lang w:val="en-GB" w:eastAsia="ja-JP"/>
        </w:rPr>
        <w:t xml:space="preserve">see </w:t>
      </w:r>
      <w:r w:rsidRPr="00BF3585">
        <w:rPr>
          <w:rFonts w:eastAsia="Times New Roman"/>
          <w:lang w:val="en-GB" w:eastAsia="ja-JP"/>
        </w:rPr>
        <w:t>the Doorson judgment cited above, p. 471, § 72, and the V</w:t>
      </w:r>
      <w:r w:rsidRPr="00BF3585" w:rsidR="00B17470">
        <w:rPr>
          <w:rFonts w:eastAsia="Times New Roman"/>
          <w:lang w:val="en-GB" w:eastAsia="ja-JP"/>
        </w:rPr>
        <w:t xml:space="preserve">an </w:t>
      </w:r>
      <w:r w:rsidRPr="00BF3585">
        <w:rPr>
          <w:rFonts w:eastAsia="Times New Roman"/>
          <w:lang w:val="en-GB" w:eastAsia="ja-JP"/>
        </w:rPr>
        <w:t>Mechelen and Others judgment cited above, p. 712, § 54).</w:t>
      </w:r>
    </w:p>
    <w:p w:rsidRPr="00BF3585" w:rsidR="00C6083D" w:rsidP="00BF3585" w:rsidRDefault="00C6083D">
      <w:pPr>
        <w:pStyle w:val="ECHRParaQuote"/>
        <w:rPr>
          <w:rFonts w:eastAsia="Times New Roman"/>
          <w:lang w:val="en-GB" w:eastAsia="ja-JP"/>
        </w:rPr>
      </w:pPr>
      <w:r w:rsidRPr="00BF3585">
        <w:rPr>
          <w:rFonts w:eastAsia="Times New Roman"/>
          <w:lang w:val="en-GB" w:eastAsia="ja-JP"/>
        </w:rPr>
        <w:t xml:space="preserve">46.  In cases where evidence has been withheld from the defence on public interest grounds, it is not the role </w:t>
      </w:r>
      <w:r w:rsidRPr="00BF3585" w:rsidR="00B17470">
        <w:rPr>
          <w:rFonts w:eastAsia="Times New Roman"/>
          <w:lang w:val="en-GB" w:eastAsia="ja-JP"/>
        </w:rPr>
        <w:t xml:space="preserve">of </w:t>
      </w:r>
      <w:r w:rsidRPr="00BF3585">
        <w:rPr>
          <w:rFonts w:eastAsia="Times New Roman"/>
          <w:lang w:val="en-GB" w:eastAsia="ja-JP"/>
        </w:rPr>
        <w:t xml:space="preserve">this Court to decide whether or not such non-disclosure was strictly necessary since, as </w:t>
      </w:r>
      <w:r w:rsidRPr="00BF3585" w:rsidR="00B17470">
        <w:rPr>
          <w:rFonts w:eastAsia="Times New Roman"/>
          <w:lang w:val="en-GB" w:eastAsia="ja-JP"/>
        </w:rPr>
        <w:t xml:space="preserve">a </w:t>
      </w:r>
      <w:r w:rsidRPr="00BF3585">
        <w:rPr>
          <w:rFonts w:eastAsia="Times New Roman"/>
          <w:lang w:val="en-GB" w:eastAsia="ja-JP"/>
        </w:rPr>
        <w:t>general rule, it is for the national courts to assess the evidence before them (</w:t>
      </w:r>
      <w:r w:rsidRPr="00BF3585" w:rsidR="00B17470">
        <w:rPr>
          <w:rFonts w:eastAsia="Times New Roman"/>
          <w:lang w:val="en-GB" w:eastAsia="ja-JP"/>
        </w:rPr>
        <w:t xml:space="preserve">see </w:t>
      </w:r>
      <w:r w:rsidRPr="00BF3585">
        <w:rPr>
          <w:rFonts w:eastAsia="Times New Roman"/>
          <w:lang w:val="en-GB" w:eastAsia="ja-JP"/>
        </w:rPr>
        <w:t xml:space="preserve">the Edwards judgment cited above, pp. 34-35, § 34). In any event, in many cases, such as the present one, where the evidence in question has never been revealed, it would not be possible for the Court to attempt to weigh the public interest in non-disclosure against that </w:t>
      </w:r>
      <w:r w:rsidRPr="00BF3585" w:rsidR="00B17470">
        <w:rPr>
          <w:rFonts w:eastAsia="Times New Roman"/>
          <w:lang w:val="en-GB" w:eastAsia="ja-JP"/>
        </w:rPr>
        <w:t xml:space="preserve">of </w:t>
      </w:r>
      <w:r w:rsidRPr="00BF3585">
        <w:rPr>
          <w:rFonts w:eastAsia="Times New Roman"/>
          <w:lang w:val="en-GB" w:eastAsia="ja-JP"/>
        </w:rPr>
        <w:t xml:space="preserve">the accused in having sight </w:t>
      </w:r>
      <w:r w:rsidRPr="00BF3585" w:rsidR="00B17470">
        <w:rPr>
          <w:rFonts w:eastAsia="Times New Roman"/>
          <w:lang w:val="en-GB" w:eastAsia="ja-JP"/>
        </w:rPr>
        <w:t xml:space="preserve">of </w:t>
      </w:r>
      <w:r w:rsidRPr="00BF3585">
        <w:rPr>
          <w:rFonts w:eastAsia="Times New Roman"/>
          <w:lang w:val="en-GB" w:eastAsia="ja-JP"/>
        </w:rPr>
        <w:t xml:space="preserve">the material. It must therefore scrutinise the decision-making procedure to ensure that, as far as possible, it complied with the requirements to provide adversarial proceedings and equality </w:t>
      </w:r>
      <w:r w:rsidRPr="00BF3585" w:rsidR="00B17470">
        <w:rPr>
          <w:rFonts w:eastAsia="Times New Roman"/>
          <w:lang w:val="en-GB" w:eastAsia="ja-JP"/>
        </w:rPr>
        <w:t xml:space="preserve">of </w:t>
      </w:r>
      <w:r w:rsidRPr="00BF3585">
        <w:rPr>
          <w:rFonts w:eastAsia="Times New Roman"/>
          <w:lang w:val="en-GB" w:eastAsia="ja-JP"/>
        </w:rPr>
        <w:t xml:space="preserve">arms and incorporated adequate safeguards to protect the interests </w:t>
      </w:r>
      <w:r w:rsidRPr="00BF3585" w:rsidR="00B17470">
        <w:rPr>
          <w:rFonts w:eastAsia="Times New Roman"/>
          <w:lang w:val="en-GB" w:eastAsia="ja-JP"/>
        </w:rPr>
        <w:t xml:space="preserve">of </w:t>
      </w:r>
      <w:r w:rsidRPr="00BF3585">
        <w:rPr>
          <w:rFonts w:eastAsia="Times New Roman"/>
          <w:lang w:val="en-GB" w:eastAsia="ja-JP"/>
        </w:rPr>
        <w:t>the accused.”</w:t>
      </w:r>
    </w:p>
    <w:p w:rsidRPr="00BF3585" w:rsidR="00C6083D" w:rsidP="00BF3585" w:rsidRDefault="00BF3585">
      <w:pPr>
        <w:pStyle w:val="ECHRPara"/>
      </w:pPr>
      <w:fldSimple w:instr=" SEQ level0 \*arabic ">
        <w:r w:rsidRPr="00BF3585">
          <w:rPr>
            <w:noProof/>
          </w:rPr>
          <w:t>67</w:t>
        </w:r>
      </w:fldSimple>
      <w:r w:rsidRPr="00BF3585" w:rsidR="00C6083D">
        <w:t xml:space="preserve">.  Turning to the facts </w:t>
      </w:r>
      <w:r w:rsidRPr="00BF3585" w:rsidR="00B17470">
        <w:t xml:space="preserve">of </w:t>
      </w:r>
      <w:r w:rsidRPr="00BF3585" w:rsidR="00C6083D">
        <w:t xml:space="preserve">the case, the Court notes that the applicant sought disclosure </w:t>
      </w:r>
      <w:r w:rsidRPr="00BF3585" w:rsidR="00B17470">
        <w:t xml:space="preserve">of </w:t>
      </w:r>
      <w:r w:rsidRPr="00BF3585" w:rsidR="00C6083D">
        <w:t xml:space="preserve">the report </w:t>
      </w:r>
      <w:r w:rsidRPr="00BF3585" w:rsidR="00B17470">
        <w:t xml:space="preserve">of </w:t>
      </w:r>
      <w:r w:rsidRPr="00BF3585" w:rsidR="00C6083D">
        <w:t xml:space="preserve">the internal AIVD investigation and </w:t>
      </w:r>
      <w:r w:rsidRPr="00BF3585" w:rsidR="00B17470">
        <w:t xml:space="preserve">of </w:t>
      </w:r>
      <w:r w:rsidRPr="00BF3585" w:rsidR="00C6083D">
        <w:t xml:space="preserve">the redacted parts </w:t>
      </w:r>
      <w:r w:rsidRPr="00BF3585" w:rsidR="00B17470">
        <w:t xml:space="preserve">of </w:t>
      </w:r>
      <w:r w:rsidRPr="00BF3585" w:rsidR="00C6083D">
        <w:t>the AIVD documents contained in the case file.</w:t>
      </w:r>
    </w:p>
    <w:p w:rsidRPr="00BF3585" w:rsidR="00C6083D" w:rsidP="00BF3585" w:rsidRDefault="00BF3585">
      <w:pPr>
        <w:pStyle w:val="ECHRPara"/>
      </w:pPr>
      <w:fldSimple w:instr=" SEQ level0 \*arabic ">
        <w:r w:rsidRPr="00BF3585">
          <w:rPr>
            <w:noProof/>
          </w:rPr>
          <w:t>68</w:t>
        </w:r>
      </w:fldSimple>
      <w:r w:rsidRPr="00BF3585" w:rsidR="00C6083D">
        <w:t xml:space="preserve">.  As regards the internal AIVD investigation, the Court notes that the Court </w:t>
      </w:r>
      <w:r w:rsidRPr="00BF3585" w:rsidR="00B17470">
        <w:t xml:space="preserve">of </w:t>
      </w:r>
      <w:r w:rsidRPr="00BF3585" w:rsidR="00C6083D">
        <w:t>Appeal did not find it established that any report actually existed (</w:t>
      </w:r>
      <w:r w:rsidRPr="00BF3585" w:rsidR="00B17470">
        <w:t xml:space="preserve">see </w:t>
      </w:r>
      <w:r w:rsidRPr="00BF3585" w:rsidR="00C6083D">
        <w:t xml:space="preserve">paragraph </w:t>
      </w:r>
      <w:r w:rsidRPr="00BF3585" w:rsidR="00C6083D">
        <w:fldChar w:fldCharType="begin"/>
      </w:r>
      <w:r w:rsidRPr="00BF3585" w:rsidR="00C6083D">
        <w:instrText xml:space="preserve"> REF Appeal \h </w:instrText>
      </w:r>
      <w:r w:rsidRPr="00BF3585" w:rsidR="00C6083D">
        <w:fldChar w:fldCharType="separate"/>
      </w:r>
      <w:r w:rsidRPr="00BF3585">
        <w:rPr>
          <w:noProof/>
          <w:lang w:val="en-GB"/>
        </w:rPr>
        <w:t>34</w:t>
      </w:r>
      <w:r w:rsidRPr="00BF3585" w:rsidR="00C6083D">
        <w:fldChar w:fldCharType="end"/>
      </w:r>
      <w:r w:rsidRPr="00BF3585" w:rsidR="00C6083D">
        <w:t xml:space="preserve"> above). At all events, the Court is satisfied that no such document was in the hands </w:t>
      </w:r>
      <w:r w:rsidRPr="00BF3585" w:rsidR="00B17470">
        <w:t xml:space="preserve">of </w:t>
      </w:r>
      <w:r w:rsidRPr="00BF3585" w:rsidR="00C6083D">
        <w:t xml:space="preserve">the prosecution either – let alone the Court </w:t>
      </w:r>
      <w:r w:rsidRPr="00BF3585" w:rsidR="00B17470">
        <w:t xml:space="preserve">of </w:t>
      </w:r>
      <w:r w:rsidRPr="00BF3585" w:rsidR="00C6083D">
        <w:t xml:space="preserve">Appeal – and that accordingly it could not form part </w:t>
      </w:r>
      <w:r w:rsidRPr="00BF3585" w:rsidR="00B17470">
        <w:t xml:space="preserve">of </w:t>
      </w:r>
      <w:r w:rsidRPr="00BF3585" w:rsidR="00C6083D">
        <w:t xml:space="preserve">the prosecution case (compare </w:t>
      </w:r>
      <w:r w:rsidRPr="00BF3585" w:rsidR="00C6083D">
        <w:rPr>
          <w:i/>
        </w:rPr>
        <w:t>Fitt</w:t>
      </w:r>
      <w:r w:rsidRPr="00BF3585" w:rsidR="00C6083D">
        <w:t xml:space="preserve">, § 48). In so far as the applicant wishes to imply that the investigation might have yielded information capable </w:t>
      </w:r>
      <w:r w:rsidRPr="00BF3585" w:rsidR="00B17470">
        <w:t xml:space="preserve">of </w:t>
      </w:r>
      <w:r w:rsidRPr="00BF3585" w:rsidR="00C6083D">
        <w:t xml:space="preserve">disculpating him, the Court dismisses such </w:t>
      </w:r>
      <w:r w:rsidRPr="00BF3585" w:rsidR="00B17470">
        <w:t xml:space="preserve">a </w:t>
      </w:r>
      <w:r w:rsidRPr="00BF3585" w:rsidR="00C6083D">
        <w:t>suggestion as entirely hypothetical.</w:t>
      </w:r>
    </w:p>
    <w:p w:rsidRPr="00BF3585" w:rsidR="00C6083D" w:rsidP="00BF3585" w:rsidRDefault="00BF3585">
      <w:pPr>
        <w:pStyle w:val="ECHRPara"/>
      </w:pPr>
      <w:fldSimple w:instr=" SEQ level0 \*arabic ">
        <w:r w:rsidRPr="00BF3585">
          <w:rPr>
            <w:noProof/>
          </w:rPr>
          <w:t>69</w:t>
        </w:r>
      </w:fldSimple>
      <w:r w:rsidRPr="00BF3585" w:rsidR="00C6083D">
        <w:t xml:space="preserve">.  As regards the documents made available to the Court </w:t>
      </w:r>
      <w:r w:rsidRPr="00BF3585" w:rsidR="00B17470">
        <w:t xml:space="preserve">of </w:t>
      </w:r>
      <w:r w:rsidRPr="00BF3585" w:rsidR="00C6083D">
        <w:t xml:space="preserve">Appeal and the applicant in redacted form, the Court points out that the information blacked out could in itself be </w:t>
      </w:r>
      <w:r w:rsidRPr="00BF3585" w:rsidR="00B17470">
        <w:t xml:space="preserve">of </w:t>
      </w:r>
      <w:r w:rsidRPr="00BF3585" w:rsidR="00C6083D">
        <w:t xml:space="preserve">no assistance to the defence. Since the applicant was charged with having supplied State secret information to persons not entitled to take cognisance </w:t>
      </w:r>
      <w:r w:rsidRPr="00BF3585" w:rsidR="00B17470">
        <w:t xml:space="preserve">of </w:t>
      </w:r>
      <w:r w:rsidRPr="00BF3585" w:rsidR="00C6083D">
        <w:t>it, the only question in relation to these documents was whether or not they were State secret.</w:t>
      </w:r>
    </w:p>
    <w:p w:rsidRPr="00BF3585" w:rsidR="00C6083D" w:rsidP="00BF3585" w:rsidRDefault="00BF3585">
      <w:pPr>
        <w:pStyle w:val="ECHRPara"/>
      </w:pPr>
      <w:fldSimple w:instr=" SEQ level0 \*arabic ">
        <w:r w:rsidRPr="00BF3585">
          <w:rPr>
            <w:noProof/>
          </w:rPr>
          <w:t>70</w:t>
        </w:r>
      </w:fldSimple>
      <w:r w:rsidRPr="00BF3585" w:rsidR="00C6083D">
        <w:t xml:space="preserve">.  The evidence on which the applicant was convicted included AIVD statements attesting that the documents in issue were classified State secret and explaining the need to keep the information contained in the documents secret. The National Public Prosecutor for Counter-terrorism confirmed that the documents contained in the case file </w:t>
      </w:r>
      <w:r w:rsidRPr="00BF3585" w:rsidR="00B17470">
        <w:t xml:space="preserve">of </w:t>
      </w:r>
      <w:r w:rsidRPr="00BF3585" w:rsidR="00C6083D">
        <w:t xml:space="preserve">the criminal proceedings were in fact copies </w:t>
      </w:r>
      <w:r w:rsidRPr="00BF3585" w:rsidR="00B17470">
        <w:t xml:space="preserve">of </w:t>
      </w:r>
      <w:r w:rsidRPr="00BF3585" w:rsidR="00C6083D">
        <w:t>the documents they purported to represent (</w:t>
      </w:r>
      <w:r w:rsidRPr="00BF3585" w:rsidR="00B17470">
        <w:t xml:space="preserve">see </w:t>
      </w:r>
      <w:r w:rsidRPr="00BF3585" w:rsidR="00C6083D">
        <w:t xml:space="preserve">paragraph </w:t>
      </w:r>
      <w:r w:rsidRPr="00BF3585" w:rsidR="00C6083D">
        <w:fldChar w:fldCharType="begin"/>
      </w:r>
      <w:r w:rsidRPr="00BF3585" w:rsidR="00C6083D">
        <w:instrText xml:space="preserve"> REF evidence \h </w:instrText>
      </w:r>
      <w:r w:rsidRPr="00BF3585" w:rsidR="00C6083D">
        <w:fldChar w:fldCharType="separate"/>
      </w:r>
      <w:r w:rsidRPr="00BF3585">
        <w:rPr>
          <w:noProof/>
          <w:lang w:val="en-GB"/>
        </w:rPr>
        <w:t>40</w:t>
      </w:r>
      <w:r w:rsidRPr="00BF3585" w:rsidR="00C6083D">
        <w:fldChar w:fldCharType="end"/>
      </w:r>
      <w:r w:rsidRPr="00BF3585" w:rsidR="00C6083D">
        <w:t xml:space="preserve">, sub-paragraph 53 above), which the applicant does not dispute they were. Seen in this light, the Court is satisfied that the remaining legible information was sufficient for the defence and the Court </w:t>
      </w:r>
      <w:r w:rsidRPr="00BF3585" w:rsidR="00B17470">
        <w:t xml:space="preserve">of </w:t>
      </w:r>
      <w:r w:rsidRPr="00BF3585" w:rsidR="00C6083D">
        <w:t xml:space="preserve">Appeal to make </w:t>
      </w:r>
      <w:r w:rsidRPr="00BF3585" w:rsidR="00B17470">
        <w:t xml:space="preserve">a </w:t>
      </w:r>
      <w:r w:rsidRPr="00BF3585" w:rsidR="00C6083D">
        <w:t xml:space="preserve">reliable assessment </w:t>
      </w:r>
      <w:r w:rsidRPr="00BF3585" w:rsidR="00B17470">
        <w:t xml:space="preserve">of </w:t>
      </w:r>
      <w:r w:rsidRPr="00BF3585" w:rsidR="00C6083D">
        <w:t xml:space="preserve">the nature </w:t>
      </w:r>
      <w:r w:rsidRPr="00BF3585" w:rsidR="00B17470">
        <w:t xml:space="preserve">of </w:t>
      </w:r>
      <w:r w:rsidRPr="00BF3585" w:rsidR="00C6083D">
        <w:t>the information in the documents.</w:t>
      </w:r>
    </w:p>
    <w:p w:rsidRPr="00BF3585" w:rsidR="00C6083D" w:rsidP="00BF3585" w:rsidRDefault="00BF3585">
      <w:pPr>
        <w:pStyle w:val="ECHRPara"/>
        <w:rPr>
          <w:lang w:val="en-GB"/>
        </w:rPr>
      </w:pPr>
      <w:fldSimple w:instr=" SEQ level0 \*arabic ">
        <w:r w:rsidRPr="00BF3585">
          <w:rPr>
            <w:noProof/>
          </w:rPr>
          <w:t>71</w:t>
        </w:r>
      </w:fldSimple>
      <w:r w:rsidRPr="00BF3585" w:rsidR="00C6083D">
        <w:t xml:space="preserve">.  There has therefore not been </w:t>
      </w:r>
      <w:r w:rsidRPr="00BF3585" w:rsidR="00B17470">
        <w:t xml:space="preserve">a </w:t>
      </w:r>
      <w:r w:rsidRPr="00BF3585" w:rsidR="00C6083D">
        <w:t xml:space="preserve">violation </w:t>
      </w:r>
      <w:r w:rsidRPr="00BF3585" w:rsidR="00B17470">
        <w:t xml:space="preserve">of </w:t>
      </w:r>
      <w:r w:rsidRPr="00BF3585" w:rsidR="00C6083D">
        <w:t xml:space="preserve">Article 6 §§ 1 and 3 (b) as regards the redacting </w:t>
      </w:r>
      <w:r w:rsidRPr="00BF3585" w:rsidR="00B17470">
        <w:t xml:space="preserve">of </w:t>
      </w:r>
      <w:r w:rsidRPr="00BF3585" w:rsidR="00C6083D">
        <w:t xml:space="preserve">certain documents and the alleged withholding </w:t>
      </w:r>
      <w:r w:rsidRPr="00BF3585" w:rsidR="00B17470">
        <w:t xml:space="preserve">of </w:t>
      </w:r>
      <w:r w:rsidRPr="00BF3585" w:rsidR="00C6083D">
        <w:t>others.</w:t>
      </w:r>
    </w:p>
    <w:p w:rsidRPr="00BF3585" w:rsidR="00C6083D" w:rsidP="00BF3585" w:rsidRDefault="00C6083D">
      <w:pPr>
        <w:pStyle w:val="ECHRHeading3"/>
        <w:rPr>
          <w:rFonts w:ascii="Times New Roman" w:hAnsi="Times New Roman" w:cs="Times New Roman"/>
          <w:szCs w:val="24"/>
          <w:lang w:val="en-GB"/>
        </w:rPr>
      </w:pPr>
      <w:r w:rsidRPr="00BF3585">
        <w:rPr>
          <w:lang w:val="en-GB"/>
        </w:rPr>
        <w:t>3.  </w:t>
      </w:r>
      <w:r w:rsidRPr="00BF3585">
        <w:rPr>
          <w:rFonts w:ascii="Times New Roman" w:hAnsi="Times New Roman" w:cs="Times New Roman"/>
          <w:szCs w:val="24"/>
          <w:lang w:val="en-GB"/>
        </w:rPr>
        <w:t>The restrictions on the applicant</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 xml:space="preserve">s right to give information and instructions to counsel and the refusal to allow the applicant to state the names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AIVD members to the Court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Appeal</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72</w:t>
      </w:r>
      <w:r w:rsidRPr="00BF3585">
        <w:rPr>
          <w:lang w:val="en-GB"/>
        </w:rPr>
        <w:fldChar w:fldCharType="end"/>
      </w:r>
      <w:r w:rsidRPr="00BF3585">
        <w:rPr>
          <w:lang w:val="en-GB"/>
        </w:rPr>
        <w:t>.  The Court will consider both issues under Article 6 §§ 1 and 3 (c).</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73</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Government recognised the fundamental importance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free communication between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defendant and counsel, but considered that there had been no fundamental interference wit</w:t>
      </w:r>
      <w:r w:rsidRPr="00BF3585" w:rsidR="00B17470">
        <w:rPr>
          <w:rFonts w:ascii="Times New Roman" w:hAnsi="Times New Roman" w:cs="Times New Roman"/>
          <w:szCs w:val="24"/>
          <w:lang w:val="en-GB"/>
        </w:rPr>
        <w:t xml:space="preserve">h this in the present case. The </w:t>
      </w:r>
      <w:r w:rsidRPr="00BF3585">
        <w:rPr>
          <w:rFonts w:ascii="Times New Roman" w:hAnsi="Times New Roman" w:cs="Times New Roman"/>
          <w:szCs w:val="24"/>
          <w:lang w:val="en-GB"/>
        </w:rPr>
        <w:t xml:space="preserve">applicant had been discharged from his duty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secrecy for the purpose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communicating with his lawyers, albeit conditionally.</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74</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Government submitted that the right to restrictions might be imposed on </w:t>
      </w:r>
      <w:r w:rsidRPr="00BF3585" w:rsidR="00B17470">
        <w:rPr>
          <w:rFonts w:ascii="Times New Roman" w:hAnsi="Times New Roman" w:cs="Times New Roman"/>
          <w:szCs w:val="24"/>
          <w:lang w:val="en-GB"/>
        </w:rPr>
        <w:t xml:space="preserve">an </w:t>
      </w:r>
      <w:r w:rsidRPr="00BF3585">
        <w:rPr>
          <w:rFonts w:ascii="Times New Roman" w:hAnsi="Times New Roman" w:cs="Times New Roman"/>
          <w:szCs w:val="24"/>
          <w:lang w:val="en-GB"/>
        </w:rPr>
        <w:t>accused</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 xml:space="preserve">s access to his lawyer for good cause. They relied on </w:t>
      </w:r>
      <w:r w:rsidRPr="00BF3585">
        <w:rPr>
          <w:rFonts w:ascii="Times New Roman" w:hAnsi="Times New Roman" w:cs="Times New Roman"/>
          <w:i/>
          <w:szCs w:val="24"/>
          <w:lang w:val="en-GB"/>
        </w:rPr>
        <w:t>Öcal</w:t>
      </w:r>
      <w:r w:rsidRPr="00BF3585" w:rsidR="00B17470">
        <w:rPr>
          <w:rFonts w:ascii="Times New Roman" w:hAnsi="Times New Roman" w:cs="Times New Roman"/>
          <w:i/>
          <w:szCs w:val="24"/>
          <w:lang w:val="en-GB"/>
        </w:rPr>
        <w:t xml:space="preserve">an </w:t>
      </w:r>
      <w:r w:rsidRPr="00BF3585">
        <w:rPr>
          <w:rFonts w:ascii="Times New Roman" w:hAnsi="Times New Roman" w:cs="Times New Roman"/>
          <w:i/>
          <w:szCs w:val="24"/>
          <w:lang w:val="en-GB"/>
        </w:rPr>
        <w:t>v. Turkey</w:t>
      </w:r>
      <w:r w:rsidRPr="00BF3585">
        <w:rPr>
          <w:rFonts w:ascii="Times New Roman" w:hAnsi="Times New Roman" w:cs="Times New Roman"/>
          <w:szCs w:val="24"/>
          <w:lang w:val="en-GB"/>
        </w:rPr>
        <w:t xml:space="preserve"> [GC], no. 46221/99, § 133, ECHR 2005</w:t>
      </w:r>
      <w:r w:rsidRPr="00BF3585">
        <w:rPr>
          <w:rFonts w:ascii="Times New Roman" w:hAnsi="Times New Roman" w:cs="Times New Roman"/>
          <w:szCs w:val="24"/>
          <w:lang w:val="en-GB"/>
        </w:rPr>
        <w:noBreakHyphen/>
        <w:t xml:space="preserve">IV, and </w:t>
      </w:r>
      <w:r w:rsidRPr="00BF3585" w:rsidR="00807DD3">
        <w:rPr>
          <w:rFonts w:ascii="Times New Roman" w:hAnsi="Times New Roman" w:cs="Times New Roman"/>
          <w:i/>
          <w:szCs w:val="24"/>
          <w:lang w:val="en-GB"/>
        </w:rPr>
        <w:t>Marcello </w:t>
      </w:r>
      <w:r w:rsidRPr="00BF3585">
        <w:rPr>
          <w:rFonts w:ascii="Times New Roman" w:hAnsi="Times New Roman" w:cs="Times New Roman"/>
          <w:i/>
          <w:szCs w:val="24"/>
          <w:lang w:val="en-GB"/>
        </w:rPr>
        <w:t>Viol</w:t>
      </w:r>
      <w:r w:rsidRPr="00BF3585" w:rsidR="00B17470">
        <w:rPr>
          <w:rFonts w:ascii="Times New Roman" w:hAnsi="Times New Roman" w:cs="Times New Roman"/>
          <w:i/>
          <w:szCs w:val="24"/>
          <w:lang w:val="en-GB"/>
        </w:rPr>
        <w:t xml:space="preserve">a </w:t>
      </w:r>
      <w:r w:rsidRPr="00BF3585">
        <w:rPr>
          <w:rFonts w:ascii="Times New Roman" w:hAnsi="Times New Roman" w:cs="Times New Roman"/>
          <w:i/>
          <w:szCs w:val="24"/>
          <w:lang w:val="en-GB"/>
        </w:rPr>
        <w:t>v. Italy</w:t>
      </w:r>
      <w:r w:rsidRPr="00BF3585">
        <w:rPr>
          <w:rFonts w:ascii="Times New Roman" w:hAnsi="Times New Roman" w:cs="Times New Roman"/>
          <w:szCs w:val="24"/>
          <w:lang w:val="en-GB"/>
        </w:rPr>
        <w:t>, no. 45106/04, § 61, ECHR 2006</w:t>
      </w:r>
      <w:r w:rsidRPr="00BF3585">
        <w:rPr>
          <w:rFonts w:ascii="Times New Roman" w:hAnsi="Times New Roman" w:cs="Times New Roman"/>
          <w:szCs w:val="24"/>
          <w:lang w:val="en-GB"/>
        </w:rPr>
        <w:noBreakHyphen/>
        <w:t>XI (extracts).</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75</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conditions had been necessary to serve the dual purpose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protecting the AIVD</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s staff and hum</w:t>
      </w:r>
      <w:r w:rsidRPr="00BF3585" w:rsidR="00B17470">
        <w:rPr>
          <w:rFonts w:ascii="Times New Roman" w:hAnsi="Times New Roman" w:cs="Times New Roman"/>
          <w:szCs w:val="24"/>
          <w:lang w:val="en-GB"/>
        </w:rPr>
        <w:t xml:space="preserve">an </w:t>
      </w:r>
      <w:r w:rsidRPr="00BF3585">
        <w:rPr>
          <w:rFonts w:ascii="Times New Roman" w:hAnsi="Times New Roman" w:cs="Times New Roman"/>
          <w:szCs w:val="24"/>
          <w:lang w:val="en-GB"/>
        </w:rPr>
        <w:t xml:space="preserve">sources and to maintain the secrecy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classified information that was not relevant to the criminal case against the applicant. As </w:t>
      </w:r>
      <w:r w:rsidRPr="00BF3585" w:rsidR="00B17470">
        <w:rPr>
          <w:rFonts w:ascii="Times New Roman" w:hAnsi="Times New Roman" w:cs="Times New Roman"/>
          <w:szCs w:val="24"/>
          <w:lang w:val="en-GB"/>
        </w:rPr>
        <w:t xml:space="preserve">an </w:t>
      </w:r>
      <w:r w:rsidRPr="00BF3585">
        <w:rPr>
          <w:rFonts w:ascii="Times New Roman" w:hAnsi="Times New Roman" w:cs="Times New Roman"/>
          <w:szCs w:val="24"/>
          <w:lang w:val="en-GB"/>
        </w:rPr>
        <w:t>intelligence service, the AIVD could not function unless secrecy remained intact.</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76</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Government also pointed to the undertaking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Advocate General to the Court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Appeal that the applicant would not be prosecuted if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breach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his duty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secrecy was justified by invoking Article 6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the Convention.</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77</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Finally, the Government argued, in the light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the statements actually made by the applicant at the h</w:t>
      </w:r>
      <w:r w:rsidRPr="00BF3585" w:rsidR="00807DD3">
        <w:rPr>
          <w:rFonts w:ascii="Times New Roman" w:hAnsi="Times New Roman" w:cs="Times New Roman"/>
          <w:szCs w:val="24"/>
          <w:lang w:val="en-GB"/>
        </w:rPr>
        <w:t xml:space="preserve">earing </w:t>
      </w:r>
      <w:r w:rsidRPr="00BF3585" w:rsidR="00B17470">
        <w:rPr>
          <w:rFonts w:ascii="Times New Roman" w:hAnsi="Times New Roman" w:cs="Times New Roman"/>
          <w:szCs w:val="24"/>
          <w:lang w:val="en-GB"/>
        </w:rPr>
        <w:t xml:space="preserve">of </w:t>
      </w:r>
      <w:r w:rsidRPr="00BF3585" w:rsidR="00807DD3">
        <w:rPr>
          <w:rFonts w:ascii="Times New Roman" w:hAnsi="Times New Roman" w:cs="Times New Roman"/>
          <w:szCs w:val="24"/>
          <w:lang w:val="en-GB"/>
        </w:rPr>
        <w:t>12 February 2007 (</w:t>
      </w:r>
      <w:r w:rsidRPr="00BF3585" w:rsidR="00B17470">
        <w:rPr>
          <w:rFonts w:ascii="Times New Roman" w:hAnsi="Times New Roman" w:cs="Times New Roman"/>
          <w:szCs w:val="24"/>
          <w:lang w:val="en-GB"/>
        </w:rPr>
        <w:t xml:space="preserve">see </w:t>
      </w:r>
      <w:r w:rsidRPr="00BF3585">
        <w:rPr>
          <w:rFonts w:ascii="Times New Roman" w:hAnsi="Times New Roman" w:cs="Times New Roman"/>
          <w:szCs w:val="24"/>
          <w:lang w:val="en-GB"/>
        </w:rPr>
        <w:t xml:space="preserve">paragraph </w:t>
      </w: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REF staff_members \h </w:instrText>
      </w:r>
      <w:r w:rsidRPr="00BF3585">
        <w:rPr>
          <w:rFonts w:ascii="Times New Roman" w:hAnsi="Times New Roman" w:cs="Times New Roman"/>
          <w:szCs w:val="24"/>
          <w:lang w:val="en-GB"/>
        </w:rPr>
      </w:r>
      <w:r w:rsidRPr="00BF3585">
        <w:rPr>
          <w:rFonts w:ascii="Times New Roman" w:hAnsi="Times New Roman" w:cs="Times New Roman"/>
          <w:szCs w:val="24"/>
          <w:lang w:val="en-GB"/>
        </w:rPr>
        <w:fldChar w:fldCharType="separate"/>
      </w:r>
      <w:r w:rsidRPr="00BF3585" w:rsidR="00BF3585">
        <w:rPr>
          <w:noProof/>
          <w:lang w:val="en-GB"/>
        </w:rPr>
        <w:t>36</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above) and the questions set out in Mr Pestman</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 xml:space="preserve">s fax letter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14 February 2007 (</w:t>
      </w:r>
      <w:r w:rsidRPr="00BF3585" w:rsidR="00B17470">
        <w:rPr>
          <w:rFonts w:ascii="Times New Roman" w:hAnsi="Times New Roman" w:cs="Times New Roman"/>
          <w:szCs w:val="24"/>
          <w:lang w:val="en-GB"/>
        </w:rPr>
        <w:t xml:space="preserve">see </w:t>
      </w:r>
      <w:r w:rsidRPr="00BF3585">
        <w:rPr>
          <w:rFonts w:ascii="Times New Roman" w:hAnsi="Times New Roman" w:cs="Times New Roman"/>
          <w:szCs w:val="24"/>
          <w:lang w:val="en-GB"/>
        </w:rPr>
        <w:t xml:space="preserve">paragraph </w:t>
      </w: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REF questions \h </w:instrText>
      </w:r>
      <w:r w:rsidRPr="00BF3585">
        <w:rPr>
          <w:rFonts w:ascii="Times New Roman" w:hAnsi="Times New Roman" w:cs="Times New Roman"/>
          <w:szCs w:val="24"/>
          <w:lang w:val="en-GB"/>
        </w:rPr>
      </w:r>
      <w:r w:rsidRPr="00BF3585">
        <w:rPr>
          <w:rFonts w:ascii="Times New Roman" w:hAnsi="Times New Roman" w:cs="Times New Roman"/>
          <w:szCs w:val="24"/>
          <w:lang w:val="en-GB"/>
        </w:rPr>
        <w:fldChar w:fldCharType="separate"/>
      </w:r>
      <w:r w:rsidRPr="00BF3585" w:rsidR="00BF3585">
        <w:rPr>
          <w:noProof/>
        </w:rPr>
        <w:t>37</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above), that there was little sign that the applicant had allowed himself to be deterred by the threat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prosecution as suggested in the applicant</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s submissions to the Court.</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78</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applicant argued that the conditions put in place amounted to restrictions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communication between his counsel and himself and had hindered his defence. In particular, he had been prevented from discussing with his counsel any potential exonerating evidence and any alternative scenarios in so far as the relevant information was not already contained in the case file. This had placed the prosecution and, through the prosecution, the AIVD in control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the defence.</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79</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applicant further argued that the AIVD had been allowed to define the scope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evidence the defence had been allowed to proffer throughout the proceedings. He also stated that he had been threatened with prosecution even in the confidential setting </w:t>
      </w:r>
      <w:r w:rsidRPr="00BF3585" w:rsidR="00B17470">
        <w:rPr>
          <w:rFonts w:ascii="Times New Roman" w:hAnsi="Times New Roman" w:cs="Times New Roman"/>
          <w:szCs w:val="24"/>
          <w:lang w:val="en-GB"/>
        </w:rPr>
        <w:t xml:space="preserve">of a </w:t>
      </w:r>
      <w:r w:rsidRPr="00BF3585">
        <w:rPr>
          <w:rFonts w:ascii="Times New Roman" w:hAnsi="Times New Roman" w:cs="Times New Roman"/>
          <w:szCs w:val="24"/>
          <w:lang w:val="en-GB"/>
        </w:rPr>
        <w:t>hearing behind closed doors.</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80</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applicant relied on </w:t>
      </w:r>
      <w:r w:rsidRPr="00BF3585">
        <w:rPr>
          <w:rFonts w:ascii="Times New Roman" w:hAnsi="Times New Roman" w:cs="Times New Roman"/>
          <w:i/>
          <w:szCs w:val="24"/>
          <w:lang w:val="en-GB"/>
        </w:rPr>
        <w:t>S. v. Switzerland</w:t>
      </w:r>
      <w:r w:rsidRPr="00BF3585">
        <w:rPr>
          <w:rFonts w:ascii="Times New Roman" w:hAnsi="Times New Roman" w:cs="Times New Roman"/>
          <w:szCs w:val="24"/>
          <w:lang w:val="en-GB"/>
        </w:rPr>
        <w:t xml:space="preserve">, 28 November 1991, § 48, Series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no. 220, in which the Court had recognised that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lawyer should be able to confer with his client and receive confidential instructions from him without surveillance (which in that case consisted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police supervision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the lawyer</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 xml:space="preserve">s visits and interception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correspondence between the lawyer and the client). He also prayed in aid </w:t>
      </w:r>
      <w:r w:rsidRPr="00BF3585">
        <w:rPr>
          <w:rFonts w:ascii="Times New Roman" w:hAnsi="Times New Roman" w:cs="Times New Roman"/>
          <w:i/>
          <w:szCs w:val="24"/>
          <w:lang w:val="en-GB"/>
        </w:rPr>
        <w:t>A. and Others v. the United Kingdom</w:t>
      </w:r>
      <w:r w:rsidRPr="00BF3585" w:rsidR="005979E0">
        <w:rPr>
          <w:rFonts w:ascii="Times New Roman" w:hAnsi="Times New Roman" w:cs="Times New Roman"/>
          <w:i/>
          <w:szCs w:val="24"/>
          <w:lang w:val="en-GB"/>
        </w:rPr>
        <w:t xml:space="preserve">, </w:t>
      </w:r>
      <w:r w:rsidRPr="00BF3585" w:rsidR="005979E0">
        <w:rPr>
          <w:rFonts w:ascii="Times New Roman" w:hAnsi="Times New Roman" w:cs="Times New Roman"/>
          <w:szCs w:val="24"/>
          <w:lang w:val="en-GB"/>
        </w:rPr>
        <w:t xml:space="preserve">cited above, </w:t>
      </w:r>
      <w:r w:rsidRPr="00BF3585">
        <w:rPr>
          <w:rFonts w:ascii="Times New Roman" w:hAnsi="Times New Roman" w:cs="Times New Roman"/>
          <w:szCs w:val="24"/>
          <w:lang w:val="en-GB"/>
        </w:rPr>
        <w:t>§ 220, in</w:t>
      </w:r>
      <w:r w:rsidRPr="00BF3585" w:rsidR="00807DD3">
        <w:rPr>
          <w:rFonts w:ascii="Times New Roman" w:hAnsi="Times New Roman" w:cs="Times New Roman"/>
          <w:szCs w:val="24"/>
          <w:lang w:val="en-GB"/>
        </w:rPr>
        <w:t xml:space="preserve"> which it was recognised that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detainee should be able to give effective instructions to the special advocate, arguing that the duty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secrecy imposed on him prevented him from instructing his counsel as he would have needed to.</w:t>
      </w:r>
    </w:p>
    <w:p w:rsidRPr="00BF3585" w:rsidR="00C6083D" w:rsidP="00BF3585" w:rsidRDefault="00C6083D">
      <w:pPr>
        <w:pStyle w:val="ECHRPara"/>
        <w:rPr>
          <w:rFonts w:ascii="Times New Roman" w:hAnsi="Times New Roman" w:cs="Times New Roman"/>
          <w:noProof/>
          <w:szCs w:val="24"/>
          <w:lang w:val="en-GB"/>
        </w:rPr>
      </w:pPr>
      <w:r w:rsidRPr="00BF3585">
        <w:rPr>
          <w:rFonts w:ascii="Times New Roman" w:hAnsi="Times New Roman" w:cs="Times New Roman"/>
          <w:noProof/>
          <w:szCs w:val="24"/>
          <w:lang w:val="en-GB"/>
        </w:rPr>
        <w:fldChar w:fldCharType="begin"/>
      </w:r>
      <w:r w:rsidRPr="00BF3585">
        <w:rPr>
          <w:rFonts w:ascii="Times New Roman" w:hAnsi="Times New Roman" w:cs="Times New Roman"/>
          <w:noProof/>
          <w:szCs w:val="24"/>
          <w:lang w:val="en-GB"/>
        </w:rPr>
        <w:instrText xml:space="preserve"> SEQ level0 \*arabic </w:instrText>
      </w:r>
      <w:r w:rsidRPr="00BF3585">
        <w:rPr>
          <w:rFonts w:ascii="Times New Roman" w:hAnsi="Times New Roman" w:cs="Times New Roman"/>
          <w:noProof/>
          <w:szCs w:val="24"/>
          <w:lang w:val="en-GB"/>
        </w:rPr>
        <w:fldChar w:fldCharType="separate"/>
      </w:r>
      <w:r w:rsidRPr="00BF3585" w:rsidR="00BF3585">
        <w:rPr>
          <w:rFonts w:ascii="Times New Roman" w:hAnsi="Times New Roman" w:cs="Times New Roman"/>
          <w:noProof/>
          <w:szCs w:val="24"/>
          <w:lang w:val="en-GB"/>
        </w:rPr>
        <w:t>81</w:t>
      </w:r>
      <w:r w:rsidRPr="00BF3585">
        <w:rPr>
          <w:rFonts w:ascii="Times New Roman" w:hAnsi="Times New Roman" w:cs="Times New Roman"/>
          <w:noProof/>
          <w:szCs w:val="24"/>
          <w:lang w:val="en-GB"/>
        </w:rPr>
        <w:fldChar w:fldCharType="end"/>
      </w:r>
      <w:r w:rsidRPr="00BF3585">
        <w:rPr>
          <w:rFonts w:ascii="Times New Roman" w:hAnsi="Times New Roman" w:cs="Times New Roman"/>
          <w:noProof/>
          <w:szCs w:val="24"/>
          <w:lang w:val="en-GB"/>
        </w:rPr>
        <w:t xml:space="preserve">.  As to the refusal to allow the applicant to state the names </w:t>
      </w:r>
      <w:r w:rsidRPr="00BF3585" w:rsidR="00B17470">
        <w:rPr>
          <w:rFonts w:ascii="Times New Roman" w:hAnsi="Times New Roman" w:cs="Times New Roman"/>
          <w:noProof/>
          <w:szCs w:val="24"/>
          <w:lang w:val="en-GB"/>
        </w:rPr>
        <w:t xml:space="preserve">of </w:t>
      </w:r>
      <w:r w:rsidRPr="00BF3585">
        <w:rPr>
          <w:rFonts w:ascii="Times New Roman" w:hAnsi="Times New Roman" w:cs="Times New Roman"/>
          <w:noProof/>
          <w:szCs w:val="24"/>
          <w:lang w:val="en-GB"/>
        </w:rPr>
        <w:t xml:space="preserve">AIVD members to the Court </w:t>
      </w:r>
      <w:r w:rsidRPr="00BF3585" w:rsidR="00B17470">
        <w:rPr>
          <w:rFonts w:ascii="Times New Roman" w:hAnsi="Times New Roman" w:cs="Times New Roman"/>
          <w:noProof/>
          <w:szCs w:val="24"/>
          <w:lang w:val="en-GB"/>
        </w:rPr>
        <w:t xml:space="preserve">of </w:t>
      </w:r>
      <w:r w:rsidRPr="00BF3585">
        <w:rPr>
          <w:rFonts w:ascii="Times New Roman" w:hAnsi="Times New Roman" w:cs="Times New Roman"/>
          <w:noProof/>
          <w:szCs w:val="24"/>
          <w:lang w:val="en-GB"/>
        </w:rPr>
        <w:t xml:space="preserve">Appeal, the applicant argued that he was prohibited from divulging secret information to the courts in order </w:t>
      </w:r>
      <w:r w:rsidRPr="00BF3585">
        <w:rPr>
          <w:rFonts w:ascii="Times New Roman" w:hAnsi="Times New Roman" w:cs="Times New Roman"/>
          <w:i/>
          <w:noProof/>
          <w:szCs w:val="24"/>
          <w:lang w:val="en-GB"/>
        </w:rPr>
        <w:t>inter ali</w:t>
      </w:r>
      <w:r w:rsidRPr="00BF3585" w:rsidR="00B17470">
        <w:rPr>
          <w:rFonts w:ascii="Times New Roman" w:hAnsi="Times New Roman" w:cs="Times New Roman"/>
          <w:i/>
          <w:noProof/>
          <w:szCs w:val="24"/>
          <w:lang w:val="en-GB"/>
        </w:rPr>
        <w:t xml:space="preserve">a </w:t>
      </w:r>
      <w:r w:rsidRPr="00BF3585">
        <w:rPr>
          <w:rFonts w:ascii="Times New Roman" w:hAnsi="Times New Roman" w:cs="Times New Roman"/>
          <w:noProof/>
          <w:szCs w:val="24"/>
          <w:lang w:val="en-GB"/>
        </w:rPr>
        <w:t xml:space="preserve">to present credible alternative explanations to him being responsible for any criminal acts. The Government were </w:t>
      </w:r>
      <w:r w:rsidRPr="00BF3585" w:rsidR="00B17470">
        <w:rPr>
          <w:rFonts w:ascii="Times New Roman" w:hAnsi="Times New Roman" w:cs="Times New Roman"/>
          <w:noProof/>
          <w:szCs w:val="24"/>
          <w:lang w:val="en-GB"/>
        </w:rPr>
        <w:t xml:space="preserve">of </w:t>
      </w:r>
      <w:r w:rsidRPr="00BF3585">
        <w:rPr>
          <w:rFonts w:ascii="Times New Roman" w:hAnsi="Times New Roman" w:cs="Times New Roman"/>
          <w:noProof/>
          <w:szCs w:val="24"/>
          <w:lang w:val="en-GB"/>
        </w:rPr>
        <w:t xml:space="preserve">the opinion that the domestic courts had rightly ruled out any alternative scenarios in the light </w:t>
      </w:r>
      <w:r w:rsidRPr="00BF3585" w:rsidR="00B17470">
        <w:rPr>
          <w:rFonts w:ascii="Times New Roman" w:hAnsi="Times New Roman" w:cs="Times New Roman"/>
          <w:noProof/>
          <w:szCs w:val="24"/>
          <w:lang w:val="en-GB"/>
        </w:rPr>
        <w:t xml:space="preserve">of </w:t>
      </w:r>
      <w:r w:rsidRPr="00BF3585">
        <w:rPr>
          <w:rFonts w:ascii="Times New Roman" w:hAnsi="Times New Roman" w:cs="Times New Roman"/>
          <w:noProof/>
          <w:szCs w:val="24"/>
          <w:lang w:val="en-GB"/>
        </w:rPr>
        <w:t>the evidence weighing against the applicant.</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82</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Court reiterates that while Article 6 § 3 (c) confers on everyone charged with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criminal offence the right to “defend himself in person or through legal assistance ...”, it does not specify the manner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exercising this right. It thus leaves to the Contracting States the choice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means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ensuring that it is secured in their judicial systems, the Court</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 xml:space="preserve">s task being only to ascertain whether the method they have chosen is consistent with the requirements </w:t>
      </w:r>
      <w:r w:rsidRPr="00BF3585" w:rsidR="00B17470">
        <w:rPr>
          <w:rFonts w:ascii="Times New Roman" w:hAnsi="Times New Roman" w:cs="Times New Roman"/>
          <w:szCs w:val="24"/>
          <w:lang w:val="en-GB"/>
        </w:rPr>
        <w:t xml:space="preserve">of a </w:t>
      </w:r>
      <w:r w:rsidRPr="00BF3585">
        <w:rPr>
          <w:rFonts w:ascii="Times New Roman" w:hAnsi="Times New Roman" w:cs="Times New Roman"/>
          <w:szCs w:val="24"/>
          <w:lang w:val="en-GB"/>
        </w:rPr>
        <w:t xml:space="preserve">fair trial. In that connection it must be borne in mind that the Convention is intended to “guarantee not rights that are theoretical or illusory but rights that are practical and effective” and that assigning counsel does not in itself ensure the effectiveness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assistance he or she may afford </w:t>
      </w:r>
      <w:r w:rsidRPr="00BF3585" w:rsidR="00B17470">
        <w:rPr>
          <w:rFonts w:ascii="Times New Roman" w:hAnsi="Times New Roman" w:cs="Times New Roman"/>
          <w:szCs w:val="24"/>
          <w:lang w:val="en-GB"/>
        </w:rPr>
        <w:t xml:space="preserve">an </w:t>
      </w:r>
      <w:r w:rsidRPr="00BF3585">
        <w:rPr>
          <w:rFonts w:ascii="Times New Roman" w:hAnsi="Times New Roman" w:cs="Times New Roman"/>
          <w:szCs w:val="24"/>
          <w:lang w:val="en-GB"/>
        </w:rPr>
        <w:t xml:space="preserve">accused (see, among other authorities, </w:t>
      </w:r>
      <w:r w:rsidRPr="00BF3585" w:rsidR="00D8119B">
        <w:rPr>
          <w:rFonts w:ascii="Times New Roman" w:hAnsi="Times New Roman" w:cs="Times New Roman"/>
          <w:i/>
          <w:szCs w:val="24"/>
          <w:lang w:val="en-GB"/>
        </w:rPr>
        <w:t xml:space="preserve">Sakhnovskiy v. Russia, </w:t>
      </w:r>
      <w:r w:rsidRPr="00BF3585" w:rsidR="00D8119B">
        <w:rPr>
          <w:rFonts w:ascii="Times New Roman" w:hAnsi="Times New Roman" w:cs="Times New Roman"/>
          <w:szCs w:val="24"/>
          <w:lang w:val="en-GB"/>
        </w:rPr>
        <w:t xml:space="preserve">cited above, </w:t>
      </w:r>
      <w:r w:rsidRPr="00BF3585">
        <w:rPr>
          <w:rFonts w:ascii="Times New Roman" w:hAnsi="Times New Roman" w:cs="Times New Roman"/>
          <w:szCs w:val="24"/>
          <w:lang w:val="en-GB"/>
        </w:rPr>
        <w:t xml:space="preserve">§ 95, </w:t>
      </w:r>
      <w:r w:rsidRPr="00BF3585">
        <w:rPr>
          <w:rFonts w:ascii="Times New Roman" w:hAnsi="Times New Roman" w:cs="Times New Roman"/>
          <w:snapToGrid w:val="0"/>
          <w:szCs w:val="24"/>
          <w:lang w:val="en-GB"/>
        </w:rPr>
        <w:t>with further references)</w:t>
      </w:r>
      <w:r w:rsidRPr="00BF3585">
        <w:rPr>
          <w:rFonts w:ascii="Times New Roman" w:hAnsi="Times New Roman" w:cs="Times New Roman"/>
          <w:szCs w:val="24"/>
          <w:lang w:val="en-GB"/>
        </w:rPr>
        <w:t>.</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83</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Court reiterates that the right to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fair trial as guaranteed by Article 6 § 1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Convention includes the right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the parties to the trial to submit any observations that they consider relevant to their case. This right c</w:t>
      </w:r>
      <w:r w:rsidRPr="00BF3585" w:rsidR="00B17470">
        <w:rPr>
          <w:rFonts w:ascii="Times New Roman" w:hAnsi="Times New Roman" w:cs="Times New Roman"/>
          <w:szCs w:val="24"/>
          <w:lang w:val="en-GB"/>
        </w:rPr>
        <w:t xml:space="preserve">an </w:t>
      </w:r>
      <w:r w:rsidRPr="00BF3585">
        <w:rPr>
          <w:rFonts w:ascii="Times New Roman" w:hAnsi="Times New Roman" w:cs="Times New Roman"/>
          <w:szCs w:val="24"/>
          <w:lang w:val="en-GB"/>
        </w:rPr>
        <w:t xml:space="preserve">only be seen to be effective if the observations are actually “heard”, that is duly considered by the trial court. In other words, the effect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Article 6 is, among others, to place the “tribunal” under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duty to conduct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proper examination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submissions, arguments and evidence adduced by the parties, without prejudice to its assessment </w:t>
      </w:r>
      <w:r w:rsidRPr="00BF3585" w:rsidR="00B17470">
        <w:rPr>
          <w:rFonts w:ascii="Times New Roman" w:hAnsi="Times New Roman" w:cs="Times New Roman"/>
          <w:szCs w:val="24"/>
          <w:lang w:val="en-GB"/>
        </w:rPr>
        <w:t xml:space="preserve">of </w:t>
      </w:r>
      <w:r w:rsidRPr="00BF3585" w:rsidR="006B2933">
        <w:rPr>
          <w:rFonts w:ascii="Times New Roman" w:hAnsi="Times New Roman" w:cs="Times New Roman"/>
          <w:szCs w:val="24"/>
          <w:lang w:val="en-GB"/>
        </w:rPr>
        <w:t>whether they are relevant (</w:t>
      </w:r>
      <w:r w:rsidRPr="00BF3585" w:rsidR="00B17470">
        <w:rPr>
          <w:rFonts w:ascii="Times New Roman" w:hAnsi="Times New Roman" w:cs="Times New Roman"/>
          <w:szCs w:val="24"/>
          <w:lang w:val="en-GB"/>
        </w:rPr>
        <w:t xml:space="preserve">see </w:t>
      </w:r>
      <w:r w:rsidRPr="00BF3585">
        <w:rPr>
          <w:rFonts w:ascii="Times New Roman" w:hAnsi="Times New Roman" w:cs="Times New Roman"/>
          <w:i/>
          <w:szCs w:val="24"/>
          <w:lang w:val="en-GB"/>
        </w:rPr>
        <w:t xml:space="preserve">Perez v. France </w:t>
      </w:r>
      <w:r w:rsidRPr="00BF3585">
        <w:rPr>
          <w:rFonts w:ascii="Times New Roman" w:hAnsi="Times New Roman" w:cs="Times New Roman"/>
          <w:szCs w:val="24"/>
          <w:lang w:val="en-GB"/>
        </w:rPr>
        <w:t>[GC], no. 47287/99, § 80, ECHR 2004</w:t>
      </w:r>
      <w:r w:rsidRPr="00BF3585">
        <w:rPr>
          <w:rFonts w:ascii="Times New Roman" w:hAnsi="Times New Roman" w:cs="Times New Roman"/>
          <w:szCs w:val="24"/>
          <w:lang w:val="en-GB"/>
        </w:rPr>
        <w:noBreakHyphen/>
        <w:t>I).</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84</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Court further observes that Article 6 § 1 makes allowances for considerations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national security in its second sentence in that it makes provision for “the press and public to be excluded from all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part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trial”. It has no doubt that the trial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applicant was one to which such considerations were relevant and that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genuine need to withhold State secret information from the press and the public existed.</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85</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Court has held that </w:t>
      </w:r>
      <w:r w:rsidRPr="00BF3585" w:rsidR="00B17470">
        <w:rPr>
          <w:rFonts w:ascii="Times New Roman" w:hAnsi="Times New Roman" w:cs="Times New Roman"/>
          <w:szCs w:val="24"/>
          <w:lang w:val="en-GB"/>
        </w:rPr>
        <w:t xml:space="preserve">an </w:t>
      </w:r>
      <w:r w:rsidRPr="00BF3585">
        <w:rPr>
          <w:rFonts w:ascii="Times New Roman" w:hAnsi="Times New Roman" w:cs="Times New Roman"/>
          <w:szCs w:val="24"/>
          <w:lang w:val="en-GB"/>
        </w:rPr>
        <w:t>accused</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 xml:space="preserve">s right to communicate with his legal representative out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hearing </w:t>
      </w:r>
      <w:r w:rsidRPr="00BF3585" w:rsidR="00B17470">
        <w:rPr>
          <w:rFonts w:ascii="Times New Roman" w:hAnsi="Times New Roman" w:cs="Times New Roman"/>
          <w:szCs w:val="24"/>
          <w:lang w:val="en-GB"/>
        </w:rPr>
        <w:t xml:space="preserve">of a </w:t>
      </w:r>
      <w:r w:rsidRPr="00BF3585">
        <w:rPr>
          <w:rFonts w:ascii="Times New Roman" w:hAnsi="Times New Roman" w:cs="Times New Roman"/>
          <w:szCs w:val="24"/>
          <w:lang w:val="en-GB"/>
        </w:rPr>
        <w:t xml:space="preserve">third person is part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basic requirements </w:t>
      </w:r>
      <w:r w:rsidRPr="00BF3585" w:rsidR="00B17470">
        <w:rPr>
          <w:rFonts w:ascii="Times New Roman" w:hAnsi="Times New Roman" w:cs="Times New Roman"/>
          <w:szCs w:val="24"/>
          <w:lang w:val="en-GB"/>
        </w:rPr>
        <w:t xml:space="preserve">of a </w:t>
      </w:r>
      <w:r w:rsidRPr="00BF3585">
        <w:rPr>
          <w:rFonts w:ascii="Times New Roman" w:hAnsi="Times New Roman" w:cs="Times New Roman"/>
          <w:szCs w:val="24"/>
          <w:lang w:val="en-GB"/>
        </w:rPr>
        <w:t xml:space="preserve">fair trial in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democratic societ</w:t>
      </w:r>
      <w:r w:rsidRPr="00BF3585" w:rsidR="00D8119B">
        <w:rPr>
          <w:rFonts w:ascii="Times New Roman" w:hAnsi="Times New Roman" w:cs="Times New Roman"/>
          <w:szCs w:val="24"/>
          <w:lang w:val="en-GB"/>
        </w:rPr>
        <w:t>y and follows from Article </w:t>
      </w:r>
      <w:r w:rsidRPr="00BF3585">
        <w:rPr>
          <w:rFonts w:ascii="Times New Roman" w:hAnsi="Times New Roman" w:cs="Times New Roman"/>
          <w:szCs w:val="24"/>
          <w:lang w:val="en-GB"/>
        </w:rPr>
        <w:t xml:space="preserve">6 § 3 (c)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Convention. If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lawyer were unable to confer with his client and receive confidential instructions from him without such surveillance, his assistance would lose much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its usefulness (</w:t>
      </w:r>
      <w:r w:rsidRPr="00BF3585" w:rsidR="00D8119B">
        <w:rPr>
          <w:rFonts w:ascii="Times New Roman" w:hAnsi="Times New Roman" w:cs="Times New Roman"/>
          <w:i/>
          <w:szCs w:val="24"/>
          <w:lang w:val="en-GB"/>
        </w:rPr>
        <w:t>S. </w:t>
      </w:r>
      <w:r w:rsidRPr="00BF3585">
        <w:rPr>
          <w:rFonts w:ascii="Times New Roman" w:hAnsi="Times New Roman" w:cs="Times New Roman"/>
          <w:i/>
          <w:szCs w:val="24"/>
          <w:lang w:val="en-GB"/>
        </w:rPr>
        <w:t>v. Switzerland</w:t>
      </w:r>
      <w:r w:rsidRPr="00BF3585">
        <w:rPr>
          <w:rFonts w:ascii="Times New Roman" w:hAnsi="Times New Roman" w:cs="Times New Roman"/>
          <w:szCs w:val="24"/>
          <w:lang w:val="en-GB"/>
        </w:rPr>
        <w:t xml:space="preserve">, cited above, § 48; </w:t>
      </w:r>
      <w:r w:rsidRPr="00BF3585">
        <w:rPr>
          <w:rFonts w:ascii="Times New Roman" w:hAnsi="Times New Roman" w:cs="Times New Roman"/>
          <w:i/>
          <w:szCs w:val="24"/>
          <w:lang w:val="en-GB"/>
        </w:rPr>
        <w:t>Öcal</w:t>
      </w:r>
      <w:r w:rsidRPr="00BF3585" w:rsidR="00B17470">
        <w:rPr>
          <w:rFonts w:ascii="Times New Roman" w:hAnsi="Times New Roman" w:cs="Times New Roman"/>
          <w:i/>
          <w:szCs w:val="24"/>
          <w:lang w:val="en-GB"/>
        </w:rPr>
        <w:t xml:space="preserve">an </w:t>
      </w:r>
      <w:r w:rsidRPr="00BF3585">
        <w:rPr>
          <w:rFonts w:ascii="Times New Roman" w:hAnsi="Times New Roman" w:cs="Times New Roman"/>
          <w:i/>
          <w:szCs w:val="24"/>
          <w:lang w:val="en-GB"/>
        </w:rPr>
        <w:t>v. Turkey</w:t>
      </w:r>
      <w:r w:rsidRPr="00BF3585">
        <w:rPr>
          <w:rFonts w:ascii="Times New Roman" w:hAnsi="Times New Roman" w:cs="Times New Roman"/>
          <w:szCs w:val="24"/>
          <w:lang w:val="en-GB"/>
        </w:rPr>
        <w:t xml:space="preserve"> [GC], no. 46221/99, § 133, ECHR 2005</w:t>
      </w:r>
      <w:r w:rsidRPr="00BF3585">
        <w:rPr>
          <w:rFonts w:ascii="Times New Roman" w:hAnsi="Times New Roman" w:cs="Times New Roman"/>
          <w:szCs w:val="24"/>
          <w:lang w:val="en-GB"/>
        </w:rPr>
        <w:noBreakHyphen/>
        <w:t>IV).</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rPr>
        <w:fldChar w:fldCharType="begin"/>
      </w:r>
      <w:r w:rsidRPr="00BF3585">
        <w:rPr>
          <w:rFonts w:ascii="Times New Roman" w:hAnsi="Times New Roman" w:cs="Times New Roman"/>
          <w:szCs w:val="24"/>
        </w:rPr>
        <w:instrText xml:space="preserve"> SEQ level0 \*arabic </w:instrText>
      </w:r>
      <w:r w:rsidRPr="00BF3585">
        <w:rPr>
          <w:rFonts w:ascii="Times New Roman" w:hAnsi="Times New Roman" w:cs="Times New Roman"/>
          <w:szCs w:val="24"/>
        </w:rPr>
        <w:fldChar w:fldCharType="separate"/>
      </w:r>
      <w:r w:rsidRPr="00BF3585" w:rsidR="00BF3585">
        <w:rPr>
          <w:rFonts w:ascii="Times New Roman" w:hAnsi="Times New Roman" w:cs="Times New Roman"/>
          <w:noProof/>
          <w:szCs w:val="24"/>
        </w:rPr>
        <w:t>86</w:t>
      </w:r>
      <w:r w:rsidRPr="00BF3585">
        <w:rPr>
          <w:rFonts w:ascii="Times New Roman" w:hAnsi="Times New Roman" w:cs="Times New Roman"/>
          <w:noProof/>
          <w:szCs w:val="24"/>
        </w:rPr>
        <w:fldChar w:fldCharType="end"/>
      </w:r>
      <w:r w:rsidRPr="00BF3585">
        <w:rPr>
          <w:rFonts w:ascii="Times New Roman" w:hAnsi="Times New Roman" w:cs="Times New Roman"/>
          <w:szCs w:val="24"/>
        </w:rPr>
        <w:t>.  </w:t>
      </w:r>
      <w:r w:rsidRPr="00BF3585">
        <w:rPr>
          <w:rFonts w:ascii="Times New Roman" w:hAnsi="Times New Roman" w:cs="Times New Roman"/>
          <w:szCs w:val="24"/>
          <w:lang w:val="en-GB"/>
        </w:rPr>
        <w:t xml:space="preserve">The Court has also held, in the context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Article 5 § 4, that </w:t>
      </w:r>
      <w:r w:rsidRPr="00BF3585" w:rsidR="00B17470">
        <w:rPr>
          <w:rFonts w:ascii="Times New Roman" w:hAnsi="Times New Roman" w:cs="Times New Roman"/>
          <w:szCs w:val="24"/>
          <w:lang w:val="en-GB"/>
        </w:rPr>
        <w:t xml:space="preserve">an </w:t>
      </w:r>
      <w:r w:rsidRPr="00BF3585">
        <w:rPr>
          <w:rFonts w:ascii="Times New Roman" w:hAnsi="Times New Roman" w:cs="Times New Roman"/>
          <w:szCs w:val="24"/>
          <w:lang w:val="en-GB"/>
        </w:rPr>
        <w:t xml:space="preserve">interference with the lawyer-client privilege and, thus, with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detainee</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 xml:space="preserve">s right to defence, does not necessarily require actual interception or eavesdropping to have taken place (see, </w:t>
      </w:r>
      <w:r w:rsidRPr="00BF3585">
        <w:rPr>
          <w:rFonts w:ascii="Times New Roman" w:hAnsi="Times New Roman" w:cs="Times New Roman"/>
          <w:i/>
          <w:szCs w:val="24"/>
          <w:lang w:val="en-GB"/>
        </w:rPr>
        <w:t>mutatis mutandis</w:t>
      </w:r>
      <w:r w:rsidRPr="00BF3585">
        <w:rPr>
          <w:rFonts w:ascii="Times New Roman" w:hAnsi="Times New Roman" w:cs="Times New Roman"/>
          <w:szCs w:val="24"/>
          <w:lang w:val="en-GB"/>
        </w:rPr>
        <w:t xml:space="preserve">, </w:t>
      </w:r>
      <w:r w:rsidRPr="00BF3585">
        <w:rPr>
          <w:rFonts w:ascii="Times New Roman" w:hAnsi="Times New Roman" w:cs="Times New Roman"/>
          <w:i/>
          <w:szCs w:val="24"/>
          <w:lang w:val="en-GB"/>
        </w:rPr>
        <w:t>Castravet v. Moldova</w:t>
      </w:r>
      <w:r w:rsidRPr="00BF3585">
        <w:rPr>
          <w:rFonts w:ascii="Times New Roman" w:hAnsi="Times New Roman" w:cs="Times New Roman"/>
          <w:szCs w:val="24"/>
          <w:lang w:val="en-GB"/>
        </w:rPr>
        <w:t>, no. 23393/05, § 51, 13 March 2007).</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87</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Court has further held, in the context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Article 8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Convention, that it is clearly in the general interest that any person who wishes to consult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lawyer should be free to do so under conditions which favour full and uninhibited discussion. It is for this reason that the lawyer-client relationship is, in principle, privileged (</w:t>
      </w:r>
      <w:r w:rsidRPr="00BF3585">
        <w:rPr>
          <w:rFonts w:ascii="Times New Roman" w:hAnsi="Times New Roman" w:cs="Times New Roman"/>
          <w:i/>
          <w:szCs w:val="24"/>
          <w:lang w:val="en-GB"/>
        </w:rPr>
        <w:t>mutatis mutandis</w:t>
      </w:r>
      <w:r w:rsidRPr="00BF3585">
        <w:rPr>
          <w:rFonts w:ascii="Times New Roman" w:hAnsi="Times New Roman" w:cs="Times New Roman"/>
          <w:szCs w:val="24"/>
          <w:lang w:val="en-GB"/>
        </w:rPr>
        <w:t xml:space="preserve">, </w:t>
      </w:r>
      <w:r w:rsidRPr="00BF3585">
        <w:rPr>
          <w:rFonts w:ascii="Times New Roman" w:hAnsi="Times New Roman" w:cs="Times New Roman"/>
          <w:i/>
          <w:szCs w:val="24"/>
          <w:lang w:val="en-GB"/>
        </w:rPr>
        <w:t>Campbell v. the United Kingdom</w:t>
      </w:r>
      <w:r w:rsidRPr="00BF3585">
        <w:rPr>
          <w:rFonts w:ascii="Times New Roman" w:hAnsi="Times New Roman" w:cs="Times New Roman"/>
          <w:szCs w:val="24"/>
          <w:lang w:val="en-GB"/>
        </w:rPr>
        <w:t xml:space="preserve">, 25 March 1992, § 46, Series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no. 233).</w:t>
      </w:r>
    </w:p>
    <w:p w:rsidRPr="00BF3585" w:rsidR="00C6083D" w:rsidP="00BF3585" w:rsidRDefault="00C6083D">
      <w:pPr>
        <w:pStyle w:val="ECHRPara"/>
        <w:rPr>
          <w:rFonts w:ascii="Times New Roman" w:hAnsi="Times New Roman" w:cs="Times New Roman"/>
          <w:snapToGrid w:val="0"/>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88</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Court has tolerated certain restrictions imposed on lawyer-client contacts in cases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terrorism and organised crime (see, in particular, </w:t>
      </w:r>
      <w:r w:rsidRPr="00BF3585">
        <w:rPr>
          <w:rFonts w:ascii="Times New Roman" w:hAnsi="Times New Roman" w:cs="Times New Roman"/>
          <w:i/>
          <w:szCs w:val="24"/>
          <w:lang w:val="en-GB"/>
        </w:rPr>
        <w:t>Erdem v. Germany</w:t>
      </w:r>
      <w:r w:rsidRPr="00BF3585">
        <w:rPr>
          <w:rFonts w:ascii="Times New Roman" w:hAnsi="Times New Roman" w:cs="Times New Roman"/>
          <w:szCs w:val="24"/>
          <w:lang w:val="en-GB"/>
        </w:rPr>
        <w:t xml:space="preserve">, no. 38321/97, § 65 et seq., ECHR 2001-VII (extracts), and </w:t>
      </w:r>
      <w:r w:rsidRPr="00BF3585">
        <w:rPr>
          <w:rFonts w:ascii="Times New Roman" w:hAnsi="Times New Roman" w:cs="Times New Roman"/>
          <w:i/>
          <w:snapToGrid w:val="0"/>
          <w:szCs w:val="24"/>
          <w:lang w:val="en-GB"/>
        </w:rPr>
        <w:t>Khodorkovskiy and Lebedev</w:t>
      </w:r>
      <w:r w:rsidRPr="00BF3585">
        <w:rPr>
          <w:rFonts w:ascii="Times New Roman" w:hAnsi="Times New Roman" w:cs="Times New Roman"/>
          <w:snapToGrid w:val="0"/>
          <w:szCs w:val="24"/>
          <w:lang w:val="en-GB"/>
        </w:rPr>
        <w:t xml:space="preserve"> </w:t>
      </w:r>
      <w:r w:rsidRPr="00BF3585">
        <w:rPr>
          <w:rFonts w:ascii="Times New Roman" w:hAnsi="Times New Roman" w:cs="Times New Roman"/>
          <w:i/>
          <w:snapToGrid w:val="0"/>
          <w:szCs w:val="24"/>
          <w:lang w:val="en-GB"/>
        </w:rPr>
        <w:t>v. Russia</w:t>
      </w:r>
      <w:r w:rsidRPr="00BF3585">
        <w:rPr>
          <w:rFonts w:ascii="Times New Roman" w:hAnsi="Times New Roman" w:cs="Times New Roman"/>
          <w:snapToGrid w:val="0"/>
          <w:szCs w:val="24"/>
          <w:lang w:val="en-GB"/>
        </w:rPr>
        <w:t>, nos. 11082/06 and 13772/05, § 627, 25 July 2013).</w:t>
      </w:r>
      <w:r w:rsidRPr="00BF3585">
        <w:rPr>
          <w:rFonts w:ascii="Times New Roman" w:hAnsi="Times New Roman" w:cs="Times New Roman"/>
          <w:szCs w:val="24"/>
        </w:rPr>
        <w:t xml:space="preserve"> </w:t>
      </w:r>
      <w:r w:rsidRPr="00BF3585">
        <w:rPr>
          <w:rFonts w:ascii="Times New Roman" w:hAnsi="Times New Roman" w:cs="Times New Roman"/>
          <w:snapToGrid w:val="0"/>
          <w:szCs w:val="24"/>
          <w:lang w:val="en-GB"/>
        </w:rPr>
        <w:t xml:space="preserve">Nonetheless, the privilege that attaches to correspondence between prisoners and their lawyers constitutes </w:t>
      </w:r>
      <w:r w:rsidRPr="00BF3585" w:rsidR="00B17470">
        <w:rPr>
          <w:rFonts w:ascii="Times New Roman" w:hAnsi="Times New Roman" w:cs="Times New Roman"/>
          <w:snapToGrid w:val="0"/>
          <w:szCs w:val="24"/>
          <w:lang w:val="en-GB"/>
        </w:rPr>
        <w:t xml:space="preserve">a </w:t>
      </w:r>
      <w:r w:rsidRPr="00BF3585">
        <w:rPr>
          <w:rFonts w:ascii="Times New Roman" w:hAnsi="Times New Roman" w:cs="Times New Roman"/>
          <w:snapToGrid w:val="0"/>
          <w:szCs w:val="24"/>
          <w:lang w:val="en-GB"/>
        </w:rPr>
        <w:t xml:space="preserve">fundamental right </w:t>
      </w:r>
      <w:r w:rsidRPr="00BF3585" w:rsidR="00B17470">
        <w:rPr>
          <w:rFonts w:ascii="Times New Roman" w:hAnsi="Times New Roman" w:cs="Times New Roman"/>
          <w:snapToGrid w:val="0"/>
          <w:szCs w:val="24"/>
          <w:lang w:val="en-GB"/>
        </w:rPr>
        <w:t xml:space="preserve">of </w:t>
      </w:r>
      <w:r w:rsidRPr="00BF3585">
        <w:rPr>
          <w:rFonts w:ascii="Times New Roman" w:hAnsi="Times New Roman" w:cs="Times New Roman"/>
          <w:snapToGrid w:val="0"/>
          <w:szCs w:val="24"/>
          <w:lang w:val="en-GB"/>
        </w:rPr>
        <w:t xml:space="preserve">the individual and directly affects the rights </w:t>
      </w:r>
      <w:r w:rsidRPr="00BF3585" w:rsidR="00B17470">
        <w:rPr>
          <w:rFonts w:ascii="Times New Roman" w:hAnsi="Times New Roman" w:cs="Times New Roman"/>
          <w:snapToGrid w:val="0"/>
          <w:szCs w:val="24"/>
          <w:lang w:val="en-GB"/>
        </w:rPr>
        <w:t xml:space="preserve">of </w:t>
      </w:r>
      <w:r w:rsidRPr="00BF3585">
        <w:rPr>
          <w:rFonts w:ascii="Times New Roman" w:hAnsi="Times New Roman" w:cs="Times New Roman"/>
          <w:snapToGrid w:val="0"/>
          <w:szCs w:val="24"/>
          <w:lang w:val="en-GB"/>
        </w:rPr>
        <w:t xml:space="preserve">the defence. For that reason, the Court has held – again in the context </w:t>
      </w:r>
      <w:r w:rsidRPr="00BF3585" w:rsidR="00B17470">
        <w:rPr>
          <w:rFonts w:ascii="Times New Roman" w:hAnsi="Times New Roman" w:cs="Times New Roman"/>
          <w:snapToGrid w:val="0"/>
          <w:szCs w:val="24"/>
          <w:lang w:val="en-GB"/>
        </w:rPr>
        <w:t xml:space="preserve">of </w:t>
      </w:r>
      <w:r w:rsidRPr="00BF3585">
        <w:rPr>
          <w:rFonts w:ascii="Times New Roman" w:hAnsi="Times New Roman" w:cs="Times New Roman"/>
          <w:snapToGrid w:val="0"/>
          <w:szCs w:val="24"/>
          <w:lang w:val="en-GB"/>
        </w:rPr>
        <w:t xml:space="preserve">Article 8 </w:t>
      </w:r>
      <w:r w:rsidRPr="00BF3585" w:rsidR="00B17470">
        <w:rPr>
          <w:rFonts w:ascii="Times New Roman" w:hAnsi="Times New Roman" w:cs="Times New Roman"/>
          <w:snapToGrid w:val="0"/>
          <w:szCs w:val="24"/>
          <w:lang w:val="en-GB"/>
        </w:rPr>
        <w:t xml:space="preserve">of </w:t>
      </w:r>
      <w:r w:rsidRPr="00BF3585">
        <w:rPr>
          <w:rFonts w:ascii="Times New Roman" w:hAnsi="Times New Roman" w:cs="Times New Roman"/>
          <w:snapToGrid w:val="0"/>
          <w:szCs w:val="24"/>
          <w:lang w:val="en-GB"/>
        </w:rPr>
        <w:t xml:space="preserve">the Convention – , that the fundamental rule </w:t>
      </w:r>
      <w:r w:rsidRPr="00BF3585" w:rsidR="00B17470">
        <w:rPr>
          <w:rFonts w:ascii="Times New Roman" w:hAnsi="Times New Roman" w:cs="Times New Roman"/>
          <w:snapToGrid w:val="0"/>
          <w:szCs w:val="24"/>
          <w:lang w:val="en-GB"/>
        </w:rPr>
        <w:t xml:space="preserve">of </w:t>
      </w:r>
      <w:r w:rsidRPr="00BF3585">
        <w:rPr>
          <w:rFonts w:ascii="Times New Roman" w:hAnsi="Times New Roman" w:cs="Times New Roman"/>
          <w:snapToGrid w:val="0"/>
          <w:szCs w:val="24"/>
          <w:lang w:val="en-GB"/>
        </w:rPr>
        <w:t>respect for lawyer-client confidentiality may only be derogated from in exceptional cases and on condition that adequate and sufficient safeguards against abuse are in place (</w:t>
      </w:r>
      <w:r w:rsidRPr="00BF3585">
        <w:rPr>
          <w:rFonts w:ascii="Times New Roman" w:hAnsi="Times New Roman" w:cs="Times New Roman"/>
          <w:i/>
          <w:snapToGrid w:val="0"/>
          <w:szCs w:val="24"/>
          <w:lang w:val="en-GB"/>
        </w:rPr>
        <w:t>mutatis mutandis</w:t>
      </w:r>
      <w:r w:rsidRPr="00BF3585">
        <w:rPr>
          <w:rFonts w:ascii="Times New Roman" w:hAnsi="Times New Roman" w:cs="Times New Roman"/>
          <w:snapToGrid w:val="0"/>
          <w:szCs w:val="24"/>
          <w:lang w:val="en-GB"/>
        </w:rPr>
        <w:t xml:space="preserve">, </w:t>
      </w:r>
      <w:r w:rsidRPr="00BF3585">
        <w:rPr>
          <w:rFonts w:ascii="Times New Roman" w:hAnsi="Times New Roman" w:cs="Times New Roman"/>
          <w:i/>
          <w:snapToGrid w:val="0"/>
          <w:szCs w:val="24"/>
          <w:lang w:val="en-GB"/>
        </w:rPr>
        <w:t>Erdem</w:t>
      </w:r>
      <w:r w:rsidRPr="00BF3585">
        <w:rPr>
          <w:rFonts w:ascii="Times New Roman" w:hAnsi="Times New Roman" w:cs="Times New Roman"/>
          <w:snapToGrid w:val="0"/>
          <w:szCs w:val="24"/>
          <w:lang w:val="en-GB"/>
        </w:rPr>
        <w:t>, § 65).</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89</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In </w:t>
      </w:r>
      <w:r w:rsidRPr="00BF3585">
        <w:rPr>
          <w:rFonts w:ascii="Times New Roman" w:hAnsi="Times New Roman" w:cs="Times New Roman"/>
          <w:i/>
          <w:szCs w:val="24"/>
          <w:lang w:val="en-GB"/>
        </w:rPr>
        <w:t>A. and Others v. the United Kingdom</w:t>
      </w:r>
      <w:r w:rsidRPr="00BF3585">
        <w:rPr>
          <w:rFonts w:ascii="Times New Roman" w:hAnsi="Times New Roman" w:cs="Times New Roman"/>
          <w:szCs w:val="24"/>
          <w:lang w:val="en-GB"/>
        </w:rPr>
        <w:t xml:space="preserve"> the Court was called upon to consider measures designed to ensure fairness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proceedings for purposes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Article 5 § 4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Convention while withholding from the defence evidence relied on by the prosecution. The Court took as its starting point that during the period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the applicants</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 xml:space="preserve"> detention the activities and aims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the al-Qaed</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terrorist network had given rise to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“public emergency threatening the life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nation.” It had therefore to be borne in mind that at the relevant time there was considered to be </w:t>
      </w:r>
      <w:r w:rsidRPr="00BF3585" w:rsidR="00B17470">
        <w:rPr>
          <w:rFonts w:ascii="Times New Roman" w:hAnsi="Times New Roman" w:cs="Times New Roman"/>
          <w:szCs w:val="24"/>
          <w:lang w:val="en-GB"/>
        </w:rPr>
        <w:t xml:space="preserve">an </w:t>
      </w:r>
      <w:r w:rsidRPr="00BF3585">
        <w:rPr>
          <w:rFonts w:ascii="Times New Roman" w:hAnsi="Times New Roman" w:cs="Times New Roman"/>
          <w:szCs w:val="24"/>
          <w:lang w:val="en-GB"/>
        </w:rPr>
        <w:t xml:space="preserve">urgent need to protect the population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United Kingdom from terrorist attack and, although the United Kingdom had not derogated from Article 5 § 4 but only from Article 5 § 1,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strong public interest in obtaining information about al</w:t>
      </w:r>
      <w:r w:rsidRPr="00BF3585">
        <w:rPr>
          <w:rFonts w:ascii="Times New Roman" w:hAnsi="Times New Roman" w:cs="Times New Roman"/>
          <w:szCs w:val="24"/>
          <w:lang w:val="en-GB"/>
        </w:rPr>
        <w:noBreakHyphen/>
        <w:t>Qaed</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and its associates and in maintaining the secrecy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sources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such information (</w:t>
      </w:r>
      <w:r w:rsidRPr="00BF3585">
        <w:rPr>
          <w:rFonts w:ascii="Times New Roman" w:hAnsi="Times New Roman" w:cs="Times New Roman"/>
          <w:i/>
          <w:szCs w:val="24"/>
          <w:lang w:val="en-GB"/>
        </w:rPr>
        <w:t>loc. cit.</w:t>
      </w:r>
      <w:r w:rsidRPr="00BF3585">
        <w:rPr>
          <w:rFonts w:ascii="Times New Roman" w:hAnsi="Times New Roman" w:cs="Times New Roman"/>
          <w:szCs w:val="24"/>
          <w:lang w:val="en-GB"/>
        </w:rPr>
        <w:t>, § 216).</w:t>
      </w:r>
    </w:p>
    <w:p w:rsidRPr="00BF3585" w:rsidR="00C6083D" w:rsidP="00BF3585" w:rsidRDefault="00C6083D">
      <w:pPr>
        <w:pStyle w:val="ECHRPara"/>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90</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w:t>
      </w:r>
      <w:r w:rsidRPr="00BF3585" w:rsidR="00B17470">
        <w:rPr>
          <w:rFonts w:ascii="Times New Roman" w:hAnsi="Times New Roman"/>
          <w:szCs w:val="24"/>
        </w:rPr>
        <w:t xml:space="preserve">A </w:t>
      </w:r>
      <w:r w:rsidRPr="00BF3585">
        <w:rPr>
          <w:rFonts w:ascii="Times New Roman" w:hAnsi="Times New Roman"/>
          <w:szCs w:val="24"/>
        </w:rPr>
        <w:t xml:space="preserve">procedure whereby the prosecution itself attempts to assess the importance </w:t>
      </w:r>
      <w:r w:rsidRPr="00BF3585" w:rsidR="00B17470">
        <w:rPr>
          <w:rFonts w:ascii="Times New Roman" w:hAnsi="Times New Roman"/>
          <w:szCs w:val="24"/>
        </w:rPr>
        <w:t xml:space="preserve">of </w:t>
      </w:r>
      <w:r w:rsidRPr="00BF3585">
        <w:rPr>
          <w:rFonts w:ascii="Times New Roman" w:hAnsi="Times New Roman"/>
          <w:szCs w:val="24"/>
        </w:rPr>
        <w:t xml:space="preserve">concealed information for the defence and weigh this against the public interest in keeping the information secret cannot comply with the above-mentioned requirements </w:t>
      </w:r>
      <w:r w:rsidRPr="00BF3585" w:rsidR="00B17470">
        <w:rPr>
          <w:rFonts w:ascii="Times New Roman" w:hAnsi="Times New Roman"/>
          <w:szCs w:val="24"/>
        </w:rPr>
        <w:t xml:space="preserve">of </w:t>
      </w:r>
      <w:r w:rsidRPr="00BF3585">
        <w:rPr>
          <w:rFonts w:ascii="Times New Roman" w:hAnsi="Times New Roman"/>
          <w:szCs w:val="24"/>
        </w:rPr>
        <w:t>Article 6 § 1 (</w:t>
      </w:r>
      <w:r w:rsidRPr="00BF3585">
        <w:rPr>
          <w:rFonts w:ascii="Times New Roman" w:hAnsi="Times New Roman"/>
          <w:i/>
          <w:iCs/>
          <w:szCs w:val="24"/>
        </w:rPr>
        <w:t>Dowsett v. the United Kingdom</w:t>
      </w:r>
      <w:r w:rsidRPr="00BF3585">
        <w:rPr>
          <w:rFonts w:ascii="Times New Roman" w:hAnsi="Times New Roman"/>
          <w:szCs w:val="24"/>
        </w:rPr>
        <w:t xml:space="preserve">, no. 39482/98, § 44, ECHR 2003 VII). The Court has also held, in the context </w:t>
      </w:r>
      <w:r w:rsidRPr="00BF3585" w:rsidR="00B17470">
        <w:rPr>
          <w:rFonts w:ascii="Times New Roman" w:hAnsi="Times New Roman"/>
          <w:szCs w:val="24"/>
        </w:rPr>
        <w:t xml:space="preserve">of </w:t>
      </w:r>
      <w:r w:rsidRPr="00BF3585">
        <w:rPr>
          <w:rFonts w:ascii="Times New Roman" w:hAnsi="Times New Roman"/>
          <w:szCs w:val="24"/>
        </w:rPr>
        <w:t xml:space="preserve">Article 6 § 3 (b), that </w:t>
      </w:r>
      <w:r w:rsidRPr="00BF3585" w:rsidR="00B17470">
        <w:rPr>
          <w:rFonts w:ascii="Times New Roman" w:hAnsi="Times New Roman"/>
          <w:szCs w:val="24"/>
        </w:rPr>
        <w:t xml:space="preserve">an </w:t>
      </w:r>
      <w:r w:rsidRPr="00BF3585">
        <w:rPr>
          <w:rFonts w:ascii="Times New Roman" w:hAnsi="Times New Roman"/>
          <w:szCs w:val="24"/>
        </w:rPr>
        <w:t xml:space="preserve">accused is guaranteed adequate time and facilities for the preparation </w:t>
      </w:r>
      <w:r w:rsidRPr="00BF3585" w:rsidR="00B17470">
        <w:rPr>
          <w:rFonts w:ascii="Times New Roman" w:hAnsi="Times New Roman"/>
          <w:szCs w:val="24"/>
        </w:rPr>
        <w:t xml:space="preserve">of </w:t>
      </w:r>
      <w:r w:rsidRPr="00BF3585">
        <w:rPr>
          <w:rFonts w:ascii="Times New Roman" w:hAnsi="Times New Roman"/>
          <w:szCs w:val="24"/>
        </w:rPr>
        <w:t>his defe</w:t>
      </w:r>
      <w:r w:rsidRPr="00BF3585" w:rsidR="00807DD3">
        <w:rPr>
          <w:rFonts w:ascii="Times New Roman" w:hAnsi="Times New Roman"/>
          <w:szCs w:val="24"/>
        </w:rPr>
        <w:t>nce and therefore Article 6 § 3 </w:t>
      </w:r>
      <w:r w:rsidRPr="00BF3585">
        <w:rPr>
          <w:rFonts w:ascii="Times New Roman" w:hAnsi="Times New Roman"/>
          <w:szCs w:val="24"/>
        </w:rPr>
        <w:t>(b) implies that the substantive defence activity may comprise everything that is “necessary” to prepare the main trial</w:t>
      </w:r>
      <w:r w:rsidRPr="00BF3585">
        <w:t xml:space="preserve"> </w:t>
      </w:r>
      <w:r w:rsidRPr="00BF3585">
        <w:rPr>
          <w:rFonts w:ascii="Times New Roman" w:hAnsi="Times New Roman"/>
          <w:szCs w:val="24"/>
        </w:rPr>
        <w:t>(</w:t>
      </w:r>
      <w:r w:rsidRPr="00BF3585">
        <w:rPr>
          <w:rFonts w:ascii="Times New Roman" w:hAnsi="Times New Roman"/>
          <w:i/>
          <w:iCs/>
          <w:szCs w:val="24"/>
        </w:rPr>
        <w:t>Mayzit v. Russia</w:t>
      </w:r>
      <w:r w:rsidRPr="00BF3585">
        <w:rPr>
          <w:rFonts w:ascii="Times New Roman" w:hAnsi="Times New Roman"/>
          <w:szCs w:val="24"/>
        </w:rPr>
        <w:t>, no. 63378/00, § 78, 20 January 2005).</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91</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Turning to the present case, the Court notes the Government</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 xml:space="preserve">s position that the conditions governing communication between the applicant and his counsel were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concession to the defence in the light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the applicant</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 xml:space="preserve">s duty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secrecy. However, it takes the opposite view, namely that they constituted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restriction on the right </w:t>
      </w:r>
      <w:r w:rsidRPr="00BF3585" w:rsidR="00B17470">
        <w:rPr>
          <w:rFonts w:ascii="Times New Roman" w:hAnsi="Times New Roman" w:cs="Times New Roman"/>
          <w:szCs w:val="24"/>
          <w:lang w:val="en-GB"/>
        </w:rPr>
        <w:t xml:space="preserve">of an </w:t>
      </w:r>
      <w:r w:rsidRPr="00BF3585">
        <w:rPr>
          <w:rFonts w:ascii="Times New Roman" w:hAnsi="Times New Roman" w:cs="Times New Roman"/>
          <w:szCs w:val="24"/>
          <w:lang w:val="en-GB"/>
        </w:rPr>
        <w:t>accused to communicate with his or her legal counsel without hindrance.</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92</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present case differs from those cited above in several relevant respects. Firstly, the applicant was not denied access to prosecution evidence: he was ordered not to disclose to his counsel factual information to be used in his defence. In this the present case is distinguishable from </w:t>
      </w:r>
      <w:r w:rsidRPr="00BF3585" w:rsidR="00807DD3">
        <w:rPr>
          <w:rFonts w:ascii="Times New Roman" w:hAnsi="Times New Roman" w:cs="Times New Roman"/>
          <w:i/>
          <w:szCs w:val="24"/>
          <w:lang w:val="en-GB"/>
        </w:rPr>
        <w:t>A. </w:t>
      </w:r>
      <w:r w:rsidRPr="00BF3585">
        <w:rPr>
          <w:rFonts w:ascii="Times New Roman" w:hAnsi="Times New Roman" w:cs="Times New Roman"/>
          <w:i/>
          <w:szCs w:val="24"/>
          <w:lang w:val="en-GB"/>
        </w:rPr>
        <w:t>and Others</w:t>
      </w:r>
      <w:r w:rsidRPr="00BF3585">
        <w:rPr>
          <w:rFonts w:ascii="Times New Roman" w:hAnsi="Times New Roman" w:cs="Times New Roman"/>
          <w:szCs w:val="24"/>
          <w:lang w:val="en-GB"/>
        </w:rPr>
        <w:t xml:space="preserve">. Secondly, there was no interference whatsoever with the confidentiality between the defendant and his lawyer. This case therefore differs essentially from </w:t>
      </w:r>
      <w:r w:rsidRPr="00BF3585">
        <w:rPr>
          <w:rFonts w:ascii="Times New Roman" w:hAnsi="Times New Roman" w:cs="Times New Roman"/>
          <w:i/>
          <w:szCs w:val="24"/>
          <w:lang w:val="en-GB"/>
        </w:rPr>
        <w:t>S. v. Switzerland</w:t>
      </w:r>
      <w:r w:rsidRPr="00BF3585">
        <w:rPr>
          <w:rFonts w:ascii="Times New Roman" w:hAnsi="Times New Roman" w:cs="Times New Roman"/>
          <w:szCs w:val="24"/>
          <w:lang w:val="en-GB"/>
        </w:rPr>
        <w:t xml:space="preserve">, </w:t>
      </w:r>
      <w:r w:rsidRPr="00BF3585" w:rsidR="00D8119B">
        <w:rPr>
          <w:rFonts w:ascii="Times New Roman" w:hAnsi="Times New Roman" w:cs="Times New Roman"/>
          <w:szCs w:val="24"/>
          <w:lang w:val="en-GB"/>
        </w:rPr>
        <w:t>cited above, § 48</w:t>
      </w:r>
      <w:r w:rsidRPr="00BF3585">
        <w:rPr>
          <w:rFonts w:ascii="Times New Roman" w:hAnsi="Times New Roman" w:cs="Times New Roman"/>
          <w:szCs w:val="24"/>
          <w:lang w:val="en-GB"/>
        </w:rPr>
        <w:t xml:space="preserve">; </w:t>
      </w:r>
      <w:r w:rsidRPr="00BF3585" w:rsidR="00D8119B">
        <w:rPr>
          <w:rFonts w:ascii="Times New Roman" w:hAnsi="Times New Roman" w:cs="Times New Roman"/>
          <w:i/>
          <w:szCs w:val="24"/>
          <w:lang w:val="en-GB"/>
        </w:rPr>
        <w:t>Campbell v. the </w:t>
      </w:r>
      <w:r w:rsidRPr="00BF3585">
        <w:rPr>
          <w:rFonts w:ascii="Times New Roman" w:hAnsi="Times New Roman" w:cs="Times New Roman"/>
          <w:i/>
          <w:szCs w:val="24"/>
          <w:lang w:val="en-GB"/>
        </w:rPr>
        <w:t>United Kin</w:t>
      </w:r>
      <w:r w:rsidRPr="00BF3585">
        <w:rPr>
          <w:rFonts w:ascii="Times New Roman" w:hAnsi="Times New Roman" w:cs="Times New Roman"/>
          <w:szCs w:val="24"/>
          <w:lang w:val="en-GB"/>
        </w:rPr>
        <w:t xml:space="preserve">gdom, </w:t>
      </w:r>
      <w:r w:rsidRPr="00BF3585" w:rsidR="00D8119B">
        <w:rPr>
          <w:rFonts w:ascii="Times New Roman" w:hAnsi="Times New Roman" w:cs="Times New Roman"/>
          <w:szCs w:val="24"/>
          <w:lang w:val="en-GB"/>
        </w:rPr>
        <w:t>cited above, § 48</w:t>
      </w:r>
      <w:r w:rsidRPr="00BF3585">
        <w:rPr>
          <w:rFonts w:ascii="Times New Roman" w:hAnsi="Times New Roman" w:cs="Times New Roman"/>
          <w:szCs w:val="24"/>
          <w:lang w:val="en-GB"/>
        </w:rPr>
        <w:t xml:space="preserve">; and </w:t>
      </w:r>
      <w:r w:rsidRPr="00BF3585">
        <w:rPr>
          <w:rFonts w:ascii="Times New Roman" w:hAnsi="Times New Roman" w:cs="Times New Roman"/>
          <w:i/>
          <w:szCs w:val="24"/>
          <w:lang w:val="en-GB"/>
        </w:rPr>
        <w:t>Moiseyev v. Russia</w:t>
      </w:r>
      <w:r w:rsidRPr="00BF3585" w:rsidR="00967112">
        <w:rPr>
          <w:rFonts w:ascii="Times New Roman" w:hAnsi="Times New Roman" w:cs="Times New Roman"/>
          <w:szCs w:val="24"/>
          <w:lang w:val="en-GB"/>
        </w:rPr>
        <w:t>, no. </w:t>
      </w:r>
      <w:r w:rsidRPr="00BF3585">
        <w:rPr>
          <w:rFonts w:ascii="Times New Roman" w:hAnsi="Times New Roman" w:cs="Times New Roman"/>
          <w:szCs w:val="24"/>
          <w:lang w:val="en-GB"/>
        </w:rPr>
        <w:t xml:space="preserve">62936/00, § 210, 9 October 2008, where surveillance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communication was in issue. Furthermore, </w:t>
      </w:r>
      <w:r w:rsidRPr="00BF3585" w:rsidR="00807DD3">
        <w:rPr>
          <w:rFonts w:ascii="Times New Roman" w:hAnsi="Times New Roman" w:cs="Times New Roman"/>
          <w:szCs w:val="24"/>
          <w:lang w:val="en-GB"/>
        </w:rPr>
        <w:t>no </w:t>
      </w:r>
      <w:r w:rsidRPr="00BF3585">
        <w:rPr>
          <w:rFonts w:ascii="Times New Roman" w:hAnsi="Times New Roman" w:cs="Times New Roman"/>
          <w:szCs w:val="24"/>
          <w:lang w:val="en-GB"/>
        </w:rPr>
        <w:t xml:space="preserve">independent monitoring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information passed between the applicant and his counsel took place: rather, the applicant was threatened with prosecution </w:t>
      </w:r>
      <w:r w:rsidRPr="00BF3585">
        <w:rPr>
          <w:rFonts w:ascii="Times New Roman" w:hAnsi="Times New Roman" w:cs="Times New Roman"/>
          <w:i/>
          <w:szCs w:val="24"/>
          <w:lang w:val="en-GB"/>
        </w:rPr>
        <w:t xml:space="preserve">post factum </w:t>
      </w:r>
      <w:r w:rsidRPr="00BF3585">
        <w:rPr>
          <w:rFonts w:ascii="Times New Roman" w:hAnsi="Times New Roman" w:cs="Times New Roman"/>
          <w:szCs w:val="24"/>
          <w:lang w:val="en-GB"/>
        </w:rPr>
        <w:t xml:space="preserve">if he gave his counsel secret information. In this the present case is unlike </w:t>
      </w:r>
      <w:r w:rsidRPr="00BF3585">
        <w:rPr>
          <w:rFonts w:ascii="Times New Roman" w:hAnsi="Times New Roman" w:cs="Times New Roman"/>
          <w:i/>
          <w:szCs w:val="24"/>
          <w:lang w:val="en-GB"/>
        </w:rPr>
        <w:t>Erdem</w:t>
      </w:r>
      <w:r w:rsidRPr="00BF3585">
        <w:rPr>
          <w:rFonts w:ascii="Times New Roman" w:hAnsi="Times New Roman" w:cs="Times New Roman"/>
          <w:szCs w:val="24"/>
          <w:lang w:val="en-GB"/>
        </w:rPr>
        <w:t>.</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93</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These differences, however, are not decisive: what matters is that communication between the applicant and his counsel was not free and unrestricted as to its content, as the requirements </w:t>
      </w:r>
      <w:r w:rsidRPr="00BF3585" w:rsidR="00B17470">
        <w:rPr>
          <w:rFonts w:ascii="Times New Roman" w:hAnsi="Times New Roman" w:cs="Times New Roman"/>
          <w:szCs w:val="24"/>
          <w:lang w:val="en-GB"/>
        </w:rPr>
        <w:t xml:space="preserve">of a </w:t>
      </w:r>
      <w:r w:rsidRPr="00BF3585">
        <w:rPr>
          <w:rFonts w:ascii="Times New Roman" w:hAnsi="Times New Roman" w:cs="Times New Roman"/>
          <w:szCs w:val="24"/>
          <w:lang w:val="en-GB"/>
        </w:rPr>
        <w:t>fair trial normally require.</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94</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Court accepts that secrecy rules apply generally, and there is no reason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principle why they should not apply when the members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staff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security service are prosecuted for criminal offences related to their employment. The question for the Court is how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b</w:t>
      </w:r>
      <w:r w:rsidRPr="00BF3585" w:rsidR="00B17470">
        <w:rPr>
          <w:rFonts w:ascii="Times New Roman" w:hAnsi="Times New Roman" w:cs="Times New Roman"/>
          <w:szCs w:val="24"/>
          <w:lang w:val="en-GB"/>
        </w:rPr>
        <w:t xml:space="preserve">an </w:t>
      </w:r>
      <w:r w:rsidRPr="00BF3585">
        <w:rPr>
          <w:rFonts w:ascii="Times New Roman" w:hAnsi="Times New Roman" w:cs="Times New Roman"/>
          <w:szCs w:val="24"/>
          <w:lang w:val="en-GB"/>
        </w:rPr>
        <w:t>on divulging secret information affects the suspect</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s right to defence, both in connection with his communications with his lawyers and as regards the proceedings in courts.</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95</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It is reflected in the two judgments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Court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Appeal and the hearing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12 and 15 February 2007 (</w:t>
      </w:r>
      <w:r w:rsidRPr="00BF3585" w:rsidR="00B17470">
        <w:rPr>
          <w:rFonts w:ascii="Times New Roman" w:hAnsi="Times New Roman" w:cs="Times New Roman"/>
          <w:szCs w:val="24"/>
          <w:lang w:val="en-GB"/>
        </w:rPr>
        <w:t xml:space="preserve">see </w:t>
      </w:r>
      <w:r w:rsidRPr="00BF3585">
        <w:rPr>
          <w:rFonts w:ascii="Times New Roman" w:hAnsi="Times New Roman" w:cs="Times New Roman"/>
          <w:szCs w:val="24"/>
          <w:lang w:val="en-GB"/>
        </w:rPr>
        <w:t xml:space="preserve">paragraphs </w:t>
      </w: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REF Appeal \h </w:instrText>
      </w:r>
      <w:r w:rsidRPr="00BF3585">
        <w:rPr>
          <w:rFonts w:ascii="Times New Roman" w:hAnsi="Times New Roman" w:cs="Times New Roman"/>
          <w:szCs w:val="24"/>
          <w:lang w:val="en-GB"/>
        </w:rPr>
      </w:r>
      <w:r w:rsidRPr="00BF3585">
        <w:rPr>
          <w:rFonts w:ascii="Times New Roman" w:hAnsi="Times New Roman" w:cs="Times New Roman"/>
          <w:szCs w:val="24"/>
          <w:lang w:val="en-GB"/>
        </w:rPr>
        <w:fldChar w:fldCharType="separate"/>
      </w:r>
      <w:r w:rsidRPr="00BF3585" w:rsidR="00BF3585">
        <w:rPr>
          <w:noProof/>
          <w:lang w:val="en-GB"/>
        </w:rPr>
        <w:t>34</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w:t>
      </w: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REF raisonning \h </w:instrText>
      </w:r>
      <w:r w:rsidRPr="00BF3585">
        <w:rPr>
          <w:rFonts w:ascii="Times New Roman" w:hAnsi="Times New Roman" w:cs="Times New Roman"/>
          <w:szCs w:val="24"/>
          <w:lang w:val="en-GB"/>
        </w:rPr>
      </w:r>
      <w:r w:rsidRPr="00BF3585">
        <w:rPr>
          <w:rFonts w:ascii="Times New Roman" w:hAnsi="Times New Roman" w:cs="Times New Roman"/>
          <w:szCs w:val="24"/>
          <w:lang w:val="en-GB"/>
        </w:rPr>
        <w:fldChar w:fldCharType="separate"/>
      </w:r>
      <w:r w:rsidRPr="00BF3585" w:rsidR="00BF3585">
        <w:rPr>
          <w:noProof/>
          <w:lang w:val="en-GB"/>
        </w:rPr>
        <w:t>41</w:t>
      </w:r>
      <w:r w:rsidRPr="00BF3585">
        <w:rPr>
          <w:rFonts w:ascii="Times New Roman" w:hAnsi="Times New Roman" w:cs="Times New Roman"/>
          <w:szCs w:val="24"/>
          <w:lang w:val="en-GB"/>
        </w:rPr>
        <w:fldChar w:fldCharType="end"/>
      </w:r>
      <w:r w:rsidRPr="00BF3585" w:rsidR="009A1025">
        <w:rPr>
          <w:rFonts w:ascii="Times New Roman" w:hAnsi="Times New Roman" w:cs="Times New Roman"/>
          <w:szCs w:val="24"/>
          <w:lang w:val="en-GB"/>
        </w:rPr>
        <w:t xml:space="preserve"> above) that the Advocate G</w:t>
      </w:r>
      <w:r w:rsidRPr="00BF3585">
        <w:rPr>
          <w:rFonts w:ascii="Times New Roman" w:hAnsi="Times New Roman" w:cs="Times New Roman"/>
          <w:szCs w:val="24"/>
          <w:lang w:val="en-GB"/>
        </w:rPr>
        <w:t xml:space="preserve">eneral gave </w:t>
      </w:r>
      <w:r w:rsidRPr="00BF3585" w:rsidR="00B17470">
        <w:rPr>
          <w:rFonts w:ascii="Times New Roman" w:hAnsi="Times New Roman" w:cs="Times New Roman"/>
          <w:szCs w:val="24"/>
          <w:lang w:val="en-GB"/>
        </w:rPr>
        <w:t xml:space="preserve">an </w:t>
      </w:r>
      <w:r w:rsidRPr="00BF3585">
        <w:rPr>
          <w:rFonts w:ascii="Times New Roman" w:hAnsi="Times New Roman" w:cs="Times New Roman"/>
          <w:szCs w:val="24"/>
          <w:lang w:val="en-GB"/>
        </w:rPr>
        <w:t xml:space="preserve">undertaking not to prosecute the applicant for breach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his duty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secrecy if such breach was justified by the rights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defence, as guaranteed by Article 6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Convention. This laid upon the applicant the burden to decide, without the benefit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counsel</w:t>
      </w:r>
      <w:r w:rsidRPr="00BF3585" w:rsidR="00BF3585">
        <w:rPr>
          <w:rFonts w:ascii="Times New Roman" w:hAnsi="Times New Roman" w:cs="Times New Roman"/>
          <w:szCs w:val="24"/>
          <w:lang w:val="en-GB"/>
        </w:rPr>
        <w:t>’</w:t>
      </w:r>
      <w:r w:rsidRPr="00BF3585">
        <w:rPr>
          <w:rFonts w:ascii="Times New Roman" w:hAnsi="Times New Roman" w:cs="Times New Roman"/>
          <w:szCs w:val="24"/>
          <w:lang w:val="en-GB"/>
        </w:rPr>
        <w:t>s advice, whether to disclose facts not already recorded in the case file and in so doing</w:t>
      </w:r>
      <w:r w:rsidRPr="00BF3585" w:rsidR="009A1025">
        <w:rPr>
          <w:rFonts w:ascii="Times New Roman" w:hAnsi="Times New Roman" w:cs="Times New Roman"/>
          <w:szCs w:val="24"/>
          <w:lang w:val="en-GB"/>
        </w:rPr>
        <w:t xml:space="preserve"> risk further prosecution, the Advocate G</w:t>
      </w:r>
      <w:r w:rsidRPr="00BF3585">
        <w:rPr>
          <w:rFonts w:ascii="Times New Roman" w:hAnsi="Times New Roman" w:cs="Times New Roman"/>
          <w:szCs w:val="24"/>
          <w:lang w:val="en-GB"/>
        </w:rPr>
        <w:t>eneral retaining full discretion in the matter.</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96</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The Court considers that it cannot be expected </w:t>
      </w:r>
      <w:r w:rsidRPr="00BF3585" w:rsidR="00B17470">
        <w:rPr>
          <w:rFonts w:ascii="Times New Roman" w:hAnsi="Times New Roman" w:cs="Times New Roman"/>
          <w:szCs w:val="24"/>
          <w:lang w:val="en-GB"/>
        </w:rPr>
        <w:t xml:space="preserve">of a </w:t>
      </w:r>
      <w:r w:rsidRPr="00BF3585">
        <w:rPr>
          <w:rFonts w:ascii="Times New Roman" w:hAnsi="Times New Roman" w:cs="Times New Roman"/>
          <w:szCs w:val="24"/>
          <w:lang w:val="en-GB"/>
        </w:rPr>
        <w:t xml:space="preserve">defendant to serious criminal charges to be able, without professional advice, to weigh up the benefits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full disclosure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his case to his lawyer against the risk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prosecution for so doing,</w:t>
      </w:r>
    </w:p>
    <w:p w:rsidRPr="00BF3585" w:rsidR="00C6083D" w:rsidP="00BF3585" w:rsidRDefault="00C6083D">
      <w:pPr>
        <w:pStyle w:val="ECHRPara"/>
        <w:rPr>
          <w:rFonts w:ascii="Times New Roman" w:hAnsi="Times New Roman" w:cs="Times New Roman"/>
          <w:szCs w:val="24"/>
          <w:lang w:val="en-GB"/>
        </w:rPr>
      </w:pPr>
      <w:r w:rsidRPr="00BF3585">
        <w:rPr>
          <w:rFonts w:ascii="Times New Roman" w:hAnsi="Times New Roman" w:cs="Times New Roman"/>
          <w:szCs w:val="24"/>
          <w:lang w:val="en-GB"/>
        </w:rPr>
        <w:fldChar w:fldCharType="begin"/>
      </w:r>
      <w:r w:rsidRPr="00BF3585">
        <w:rPr>
          <w:rFonts w:ascii="Times New Roman" w:hAnsi="Times New Roman" w:cs="Times New Roman"/>
          <w:szCs w:val="24"/>
          <w:lang w:val="en-GB"/>
        </w:rPr>
        <w:instrText xml:space="preserve"> SEQ level0 \*arabic </w:instrText>
      </w:r>
      <w:r w:rsidRPr="00BF3585">
        <w:rPr>
          <w:rFonts w:ascii="Times New Roman" w:hAnsi="Times New Roman" w:cs="Times New Roman"/>
          <w:szCs w:val="24"/>
          <w:lang w:val="en-GB"/>
        </w:rPr>
        <w:fldChar w:fldCharType="separate"/>
      </w:r>
      <w:r w:rsidRPr="00BF3585" w:rsidR="00BF3585">
        <w:rPr>
          <w:rFonts w:ascii="Times New Roman" w:hAnsi="Times New Roman" w:cs="Times New Roman"/>
          <w:noProof/>
          <w:szCs w:val="24"/>
          <w:lang w:val="en-GB"/>
        </w:rPr>
        <w:t>97</w:t>
      </w:r>
      <w:r w:rsidRPr="00BF3585">
        <w:rPr>
          <w:rFonts w:ascii="Times New Roman" w:hAnsi="Times New Roman" w:cs="Times New Roman"/>
          <w:szCs w:val="24"/>
          <w:lang w:val="en-GB"/>
        </w:rPr>
        <w:fldChar w:fldCharType="end"/>
      </w:r>
      <w:r w:rsidRPr="00BF3585">
        <w:rPr>
          <w:rFonts w:ascii="Times New Roman" w:hAnsi="Times New Roman" w:cs="Times New Roman"/>
          <w:szCs w:val="24"/>
          <w:lang w:val="en-GB"/>
        </w:rPr>
        <w:t xml:space="preserve">.  In those circumstances the Court finds that the fairness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the proceedings was irretrievably compromised by the interference with communication between the applicant and his counsel. There has accordingly been </w:t>
      </w:r>
      <w:r w:rsidRPr="00BF3585" w:rsidR="00B17470">
        <w:rPr>
          <w:rFonts w:ascii="Times New Roman" w:hAnsi="Times New Roman" w:cs="Times New Roman"/>
          <w:szCs w:val="24"/>
          <w:lang w:val="en-GB"/>
        </w:rPr>
        <w:t xml:space="preserve">a </w:t>
      </w:r>
      <w:r w:rsidRPr="00BF3585">
        <w:rPr>
          <w:rFonts w:ascii="Times New Roman" w:hAnsi="Times New Roman" w:cs="Times New Roman"/>
          <w:szCs w:val="24"/>
          <w:lang w:val="en-GB"/>
        </w:rPr>
        <w:t xml:space="preserve">violation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 xml:space="preserve">Article 6 §§ 1 and 3 (c) </w:t>
      </w:r>
      <w:r w:rsidRPr="00BF3585" w:rsidR="00B17470">
        <w:rPr>
          <w:rFonts w:ascii="Times New Roman" w:hAnsi="Times New Roman" w:cs="Times New Roman"/>
          <w:szCs w:val="24"/>
          <w:lang w:val="en-GB"/>
        </w:rPr>
        <w:t xml:space="preserve">of </w:t>
      </w:r>
      <w:r w:rsidRPr="00BF3585">
        <w:rPr>
          <w:rFonts w:ascii="Times New Roman" w:hAnsi="Times New Roman" w:cs="Times New Roman"/>
          <w:szCs w:val="24"/>
          <w:lang w:val="en-GB"/>
        </w:rPr>
        <w:t>the Convention in this respect.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98</w:t>
      </w:r>
      <w:r w:rsidRPr="00BF3585">
        <w:rPr>
          <w:lang w:val="en-GB"/>
        </w:rPr>
        <w:fldChar w:fldCharType="end"/>
      </w:r>
      <w:r w:rsidRPr="00BF3585">
        <w:rPr>
          <w:lang w:val="en-GB"/>
        </w:rPr>
        <w:t xml:space="preserve">.  In view </w:t>
      </w:r>
      <w:r w:rsidRPr="00BF3585" w:rsidR="00B17470">
        <w:rPr>
          <w:lang w:val="en-GB"/>
        </w:rPr>
        <w:t xml:space="preserve">of </w:t>
      </w:r>
      <w:r w:rsidRPr="00BF3585">
        <w:rPr>
          <w:lang w:val="en-GB"/>
        </w:rPr>
        <w:t xml:space="preserve">this finding, the Court does not consider it necessary to consider separately whether the refusal to allow the applicant to state the names </w:t>
      </w:r>
      <w:r w:rsidRPr="00BF3585" w:rsidR="00B17470">
        <w:rPr>
          <w:lang w:val="en-GB"/>
        </w:rPr>
        <w:t xml:space="preserve">of </w:t>
      </w:r>
      <w:r w:rsidRPr="00BF3585">
        <w:rPr>
          <w:lang w:val="en-GB"/>
        </w:rPr>
        <w:t xml:space="preserve">AIVD members to the Court </w:t>
      </w:r>
      <w:r w:rsidRPr="00BF3585" w:rsidR="00B17470">
        <w:rPr>
          <w:lang w:val="en-GB"/>
        </w:rPr>
        <w:t xml:space="preserve">of </w:t>
      </w:r>
      <w:r w:rsidRPr="00BF3585">
        <w:rPr>
          <w:lang w:val="en-GB"/>
        </w:rPr>
        <w:t xml:space="preserve">Appeal also constituted </w:t>
      </w:r>
      <w:r w:rsidRPr="00BF3585" w:rsidR="00B17470">
        <w:rPr>
          <w:lang w:val="en-GB"/>
        </w:rPr>
        <w:t xml:space="preserve">a </w:t>
      </w:r>
      <w:r w:rsidRPr="00BF3585">
        <w:rPr>
          <w:lang w:val="en-GB"/>
        </w:rPr>
        <w:t xml:space="preserve">violation </w:t>
      </w:r>
      <w:r w:rsidRPr="00BF3585" w:rsidR="00B17470">
        <w:rPr>
          <w:lang w:val="en-GB"/>
        </w:rPr>
        <w:t xml:space="preserve">of </w:t>
      </w:r>
      <w:r w:rsidRPr="00BF3585">
        <w:rPr>
          <w:lang w:val="en-GB"/>
        </w:rPr>
        <w:t>the Convention.</w:t>
      </w:r>
    </w:p>
    <w:p w:rsidRPr="00BF3585" w:rsidR="00C6083D" w:rsidP="00BF3585" w:rsidRDefault="00C6083D">
      <w:pPr>
        <w:pStyle w:val="ECHRHeading3"/>
      </w:pPr>
      <w:r w:rsidRPr="00BF3585">
        <w:t>4.  The conditions under which certain AIVD members were heard as witnesses and the refusal to call certain other AIVD members as defence witnesses</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99</w:t>
      </w:r>
      <w:r w:rsidRPr="00BF3585">
        <w:rPr>
          <w:lang w:val="en-GB"/>
        </w:rPr>
        <w:fldChar w:fldCharType="end"/>
      </w:r>
      <w:r w:rsidRPr="00BF3585">
        <w:rPr>
          <w:lang w:val="en-GB"/>
        </w:rPr>
        <w:t>.  The Court will consider these matters under Article 6 §§ 1 and 3 (d).</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100</w:t>
      </w:r>
      <w:r w:rsidRPr="00BF3585">
        <w:rPr>
          <w:lang w:val="en-GB"/>
        </w:rPr>
        <w:fldChar w:fldCharType="end"/>
      </w:r>
      <w:r w:rsidRPr="00BF3585">
        <w:rPr>
          <w:lang w:val="en-GB"/>
        </w:rPr>
        <w:t xml:space="preserve">.  The Government submitted that the witnesses examined by the investigating judge and identified only by </w:t>
      </w:r>
      <w:r w:rsidRPr="00BF3585" w:rsidR="00B17470">
        <w:rPr>
          <w:lang w:val="en-GB"/>
        </w:rPr>
        <w:t xml:space="preserve">a </w:t>
      </w:r>
      <w:r w:rsidRPr="00BF3585">
        <w:rPr>
          <w:lang w:val="en-GB"/>
        </w:rPr>
        <w:t xml:space="preserve">number were not “anonymous” witnesses within the meaning of, for example, </w:t>
      </w:r>
      <w:r w:rsidRPr="00BF3585">
        <w:rPr>
          <w:i/>
          <w:lang w:val="en-GB"/>
        </w:rPr>
        <w:t>V</w:t>
      </w:r>
      <w:r w:rsidRPr="00BF3585" w:rsidR="00B17470">
        <w:rPr>
          <w:i/>
          <w:lang w:val="en-GB"/>
        </w:rPr>
        <w:t xml:space="preserve">an </w:t>
      </w:r>
      <w:r w:rsidRPr="00BF3585">
        <w:rPr>
          <w:i/>
          <w:lang w:val="en-GB"/>
        </w:rPr>
        <w:t>Mechelen and Others v. the Netherlands</w:t>
      </w:r>
      <w:r w:rsidRPr="00BF3585">
        <w:rPr>
          <w:lang w:val="en-GB"/>
        </w:rPr>
        <w:t xml:space="preserve">, 23 April 1997, </w:t>
      </w:r>
      <w:r w:rsidRPr="00BF3585">
        <w:rPr>
          <w:i/>
          <w:lang w:val="en-GB"/>
        </w:rPr>
        <w:t xml:space="preserve">Reports </w:t>
      </w:r>
      <w:r w:rsidRPr="00BF3585" w:rsidR="00B17470">
        <w:rPr>
          <w:i/>
          <w:lang w:val="en-GB"/>
        </w:rPr>
        <w:t xml:space="preserve">of </w:t>
      </w:r>
      <w:r w:rsidRPr="00BF3585">
        <w:rPr>
          <w:i/>
          <w:lang w:val="en-GB"/>
        </w:rPr>
        <w:t>Judgments and Decisions</w:t>
      </w:r>
      <w:r w:rsidRPr="00BF3585">
        <w:rPr>
          <w:lang w:val="en-GB"/>
        </w:rPr>
        <w:t xml:space="preserve"> 1997</w:t>
      </w:r>
      <w:r w:rsidRPr="00BF3585">
        <w:rPr>
          <w:lang w:val="en-GB"/>
        </w:rPr>
        <w:noBreakHyphen/>
        <w:t xml:space="preserve">III. The applicant was aware </w:t>
      </w:r>
      <w:r w:rsidRPr="00BF3585" w:rsidR="00B17470">
        <w:rPr>
          <w:lang w:val="en-GB"/>
        </w:rPr>
        <w:t xml:space="preserve">of </w:t>
      </w:r>
      <w:r w:rsidRPr="00BF3585">
        <w:rPr>
          <w:lang w:val="en-GB"/>
        </w:rPr>
        <w:t xml:space="preserve">their </w:t>
      </w:r>
      <w:r w:rsidRPr="00BF3585" w:rsidR="00807DD3">
        <w:rPr>
          <w:lang w:val="en-GB"/>
        </w:rPr>
        <w:t xml:space="preserve">names and positions; this was </w:t>
      </w:r>
      <w:r w:rsidRPr="00BF3585" w:rsidR="00B17470">
        <w:rPr>
          <w:lang w:val="en-GB"/>
        </w:rPr>
        <w:t xml:space="preserve">a </w:t>
      </w:r>
      <w:r w:rsidRPr="00BF3585">
        <w:rPr>
          <w:lang w:val="en-GB"/>
        </w:rPr>
        <w:t xml:space="preserve">fundamentally different situation from that in which the identity </w:t>
      </w:r>
      <w:r w:rsidRPr="00BF3585" w:rsidR="00B17470">
        <w:rPr>
          <w:lang w:val="en-GB"/>
        </w:rPr>
        <w:t xml:space="preserve">of </w:t>
      </w:r>
      <w:r w:rsidRPr="00BF3585">
        <w:rPr>
          <w:lang w:val="en-GB"/>
        </w:rPr>
        <w:t>the witness was unknown to the defence.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101</w:t>
      </w:r>
      <w:r w:rsidRPr="00BF3585">
        <w:rPr>
          <w:lang w:val="en-GB"/>
        </w:rPr>
        <w:fldChar w:fldCharType="end"/>
      </w:r>
      <w:r w:rsidRPr="00BF3585">
        <w:rPr>
          <w:lang w:val="en-GB"/>
        </w:rPr>
        <w:t xml:space="preserve">.  The use </w:t>
      </w:r>
      <w:r w:rsidRPr="00BF3585" w:rsidR="00B17470">
        <w:rPr>
          <w:lang w:val="en-GB"/>
        </w:rPr>
        <w:t xml:space="preserve">of </w:t>
      </w:r>
      <w:r w:rsidRPr="00BF3585">
        <w:rPr>
          <w:lang w:val="en-GB"/>
        </w:rPr>
        <w:t xml:space="preserve">voice distortion and disguise to obscure identity had been intended to make the examination </w:t>
      </w:r>
      <w:r w:rsidRPr="00BF3585" w:rsidR="00B17470">
        <w:rPr>
          <w:lang w:val="en-GB"/>
        </w:rPr>
        <w:t xml:space="preserve">of </w:t>
      </w:r>
      <w:r w:rsidRPr="00BF3585">
        <w:rPr>
          <w:lang w:val="en-GB"/>
        </w:rPr>
        <w:t xml:space="preserve">the witnesses as interactive as possible. The restrictions imposed on the defence had therefore no real impact on the fairness </w:t>
      </w:r>
      <w:r w:rsidRPr="00BF3585" w:rsidR="00B17470">
        <w:rPr>
          <w:lang w:val="en-GB"/>
        </w:rPr>
        <w:t xml:space="preserve">of </w:t>
      </w:r>
      <w:r w:rsidRPr="00BF3585">
        <w:rPr>
          <w:lang w:val="en-GB"/>
        </w:rPr>
        <w:t>the proceedings.</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102</w:t>
      </w:r>
      <w:r w:rsidRPr="00BF3585">
        <w:rPr>
          <w:lang w:val="en-GB"/>
        </w:rPr>
        <w:fldChar w:fldCharType="end"/>
      </w:r>
      <w:r w:rsidRPr="00BF3585">
        <w:rPr>
          <w:lang w:val="en-GB"/>
        </w:rPr>
        <w:t xml:space="preserve">.  The incriminating witnesses had made extensive statements before the investigating judge and had only declined to answer certain questions in connection with the requirement </w:t>
      </w:r>
      <w:r w:rsidRPr="00BF3585" w:rsidR="00B17470">
        <w:rPr>
          <w:lang w:val="en-GB"/>
        </w:rPr>
        <w:t xml:space="preserve">of </w:t>
      </w:r>
      <w:r w:rsidRPr="00BF3585">
        <w:rPr>
          <w:lang w:val="en-GB"/>
        </w:rPr>
        <w:t xml:space="preserve">secrecy. The present case was therefore unlike that described in </w:t>
      </w:r>
      <w:r w:rsidRPr="00BF3585">
        <w:rPr>
          <w:i/>
          <w:lang w:val="en-GB"/>
        </w:rPr>
        <w:t>Al-Khawaj</w:t>
      </w:r>
      <w:r w:rsidRPr="00BF3585" w:rsidR="00B17470">
        <w:rPr>
          <w:i/>
          <w:lang w:val="en-GB"/>
        </w:rPr>
        <w:t xml:space="preserve">a </w:t>
      </w:r>
      <w:r w:rsidRPr="00BF3585">
        <w:rPr>
          <w:i/>
          <w:lang w:val="en-GB"/>
        </w:rPr>
        <w:t>and Tahery v. the United Kingdom</w:t>
      </w:r>
      <w:r w:rsidRPr="00BF3585">
        <w:rPr>
          <w:lang w:val="en-GB"/>
        </w:rPr>
        <w:t xml:space="preserve"> [GC], nos. 26766/05 and 22228/06, ECHR 2011, in which </w:t>
      </w:r>
      <w:r w:rsidRPr="00BF3585" w:rsidR="00B17470">
        <w:rPr>
          <w:lang w:val="en-GB"/>
        </w:rPr>
        <w:t xml:space="preserve">an </w:t>
      </w:r>
      <w:r w:rsidRPr="00BF3585">
        <w:rPr>
          <w:lang w:val="en-GB"/>
        </w:rPr>
        <w:t>incriminating witness had remained silent in response to questions put by the defence.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103</w:t>
      </w:r>
      <w:r w:rsidRPr="00BF3585">
        <w:rPr>
          <w:lang w:val="en-GB"/>
        </w:rPr>
        <w:fldChar w:fldCharType="end"/>
      </w:r>
      <w:r w:rsidRPr="00BF3585">
        <w:rPr>
          <w:lang w:val="en-GB"/>
        </w:rPr>
        <w:t>.  Good reasons existed for the measures adopted. At the time when the witnesses were examined, AIVD employees and/or hum</w:t>
      </w:r>
      <w:r w:rsidRPr="00BF3585" w:rsidR="00B17470">
        <w:rPr>
          <w:lang w:val="en-GB"/>
        </w:rPr>
        <w:t xml:space="preserve">an </w:t>
      </w:r>
      <w:r w:rsidRPr="00BF3585">
        <w:rPr>
          <w:lang w:val="en-GB"/>
        </w:rPr>
        <w:t>sources were still operationally active and their safety had to be considered.</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104</w:t>
      </w:r>
      <w:r w:rsidRPr="00BF3585">
        <w:rPr>
          <w:lang w:val="en-GB"/>
        </w:rPr>
        <w:fldChar w:fldCharType="end"/>
      </w:r>
      <w:r w:rsidRPr="00BF3585">
        <w:rPr>
          <w:lang w:val="en-GB"/>
        </w:rPr>
        <w:t xml:space="preserve">.  Although maintaining that the present case was not one to which the </w:t>
      </w:r>
      <w:r w:rsidRPr="00BF3585">
        <w:rPr>
          <w:i/>
          <w:lang w:val="en-GB"/>
        </w:rPr>
        <w:t>V</w:t>
      </w:r>
      <w:r w:rsidRPr="00BF3585" w:rsidR="00B17470">
        <w:rPr>
          <w:i/>
          <w:lang w:val="en-GB"/>
        </w:rPr>
        <w:t xml:space="preserve">an </w:t>
      </w:r>
      <w:r w:rsidRPr="00BF3585">
        <w:rPr>
          <w:i/>
          <w:lang w:val="en-GB"/>
        </w:rPr>
        <w:t xml:space="preserve">Mechelen and Others </w:t>
      </w:r>
      <w:r w:rsidRPr="00BF3585">
        <w:rPr>
          <w:lang w:val="en-GB"/>
        </w:rPr>
        <w:t xml:space="preserve">and </w:t>
      </w:r>
      <w:r w:rsidRPr="00BF3585">
        <w:rPr>
          <w:i/>
          <w:lang w:val="en-GB"/>
        </w:rPr>
        <w:t>Al-Khawaj</w:t>
      </w:r>
      <w:r w:rsidRPr="00BF3585" w:rsidR="00B17470">
        <w:rPr>
          <w:i/>
          <w:lang w:val="en-GB"/>
        </w:rPr>
        <w:t xml:space="preserve">a </w:t>
      </w:r>
      <w:r w:rsidRPr="00BF3585">
        <w:rPr>
          <w:i/>
          <w:lang w:val="en-GB"/>
        </w:rPr>
        <w:t>and Tahery</w:t>
      </w:r>
      <w:r w:rsidRPr="00BF3585">
        <w:rPr>
          <w:lang w:val="en-GB"/>
        </w:rPr>
        <w:t xml:space="preserve"> case-law applied, the Government argued that the applicant</w:t>
      </w:r>
      <w:r w:rsidRPr="00BF3585" w:rsidR="00BF3585">
        <w:rPr>
          <w:lang w:val="en-GB"/>
        </w:rPr>
        <w:t>’</w:t>
      </w:r>
      <w:r w:rsidRPr="00BF3585">
        <w:rPr>
          <w:lang w:val="en-GB"/>
        </w:rPr>
        <w:t xml:space="preserve">s conviction was not based “solely or to </w:t>
      </w:r>
      <w:r w:rsidRPr="00BF3585" w:rsidR="00B17470">
        <w:rPr>
          <w:lang w:val="en-GB"/>
        </w:rPr>
        <w:t xml:space="preserve">a </w:t>
      </w:r>
      <w:r w:rsidRPr="00BF3585">
        <w:rPr>
          <w:lang w:val="en-GB"/>
        </w:rPr>
        <w:t xml:space="preserve">decisive extent” on the statements made by the witnesses identified only by </w:t>
      </w:r>
      <w:r w:rsidRPr="00BF3585" w:rsidR="00B17470">
        <w:rPr>
          <w:lang w:val="en-GB"/>
        </w:rPr>
        <w:t xml:space="preserve">a </w:t>
      </w:r>
      <w:r w:rsidRPr="00BF3585">
        <w:rPr>
          <w:lang w:val="en-GB"/>
        </w:rPr>
        <w:t xml:space="preserve">number. The statement </w:t>
      </w:r>
      <w:r w:rsidRPr="00BF3585" w:rsidR="00B17470">
        <w:rPr>
          <w:lang w:val="en-GB"/>
        </w:rPr>
        <w:t xml:space="preserve">of </w:t>
      </w:r>
      <w:r w:rsidRPr="00BF3585">
        <w:rPr>
          <w:lang w:val="en-GB"/>
        </w:rPr>
        <w:t>no more th</w:t>
      </w:r>
      <w:r w:rsidRPr="00BF3585" w:rsidR="00B17470">
        <w:rPr>
          <w:lang w:val="en-GB"/>
        </w:rPr>
        <w:t xml:space="preserve">an </w:t>
      </w:r>
      <w:r w:rsidRPr="00BF3585">
        <w:rPr>
          <w:lang w:val="en-GB"/>
        </w:rPr>
        <w:t xml:space="preserve">one </w:t>
      </w:r>
      <w:r w:rsidRPr="00BF3585" w:rsidR="00B17470">
        <w:rPr>
          <w:lang w:val="en-GB"/>
        </w:rPr>
        <w:t xml:space="preserve">of </w:t>
      </w:r>
      <w:r w:rsidRPr="00BF3585">
        <w:rPr>
          <w:lang w:val="en-GB"/>
        </w:rPr>
        <w:t>the witnesses in question was used in evidence; the witness was the AIVD</w:t>
      </w:r>
      <w:r w:rsidRPr="00BF3585" w:rsidR="00BF3585">
        <w:rPr>
          <w:lang w:val="en-GB"/>
        </w:rPr>
        <w:t>’</w:t>
      </w:r>
      <w:r w:rsidRPr="00BF3585">
        <w:rPr>
          <w:lang w:val="en-GB"/>
        </w:rPr>
        <w:t xml:space="preserve">s IT employee, was known to the applicant, and answered the many questions put by the defence. The other witnesses whose statements were used in evidence were heard under their own names. In addition, there was other evidence including traces </w:t>
      </w:r>
      <w:r w:rsidRPr="00BF3585" w:rsidR="00B17470">
        <w:rPr>
          <w:lang w:val="en-GB"/>
        </w:rPr>
        <w:t xml:space="preserve">of </w:t>
      </w:r>
      <w:r w:rsidRPr="00BF3585">
        <w:rPr>
          <w:lang w:val="en-GB"/>
        </w:rPr>
        <w:t>the applicant</w:t>
      </w:r>
      <w:r w:rsidRPr="00BF3585" w:rsidR="00BF3585">
        <w:rPr>
          <w:lang w:val="en-GB"/>
        </w:rPr>
        <w:t>’</w:t>
      </w:r>
      <w:r w:rsidRPr="00BF3585">
        <w:rPr>
          <w:lang w:val="en-GB"/>
        </w:rPr>
        <w:t>s DN</w:t>
      </w:r>
      <w:r w:rsidRPr="00BF3585" w:rsidR="00B17470">
        <w:rPr>
          <w:lang w:val="en-GB"/>
        </w:rPr>
        <w:t xml:space="preserve">A </w:t>
      </w:r>
      <w:r w:rsidRPr="00BF3585">
        <w:rPr>
          <w:lang w:val="en-GB"/>
        </w:rPr>
        <w:t xml:space="preserve">identified on the seal </w:t>
      </w:r>
      <w:r w:rsidRPr="00BF3585" w:rsidR="00B17470">
        <w:rPr>
          <w:lang w:val="en-GB"/>
        </w:rPr>
        <w:t xml:space="preserve">of an </w:t>
      </w:r>
      <w:r w:rsidRPr="00BF3585">
        <w:rPr>
          <w:lang w:val="en-GB"/>
        </w:rPr>
        <w:t xml:space="preserve">envelope found at the home </w:t>
      </w:r>
      <w:r w:rsidRPr="00BF3585" w:rsidR="00B17470">
        <w:rPr>
          <w:lang w:val="en-GB"/>
        </w:rPr>
        <w:t xml:space="preserve">of </w:t>
      </w:r>
      <w:r w:rsidRPr="00BF3585">
        <w:rPr>
          <w:lang w:val="en-GB"/>
        </w:rPr>
        <w:t xml:space="preserve">one </w:t>
      </w:r>
      <w:r w:rsidRPr="00BF3585" w:rsidR="00B17470">
        <w:rPr>
          <w:lang w:val="en-GB"/>
        </w:rPr>
        <w:t xml:space="preserve">of </w:t>
      </w:r>
      <w:r w:rsidRPr="00BF3585">
        <w:rPr>
          <w:lang w:val="en-GB"/>
        </w:rPr>
        <w:t>the targets.</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105</w:t>
      </w:r>
      <w:r w:rsidRPr="00BF3585">
        <w:rPr>
          <w:lang w:val="en-GB"/>
        </w:rPr>
        <w:fldChar w:fldCharType="end"/>
      </w:r>
      <w:r w:rsidRPr="00BF3585">
        <w:rPr>
          <w:lang w:val="en-GB"/>
        </w:rPr>
        <w:t xml:space="preserve">.  The applicant submitted that his strategy was to demonstrate that other scenarios were conceivable to explain the leaking </w:t>
      </w:r>
      <w:r w:rsidRPr="00BF3585" w:rsidR="00B17470">
        <w:rPr>
          <w:lang w:val="en-GB"/>
        </w:rPr>
        <w:t xml:space="preserve">of </w:t>
      </w:r>
      <w:r w:rsidRPr="00BF3585">
        <w:rPr>
          <w:lang w:val="en-GB"/>
        </w:rPr>
        <w:t>AIVD documents imputed to him th</w:t>
      </w:r>
      <w:r w:rsidRPr="00BF3585" w:rsidR="00B17470">
        <w:rPr>
          <w:lang w:val="en-GB"/>
        </w:rPr>
        <w:t xml:space="preserve">an </w:t>
      </w:r>
      <w:r w:rsidRPr="00BF3585">
        <w:rPr>
          <w:lang w:val="en-GB"/>
        </w:rPr>
        <w:t xml:space="preserve">the sole possibility that he was guilty. He argued that since the defence already laboured under heavy restrictions, witness evidence was one </w:t>
      </w:r>
      <w:r w:rsidRPr="00BF3585" w:rsidR="00B17470">
        <w:rPr>
          <w:lang w:val="en-GB"/>
        </w:rPr>
        <w:t xml:space="preserve">of </w:t>
      </w:r>
      <w:r w:rsidRPr="00BF3585">
        <w:rPr>
          <w:lang w:val="en-GB"/>
        </w:rPr>
        <w:t>the few means left to him to obtain the information needed for him to make out his case. For that reason alone his requests to call witnesses ought to have been given more favourable consideration.</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106</w:t>
      </w:r>
      <w:r w:rsidRPr="00BF3585">
        <w:rPr>
          <w:lang w:val="en-GB"/>
        </w:rPr>
        <w:fldChar w:fldCharType="end"/>
      </w:r>
      <w:r w:rsidRPr="00BF3585">
        <w:rPr>
          <w:lang w:val="en-GB"/>
        </w:rPr>
        <w:t>.  The applicant could not verify that the witnesses were persons whom he knew, since he had been unable to recognise them. Moreover, the defence had been unable to recognise their non-verbal expression.</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107</w:t>
      </w:r>
      <w:r w:rsidRPr="00BF3585">
        <w:rPr>
          <w:lang w:val="en-GB"/>
        </w:rPr>
        <w:fldChar w:fldCharType="end"/>
      </w:r>
      <w:r w:rsidRPr="00BF3585">
        <w:rPr>
          <w:lang w:val="en-GB"/>
        </w:rPr>
        <w:t xml:space="preserve">.  The necessity </w:t>
      </w:r>
      <w:r w:rsidRPr="00BF3585" w:rsidR="00B17470">
        <w:rPr>
          <w:lang w:val="en-GB"/>
        </w:rPr>
        <w:t xml:space="preserve">of </w:t>
      </w:r>
      <w:r w:rsidRPr="00BF3585">
        <w:rPr>
          <w:lang w:val="en-GB"/>
        </w:rPr>
        <w:t>this measure had not been demonstrated. To begin with, the witnesses were persons whom the applicant already knew – his former colleagues. Secondly, they had not bee</w:t>
      </w:r>
      <w:r w:rsidRPr="00BF3585" w:rsidR="00B17470">
        <w:rPr>
          <w:lang w:val="en-GB"/>
        </w:rPr>
        <w:t xml:space="preserve">n heard in public. Thirdly, his </w:t>
      </w:r>
      <w:r w:rsidRPr="00BF3585">
        <w:rPr>
          <w:lang w:val="en-GB"/>
        </w:rPr>
        <w:t xml:space="preserve">counsel were under </w:t>
      </w:r>
      <w:r w:rsidRPr="00BF3585" w:rsidR="00B17470">
        <w:rPr>
          <w:lang w:val="en-GB"/>
        </w:rPr>
        <w:t xml:space="preserve">a </w:t>
      </w:r>
      <w:r w:rsidRPr="00BF3585">
        <w:rPr>
          <w:lang w:val="en-GB"/>
        </w:rPr>
        <w:t xml:space="preserve">duty </w:t>
      </w:r>
      <w:r w:rsidRPr="00BF3585" w:rsidR="00B17470">
        <w:rPr>
          <w:lang w:val="en-GB"/>
        </w:rPr>
        <w:t xml:space="preserve">of </w:t>
      </w:r>
      <w:r w:rsidRPr="00BF3585">
        <w:rPr>
          <w:lang w:val="en-GB"/>
        </w:rPr>
        <w:t>secrecy. Fourthly, the prosecution had been permitted to speak to these witnesses without disguise.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108</w:t>
      </w:r>
      <w:r w:rsidRPr="00BF3585">
        <w:rPr>
          <w:lang w:val="en-GB"/>
        </w:rPr>
        <w:fldChar w:fldCharType="end"/>
      </w:r>
      <w:r w:rsidRPr="00BF3585">
        <w:rPr>
          <w:lang w:val="en-GB"/>
        </w:rPr>
        <w:t xml:space="preserve">.  Throughout the witness hearings there had been </w:t>
      </w:r>
      <w:r w:rsidRPr="00BF3585" w:rsidR="00B17470">
        <w:rPr>
          <w:lang w:val="en-GB"/>
        </w:rPr>
        <w:t xml:space="preserve">an </w:t>
      </w:r>
      <w:r w:rsidRPr="00BF3585">
        <w:rPr>
          <w:lang w:val="en-GB"/>
        </w:rPr>
        <w:t>AIVD official present to veto questions from the defence. In particular, questions about AIVD working practices and security arrangements had been blocked. This had hampered the defence</w:t>
      </w:r>
      <w:r w:rsidRPr="00BF3585" w:rsidR="00BF3585">
        <w:rPr>
          <w:lang w:val="en-GB"/>
        </w:rPr>
        <w:t>’</w:t>
      </w:r>
      <w:r w:rsidRPr="00BF3585">
        <w:rPr>
          <w:lang w:val="en-GB"/>
        </w:rPr>
        <w:t>s attempts to demonstrate the possibility that someone other th</w:t>
      </w:r>
      <w:r w:rsidRPr="00BF3585" w:rsidR="00B17470">
        <w:rPr>
          <w:lang w:val="en-GB"/>
        </w:rPr>
        <w:t xml:space="preserve">an </w:t>
      </w:r>
      <w:r w:rsidRPr="00BF3585">
        <w:rPr>
          <w:lang w:val="en-GB"/>
        </w:rPr>
        <w:t>he might have leaked the AIVD documents in issue.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109</w:t>
      </w:r>
      <w:r w:rsidRPr="00BF3585">
        <w:rPr>
          <w:lang w:val="en-GB"/>
        </w:rPr>
        <w:fldChar w:fldCharType="end"/>
      </w:r>
      <w:r w:rsidRPr="00BF3585">
        <w:rPr>
          <w:lang w:val="en-GB"/>
        </w:rPr>
        <w:t xml:space="preserve">.  There had been no necessity for such interference with the rights </w:t>
      </w:r>
      <w:r w:rsidRPr="00BF3585" w:rsidR="00B17470">
        <w:rPr>
          <w:lang w:val="en-GB"/>
        </w:rPr>
        <w:t xml:space="preserve">of </w:t>
      </w:r>
      <w:r w:rsidRPr="00BF3585">
        <w:rPr>
          <w:lang w:val="en-GB"/>
        </w:rPr>
        <w:t xml:space="preserve">the defence to question witnesses, since the needs </w:t>
      </w:r>
      <w:r w:rsidRPr="00BF3585" w:rsidR="00B17470">
        <w:rPr>
          <w:lang w:val="en-GB"/>
        </w:rPr>
        <w:t xml:space="preserve">of </w:t>
      </w:r>
      <w:r w:rsidRPr="00BF3585">
        <w:rPr>
          <w:lang w:val="en-GB"/>
        </w:rPr>
        <w:t xml:space="preserve">secrecy could have been met by holding </w:t>
      </w:r>
      <w:r w:rsidRPr="00BF3585" w:rsidR="00B17470">
        <w:rPr>
          <w:lang w:val="en-GB"/>
        </w:rPr>
        <w:t xml:space="preserve">a </w:t>
      </w:r>
      <w:r w:rsidRPr="00BF3585">
        <w:rPr>
          <w:lang w:val="en-GB"/>
        </w:rPr>
        <w:t xml:space="preserve">hearing </w:t>
      </w:r>
      <w:r w:rsidRPr="00BF3585">
        <w:rPr>
          <w:i/>
          <w:lang w:val="en-GB"/>
        </w:rPr>
        <w:t>in camera</w:t>
      </w:r>
      <w:r w:rsidRPr="00BF3585">
        <w:rPr>
          <w:lang w:val="en-GB"/>
        </w:rPr>
        <w: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110</w:t>
      </w:r>
      <w:r w:rsidRPr="00BF3585">
        <w:rPr>
          <w:lang w:val="en-GB"/>
        </w:rPr>
        <w:fldChar w:fldCharType="end"/>
      </w:r>
      <w:r w:rsidRPr="00BF3585">
        <w:rPr>
          <w:lang w:val="en-GB"/>
        </w:rPr>
        <w:t>.  The Court reiterates that the admissibi</w:t>
      </w:r>
      <w:r w:rsidRPr="00BF3585" w:rsidR="00807DD3">
        <w:rPr>
          <w:lang w:val="en-GB"/>
        </w:rPr>
        <w:t xml:space="preserve">lity </w:t>
      </w:r>
      <w:r w:rsidRPr="00BF3585" w:rsidR="00B17470">
        <w:rPr>
          <w:lang w:val="en-GB"/>
        </w:rPr>
        <w:t xml:space="preserve">of </w:t>
      </w:r>
      <w:r w:rsidRPr="00BF3585" w:rsidR="00807DD3">
        <w:rPr>
          <w:lang w:val="en-GB"/>
        </w:rPr>
        <w:t xml:space="preserve">evidence is primarily </w:t>
      </w:r>
      <w:r w:rsidRPr="00BF3585" w:rsidR="00B17470">
        <w:rPr>
          <w:lang w:val="en-GB"/>
        </w:rPr>
        <w:t xml:space="preserve">a </w:t>
      </w:r>
      <w:r w:rsidRPr="00BF3585">
        <w:rPr>
          <w:lang w:val="en-GB"/>
        </w:rPr>
        <w:t xml:space="preserve">matter for regulation by national law and as </w:t>
      </w:r>
      <w:r w:rsidRPr="00BF3585" w:rsidR="00B17470">
        <w:rPr>
          <w:lang w:val="en-GB"/>
        </w:rPr>
        <w:t xml:space="preserve">a </w:t>
      </w:r>
      <w:r w:rsidRPr="00BF3585">
        <w:rPr>
          <w:lang w:val="en-GB"/>
        </w:rPr>
        <w:t>general rule it is for the national courts to assess the evidence before them. The Court</w:t>
      </w:r>
      <w:r w:rsidRPr="00BF3585" w:rsidR="00BF3585">
        <w:rPr>
          <w:lang w:val="en-GB"/>
        </w:rPr>
        <w:t>’</w:t>
      </w:r>
      <w:r w:rsidRPr="00BF3585">
        <w:rPr>
          <w:lang w:val="en-GB"/>
        </w:rPr>
        <w:t xml:space="preserve">s task under the Convention is not to give </w:t>
      </w:r>
      <w:r w:rsidRPr="00BF3585" w:rsidR="00B17470">
        <w:rPr>
          <w:lang w:val="en-GB"/>
        </w:rPr>
        <w:t xml:space="preserve">a </w:t>
      </w:r>
      <w:r w:rsidRPr="00BF3585">
        <w:rPr>
          <w:lang w:val="en-GB"/>
        </w:rPr>
        <w:t xml:space="preserve">ruling as to whether statements </w:t>
      </w:r>
      <w:r w:rsidRPr="00BF3585" w:rsidR="00B17470">
        <w:rPr>
          <w:lang w:val="en-GB"/>
        </w:rPr>
        <w:t xml:space="preserve">of </w:t>
      </w:r>
      <w:r w:rsidRPr="00BF3585">
        <w:rPr>
          <w:lang w:val="en-GB"/>
        </w:rPr>
        <w:t xml:space="preserve">witnesses were properly admitted as evidence, but rather to ascertain whether the proceedings as </w:t>
      </w:r>
      <w:r w:rsidRPr="00BF3585" w:rsidR="00B17470">
        <w:rPr>
          <w:lang w:val="en-GB"/>
        </w:rPr>
        <w:t xml:space="preserve">a </w:t>
      </w:r>
      <w:r w:rsidRPr="00BF3585">
        <w:rPr>
          <w:lang w:val="en-GB"/>
        </w:rPr>
        <w:t xml:space="preserve">whole, including the way in which evidence was taken, were fair (see, among many other authorities, </w:t>
      </w:r>
      <w:r w:rsidRPr="00BF3585">
        <w:rPr>
          <w:i/>
          <w:lang w:val="en-GB"/>
        </w:rPr>
        <w:t>V</w:t>
      </w:r>
      <w:r w:rsidRPr="00BF3585" w:rsidR="00B17470">
        <w:rPr>
          <w:i/>
          <w:lang w:val="en-GB"/>
        </w:rPr>
        <w:t xml:space="preserve">an </w:t>
      </w:r>
      <w:r w:rsidRPr="00BF3585">
        <w:rPr>
          <w:i/>
          <w:lang w:val="en-GB"/>
        </w:rPr>
        <w:t>Mechelen and Others</w:t>
      </w:r>
      <w:r w:rsidRPr="00BF3585">
        <w:rPr>
          <w:lang w:val="en-GB"/>
        </w:rPr>
        <w:t>, cited above, § 50).</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111</w:t>
      </w:r>
      <w:r w:rsidRPr="00BF3585">
        <w:rPr>
          <w:lang w:val="en-GB"/>
        </w:rPr>
        <w:fldChar w:fldCharType="end"/>
      </w:r>
      <w:r w:rsidRPr="00BF3585">
        <w:rPr>
          <w:lang w:val="en-GB"/>
        </w:rPr>
        <w:t xml:space="preserve">.  The Court observes that the present case is unlike </w:t>
      </w:r>
      <w:r w:rsidRPr="00BF3585">
        <w:rPr>
          <w:i/>
          <w:lang w:val="en-GB"/>
        </w:rPr>
        <w:t>V</w:t>
      </w:r>
      <w:r w:rsidRPr="00BF3585" w:rsidR="00B17470">
        <w:rPr>
          <w:i/>
          <w:lang w:val="en-GB"/>
        </w:rPr>
        <w:t xml:space="preserve">an </w:t>
      </w:r>
      <w:r w:rsidRPr="00BF3585">
        <w:rPr>
          <w:i/>
          <w:lang w:val="en-GB"/>
        </w:rPr>
        <w:t>Mechelen and Others</w:t>
      </w:r>
      <w:r w:rsidRPr="00BF3585">
        <w:rPr>
          <w:lang w:val="en-GB"/>
        </w:rPr>
        <w:t xml:space="preserve">, </w:t>
      </w:r>
      <w:r w:rsidRPr="00BF3585">
        <w:rPr>
          <w:i/>
          <w:lang w:val="en-GB"/>
        </w:rPr>
        <w:t>Al-Khawaj</w:t>
      </w:r>
      <w:r w:rsidRPr="00BF3585" w:rsidR="00B17470">
        <w:rPr>
          <w:i/>
          <w:lang w:val="en-GB"/>
        </w:rPr>
        <w:t xml:space="preserve">a </w:t>
      </w:r>
      <w:r w:rsidRPr="00BF3585">
        <w:rPr>
          <w:i/>
          <w:lang w:val="en-GB"/>
        </w:rPr>
        <w:t>and Tahery</w:t>
      </w:r>
      <w:r w:rsidRPr="00BF3585">
        <w:rPr>
          <w:lang w:val="en-GB"/>
        </w:rPr>
        <w:t xml:space="preserve"> or </w:t>
      </w:r>
      <w:r w:rsidRPr="00BF3585">
        <w:rPr>
          <w:i/>
          <w:lang w:val="en-GB"/>
        </w:rPr>
        <w:t>Schatschaschwili</w:t>
      </w:r>
      <w:r w:rsidRPr="00BF3585">
        <w:rPr>
          <w:lang w:val="en-GB"/>
        </w:rPr>
        <w:t xml:space="preserve"> in that the defence was not denied the possibility to cross-examine prosecution witnesses with </w:t>
      </w:r>
      <w:r w:rsidRPr="00BF3585" w:rsidR="00B17470">
        <w:rPr>
          <w:lang w:val="en-GB"/>
        </w:rPr>
        <w:t xml:space="preserve">a </w:t>
      </w:r>
      <w:r w:rsidRPr="00BF3585">
        <w:rPr>
          <w:lang w:val="en-GB"/>
        </w:rPr>
        <w:t xml:space="preserve">view to testing the veracity </w:t>
      </w:r>
      <w:r w:rsidRPr="00BF3585" w:rsidR="00B17470">
        <w:rPr>
          <w:lang w:val="en-GB"/>
        </w:rPr>
        <w:t xml:space="preserve">of </w:t>
      </w:r>
      <w:r w:rsidRPr="00BF3585">
        <w:rPr>
          <w:lang w:val="en-GB"/>
        </w:rPr>
        <w:t>statements made by them earlier in the proceedings. Rather, it is the applicant</w:t>
      </w:r>
      <w:r w:rsidRPr="00BF3585" w:rsidR="00BF3585">
        <w:rPr>
          <w:lang w:val="en-GB"/>
        </w:rPr>
        <w:t>’</w:t>
      </w:r>
      <w:r w:rsidRPr="00BF3585">
        <w:rPr>
          <w:lang w:val="en-GB"/>
        </w:rPr>
        <w:t xml:space="preserve">s case that he was denied access to information to which the AIVD members were privy that would have been capable </w:t>
      </w:r>
      <w:r w:rsidRPr="00BF3585" w:rsidR="00B17470">
        <w:rPr>
          <w:lang w:val="en-GB"/>
        </w:rPr>
        <w:t xml:space="preserve">of </w:t>
      </w:r>
      <w:r w:rsidRPr="00BF3585">
        <w:rPr>
          <w:lang w:val="en-GB"/>
        </w:rPr>
        <w:t>casting doubt on his guilt.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112</w:t>
      </w:r>
      <w:r w:rsidRPr="00BF3585">
        <w:rPr>
          <w:lang w:val="en-GB"/>
        </w:rPr>
        <w:fldChar w:fldCharType="end"/>
      </w:r>
      <w:r w:rsidRPr="00BF3585">
        <w:rPr>
          <w:lang w:val="en-GB"/>
        </w:rPr>
        <w:t xml:space="preserve">.  It is, in itself, </w:t>
      </w:r>
      <w:r w:rsidRPr="00BF3585" w:rsidR="00B17470">
        <w:rPr>
          <w:lang w:val="en-GB"/>
        </w:rPr>
        <w:t xml:space="preserve">a </w:t>
      </w:r>
      <w:r w:rsidRPr="00BF3585">
        <w:rPr>
          <w:lang w:val="en-GB"/>
        </w:rPr>
        <w:t xml:space="preserve">perfectly legitimate defence strategy in criminal cases to create doubt as to the authorship </w:t>
      </w:r>
      <w:r w:rsidRPr="00BF3585" w:rsidR="00B17470">
        <w:rPr>
          <w:lang w:val="en-GB"/>
        </w:rPr>
        <w:t xml:space="preserve">of a </w:t>
      </w:r>
      <w:r w:rsidRPr="00BF3585">
        <w:rPr>
          <w:lang w:val="en-GB"/>
        </w:rPr>
        <w:t xml:space="preserve">crime by demonstrating that the crime could well have been committed by someone else. It does not, however, entitle the suspect to make specious demands for information in the hope that perchance </w:t>
      </w:r>
      <w:r w:rsidRPr="00BF3585" w:rsidR="00B17470">
        <w:rPr>
          <w:lang w:val="en-GB"/>
        </w:rPr>
        <w:t xml:space="preserve">an </w:t>
      </w:r>
      <w:r w:rsidRPr="00BF3585">
        <w:rPr>
          <w:lang w:val="en-GB"/>
        </w:rPr>
        <w:t>alternative explanation may present itself.</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113</w:t>
      </w:r>
      <w:r w:rsidRPr="00BF3585">
        <w:rPr>
          <w:lang w:val="en-GB"/>
        </w:rPr>
        <w:fldChar w:fldCharType="end"/>
      </w:r>
      <w:r w:rsidRPr="00BF3585">
        <w:rPr>
          <w:lang w:val="en-GB"/>
        </w:rPr>
        <w:t xml:space="preserve">.  The evidence on which the Court </w:t>
      </w:r>
      <w:r w:rsidRPr="00BF3585" w:rsidR="00B17470">
        <w:rPr>
          <w:lang w:val="en-GB"/>
        </w:rPr>
        <w:t xml:space="preserve">of </w:t>
      </w:r>
      <w:r w:rsidRPr="00BF3585">
        <w:rPr>
          <w:lang w:val="en-GB"/>
        </w:rPr>
        <w:t>Appeal grounded its conviction (</w:t>
      </w:r>
      <w:r w:rsidRPr="00BF3585" w:rsidR="00B17470">
        <w:rPr>
          <w:lang w:val="en-GB"/>
        </w:rPr>
        <w:t xml:space="preserve">see </w:t>
      </w:r>
      <w:r w:rsidRPr="00BF3585">
        <w:rPr>
          <w:lang w:val="en-GB"/>
        </w:rPr>
        <w:t xml:space="preserve">paragraph </w:t>
      </w:r>
      <w:r w:rsidRPr="00BF3585">
        <w:rPr>
          <w:lang w:val="en-GB"/>
        </w:rPr>
        <w:fldChar w:fldCharType="begin"/>
      </w:r>
      <w:r w:rsidRPr="00BF3585">
        <w:rPr>
          <w:lang w:val="en-GB"/>
        </w:rPr>
        <w:instrText xml:space="preserve"> REF convictoin \h </w:instrText>
      </w:r>
      <w:r w:rsidRPr="00BF3585">
        <w:rPr>
          <w:lang w:val="en-GB"/>
        </w:rPr>
      </w:r>
      <w:r w:rsidRPr="00BF3585">
        <w:rPr>
          <w:lang w:val="en-GB"/>
        </w:rPr>
        <w:fldChar w:fldCharType="separate"/>
      </w:r>
      <w:r w:rsidRPr="00BF3585" w:rsidR="00BF3585">
        <w:rPr>
          <w:noProof/>
          <w:lang w:val="en-GB"/>
        </w:rPr>
        <w:t>40</w:t>
      </w:r>
      <w:r w:rsidRPr="00BF3585">
        <w:rPr>
          <w:lang w:val="en-GB"/>
        </w:rPr>
        <w:fldChar w:fldCharType="end"/>
      </w:r>
      <w:r w:rsidRPr="00BF3585">
        <w:rPr>
          <w:lang w:val="en-GB"/>
        </w:rPr>
        <w:t xml:space="preserve"> above) – which comprised no fewer th</w:t>
      </w:r>
      <w:r w:rsidRPr="00BF3585" w:rsidR="00B17470">
        <w:rPr>
          <w:lang w:val="en-GB"/>
        </w:rPr>
        <w:t xml:space="preserve">an </w:t>
      </w:r>
      <w:r w:rsidRPr="00BF3585">
        <w:rPr>
          <w:lang w:val="en-GB"/>
        </w:rPr>
        <w:t xml:space="preserve">53 different items – included several linking the applicant directly to the leaked documents and to the unauthorised persons found in possession </w:t>
      </w:r>
      <w:r w:rsidRPr="00BF3585" w:rsidR="00B17470">
        <w:rPr>
          <w:lang w:val="en-GB"/>
        </w:rPr>
        <w:t xml:space="preserve">of </w:t>
      </w:r>
      <w:r w:rsidRPr="00BF3585">
        <w:rPr>
          <w:lang w:val="en-GB"/>
        </w:rPr>
        <w:t xml:space="preserve">them. In the circumstances, the Court cannot consider that the Court </w:t>
      </w:r>
      <w:r w:rsidRPr="00BF3585" w:rsidR="00B17470">
        <w:rPr>
          <w:lang w:val="en-GB"/>
        </w:rPr>
        <w:t xml:space="preserve">of </w:t>
      </w:r>
      <w:r w:rsidRPr="00BF3585">
        <w:rPr>
          <w:lang w:val="en-GB"/>
        </w:rPr>
        <w:t>Appeal acted unreasonably or arbitrarily either by not allowing him all the witnesses requested or in holding that the applicant</w:t>
      </w:r>
      <w:r w:rsidRPr="00BF3585" w:rsidR="00BF3585">
        <w:rPr>
          <w:lang w:val="en-GB"/>
        </w:rPr>
        <w:t>’</w:t>
      </w:r>
      <w:r w:rsidRPr="00BF3585">
        <w:rPr>
          <w:lang w:val="en-GB"/>
        </w:rPr>
        <w:t>s defence was not materially impaired by the conditions under which those witnesses who were not refused him were questioned.</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114</w:t>
      </w:r>
      <w:r w:rsidRPr="00BF3585">
        <w:rPr>
          <w:lang w:val="en-GB"/>
        </w:rPr>
        <w:fldChar w:fldCharType="end"/>
      </w:r>
      <w:r w:rsidRPr="00BF3585">
        <w:rPr>
          <w:lang w:val="en-GB"/>
        </w:rPr>
        <w:t xml:space="preserve">.  There has accordingly not been </w:t>
      </w:r>
      <w:r w:rsidRPr="00BF3585" w:rsidR="00B17470">
        <w:rPr>
          <w:lang w:val="en-GB"/>
        </w:rPr>
        <w:t xml:space="preserve">a </w:t>
      </w:r>
      <w:r w:rsidRPr="00BF3585">
        <w:rPr>
          <w:lang w:val="en-GB"/>
        </w:rPr>
        <w:t xml:space="preserve">violation </w:t>
      </w:r>
      <w:r w:rsidRPr="00BF3585" w:rsidR="00B17470">
        <w:rPr>
          <w:lang w:val="en-GB"/>
        </w:rPr>
        <w:t xml:space="preserve">of </w:t>
      </w:r>
      <w:r w:rsidRPr="00BF3585">
        <w:rPr>
          <w:lang w:val="en-GB"/>
        </w:rPr>
        <w:t>Article 6 §§ 1 and 3 (d).</w:t>
      </w:r>
    </w:p>
    <w:p w:rsidRPr="00BF3585" w:rsidR="00C6083D" w:rsidP="00BF3585" w:rsidRDefault="00C6083D">
      <w:pPr>
        <w:pStyle w:val="ECHRHeading1"/>
        <w:rPr>
          <w:lang w:val="en-GB"/>
        </w:rPr>
      </w:pPr>
      <w:r w:rsidRPr="00BF3585">
        <w:rPr>
          <w:lang w:val="en-GB"/>
        </w:rPr>
        <w:t xml:space="preserve">II.  APPLICATION </w:t>
      </w:r>
      <w:r w:rsidRPr="00BF3585" w:rsidR="00B17470">
        <w:rPr>
          <w:lang w:val="en-GB"/>
        </w:rPr>
        <w:t xml:space="preserve">OF </w:t>
      </w:r>
      <w:r w:rsidRPr="00BF3585">
        <w:rPr>
          <w:lang w:val="en-GB"/>
        </w:rPr>
        <w:t xml:space="preserve">ARTICLE 41 </w:t>
      </w:r>
      <w:r w:rsidRPr="00BF3585" w:rsidR="00B17470">
        <w:rPr>
          <w:lang w:val="en-GB"/>
        </w:rPr>
        <w:t xml:space="preserve">OF </w:t>
      </w:r>
      <w:r w:rsidRPr="00BF3585">
        <w:rPr>
          <w:lang w:val="en-GB"/>
        </w:rPr>
        <w:t>THE CONVENTION</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115</w:t>
      </w:r>
      <w:r w:rsidRPr="00BF3585">
        <w:rPr>
          <w:lang w:val="en-GB"/>
        </w:rPr>
        <w:fldChar w:fldCharType="end"/>
      </w:r>
      <w:r w:rsidRPr="00BF3585">
        <w:rPr>
          <w:lang w:val="en-GB"/>
        </w:rPr>
        <w:t xml:space="preserve">.  Article 41 </w:t>
      </w:r>
      <w:r w:rsidRPr="00BF3585" w:rsidR="00B17470">
        <w:rPr>
          <w:lang w:val="en-GB"/>
        </w:rPr>
        <w:t xml:space="preserve">of </w:t>
      </w:r>
      <w:r w:rsidRPr="00BF3585">
        <w:rPr>
          <w:lang w:val="en-GB"/>
        </w:rPr>
        <w:t>the Convention provides:</w:t>
      </w:r>
    </w:p>
    <w:p w:rsidRPr="00BF3585" w:rsidR="00C6083D" w:rsidP="00BF3585" w:rsidRDefault="00C6083D">
      <w:pPr>
        <w:pStyle w:val="ECHRParaQuote"/>
        <w:keepNext/>
        <w:keepLines/>
        <w:rPr>
          <w:lang w:val="en-GB"/>
        </w:rPr>
      </w:pPr>
      <w:r w:rsidRPr="00BF3585">
        <w:rPr>
          <w:lang w:val="en-GB"/>
        </w:rPr>
        <w:t xml:space="preserve">“If the Court finds that there has been </w:t>
      </w:r>
      <w:r w:rsidRPr="00BF3585" w:rsidR="00B17470">
        <w:rPr>
          <w:lang w:val="en-GB"/>
        </w:rPr>
        <w:t xml:space="preserve">a </w:t>
      </w:r>
      <w:r w:rsidRPr="00BF3585">
        <w:rPr>
          <w:lang w:val="en-GB"/>
        </w:rPr>
        <w:t xml:space="preserve">violation </w:t>
      </w:r>
      <w:r w:rsidRPr="00BF3585" w:rsidR="00B17470">
        <w:rPr>
          <w:lang w:val="en-GB"/>
        </w:rPr>
        <w:t xml:space="preserve">of </w:t>
      </w:r>
      <w:r w:rsidRPr="00BF3585">
        <w:rPr>
          <w:lang w:val="en-GB"/>
        </w:rPr>
        <w:t xml:space="preserve">the Convention or the Protocols thereto, and if the internal law </w:t>
      </w:r>
      <w:r w:rsidRPr="00BF3585" w:rsidR="00B17470">
        <w:rPr>
          <w:lang w:val="en-GB"/>
        </w:rPr>
        <w:t xml:space="preserve">of </w:t>
      </w:r>
      <w:r w:rsidRPr="00BF3585">
        <w:rPr>
          <w:lang w:val="en-GB"/>
        </w:rPr>
        <w:t>the High Contracting Party concerned allows only partial reparation to be made, the Court shall, if necessary, afford just satisfaction to the injured party.”</w:t>
      </w:r>
    </w:p>
    <w:p w:rsidRPr="00BF3585" w:rsidR="00C6083D" w:rsidP="00BF3585" w:rsidRDefault="00C6083D">
      <w:pPr>
        <w:pStyle w:val="ECHRHeading2"/>
        <w:rPr>
          <w:lang w:val="en-GB"/>
        </w:rPr>
      </w:pPr>
      <w:r w:rsidRPr="00BF3585">
        <w:rPr>
          <w:lang w:val="en-GB"/>
        </w:rPr>
        <w:t>A.  Damage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116</w:t>
      </w:r>
      <w:r w:rsidRPr="00BF3585">
        <w:rPr>
          <w:lang w:val="en-GB"/>
        </w:rPr>
        <w:fldChar w:fldCharType="end"/>
      </w:r>
      <w:r w:rsidRPr="00BF3585">
        <w:rPr>
          <w:lang w:val="en-GB"/>
        </w:rPr>
        <w:t xml:space="preserve">.  The applicant asked the Court to order the Government to “remedy the violations </w:t>
      </w:r>
      <w:r w:rsidRPr="00BF3585" w:rsidR="00B17470">
        <w:rPr>
          <w:lang w:val="en-GB"/>
        </w:rPr>
        <w:t xml:space="preserve">of </w:t>
      </w:r>
      <w:r w:rsidRPr="00BF3585">
        <w:rPr>
          <w:lang w:val="en-GB"/>
        </w:rPr>
        <w:t xml:space="preserve">Article 6 which have occurred by overturning his conviction”, thus enabling him to claim compensation for pecuniary damage under domestic law. He also claimed 25,000 euros (EUR) in respect </w:t>
      </w:r>
      <w:r w:rsidRPr="00BF3585" w:rsidR="00B17470">
        <w:rPr>
          <w:lang w:val="en-GB"/>
        </w:rPr>
        <w:t xml:space="preserve">of </w:t>
      </w:r>
      <w:r w:rsidRPr="00BF3585">
        <w:rPr>
          <w:lang w:val="en-GB"/>
        </w:rPr>
        <w:t>non</w:t>
      </w:r>
      <w:r w:rsidRPr="00BF3585">
        <w:rPr>
          <w:lang w:val="en-GB"/>
        </w:rPr>
        <w:noBreakHyphen/>
        <w:t>pecuniary damage.</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117</w:t>
      </w:r>
      <w:r w:rsidRPr="00BF3585">
        <w:rPr>
          <w:lang w:val="en-GB"/>
        </w:rPr>
        <w:fldChar w:fldCharType="end"/>
      </w:r>
      <w:r w:rsidRPr="00BF3585">
        <w:rPr>
          <w:lang w:val="en-GB"/>
        </w:rPr>
        <w:t>.  The Government pointed to the possibility for the applicant to seek revision (</w:t>
      </w:r>
      <w:r w:rsidRPr="00BF3585">
        <w:rPr>
          <w:i/>
          <w:lang w:val="en-GB"/>
        </w:rPr>
        <w:t>herziening</w:t>
      </w:r>
      <w:r w:rsidRPr="00BF3585">
        <w:rPr>
          <w:lang w:val="en-GB"/>
        </w:rPr>
        <w:t>) under domestic law in t</w:t>
      </w:r>
      <w:r w:rsidRPr="00BF3585" w:rsidR="00807DD3">
        <w:rPr>
          <w:lang w:val="en-GB"/>
        </w:rPr>
        <w:t xml:space="preserve">he event that the Court found </w:t>
      </w:r>
      <w:r w:rsidRPr="00BF3585" w:rsidR="00B17470">
        <w:rPr>
          <w:lang w:val="en-GB"/>
        </w:rPr>
        <w:t xml:space="preserve">a </w:t>
      </w:r>
      <w:r w:rsidRPr="00BF3585">
        <w:rPr>
          <w:lang w:val="en-GB"/>
        </w:rPr>
        <w:t xml:space="preserve">violation </w:t>
      </w:r>
      <w:r w:rsidRPr="00BF3585" w:rsidR="00B17470">
        <w:rPr>
          <w:lang w:val="en-GB"/>
        </w:rPr>
        <w:t xml:space="preserve">of </w:t>
      </w:r>
      <w:r w:rsidRPr="00BF3585">
        <w:rPr>
          <w:lang w:val="en-GB"/>
        </w:rPr>
        <w:t xml:space="preserve">the Convention. They asked the Court to hold that the finding </w:t>
      </w:r>
      <w:r w:rsidRPr="00BF3585" w:rsidR="00B17470">
        <w:rPr>
          <w:lang w:val="en-GB"/>
        </w:rPr>
        <w:t xml:space="preserve">of a </w:t>
      </w:r>
      <w:r w:rsidRPr="00BF3585">
        <w:rPr>
          <w:lang w:val="en-GB"/>
        </w:rPr>
        <w:t xml:space="preserve">violation constituted in itself sufficient just satisfaction in respect </w:t>
      </w:r>
      <w:r w:rsidRPr="00BF3585" w:rsidR="00B17470">
        <w:rPr>
          <w:lang w:val="en-GB"/>
        </w:rPr>
        <w:t xml:space="preserve">of </w:t>
      </w:r>
      <w:r w:rsidRPr="00BF3585">
        <w:rPr>
          <w:lang w:val="en-GB"/>
        </w:rPr>
        <w:t>non-pecuniary damage.</w:t>
      </w:r>
    </w:p>
    <w:p w:rsidRPr="00BF3585" w:rsidR="00C6083D" w:rsidP="00BF3585" w:rsidRDefault="00C6083D">
      <w:pPr>
        <w:pStyle w:val="ECHRPara"/>
        <w:rPr>
          <w:szCs w:val="24"/>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118</w:t>
      </w:r>
      <w:r w:rsidRPr="00BF3585">
        <w:rPr>
          <w:lang w:val="en-GB"/>
        </w:rPr>
        <w:fldChar w:fldCharType="end"/>
      </w:r>
      <w:r w:rsidRPr="00BF3585">
        <w:rPr>
          <w:lang w:val="en-GB"/>
        </w:rPr>
        <w:t xml:space="preserve">.  The Court reiterates that it has no jurisdiction to quash convictions pronounced by national courts (see, among other authorities, </w:t>
      </w:r>
      <w:r w:rsidRPr="00BF3585" w:rsidR="00B17470">
        <w:rPr>
          <w:i/>
          <w:lang w:val="en-GB"/>
        </w:rPr>
        <w:t>Albert and </w:t>
      </w:r>
      <w:r w:rsidRPr="00BF3585" w:rsidR="00807DD3">
        <w:rPr>
          <w:i/>
          <w:lang w:val="en-GB"/>
        </w:rPr>
        <w:t>Le </w:t>
      </w:r>
      <w:r w:rsidRPr="00BF3585">
        <w:rPr>
          <w:i/>
          <w:lang w:val="en-GB"/>
        </w:rPr>
        <w:t>Compte v. Belgium</w:t>
      </w:r>
      <w:r w:rsidRPr="00BF3585">
        <w:rPr>
          <w:lang w:val="en-GB"/>
        </w:rPr>
        <w:t xml:space="preserve"> (Article 50), 24 October 1983, § 9, Series </w:t>
      </w:r>
      <w:r w:rsidRPr="00BF3585" w:rsidR="00B17470">
        <w:rPr>
          <w:lang w:val="en-GB"/>
        </w:rPr>
        <w:t>A no. </w:t>
      </w:r>
      <w:r w:rsidRPr="00BF3585">
        <w:rPr>
          <w:lang w:val="en-GB"/>
        </w:rPr>
        <w:t xml:space="preserve">68; </w:t>
      </w:r>
      <w:r w:rsidRPr="00BF3585">
        <w:rPr>
          <w:i/>
          <w:lang w:val="en-GB"/>
        </w:rPr>
        <w:t>Findlay v. the United Kingdom</w:t>
      </w:r>
      <w:r w:rsidRPr="00BF3585">
        <w:rPr>
          <w:lang w:val="en-GB"/>
        </w:rPr>
        <w:t xml:space="preserve">, 25 February 1997, § 88, </w:t>
      </w:r>
      <w:r w:rsidRPr="00BF3585">
        <w:rPr>
          <w:i/>
          <w:lang w:val="en-GB"/>
        </w:rPr>
        <w:t>Reports</w:t>
      </w:r>
      <w:r w:rsidRPr="00BF3585">
        <w:rPr>
          <w:lang w:val="en-GB"/>
        </w:rPr>
        <w:t xml:space="preserve"> 1997-I; and </w:t>
      </w:r>
      <w:r w:rsidRPr="00BF3585">
        <w:rPr>
          <w:i/>
          <w:szCs w:val="24"/>
          <w:lang w:val="en-GB"/>
        </w:rPr>
        <w:t>Sannino v. Italy</w:t>
      </w:r>
      <w:r w:rsidRPr="00BF3585">
        <w:rPr>
          <w:szCs w:val="24"/>
          <w:lang w:val="en-GB"/>
        </w:rPr>
        <w:t>, no. 30961/03, § 65, ECHR 2006</w:t>
      </w:r>
      <w:r w:rsidRPr="00BF3585">
        <w:rPr>
          <w:szCs w:val="24"/>
          <w:lang w:val="en-GB"/>
        </w:rPr>
        <w:noBreakHyphen/>
        <w:t>VI</w:t>
      </w:r>
      <w:r w:rsidRPr="00BF3585">
        <w:rPr>
          <w:lang w:val="en-GB"/>
        </w:rPr>
        <w:t xml:space="preserve">). Moreover, the Court observes that where, as in the instant case, </w:t>
      </w:r>
      <w:r w:rsidRPr="00BF3585" w:rsidR="00B17470">
        <w:rPr>
          <w:lang w:val="en-GB"/>
        </w:rPr>
        <w:t xml:space="preserve">a </w:t>
      </w:r>
      <w:r w:rsidRPr="00BF3585">
        <w:rPr>
          <w:lang w:val="en-GB"/>
        </w:rPr>
        <w:t xml:space="preserve">person is convicted in domestic proceedings that have entailed breaches </w:t>
      </w:r>
      <w:r w:rsidRPr="00BF3585" w:rsidR="00B17470">
        <w:rPr>
          <w:lang w:val="en-GB"/>
        </w:rPr>
        <w:t xml:space="preserve">of </w:t>
      </w:r>
      <w:r w:rsidRPr="00BF3585">
        <w:rPr>
          <w:lang w:val="en-GB"/>
        </w:rPr>
        <w:t xml:space="preserve">the requirements </w:t>
      </w:r>
      <w:r w:rsidRPr="00BF3585" w:rsidR="00B17470">
        <w:rPr>
          <w:lang w:val="en-GB"/>
        </w:rPr>
        <w:t xml:space="preserve">of </w:t>
      </w:r>
      <w:r w:rsidRPr="00BF3585">
        <w:rPr>
          <w:lang w:val="en-GB"/>
        </w:rPr>
        <w:t xml:space="preserve">Article 6 </w:t>
      </w:r>
      <w:r w:rsidRPr="00BF3585" w:rsidR="00B17470">
        <w:rPr>
          <w:lang w:val="en-GB"/>
        </w:rPr>
        <w:t xml:space="preserve">of </w:t>
      </w:r>
      <w:r w:rsidRPr="00BF3585">
        <w:rPr>
          <w:lang w:val="en-GB"/>
        </w:rPr>
        <w:t xml:space="preserve">the Convention, </w:t>
      </w:r>
      <w:r w:rsidRPr="00BF3585" w:rsidR="00B17470">
        <w:rPr>
          <w:lang w:val="en-GB"/>
        </w:rPr>
        <w:t xml:space="preserve">a </w:t>
      </w:r>
      <w:r w:rsidRPr="00BF3585">
        <w:rPr>
          <w:lang w:val="en-GB"/>
        </w:rPr>
        <w:t xml:space="preserve">new trial or the reopening </w:t>
      </w:r>
      <w:r w:rsidRPr="00BF3585" w:rsidR="00B17470">
        <w:rPr>
          <w:lang w:val="en-GB"/>
        </w:rPr>
        <w:t xml:space="preserve">of </w:t>
      </w:r>
      <w:r w:rsidRPr="00BF3585">
        <w:rPr>
          <w:lang w:val="en-GB"/>
        </w:rPr>
        <w:t xml:space="preserve">the domestic proceedings at the request </w:t>
      </w:r>
      <w:r w:rsidRPr="00BF3585" w:rsidR="00B17470">
        <w:rPr>
          <w:lang w:val="en-GB"/>
        </w:rPr>
        <w:t xml:space="preserve">of </w:t>
      </w:r>
      <w:r w:rsidRPr="00BF3585">
        <w:rPr>
          <w:lang w:val="en-GB"/>
        </w:rPr>
        <w:t xml:space="preserve">the interested person represents </w:t>
      </w:r>
      <w:r w:rsidRPr="00BF3585" w:rsidR="00B17470">
        <w:rPr>
          <w:lang w:val="en-GB"/>
        </w:rPr>
        <w:t xml:space="preserve">an </w:t>
      </w:r>
      <w:r w:rsidRPr="00BF3585">
        <w:rPr>
          <w:lang w:val="en-GB"/>
        </w:rPr>
        <w:t xml:space="preserve">appropriate way to redress the violation (see, among other authorities, </w:t>
      </w:r>
      <w:r w:rsidRPr="00BF3585">
        <w:rPr>
          <w:i/>
          <w:lang w:val="en-GB"/>
        </w:rPr>
        <w:t>Gençel v. Turkey</w:t>
      </w:r>
      <w:r w:rsidRPr="00BF3585">
        <w:rPr>
          <w:lang w:val="en-GB"/>
        </w:rPr>
        <w:t xml:space="preserve">, no. 53431/99, § 27, 23 October 2003; </w:t>
      </w:r>
      <w:r w:rsidRPr="00BF3585">
        <w:rPr>
          <w:i/>
          <w:szCs w:val="24"/>
          <w:lang w:val="en-GB"/>
        </w:rPr>
        <w:t xml:space="preserve">Sejdovic v. Italy </w:t>
      </w:r>
      <w:r w:rsidRPr="00BF3585">
        <w:rPr>
          <w:szCs w:val="24"/>
          <w:lang w:val="en-GB"/>
        </w:rPr>
        <w:t>[GC], no. 56581/00, § 126, ECHR 2006</w:t>
      </w:r>
      <w:r w:rsidRPr="00BF3585">
        <w:rPr>
          <w:szCs w:val="24"/>
          <w:lang w:val="en-GB"/>
        </w:rPr>
        <w:noBreakHyphen/>
        <w:t>II</w:t>
      </w:r>
      <w:r w:rsidRPr="00BF3585">
        <w:rPr>
          <w:lang w:val="en-GB"/>
        </w:rPr>
        <w:t xml:space="preserve">; and </w:t>
      </w:r>
      <w:r w:rsidRPr="00BF3585">
        <w:rPr>
          <w:i/>
          <w:lang w:val="en-GB"/>
        </w:rPr>
        <w:t>Cudak</w:t>
      </w:r>
      <w:r w:rsidRPr="00BF3585">
        <w:rPr>
          <w:i/>
          <w:snapToGrid w:val="0"/>
          <w:lang w:val="en-GB"/>
        </w:rPr>
        <w:t xml:space="preserve"> v. Lithuani</w:t>
      </w:r>
      <w:r w:rsidRPr="00BF3585" w:rsidR="00B17470">
        <w:rPr>
          <w:i/>
          <w:snapToGrid w:val="0"/>
          <w:lang w:val="en-GB"/>
        </w:rPr>
        <w:t xml:space="preserve">a </w:t>
      </w:r>
      <w:r w:rsidRPr="00BF3585">
        <w:rPr>
          <w:lang w:val="en-GB"/>
        </w:rPr>
        <w:t>[GC]</w:t>
      </w:r>
      <w:r w:rsidRPr="00BF3585">
        <w:rPr>
          <w:snapToGrid w:val="0"/>
          <w:lang w:val="en-GB"/>
        </w:rPr>
        <w:t>, no.</w:t>
      </w:r>
      <w:r w:rsidRPr="00BF3585">
        <w:rPr>
          <w:lang w:val="en-GB"/>
        </w:rPr>
        <w:t xml:space="preserve"> 15869/02, § 79, ECHR 2010). In this co</w:t>
      </w:r>
      <w:r w:rsidRPr="00BF3585" w:rsidR="00B17470">
        <w:rPr>
          <w:lang w:val="en-GB"/>
        </w:rPr>
        <w:t>nnection, it notes that Article </w:t>
      </w:r>
      <w:r w:rsidRPr="00BF3585">
        <w:rPr>
          <w:lang w:val="en-GB"/>
        </w:rPr>
        <w:t xml:space="preserve">457 § 1 (b) </w:t>
      </w:r>
      <w:r w:rsidRPr="00BF3585" w:rsidR="00B17470">
        <w:rPr>
          <w:lang w:val="en-GB"/>
        </w:rPr>
        <w:t xml:space="preserve">of </w:t>
      </w:r>
      <w:r w:rsidRPr="00BF3585">
        <w:rPr>
          <w:lang w:val="en-GB"/>
        </w:rPr>
        <w:t xml:space="preserve">the Netherlands Code </w:t>
      </w:r>
      <w:r w:rsidRPr="00BF3585" w:rsidR="00B17470">
        <w:rPr>
          <w:lang w:val="en-GB"/>
        </w:rPr>
        <w:t xml:space="preserve">of </w:t>
      </w:r>
      <w:r w:rsidRPr="00BF3585">
        <w:rPr>
          <w:lang w:val="en-GB"/>
        </w:rPr>
        <w:t xml:space="preserve">Criminal Procedure provides for the possibility </w:t>
      </w:r>
      <w:r w:rsidRPr="00BF3585" w:rsidR="00B17470">
        <w:rPr>
          <w:lang w:val="en-GB"/>
        </w:rPr>
        <w:t xml:space="preserve">of </w:t>
      </w:r>
      <w:r w:rsidRPr="00BF3585">
        <w:rPr>
          <w:lang w:val="en-GB"/>
        </w:rPr>
        <w:t xml:space="preserve">revision by the Supreme Court </w:t>
      </w:r>
      <w:r w:rsidRPr="00BF3585" w:rsidR="00B17470">
        <w:rPr>
          <w:lang w:val="en-GB"/>
        </w:rPr>
        <w:t xml:space="preserve">of a </w:t>
      </w:r>
      <w:r w:rsidRPr="00BF3585">
        <w:rPr>
          <w:lang w:val="en-GB"/>
        </w:rPr>
        <w:t xml:space="preserve">conviction where it has been determined in </w:t>
      </w:r>
      <w:r w:rsidRPr="00BF3585" w:rsidR="00B17470">
        <w:rPr>
          <w:lang w:val="en-GB"/>
        </w:rPr>
        <w:t xml:space="preserve">a </w:t>
      </w:r>
      <w:r w:rsidRPr="00BF3585">
        <w:rPr>
          <w:lang w:val="en-GB"/>
        </w:rPr>
        <w:t xml:space="preserve">ruling </w:t>
      </w:r>
      <w:r w:rsidRPr="00BF3585" w:rsidR="00B17470">
        <w:rPr>
          <w:lang w:val="en-GB"/>
        </w:rPr>
        <w:t xml:space="preserve">of </w:t>
      </w:r>
      <w:r w:rsidRPr="00BF3585">
        <w:rPr>
          <w:lang w:val="en-GB"/>
        </w:rPr>
        <w:t xml:space="preserve">the Court that there has been </w:t>
      </w:r>
      <w:r w:rsidRPr="00BF3585" w:rsidR="00B17470">
        <w:rPr>
          <w:lang w:val="en-GB"/>
        </w:rPr>
        <w:t xml:space="preserve">a </w:t>
      </w:r>
      <w:r w:rsidRPr="00BF3585">
        <w:rPr>
          <w:lang w:val="en-GB"/>
        </w:rPr>
        <w:t xml:space="preserve">violation </w:t>
      </w:r>
      <w:r w:rsidRPr="00BF3585" w:rsidR="00B17470">
        <w:rPr>
          <w:lang w:val="en-GB"/>
        </w:rPr>
        <w:t xml:space="preserve">of </w:t>
      </w:r>
      <w:r w:rsidRPr="00BF3585">
        <w:rPr>
          <w:lang w:val="en-GB"/>
        </w:rPr>
        <w:t xml:space="preserve">the Convention or one </w:t>
      </w:r>
      <w:r w:rsidRPr="00BF3585" w:rsidR="00B17470">
        <w:rPr>
          <w:lang w:val="en-GB"/>
        </w:rPr>
        <w:t xml:space="preserve">of </w:t>
      </w:r>
      <w:r w:rsidRPr="00BF3585">
        <w:rPr>
          <w:lang w:val="en-GB"/>
        </w:rPr>
        <w:t xml:space="preserve">its Protocols, as the case may be, in proceedings that have led to the conviction, or </w:t>
      </w:r>
      <w:r w:rsidRPr="00BF3585" w:rsidR="00B17470">
        <w:rPr>
          <w:lang w:val="en-GB"/>
        </w:rPr>
        <w:t xml:space="preserve">a </w:t>
      </w:r>
      <w:r w:rsidRPr="00BF3585">
        <w:rPr>
          <w:lang w:val="en-GB"/>
        </w:rPr>
        <w:t xml:space="preserve">conviction </w:t>
      </w:r>
      <w:r w:rsidRPr="00BF3585" w:rsidR="00B17470">
        <w:rPr>
          <w:lang w:val="en-GB"/>
        </w:rPr>
        <w:t xml:space="preserve">of </w:t>
      </w:r>
      <w:r w:rsidRPr="00BF3585">
        <w:rPr>
          <w:lang w:val="en-GB"/>
        </w:rPr>
        <w:t xml:space="preserve">the same crime, </w:t>
      </w:r>
      <w:r w:rsidRPr="00BF3585" w:rsidR="00807DD3">
        <w:rPr>
          <w:lang w:val="en-GB"/>
        </w:rPr>
        <w:t xml:space="preserve">if revision is necessary with </w:t>
      </w:r>
      <w:r w:rsidRPr="00BF3585" w:rsidR="00B17470">
        <w:rPr>
          <w:lang w:val="en-GB"/>
        </w:rPr>
        <w:t xml:space="preserve">a </w:t>
      </w:r>
      <w:r w:rsidRPr="00BF3585">
        <w:rPr>
          <w:lang w:val="en-GB"/>
        </w:rPr>
        <w:t xml:space="preserve">view to reparation within the meaning </w:t>
      </w:r>
      <w:r w:rsidRPr="00BF3585" w:rsidR="00B17470">
        <w:rPr>
          <w:lang w:val="en-GB"/>
        </w:rPr>
        <w:t xml:space="preserve">of </w:t>
      </w:r>
      <w:r w:rsidRPr="00BF3585">
        <w:rPr>
          <w:lang w:val="en-GB"/>
        </w:rPr>
        <w:t xml:space="preserve">Article 41 </w:t>
      </w:r>
      <w:r w:rsidRPr="00BF3585" w:rsidR="00B17470">
        <w:rPr>
          <w:lang w:val="en-GB"/>
        </w:rPr>
        <w:t xml:space="preserve">of </w:t>
      </w:r>
      <w:r w:rsidRPr="00BF3585">
        <w:rPr>
          <w:lang w:val="en-GB"/>
        </w:rPr>
        <w:t>the Convention.</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119</w:t>
      </w:r>
      <w:r w:rsidRPr="00BF3585">
        <w:rPr>
          <w:lang w:val="en-GB"/>
        </w:rPr>
        <w:fldChar w:fldCharType="end"/>
      </w:r>
      <w:r w:rsidRPr="00BF3585">
        <w:rPr>
          <w:lang w:val="en-GB"/>
        </w:rPr>
        <w:t xml:space="preserve">.  The Court considers that in the circumstances </w:t>
      </w:r>
      <w:r w:rsidRPr="00BF3585" w:rsidR="00B17470">
        <w:rPr>
          <w:lang w:val="en-GB"/>
        </w:rPr>
        <w:t xml:space="preserve">of </w:t>
      </w:r>
      <w:r w:rsidRPr="00BF3585">
        <w:rPr>
          <w:lang w:val="en-GB"/>
        </w:rPr>
        <w:t xml:space="preserve">the case the finding </w:t>
      </w:r>
      <w:r w:rsidRPr="00BF3585" w:rsidR="00B17470">
        <w:rPr>
          <w:lang w:val="en-GB"/>
        </w:rPr>
        <w:t xml:space="preserve">of a </w:t>
      </w:r>
      <w:r w:rsidRPr="00BF3585">
        <w:rPr>
          <w:lang w:val="en-GB"/>
        </w:rPr>
        <w:t xml:space="preserve">violation constitutes in itself sufficient just satisfaction in respect </w:t>
      </w:r>
      <w:r w:rsidRPr="00BF3585" w:rsidR="00B17470">
        <w:rPr>
          <w:lang w:val="en-GB"/>
        </w:rPr>
        <w:t xml:space="preserve">of </w:t>
      </w:r>
      <w:r w:rsidRPr="00BF3585">
        <w:rPr>
          <w:lang w:val="en-GB"/>
        </w:rPr>
        <w:t>non-pecuniary damage.</w:t>
      </w:r>
    </w:p>
    <w:p w:rsidRPr="00BF3585" w:rsidR="00C6083D" w:rsidP="00BF3585" w:rsidRDefault="00C6083D">
      <w:pPr>
        <w:pStyle w:val="ECHRHeading2"/>
        <w:rPr>
          <w:lang w:val="en-GB"/>
        </w:rPr>
      </w:pPr>
      <w:r w:rsidRPr="00BF3585">
        <w:rPr>
          <w:lang w:val="en-GB"/>
        </w:rPr>
        <w:t>B.  Costs and expenses</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120</w:t>
      </w:r>
      <w:r w:rsidRPr="00BF3585">
        <w:rPr>
          <w:lang w:val="en-GB"/>
        </w:rPr>
        <w:fldChar w:fldCharType="end"/>
      </w:r>
      <w:r w:rsidRPr="00BF3585">
        <w:rPr>
          <w:lang w:val="en-GB"/>
        </w:rPr>
        <w:t xml:space="preserve">.  The applicant also claimed EUR 732 for the costs and expenses incurred before the Court, the sum which he had had to pay towards the cost </w:t>
      </w:r>
      <w:r w:rsidRPr="00BF3585" w:rsidR="00B17470">
        <w:rPr>
          <w:lang w:val="en-GB"/>
        </w:rPr>
        <w:t xml:space="preserve">of </w:t>
      </w:r>
      <w:r w:rsidRPr="00BF3585">
        <w:rPr>
          <w:lang w:val="en-GB"/>
        </w:rPr>
        <w:t>his representation in the proceedings before the Court under the domestic legal aid scheme. Value-added tax was not claimed.</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121</w:t>
      </w:r>
      <w:r w:rsidRPr="00BF3585">
        <w:rPr>
          <w:lang w:val="en-GB"/>
        </w:rPr>
        <w:fldChar w:fldCharType="end"/>
      </w:r>
      <w:r w:rsidRPr="00BF3585">
        <w:rPr>
          <w:lang w:val="en-GB"/>
        </w:rPr>
        <w:t>.  The Government declined to comment.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122</w:t>
      </w:r>
      <w:r w:rsidRPr="00BF3585">
        <w:rPr>
          <w:lang w:val="en-GB"/>
        </w:rPr>
        <w:fldChar w:fldCharType="end"/>
      </w:r>
      <w:r w:rsidRPr="00BF3585">
        <w:rPr>
          <w:lang w:val="en-GB"/>
        </w:rPr>
        <w:t>.  The Court awards the sum claimed, i.e. EUR 732.</w:t>
      </w:r>
    </w:p>
    <w:p w:rsidRPr="00BF3585" w:rsidR="00C6083D" w:rsidP="00BF3585" w:rsidRDefault="00C6083D">
      <w:pPr>
        <w:pStyle w:val="ECHRHeading2"/>
        <w:rPr>
          <w:lang w:val="en-GB"/>
        </w:rPr>
      </w:pPr>
      <w:r w:rsidRPr="00BF3585">
        <w:rPr>
          <w:lang w:val="en-GB"/>
        </w:rPr>
        <w:t>C.  Default interest</w:t>
      </w:r>
    </w:p>
    <w:p w:rsidRPr="00BF3585" w:rsidR="00C6083D" w:rsidP="00BF3585" w:rsidRDefault="00C6083D">
      <w:pPr>
        <w:pStyle w:val="ECHRPara"/>
        <w:rPr>
          <w:lang w:val="en-GB"/>
        </w:rPr>
      </w:pPr>
      <w:r w:rsidRPr="00BF3585">
        <w:rPr>
          <w:lang w:val="en-GB"/>
        </w:rPr>
        <w:fldChar w:fldCharType="begin"/>
      </w:r>
      <w:r w:rsidRPr="00BF3585">
        <w:rPr>
          <w:lang w:val="en-GB"/>
        </w:rPr>
        <w:instrText xml:space="preserve"> SEQ level0 \*arabic </w:instrText>
      </w:r>
      <w:r w:rsidRPr="00BF3585">
        <w:rPr>
          <w:lang w:val="en-GB"/>
        </w:rPr>
        <w:fldChar w:fldCharType="separate"/>
      </w:r>
      <w:r w:rsidRPr="00BF3585" w:rsidR="00BF3585">
        <w:rPr>
          <w:noProof/>
          <w:lang w:val="en-GB"/>
        </w:rPr>
        <w:t>123</w:t>
      </w:r>
      <w:r w:rsidRPr="00BF3585">
        <w:rPr>
          <w:lang w:val="en-GB"/>
        </w:rPr>
        <w:fldChar w:fldCharType="end"/>
      </w:r>
      <w:r w:rsidRPr="00BF3585">
        <w:rPr>
          <w:lang w:val="en-GB"/>
        </w:rPr>
        <w:t xml:space="preserve">.  The Court considers it appropriate that the default interest rate should be based on the marginal lending rate </w:t>
      </w:r>
      <w:r w:rsidRPr="00BF3585" w:rsidR="00B17470">
        <w:rPr>
          <w:lang w:val="en-GB"/>
        </w:rPr>
        <w:t xml:space="preserve">of </w:t>
      </w:r>
      <w:r w:rsidRPr="00BF3585">
        <w:rPr>
          <w:lang w:val="en-GB"/>
        </w:rPr>
        <w:t>the Europe</w:t>
      </w:r>
      <w:r w:rsidRPr="00BF3585" w:rsidR="00B17470">
        <w:rPr>
          <w:lang w:val="en-GB"/>
        </w:rPr>
        <w:t xml:space="preserve">an </w:t>
      </w:r>
      <w:r w:rsidRPr="00BF3585">
        <w:rPr>
          <w:lang w:val="en-GB"/>
        </w:rPr>
        <w:t>Central Bank, to which should be added three percentage points.</w:t>
      </w:r>
    </w:p>
    <w:p w:rsidRPr="00BF3585" w:rsidR="00C6083D" w:rsidP="00BF3585" w:rsidRDefault="00C6083D">
      <w:pPr>
        <w:pStyle w:val="ECHRTitle1"/>
        <w:rPr>
          <w:lang w:val="en-GB"/>
        </w:rPr>
      </w:pPr>
      <w:r w:rsidRPr="00BF3585">
        <w:rPr>
          <w:lang w:val="en-GB"/>
        </w:rPr>
        <w:t>FOR THESE REASONS, THE COURT, UNANIMOUSLY,</w:t>
      </w:r>
    </w:p>
    <w:p w:rsidRPr="00BF3585" w:rsidR="00C6083D" w:rsidP="00BF3585" w:rsidRDefault="00C6083D">
      <w:pPr>
        <w:pStyle w:val="JuList"/>
        <w:rPr>
          <w:lang w:val="en-GB"/>
        </w:rPr>
      </w:pPr>
      <w:r w:rsidRPr="00BF3585">
        <w:rPr>
          <w:lang w:val="en-GB"/>
        </w:rPr>
        <w:t>1.  </w:t>
      </w:r>
      <w:r w:rsidRPr="00BF3585">
        <w:rPr>
          <w:i/>
          <w:lang w:val="en-GB"/>
        </w:rPr>
        <w:t>Declares</w:t>
      </w:r>
      <w:r w:rsidRPr="00BF3585">
        <w:rPr>
          <w:lang w:val="en-GB"/>
        </w:rPr>
        <w:t xml:space="preserve"> the remainder </w:t>
      </w:r>
      <w:r w:rsidRPr="00BF3585" w:rsidR="00B17470">
        <w:rPr>
          <w:lang w:val="en-GB"/>
        </w:rPr>
        <w:t xml:space="preserve">of </w:t>
      </w:r>
      <w:r w:rsidRPr="00BF3585">
        <w:rPr>
          <w:lang w:val="en-GB"/>
        </w:rPr>
        <w:t>the application admissible;</w:t>
      </w:r>
    </w:p>
    <w:p w:rsidRPr="00BF3585" w:rsidR="00C6083D" w:rsidP="00BF3585" w:rsidRDefault="00C6083D">
      <w:pPr>
        <w:pStyle w:val="JuList"/>
        <w:ind w:left="0" w:firstLine="0"/>
        <w:rPr>
          <w:lang w:val="en-GB"/>
        </w:rPr>
      </w:pPr>
    </w:p>
    <w:p w:rsidRPr="00BF3585" w:rsidR="00C6083D" w:rsidP="00BF3585" w:rsidRDefault="00C6083D">
      <w:pPr>
        <w:pStyle w:val="JuList"/>
        <w:rPr>
          <w:lang w:val="en-GB"/>
        </w:rPr>
      </w:pPr>
      <w:r w:rsidRPr="00BF3585">
        <w:rPr>
          <w:lang w:val="en-GB"/>
        </w:rPr>
        <w:t>2.  </w:t>
      </w:r>
      <w:r w:rsidRPr="00BF3585">
        <w:rPr>
          <w:i/>
          <w:lang w:val="en-GB"/>
        </w:rPr>
        <w:t>Holds</w:t>
      </w:r>
      <w:r w:rsidRPr="00BF3585">
        <w:rPr>
          <w:lang w:val="en-GB"/>
        </w:rPr>
        <w:t xml:space="preserve"> that there has been no violation </w:t>
      </w:r>
      <w:r w:rsidRPr="00BF3585" w:rsidR="00B17470">
        <w:rPr>
          <w:lang w:val="en-GB"/>
        </w:rPr>
        <w:t xml:space="preserve">of </w:t>
      </w:r>
      <w:r w:rsidRPr="00BF3585">
        <w:rPr>
          <w:lang w:val="en-GB"/>
        </w:rPr>
        <w:t xml:space="preserve">Article 6 §§ 1 and 3 (b) </w:t>
      </w:r>
      <w:r w:rsidRPr="00BF3585" w:rsidR="00B17470">
        <w:rPr>
          <w:lang w:val="en-GB"/>
        </w:rPr>
        <w:t xml:space="preserve">of </w:t>
      </w:r>
      <w:r w:rsidRPr="00BF3585">
        <w:rPr>
          <w:lang w:val="en-GB"/>
        </w:rPr>
        <w:t>the Convention</w:t>
      </w:r>
      <w:r w:rsidRPr="00BF3585">
        <w:t xml:space="preserve"> as regards </w:t>
      </w:r>
      <w:r w:rsidRPr="00BF3585">
        <w:rPr>
          <w:lang w:val="en-GB"/>
        </w:rPr>
        <w:t xml:space="preserve">redacting </w:t>
      </w:r>
      <w:r w:rsidRPr="00BF3585" w:rsidR="00B17470">
        <w:rPr>
          <w:lang w:val="en-GB"/>
        </w:rPr>
        <w:t xml:space="preserve">of </w:t>
      </w:r>
      <w:r w:rsidRPr="00BF3585">
        <w:rPr>
          <w:lang w:val="en-GB"/>
        </w:rPr>
        <w:t xml:space="preserve">certain documents and the alleged withholding </w:t>
      </w:r>
      <w:r w:rsidRPr="00BF3585" w:rsidR="00B17470">
        <w:rPr>
          <w:lang w:val="en-GB"/>
        </w:rPr>
        <w:t xml:space="preserve">of </w:t>
      </w:r>
      <w:r w:rsidRPr="00BF3585">
        <w:rPr>
          <w:lang w:val="en-GB"/>
        </w:rPr>
        <w:t>others;</w:t>
      </w:r>
    </w:p>
    <w:p w:rsidRPr="00BF3585" w:rsidR="00C6083D" w:rsidP="00BF3585" w:rsidRDefault="00C6083D">
      <w:pPr>
        <w:pStyle w:val="JuList"/>
        <w:rPr>
          <w:lang w:val="en-GB"/>
        </w:rPr>
      </w:pPr>
    </w:p>
    <w:p w:rsidRPr="00BF3585" w:rsidR="00C6083D" w:rsidP="00BF3585" w:rsidRDefault="00C6083D">
      <w:pPr>
        <w:pStyle w:val="JuList"/>
        <w:rPr>
          <w:lang w:val="en-GB"/>
        </w:rPr>
      </w:pPr>
      <w:r w:rsidRPr="00BF3585">
        <w:rPr>
          <w:lang w:val="en-GB"/>
        </w:rPr>
        <w:t>3.  </w:t>
      </w:r>
      <w:r w:rsidRPr="00BF3585">
        <w:rPr>
          <w:i/>
          <w:lang w:val="en-GB"/>
        </w:rPr>
        <w:t>Holds</w:t>
      </w:r>
      <w:r w:rsidRPr="00BF3585">
        <w:rPr>
          <w:lang w:val="en-GB"/>
        </w:rPr>
        <w:t xml:space="preserve"> that there has been </w:t>
      </w:r>
      <w:r w:rsidRPr="00BF3585" w:rsidR="00B17470">
        <w:rPr>
          <w:lang w:val="en-GB"/>
        </w:rPr>
        <w:t xml:space="preserve">a </w:t>
      </w:r>
      <w:r w:rsidRPr="00BF3585">
        <w:rPr>
          <w:lang w:val="en-GB"/>
        </w:rPr>
        <w:t xml:space="preserve">violation </w:t>
      </w:r>
      <w:r w:rsidRPr="00BF3585" w:rsidR="00B17470">
        <w:rPr>
          <w:lang w:val="en-GB"/>
        </w:rPr>
        <w:t xml:space="preserve">of </w:t>
      </w:r>
      <w:r w:rsidRPr="00BF3585">
        <w:rPr>
          <w:lang w:val="en-GB"/>
        </w:rPr>
        <w:t xml:space="preserve">Article 6 §§ 1 and 3 (c) </w:t>
      </w:r>
      <w:r w:rsidRPr="00BF3585" w:rsidR="00B17470">
        <w:rPr>
          <w:lang w:val="en-GB"/>
        </w:rPr>
        <w:t xml:space="preserve">of </w:t>
      </w:r>
      <w:r w:rsidRPr="00BF3585">
        <w:rPr>
          <w:lang w:val="en-GB"/>
        </w:rPr>
        <w:t>the Convention</w:t>
      </w:r>
      <w:r w:rsidRPr="00BF3585">
        <w:t xml:space="preserve"> as regards the </w:t>
      </w:r>
      <w:r w:rsidRPr="00BF3585">
        <w:rPr>
          <w:lang w:val="en-GB"/>
        </w:rPr>
        <w:t>restrictions on the applicant</w:t>
      </w:r>
      <w:r w:rsidRPr="00BF3585" w:rsidR="00BF3585">
        <w:rPr>
          <w:lang w:val="en-GB"/>
        </w:rPr>
        <w:t>’</w:t>
      </w:r>
      <w:r w:rsidRPr="00BF3585">
        <w:rPr>
          <w:lang w:val="en-GB"/>
        </w:rPr>
        <w:t>s right to give information and instructions to counsel;</w:t>
      </w:r>
    </w:p>
    <w:p w:rsidRPr="00BF3585" w:rsidR="00C6083D" w:rsidP="00BF3585" w:rsidRDefault="00C6083D">
      <w:pPr>
        <w:pStyle w:val="JuList"/>
        <w:rPr>
          <w:lang w:val="en-GB"/>
        </w:rPr>
      </w:pPr>
    </w:p>
    <w:p w:rsidRPr="00BF3585" w:rsidR="00C6083D" w:rsidP="00BF3585" w:rsidRDefault="00C6083D">
      <w:pPr>
        <w:pStyle w:val="JuList"/>
        <w:rPr>
          <w:lang w:val="en-GB"/>
        </w:rPr>
      </w:pPr>
      <w:r w:rsidRPr="00BF3585">
        <w:rPr>
          <w:lang w:val="en-GB"/>
        </w:rPr>
        <w:t>4.  </w:t>
      </w:r>
      <w:r w:rsidRPr="00BF3585">
        <w:rPr>
          <w:i/>
          <w:lang w:val="en-GB"/>
        </w:rPr>
        <w:t>Holds</w:t>
      </w:r>
      <w:r w:rsidRPr="00BF3585">
        <w:rPr>
          <w:lang w:val="en-GB"/>
        </w:rPr>
        <w:t xml:space="preserve"> that it is not necessary to consider whether there has been </w:t>
      </w:r>
      <w:r w:rsidRPr="00BF3585" w:rsidR="00B17470">
        <w:rPr>
          <w:lang w:val="en-GB"/>
        </w:rPr>
        <w:t xml:space="preserve">a </w:t>
      </w:r>
      <w:r w:rsidRPr="00BF3585">
        <w:rPr>
          <w:lang w:val="en-GB"/>
        </w:rPr>
        <w:t xml:space="preserve">violation </w:t>
      </w:r>
      <w:r w:rsidRPr="00BF3585" w:rsidR="00B17470">
        <w:rPr>
          <w:lang w:val="en-GB"/>
        </w:rPr>
        <w:t xml:space="preserve">of </w:t>
      </w:r>
      <w:r w:rsidRPr="00BF3585">
        <w:rPr>
          <w:lang w:val="en-GB"/>
        </w:rPr>
        <w:t xml:space="preserve">Article 6 §§ 1 and 3 (c) </w:t>
      </w:r>
      <w:r w:rsidRPr="00BF3585" w:rsidR="00B17470">
        <w:rPr>
          <w:lang w:val="en-GB"/>
        </w:rPr>
        <w:t xml:space="preserve">of </w:t>
      </w:r>
      <w:r w:rsidRPr="00BF3585">
        <w:rPr>
          <w:lang w:val="en-GB"/>
        </w:rPr>
        <w:t>the Convention</w:t>
      </w:r>
      <w:r w:rsidRPr="00BF3585">
        <w:t xml:space="preserve"> as regards the </w:t>
      </w:r>
      <w:r w:rsidRPr="00BF3585">
        <w:rPr>
          <w:lang w:val="en-GB"/>
        </w:rPr>
        <w:t xml:space="preserve">limitation on revealing the names </w:t>
      </w:r>
      <w:r w:rsidRPr="00BF3585" w:rsidR="00B17470">
        <w:rPr>
          <w:lang w:val="en-GB"/>
        </w:rPr>
        <w:t xml:space="preserve">of </w:t>
      </w:r>
      <w:r w:rsidRPr="00BF3585">
        <w:rPr>
          <w:lang w:val="en-GB"/>
        </w:rPr>
        <w:t xml:space="preserve">AIVD members before the Court </w:t>
      </w:r>
      <w:r w:rsidRPr="00BF3585" w:rsidR="00B17470">
        <w:rPr>
          <w:lang w:val="en-GB"/>
        </w:rPr>
        <w:t xml:space="preserve">of </w:t>
      </w:r>
      <w:r w:rsidRPr="00BF3585">
        <w:rPr>
          <w:lang w:val="en-GB"/>
        </w:rPr>
        <w:t>Appeal;</w:t>
      </w:r>
    </w:p>
    <w:p w:rsidRPr="00BF3585" w:rsidR="00C6083D" w:rsidP="00BF3585" w:rsidRDefault="00C6083D">
      <w:pPr>
        <w:pStyle w:val="JuList"/>
        <w:rPr>
          <w:lang w:val="en-GB"/>
        </w:rPr>
      </w:pPr>
    </w:p>
    <w:p w:rsidRPr="00BF3585" w:rsidR="00C6083D" w:rsidP="00BF3585" w:rsidRDefault="00C6083D">
      <w:pPr>
        <w:pStyle w:val="JuList"/>
        <w:rPr>
          <w:lang w:val="en-GB"/>
        </w:rPr>
      </w:pPr>
      <w:r w:rsidRPr="00BF3585">
        <w:rPr>
          <w:lang w:val="en-GB"/>
        </w:rPr>
        <w:t>5.  </w:t>
      </w:r>
      <w:r w:rsidRPr="00BF3585">
        <w:rPr>
          <w:i/>
          <w:lang w:val="en-GB"/>
        </w:rPr>
        <w:t>Holds</w:t>
      </w:r>
      <w:r w:rsidRPr="00BF3585">
        <w:rPr>
          <w:lang w:val="en-GB"/>
        </w:rPr>
        <w:t xml:space="preserve"> that there has been no violation </w:t>
      </w:r>
      <w:r w:rsidRPr="00BF3585" w:rsidR="00B17470">
        <w:rPr>
          <w:lang w:val="en-GB"/>
        </w:rPr>
        <w:t xml:space="preserve">of </w:t>
      </w:r>
      <w:r w:rsidRPr="00BF3585">
        <w:rPr>
          <w:lang w:val="en-GB"/>
        </w:rPr>
        <w:t xml:space="preserve">Article 6 §§ 1 and 3 (d) </w:t>
      </w:r>
      <w:r w:rsidRPr="00BF3585" w:rsidR="00B17470">
        <w:rPr>
          <w:lang w:val="en-GB"/>
        </w:rPr>
        <w:t xml:space="preserve">of </w:t>
      </w:r>
      <w:r w:rsidRPr="00BF3585">
        <w:rPr>
          <w:lang w:val="en-GB"/>
        </w:rPr>
        <w:t>the Convention as regards the</w:t>
      </w:r>
      <w:r w:rsidRPr="00BF3585">
        <w:t xml:space="preserve"> </w:t>
      </w:r>
      <w:r w:rsidRPr="00BF3585">
        <w:rPr>
          <w:lang w:val="en-GB"/>
        </w:rPr>
        <w:t>conditions under which certain AIVD members were heard as witnesses and the refusal to call certain other AIVD members as defence witnesses;</w:t>
      </w:r>
    </w:p>
    <w:p w:rsidRPr="00BF3585" w:rsidR="00C6083D" w:rsidP="00BF3585" w:rsidRDefault="00C6083D">
      <w:pPr>
        <w:pStyle w:val="JuList"/>
        <w:rPr>
          <w:lang w:val="en-GB"/>
        </w:rPr>
      </w:pPr>
    </w:p>
    <w:p w:rsidRPr="00BF3585" w:rsidR="00C6083D" w:rsidP="00BF3585" w:rsidRDefault="00C6083D">
      <w:pPr>
        <w:pStyle w:val="JuList"/>
        <w:rPr>
          <w:lang w:val="en-GB"/>
        </w:rPr>
      </w:pPr>
      <w:r w:rsidRPr="00BF3585">
        <w:rPr>
          <w:lang w:val="en-GB"/>
        </w:rPr>
        <w:t>6.  </w:t>
      </w:r>
      <w:r w:rsidRPr="00BF3585">
        <w:rPr>
          <w:i/>
          <w:lang w:val="en-GB"/>
        </w:rPr>
        <w:t>Holds</w:t>
      </w:r>
      <w:r w:rsidRPr="00BF3585">
        <w:rPr>
          <w:lang w:val="en-GB"/>
        </w:rPr>
        <w:t xml:space="preserve"> that the above finding </w:t>
      </w:r>
      <w:r w:rsidRPr="00BF3585" w:rsidR="00B17470">
        <w:rPr>
          <w:lang w:val="en-GB"/>
        </w:rPr>
        <w:t xml:space="preserve">of a </w:t>
      </w:r>
      <w:r w:rsidRPr="00BF3585">
        <w:rPr>
          <w:lang w:val="en-GB"/>
        </w:rPr>
        <w:t xml:space="preserve">violation constitutes in itself sufficient just satisfaction in respect </w:t>
      </w:r>
      <w:r w:rsidRPr="00BF3585" w:rsidR="00B17470">
        <w:rPr>
          <w:lang w:val="en-GB"/>
        </w:rPr>
        <w:t xml:space="preserve">of </w:t>
      </w:r>
      <w:r w:rsidRPr="00BF3585">
        <w:rPr>
          <w:lang w:val="en-GB"/>
        </w:rPr>
        <w:t>any non-pecuniary damage sustained by the applicant;</w:t>
      </w:r>
    </w:p>
    <w:p w:rsidRPr="00BF3585" w:rsidR="00C6083D" w:rsidP="00BF3585" w:rsidRDefault="00C6083D">
      <w:pPr>
        <w:pStyle w:val="JuList"/>
        <w:rPr>
          <w:lang w:val="en-GB"/>
        </w:rPr>
      </w:pPr>
    </w:p>
    <w:p w:rsidRPr="00BF3585" w:rsidR="00C6083D" w:rsidP="00BF3585" w:rsidRDefault="00C6083D">
      <w:pPr>
        <w:pStyle w:val="JuList"/>
        <w:rPr>
          <w:lang w:val="en-GB"/>
        </w:rPr>
      </w:pPr>
      <w:r w:rsidRPr="00BF3585">
        <w:rPr>
          <w:lang w:val="en-GB"/>
        </w:rPr>
        <w:t>7.  </w:t>
      </w:r>
      <w:r w:rsidRPr="00BF3585">
        <w:rPr>
          <w:i/>
          <w:lang w:val="en-GB"/>
        </w:rPr>
        <w:t>Holds</w:t>
      </w:r>
    </w:p>
    <w:p w:rsidRPr="00BF3585" w:rsidR="00C6083D" w:rsidP="00BF3585" w:rsidRDefault="00C6083D">
      <w:pPr>
        <w:pStyle w:val="JuLista"/>
        <w:rPr>
          <w:lang w:val="en-GB"/>
        </w:rPr>
      </w:pPr>
      <w:r w:rsidRPr="00BF3585">
        <w:rPr>
          <w:lang w:val="en-GB"/>
        </w:rPr>
        <w:t xml:space="preserve">(a)  that the respondent State is to pay the applicant, within three months from the date on which the judgment becomes final in accordance with Article 44 § 2 </w:t>
      </w:r>
      <w:r w:rsidRPr="00BF3585" w:rsidR="00B17470">
        <w:rPr>
          <w:lang w:val="en-GB"/>
        </w:rPr>
        <w:t xml:space="preserve">of </w:t>
      </w:r>
      <w:r w:rsidRPr="00BF3585">
        <w:rPr>
          <w:lang w:val="en-GB"/>
        </w:rPr>
        <w:t xml:space="preserve">the Convention, EUR 732 (seven hundred and thirty-two euros) in respect </w:t>
      </w:r>
      <w:r w:rsidRPr="00BF3585" w:rsidR="00B17470">
        <w:rPr>
          <w:lang w:val="en-GB"/>
        </w:rPr>
        <w:t xml:space="preserve">of </w:t>
      </w:r>
      <w:r w:rsidRPr="00BF3585">
        <w:rPr>
          <w:lang w:val="en-GB"/>
        </w:rPr>
        <w:t>costs and expenses;</w:t>
      </w:r>
    </w:p>
    <w:p w:rsidRPr="00BF3585" w:rsidR="00C6083D" w:rsidP="00BF3585" w:rsidRDefault="00C6083D">
      <w:pPr>
        <w:pStyle w:val="JuLista"/>
        <w:rPr>
          <w:lang w:val="en-GB"/>
        </w:rPr>
      </w:pPr>
      <w:r w:rsidRPr="00BF3585">
        <w:rPr>
          <w:lang w:val="en-GB"/>
        </w:rPr>
        <w:t xml:space="preserve">(b)  that from the expiry </w:t>
      </w:r>
      <w:r w:rsidRPr="00BF3585" w:rsidR="00B17470">
        <w:rPr>
          <w:lang w:val="en-GB"/>
        </w:rPr>
        <w:t xml:space="preserve">of </w:t>
      </w:r>
      <w:r w:rsidRPr="00BF3585">
        <w:rPr>
          <w:lang w:val="en-GB"/>
        </w:rPr>
        <w:t xml:space="preserve">the above-mentioned three months until settlement simple interest shall be payable on the above amount at </w:t>
      </w:r>
      <w:r w:rsidRPr="00BF3585" w:rsidR="00B17470">
        <w:rPr>
          <w:lang w:val="en-GB"/>
        </w:rPr>
        <w:t xml:space="preserve">a </w:t>
      </w:r>
      <w:r w:rsidRPr="00BF3585">
        <w:rPr>
          <w:lang w:val="en-GB"/>
        </w:rPr>
        <w:t xml:space="preserve">rate equal to the marginal lending rate </w:t>
      </w:r>
      <w:r w:rsidRPr="00BF3585" w:rsidR="00B17470">
        <w:rPr>
          <w:lang w:val="en-GB"/>
        </w:rPr>
        <w:t xml:space="preserve">of </w:t>
      </w:r>
      <w:r w:rsidRPr="00BF3585">
        <w:rPr>
          <w:lang w:val="en-GB"/>
        </w:rPr>
        <w:t>the Europe</w:t>
      </w:r>
      <w:r w:rsidRPr="00BF3585" w:rsidR="00B17470">
        <w:rPr>
          <w:lang w:val="en-GB"/>
        </w:rPr>
        <w:t xml:space="preserve">an </w:t>
      </w:r>
      <w:r w:rsidRPr="00BF3585">
        <w:rPr>
          <w:lang w:val="en-GB"/>
        </w:rPr>
        <w:t>Central Bank during the default period plus three percentage points;</w:t>
      </w:r>
    </w:p>
    <w:p w:rsidRPr="00BF3585" w:rsidR="00C6083D" w:rsidP="00BF3585" w:rsidRDefault="00C6083D">
      <w:pPr>
        <w:pStyle w:val="JuList"/>
        <w:rPr>
          <w:lang w:val="en-GB"/>
        </w:rPr>
      </w:pPr>
    </w:p>
    <w:p w:rsidRPr="00BF3585" w:rsidR="00C6083D" w:rsidP="00BF3585" w:rsidRDefault="00C6083D">
      <w:pPr>
        <w:pStyle w:val="JuList"/>
        <w:rPr>
          <w:lang w:val="en-GB"/>
        </w:rPr>
      </w:pPr>
      <w:r w:rsidRPr="00BF3585">
        <w:rPr>
          <w:lang w:val="en-GB"/>
        </w:rPr>
        <w:t>8.  </w:t>
      </w:r>
      <w:r w:rsidRPr="00BF3585">
        <w:rPr>
          <w:i/>
          <w:lang w:val="en-GB"/>
        </w:rPr>
        <w:t>Dismisses</w:t>
      </w:r>
      <w:r w:rsidRPr="00BF3585">
        <w:rPr>
          <w:lang w:val="en-GB"/>
        </w:rPr>
        <w:t xml:space="preserve"> the remainder </w:t>
      </w:r>
      <w:r w:rsidRPr="00BF3585" w:rsidR="00B17470">
        <w:rPr>
          <w:lang w:val="en-GB"/>
        </w:rPr>
        <w:t xml:space="preserve">of </w:t>
      </w:r>
      <w:r w:rsidRPr="00BF3585">
        <w:rPr>
          <w:lang w:val="en-GB"/>
        </w:rPr>
        <w:t>the applicant</w:t>
      </w:r>
      <w:r w:rsidRPr="00BF3585" w:rsidR="00BF3585">
        <w:rPr>
          <w:lang w:val="en-GB"/>
        </w:rPr>
        <w:t>’</w:t>
      </w:r>
      <w:r w:rsidRPr="00BF3585">
        <w:rPr>
          <w:lang w:val="en-GB"/>
        </w:rPr>
        <w:t>s claim for just satisfaction.</w:t>
      </w:r>
    </w:p>
    <w:p w:rsidRPr="00BF3585" w:rsidR="00C6083D" w:rsidP="00BF3585" w:rsidRDefault="00C6083D">
      <w:pPr>
        <w:pStyle w:val="JuParaLast"/>
        <w:rPr>
          <w:lang w:val="en-GB"/>
        </w:rPr>
      </w:pPr>
      <w:r w:rsidRPr="00BF3585">
        <w:rPr>
          <w:lang w:val="en-GB"/>
        </w:rPr>
        <w:t xml:space="preserve">Done in English, and notified in writing on 25 July 2017, pursuant to Rule 77 §§ 2 and 3 </w:t>
      </w:r>
      <w:r w:rsidRPr="00BF3585" w:rsidR="00B17470">
        <w:rPr>
          <w:lang w:val="en-GB"/>
        </w:rPr>
        <w:t xml:space="preserve">of </w:t>
      </w:r>
      <w:r w:rsidRPr="00BF3585">
        <w:rPr>
          <w:lang w:val="en-GB"/>
        </w:rPr>
        <w:t xml:space="preserve">the Rules </w:t>
      </w:r>
      <w:r w:rsidRPr="00BF3585" w:rsidR="00B17470">
        <w:rPr>
          <w:lang w:val="en-GB"/>
        </w:rPr>
        <w:t xml:space="preserve">of </w:t>
      </w:r>
      <w:r w:rsidRPr="00BF3585">
        <w:rPr>
          <w:lang w:val="en-GB"/>
        </w:rPr>
        <w:t>Court.</w:t>
      </w:r>
    </w:p>
    <w:p w:rsidRPr="00BF3585" w:rsidR="00EB447C" w:rsidP="00BF3585" w:rsidRDefault="00C6083D">
      <w:pPr>
        <w:pStyle w:val="JuSigned"/>
        <w:rPr>
          <w:lang w:val="en-GB"/>
        </w:rPr>
      </w:pPr>
      <w:r w:rsidRPr="00BF3585">
        <w:rPr>
          <w:lang w:val="en-GB"/>
        </w:rPr>
        <w:tab/>
        <w:t>Fato</w:t>
      </w:r>
      <w:r w:rsidRPr="00BF3585">
        <w:rPr>
          <w:rFonts w:cstheme="minorHAnsi"/>
          <w:lang w:val="en-GB"/>
        </w:rPr>
        <w:t>ş</w:t>
      </w:r>
      <w:r w:rsidRPr="00BF3585">
        <w:rPr>
          <w:lang w:val="en-GB"/>
        </w:rPr>
        <w:t xml:space="preserve"> Arac</w:t>
      </w:r>
      <w:r w:rsidRPr="00BF3585">
        <w:rPr>
          <w:rFonts w:cstheme="minorHAnsi"/>
          <w:lang w:val="en-GB"/>
        </w:rPr>
        <w:t>ı</w:t>
      </w:r>
      <w:r w:rsidRPr="00BF3585">
        <w:rPr>
          <w:lang w:val="en-GB"/>
        </w:rPr>
        <w:tab/>
      </w:r>
      <w:r w:rsidRPr="00BF3585">
        <w:rPr>
          <w:szCs w:val="24"/>
          <w:lang w:val="en-GB"/>
        </w:rPr>
        <w:t>Helen</w:t>
      </w:r>
      <w:r w:rsidRPr="00BF3585" w:rsidR="00B17470">
        <w:rPr>
          <w:szCs w:val="24"/>
          <w:lang w:val="en-GB"/>
        </w:rPr>
        <w:t xml:space="preserve">a </w:t>
      </w:r>
      <w:r w:rsidRPr="00BF3585">
        <w:t>Jäderblom</w:t>
      </w:r>
      <w:r w:rsidRPr="00BF3585" w:rsidDel="00FC642F">
        <w:rPr>
          <w:szCs w:val="24"/>
          <w:lang w:val="en-GB"/>
        </w:rPr>
        <w:t xml:space="preserve"> </w:t>
      </w:r>
      <w:r w:rsidRPr="00BF3585">
        <w:rPr>
          <w:szCs w:val="24"/>
          <w:lang w:val="en-GB"/>
        </w:rPr>
        <w:br/>
      </w:r>
      <w:r w:rsidRPr="00BF3585">
        <w:rPr>
          <w:lang w:val="en-GB"/>
        </w:rPr>
        <w:tab/>
        <w:t xml:space="preserve">Deputy </w:t>
      </w:r>
      <w:r w:rsidRPr="00BF3585">
        <w:rPr>
          <w:iCs/>
          <w:lang w:val="en-GB"/>
        </w:rPr>
        <w:t>Registrar</w:t>
      </w:r>
      <w:r w:rsidRPr="00BF3585">
        <w:rPr>
          <w:lang w:val="en-GB"/>
        </w:rPr>
        <w:tab/>
        <w:t>President</w:t>
      </w:r>
    </w:p>
    <w:sectPr w:rsidRPr="00BF3585" w:rsidR="00EB447C" w:rsidSect="000B7195">
      <w:headerReference w:type="even" r:id="rId11"/>
      <w:headerReference w:type="default" r:id="rId12"/>
      <w:footerReference w:type="even" r:id="rId13"/>
      <w:footerReference w:type="default" r:id="rId14"/>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9E0" w:rsidRPr="008D5A13" w:rsidRDefault="005979E0" w:rsidP="0098410D">
      <w:pPr>
        <w:rPr>
          <w:lang w:val="en-GB"/>
        </w:rPr>
      </w:pPr>
      <w:r w:rsidRPr="008D5A13">
        <w:rPr>
          <w:lang w:val="en-GB"/>
        </w:rPr>
        <w:separator/>
      </w:r>
    </w:p>
  </w:endnote>
  <w:endnote w:type="continuationSeparator" w:id="0">
    <w:p w:rsidR="005979E0" w:rsidRPr="008D5A13" w:rsidRDefault="005979E0" w:rsidP="0098410D">
      <w:pPr>
        <w:rPr>
          <w:lang w:val="en-GB"/>
        </w:rPr>
      </w:pPr>
      <w:r w:rsidRPr="008D5A13">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E0" w:rsidRPr="00150BFA" w:rsidRDefault="005979E0" w:rsidP="00EF7F18">
    <w:pPr>
      <w:jc w:val="center"/>
    </w:pPr>
    <w:r>
      <w:rPr>
        <w:noProof/>
        <w:lang w:eastAsia="ja-JP"/>
      </w:rPr>
      <w:drawing>
        <wp:inline distT="0" distB="0" distL="0" distR="0" wp14:anchorId="41A4FB52" wp14:editId="714A54B9">
          <wp:extent cx="771525" cy="619125"/>
          <wp:effectExtent l="0" t="0" r="9525" b="9525"/>
          <wp:docPr id="7" name="Picture 7"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5979E0" w:rsidRPr="008D5A13" w:rsidRDefault="005979E0" w:rsidP="00EF7F18">
    <w:pPr>
      <w:pStyle w:val="Footer"/>
      <w:jc w:val="center"/>
      <w:rPr>
        <w:sz w:val="4"/>
        <w:szCs w:val="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E0" w:rsidRDefault="005979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E0" w:rsidRPr="000B7195" w:rsidRDefault="005979E0" w:rsidP="00EF7F18">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9E0" w:rsidRPr="008D5A13" w:rsidRDefault="005979E0" w:rsidP="0098410D">
      <w:pPr>
        <w:rPr>
          <w:lang w:val="en-GB"/>
        </w:rPr>
      </w:pPr>
      <w:r w:rsidRPr="008D5A13">
        <w:rPr>
          <w:lang w:val="en-GB"/>
        </w:rPr>
        <w:separator/>
      </w:r>
    </w:p>
  </w:footnote>
  <w:footnote w:type="continuationSeparator" w:id="0">
    <w:p w:rsidR="005979E0" w:rsidRPr="008D5A13" w:rsidRDefault="005979E0" w:rsidP="0098410D">
      <w:pPr>
        <w:rPr>
          <w:lang w:val="en-GB"/>
        </w:rPr>
      </w:pPr>
      <w:r w:rsidRPr="008D5A13">
        <w:rPr>
          <w:lang w:val="en-GB"/>
        </w:rPr>
        <w:continuationSeparator/>
      </w:r>
    </w:p>
  </w:footnote>
  <w:footnote w:id="1">
    <w:p w:rsidR="005979E0" w:rsidRPr="00F8018F" w:rsidRDefault="005979E0" w:rsidP="00C6083D">
      <w:pPr>
        <w:pStyle w:val="FootnoteText"/>
        <w:rPr>
          <w:lang w:val="en-GB"/>
        </w:rPr>
      </w:pPr>
      <w:r>
        <w:rPr>
          <w:rStyle w:val="FootnoteReference"/>
        </w:rPr>
        <w:footnoteRef/>
      </w:r>
      <w:r>
        <w:t xml:space="preserve"> </w:t>
      </w:r>
      <w:r>
        <w:rPr>
          <w:lang w:val="en-GB"/>
        </w:rPr>
        <w:t>In English in the original.</w:t>
      </w:r>
    </w:p>
  </w:footnote>
  <w:footnote w:id="2">
    <w:p w:rsidR="005979E0" w:rsidRPr="00F05865" w:rsidRDefault="005979E0" w:rsidP="00C6083D">
      <w:pPr>
        <w:pStyle w:val="FootnoteText"/>
        <w:rPr>
          <w:lang w:val="en-GB"/>
        </w:rPr>
      </w:pPr>
      <w:r>
        <w:rPr>
          <w:rStyle w:val="FootnoteReference"/>
        </w:rPr>
        <w:footnoteRef/>
      </w:r>
      <w:r>
        <w:t xml:space="preserve"> </w:t>
      </w:r>
      <w:r>
        <w:rPr>
          <w:lang w:val="en-GB"/>
        </w:rPr>
        <w:t>Emendation by the Court.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E0" w:rsidRPr="00A45145" w:rsidRDefault="005979E0" w:rsidP="00EF7F18">
    <w:pPr>
      <w:jc w:val="center"/>
    </w:pPr>
    <w:r>
      <w:rPr>
        <w:noProof/>
        <w:lang w:eastAsia="ja-JP"/>
      </w:rPr>
      <w:drawing>
        <wp:inline distT="0" distB="0" distL="0" distR="0" wp14:anchorId="60136B67" wp14:editId="640C299B">
          <wp:extent cx="2962275" cy="1219200"/>
          <wp:effectExtent l="0" t="0" r="9525" b="0"/>
          <wp:docPr id="6" name="Picture 6"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5979E0" w:rsidRPr="008D5A13" w:rsidRDefault="005979E0" w:rsidP="00EF7F18">
    <w:pPr>
      <w:jc w:val="center"/>
      <w:rPr>
        <w:sz w:val="4"/>
        <w:szCs w:val="4"/>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E0" w:rsidRPr="00A45145" w:rsidRDefault="005979E0" w:rsidP="00EF7F18">
    <w:pPr>
      <w:jc w:val="center"/>
    </w:pPr>
    <w:r>
      <w:rPr>
        <w:noProof/>
        <w:lang w:eastAsia="ja-JP"/>
      </w:rPr>
      <w:drawing>
        <wp:inline distT="0" distB="0" distL="0" distR="0" wp14:anchorId="4BA1388A" wp14:editId="0302DF3A">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5979E0" w:rsidRPr="008D5A13" w:rsidRDefault="005979E0">
    <w:pPr>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E0" w:rsidRPr="004D0EC7" w:rsidRDefault="005979E0" w:rsidP="004D0EC7">
    <w:pPr>
      <w:pStyle w:val="ECHRHeader"/>
      <w:rPr>
        <w:lang w:val="en-GB"/>
      </w:rPr>
    </w:pPr>
    <w:r>
      <w:rPr>
        <w:rStyle w:val="PageNumber"/>
        <w:lang w:val="en-GB"/>
      </w:rPr>
      <w:fldChar w:fldCharType="begin"/>
    </w:r>
    <w:r>
      <w:rPr>
        <w:rStyle w:val="PageNumber"/>
        <w:lang w:val="en-GB"/>
      </w:rPr>
      <w:instrText xml:space="preserve"> PAGE </w:instrText>
    </w:r>
    <w:r>
      <w:rPr>
        <w:rStyle w:val="PageNumber"/>
        <w:lang w:val="en-GB"/>
      </w:rPr>
      <w:fldChar w:fldCharType="separate"/>
    </w:r>
    <w:r w:rsidR="00BF3585">
      <w:rPr>
        <w:rStyle w:val="PageNumber"/>
        <w:noProof/>
        <w:lang w:val="en-GB"/>
      </w:rPr>
      <w:t>16</w:t>
    </w:r>
    <w:r>
      <w:rPr>
        <w:rStyle w:val="PageNumber"/>
        <w:lang w:val="en-GB"/>
      </w:rPr>
      <w:fldChar w:fldCharType="end"/>
    </w:r>
    <w:r w:rsidRPr="004D0EC7">
      <w:rPr>
        <w:lang w:val="en-GB"/>
      </w:rPr>
      <w:tab/>
    </w:r>
    <w:r>
      <w:rPr>
        <w:lang w:val="en-GB"/>
      </w:rPr>
      <w:t>M v. THE NETHERLANDS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E0" w:rsidRPr="00882CD5" w:rsidRDefault="005979E0" w:rsidP="00882CD5">
    <w:pPr>
      <w:pStyle w:val="ECHRHeader"/>
      <w:rPr>
        <w:lang w:val="en-GB"/>
      </w:rPr>
    </w:pPr>
    <w:r w:rsidRPr="00882CD5">
      <w:rPr>
        <w:lang w:val="en-GB"/>
      </w:rPr>
      <w:tab/>
    </w:r>
    <w:r>
      <w:rPr>
        <w:lang w:val="en-GB"/>
      </w:rPr>
      <w:t>M v. THE NETHERLANDS</w:t>
    </w:r>
    <w:r w:rsidRPr="00882CD5">
      <w:rPr>
        <w:lang w:val="en-GB"/>
      </w:rPr>
      <w:t xml:space="preserve"> JUDGMENT</w:t>
    </w:r>
    <w:r w:rsidRPr="00882CD5">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BF3585">
      <w:rPr>
        <w:rStyle w:val="PageNumber"/>
        <w:noProof/>
        <w:lang w:val="en-GB"/>
      </w:rPr>
      <w:t>17</w:t>
    </w:r>
    <w:r>
      <w:rPr>
        <w:rStyle w:val="PageNumbe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67019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283F3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F369A7C"/>
    <w:lvl w:ilvl="0">
      <w:start w:val="1"/>
      <w:numFmt w:val="decimal"/>
      <w:pStyle w:val="ListNumber3"/>
      <w:lvlText w:val="%1."/>
      <w:lvlJc w:val="left"/>
      <w:pPr>
        <w:tabs>
          <w:tab w:val="num" w:pos="926"/>
        </w:tabs>
        <w:ind w:left="926" w:hanging="360"/>
      </w:pPr>
    </w:lvl>
  </w:abstractNum>
  <w:abstractNum w:abstractNumId="3">
    <w:nsid w:val="FFFFFF7F"/>
    <w:multiLevelType w:val="singleLevel"/>
    <w:tmpl w:val="3346880A"/>
    <w:lvl w:ilvl="0">
      <w:start w:val="1"/>
      <w:numFmt w:val="decimal"/>
      <w:pStyle w:val="ListNumber2"/>
      <w:lvlText w:val="%1."/>
      <w:lvlJc w:val="left"/>
      <w:pPr>
        <w:tabs>
          <w:tab w:val="num" w:pos="643"/>
        </w:tabs>
        <w:ind w:left="643" w:hanging="360"/>
      </w:pPr>
    </w:lvl>
  </w:abstractNum>
  <w:abstractNum w:abstractNumId="4">
    <w:nsid w:val="FFFFFF80"/>
    <w:multiLevelType w:val="singleLevel"/>
    <w:tmpl w:val="552A83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85AC8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7486F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A528BA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66C20B0"/>
    <w:lvl w:ilvl="0">
      <w:start w:val="1"/>
      <w:numFmt w:val="decimal"/>
      <w:pStyle w:val="ListNumber"/>
      <w:lvlText w:val="%1."/>
      <w:lvlJc w:val="left"/>
      <w:pPr>
        <w:tabs>
          <w:tab w:val="num" w:pos="360"/>
        </w:tabs>
        <w:ind w:left="360" w:hanging="360"/>
      </w:pPr>
    </w:lvl>
  </w:abstractNum>
  <w:abstractNum w:abstractNumId="9">
    <w:nsid w:val="072C5BA8"/>
    <w:multiLevelType w:val="hybridMultilevel"/>
    <w:tmpl w:val="C07A7EE0"/>
    <w:lvl w:ilvl="0" w:tplc="722C86C8">
      <w:start w:val="1"/>
      <w:numFmt w:val="decimal"/>
      <w:lvlText w:val="%1."/>
      <w:lvlJc w:val="left"/>
      <w:pPr>
        <w:ind w:left="1235" w:hanging="525"/>
      </w:pPr>
      <w:rPr>
        <w:rFonts w:hint="default"/>
      </w:rPr>
    </w:lvl>
    <w:lvl w:ilvl="1" w:tplc="C03C714C">
      <w:start w:val="1"/>
      <w:numFmt w:val="bullet"/>
      <w:lvlText w:val="•"/>
      <w:lvlJc w:val="left"/>
      <w:pPr>
        <w:ind w:left="1723" w:hanging="435"/>
      </w:pPr>
      <w:rPr>
        <w:rFonts w:ascii="Times New Roman" w:eastAsiaTheme="minorEastAsia" w:hAnsi="Times New Roman" w:cs="Times New Roman" w:hint="default"/>
      </w:r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0">
    <w:nsid w:val="0C641157"/>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1">
    <w:nsid w:val="1AA96CEA"/>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D27094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88D47DE"/>
    <w:multiLevelType w:val="multilevel"/>
    <w:tmpl w:val="8012C870"/>
    <w:lvl w:ilvl="0">
      <w:start w:val="1"/>
      <w:numFmt w:val="decimal"/>
      <w:lvlText w:val="%1."/>
      <w:lvlJc w:val="left"/>
      <w:pPr>
        <w:ind w:left="992"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0B939E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B115EA"/>
    <w:multiLevelType w:val="hybridMultilevel"/>
    <w:tmpl w:val="B8AAE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992A86"/>
    <w:multiLevelType w:val="hybridMultilevel"/>
    <w:tmpl w:val="B91CF344"/>
    <w:lvl w:ilvl="0" w:tplc="2AA66C7A">
      <w:start w:val="1"/>
      <w:numFmt w:val="decimal"/>
      <w:lvlText w:val="%1."/>
      <w:lvlJc w:val="left"/>
      <w:pPr>
        <w:ind w:left="1288" w:hanging="72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nsid w:val="65B7736D"/>
    <w:multiLevelType w:val="hybridMultilevel"/>
    <w:tmpl w:val="B91CF344"/>
    <w:lvl w:ilvl="0" w:tplc="2AA66C7A">
      <w:start w:val="1"/>
      <w:numFmt w:val="decimal"/>
      <w:lvlText w:val="%1."/>
      <w:lvlJc w:val="left"/>
      <w:pPr>
        <w:ind w:left="1288" w:hanging="72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9">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7C970851"/>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num w:numId="1">
    <w:abstractNumId w:val="13"/>
  </w:num>
  <w:num w:numId="2">
    <w:abstractNumId w:val="2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0"/>
  </w:num>
  <w:num w:numId="6">
    <w:abstractNumId w:val="20"/>
  </w:num>
  <w:num w:numId="7">
    <w:abstractNumId w:val="10"/>
  </w:num>
  <w:num w:numId="8">
    <w:abstractNumId w:val="6"/>
  </w:num>
  <w:num w:numId="9">
    <w:abstractNumId w:val="18"/>
  </w:num>
  <w:num w:numId="10">
    <w:abstractNumId w:val="14"/>
  </w:num>
  <w:num w:numId="11">
    <w:abstractNumId w:val="12"/>
  </w:num>
  <w:num w:numId="12">
    <w:abstractNumId w:val="11"/>
  </w:num>
  <w:num w:numId="13">
    <w:abstractNumId w:val="7"/>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9"/>
  </w:num>
  <w:num w:numId="22">
    <w:abstractNumId w:val="17"/>
  </w:num>
  <w:num w:numId="23">
    <w:abstractNumId w:val="15"/>
  </w:num>
  <w:num w:numId="24">
    <w:abstractNumId w:val="9"/>
  </w:num>
  <w:num w:numId="25">
    <w:abstractNumId w:val="16"/>
  </w:num>
  <w:num w:numId="26">
    <w:abstractNumId w:val="19"/>
  </w:num>
  <w:num w:numId="27">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16385"/>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MM" w:val="0"/>
    <w:docVar w:name="NBEMMDOC" w:val="0"/>
  </w:docVars>
  <w:rsids>
    <w:rsidRoot w:val="003576DF"/>
    <w:rsid w:val="000041F8"/>
    <w:rsid w:val="000042A8"/>
    <w:rsid w:val="00004308"/>
    <w:rsid w:val="00005BF0"/>
    <w:rsid w:val="00007154"/>
    <w:rsid w:val="000103AE"/>
    <w:rsid w:val="00011D69"/>
    <w:rsid w:val="00012AD3"/>
    <w:rsid w:val="00015C2D"/>
    <w:rsid w:val="00015F00"/>
    <w:rsid w:val="00022C1D"/>
    <w:rsid w:val="00034987"/>
    <w:rsid w:val="000602DF"/>
    <w:rsid w:val="00061B05"/>
    <w:rsid w:val="000632D5"/>
    <w:rsid w:val="000644EE"/>
    <w:rsid w:val="000925AD"/>
    <w:rsid w:val="000A24EB"/>
    <w:rsid w:val="000B6923"/>
    <w:rsid w:val="000B7195"/>
    <w:rsid w:val="000C5F3C"/>
    <w:rsid w:val="000C6DCC"/>
    <w:rsid w:val="000D47AA"/>
    <w:rsid w:val="000D721F"/>
    <w:rsid w:val="000E069B"/>
    <w:rsid w:val="000E0B7C"/>
    <w:rsid w:val="000E0E82"/>
    <w:rsid w:val="000E1DC5"/>
    <w:rsid w:val="000E223F"/>
    <w:rsid w:val="000E7D45"/>
    <w:rsid w:val="000F7851"/>
    <w:rsid w:val="00101505"/>
    <w:rsid w:val="00104E23"/>
    <w:rsid w:val="00110DA8"/>
    <w:rsid w:val="00111B0C"/>
    <w:rsid w:val="00120D6C"/>
    <w:rsid w:val="001257EC"/>
    <w:rsid w:val="00133D33"/>
    <w:rsid w:val="00134D64"/>
    <w:rsid w:val="00135A30"/>
    <w:rsid w:val="0013612C"/>
    <w:rsid w:val="00137FF6"/>
    <w:rsid w:val="00141650"/>
    <w:rsid w:val="00162A12"/>
    <w:rsid w:val="00166530"/>
    <w:rsid w:val="001832BD"/>
    <w:rsid w:val="001943B5"/>
    <w:rsid w:val="00195134"/>
    <w:rsid w:val="001A145B"/>
    <w:rsid w:val="001A674C"/>
    <w:rsid w:val="001B3B24"/>
    <w:rsid w:val="001C0F98"/>
    <w:rsid w:val="001C2A42"/>
    <w:rsid w:val="001D5873"/>
    <w:rsid w:val="001D63ED"/>
    <w:rsid w:val="001D7348"/>
    <w:rsid w:val="001E035B"/>
    <w:rsid w:val="001E0961"/>
    <w:rsid w:val="001E3EAE"/>
    <w:rsid w:val="001E6F32"/>
    <w:rsid w:val="001F2145"/>
    <w:rsid w:val="001F6262"/>
    <w:rsid w:val="001F67B0"/>
    <w:rsid w:val="001F7B3D"/>
    <w:rsid w:val="00205F9F"/>
    <w:rsid w:val="00210338"/>
    <w:rsid w:val="002115FC"/>
    <w:rsid w:val="0021423C"/>
    <w:rsid w:val="00230D00"/>
    <w:rsid w:val="00231DF7"/>
    <w:rsid w:val="00231FD1"/>
    <w:rsid w:val="002339E0"/>
    <w:rsid w:val="00233CF8"/>
    <w:rsid w:val="0023575D"/>
    <w:rsid w:val="00237148"/>
    <w:rsid w:val="0024222D"/>
    <w:rsid w:val="002422B6"/>
    <w:rsid w:val="00244B0E"/>
    <w:rsid w:val="00244F6C"/>
    <w:rsid w:val="002532C5"/>
    <w:rsid w:val="00260C03"/>
    <w:rsid w:val="0026540E"/>
    <w:rsid w:val="00275123"/>
    <w:rsid w:val="00282240"/>
    <w:rsid w:val="00287AD5"/>
    <w:rsid w:val="002948AD"/>
    <w:rsid w:val="002A01CC"/>
    <w:rsid w:val="002A61B1"/>
    <w:rsid w:val="002A663C"/>
    <w:rsid w:val="002B444B"/>
    <w:rsid w:val="002B5887"/>
    <w:rsid w:val="002C0E27"/>
    <w:rsid w:val="002C3040"/>
    <w:rsid w:val="002C4433"/>
    <w:rsid w:val="002D022D"/>
    <w:rsid w:val="002D24BB"/>
    <w:rsid w:val="002E46DA"/>
    <w:rsid w:val="002F2AF7"/>
    <w:rsid w:val="002F7E1C"/>
    <w:rsid w:val="00301A75"/>
    <w:rsid w:val="00302F70"/>
    <w:rsid w:val="0030336F"/>
    <w:rsid w:val="0030375E"/>
    <w:rsid w:val="00312A30"/>
    <w:rsid w:val="00320F72"/>
    <w:rsid w:val="0032463E"/>
    <w:rsid w:val="00326224"/>
    <w:rsid w:val="003336F4"/>
    <w:rsid w:val="00337EE4"/>
    <w:rsid w:val="00340FFD"/>
    <w:rsid w:val="00345C41"/>
    <w:rsid w:val="003506B1"/>
    <w:rsid w:val="00356AC7"/>
    <w:rsid w:val="003576DF"/>
    <w:rsid w:val="003609FA"/>
    <w:rsid w:val="003710C8"/>
    <w:rsid w:val="003750BE"/>
    <w:rsid w:val="00387B9D"/>
    <w:rsid w:val="0039364F"/>
    <w:rsid w:val="00396686"/>
    <w:rsid w:val="0039778E"/>
    <w:rsid w:val="003A16D3"/>
    <w:rsid w:val="003B4941"/>
    <w:rsid w:val="003C5714"/>
    <w:rsid w:val="003C6B9F"/>
    <w:rsid w:val="003C6E2A"/>
    <w:rsid w:val="003D0299"/>
    <w:rsid w:val="003E6D80"/>
    <w:rsid w:val="003F05FA"/>
    <w:rsid w:val="003F244A"/>
    <w:rsid w:val="003F30B8"/>
    <w:rsid w:val="003F4C45"/>
    <w:rsid w:val="003F5F7B"/>
    <w:rsid w:val="003F7D64"/>
    <w:rsid w:val="00414300"/>
    <w:rsid w:val="00420703"/>
    <w:rsid w:val="00425C67"/>
    <w:rsid w:val="00427E7A"/>
    <w:rsid w:val="00436C49"/>
    <w:rsid w:val="00445366"/>
    <w:rsid w:val="00447F5B"/>
    <w:rsid w:val="00461DB0"/>
    <w:rsid w:val="00463926"/>
    <w:rsid w:val="00464C9A"/>
    <w:rsid w:val="00474F3D"/>
    <w:rsid w:val="00477E3A"/>
    <w:rsid w:val="00483E5F"/>
    <w:rsid w:val="00485FF9"/>
    <w:rsid w:val="004907F0"/>
    <w:rsid w:val="0049140B"/>
    <w:rsid w:val="004923A5"/>
    <w:rsid w:val="00496BFB"/>
    <w:rsid w:val="004A15C7"/>
    <w:rsid w:val="004B013B"/>
    <w:rsid w:val="004B112B"/>
    <w:rsid w:val="004C01E4"/>
    <w:rsid w:val="004C086C"/>
    <w:rsid w:val="004C1F56"/>
    <w:rsid w:val="004C27BC"/>
    <w:rsid w:val="004D0EC7"/>
    <w:rsid w:val="004D15F3"/>
    <w:rsid w:val="004D5311"/>
    <w:rsid w:val="004D5DCC"/>
    <w:rsid w:val="004D7E45"/>
    <w:rsid w:val="004F10AF"/>
    <w:rsid w:val="004F11A4"/>
    <w:rsid w:val="004F2389"/>
    <w:rsid w:val="004F304D"/>
    <w:rsid w:val="004F61BE"/>
    <w:rsid w:val="004F66B1"/>
    <w:rsid w:val="00511C07"/>
    <w:rsid w:val="005173A6"/>
    <w:rsid w:val="00520BAA"/>
    <w:rsid w:val="005217D8"/>
    <w:rsid w:val="00525208"/>
    <w:rsid w:val="005257A5"/>
    <w:rsid w:val="005264C0"/>
    <w:rsid w:val="00526A8A"/>
    <w:rsid w:val="00531DF2"/>
    <w:rsid w:val="00537476"/>
    <w:rsid w:val="005442EE"/>
    <w:rsid w:val="00545DA6"/>
    <w:rsid w:val="00547353"/>
    <w:rsid w:val="005474E7"/>
    <w:rsid w:val="005512A3"/>
    <w:rsid w:val="005578CE"/>
    <w:rsid w:val="00562781"/>
    <w:rsid w:val="00562B6C"/>
    <w:rsid w:val="0057271C"/>
    <w:rsid w:val="00572845"/>
    <w:rsid w:val="00592772"/>
    <w:rsid w:val="0059574A"/>
    <w:rsid w:val="005979E0"/>
    <w:rsid w:val="005A1B9B"/>
    <w:rsid w:val="005A6751"/>
    <w:rsid w:val="005B092E"/>
    <w:rsid w:val="005B152C"/>
    <w:rsid w:val="005B1EE0"/>
    <w:rsid w:val="005B2B24"/>
    <w:rsid w:val="005B4425"/>
    <w:rsid w:val="005B4B94"/>
    <w:rsid w:val="005C3EE8"/>
    <w:rsid w:val="005D34F9"/>
    <w:rsid w:val="005D4190"/>
    <w:rsid w:val="005D67A3"/>
    <w:rsid w:val="005E2988"/>
    <w:rsid w:val="005E3085"/>
    <w:rsid w:val="005F51E1"/>
    <w:rsid w:val="00611C80"/>
    <w:rsid w:val="00620692"/>
    <w:rsid w:val="006242CA"/>
    <w:rsid w:val="0062435B"/>
    <w:rsid w:val="00627507"/>
    <w:rsid w:val="00633717"/>
    <w:rsid w:val="006344E1"/>
    <w:rsid w:val="0064393B"/>
    <w:rsid w:val="006545C4"/>
    <w:rsid w:val="00661971"/>
    <w:rsid w:val="00661CE8"/>
    <w:rsid w:val="006623D9"/>
    <w:rsid w:val="0066550C"/>
    <w:rsid w:val="006716F2"/>
    <w:rsid w:val="0068253A"/>
    <w:rsid w:val="00682BF2"/>
    <w:rsid w:val="006859CE"/>
    <w:rsid w:val="00691270"/>
    <w:rsid w:val="00694BA8"/>
    <w:rsid w:val="006A037C"/>
    <w:rsid w:val="006A36F4"/>
    <w:rsid w:val="006A406F"/>
    <w:rsid w:val="006A5D3A"/>
    <w:rsid w:val="006B2933"/>
    <w:rsid w:val="006C23D4"/>
    <w:rsid w:val="006C7BB0"/>
    <w:rsid w:val="006D3237"/>
    <w:rsid w:val="006E2E37"/>
    <w:rsid w:val="006E3CF1"/>
    <w:rsid w:val="006E7E80"/>
    <w:rsid w:val="006F0C90"/>
    <w:rsid w:val="006F48CA"/>
    <w:rsid w:val="006F64DD"/>
    <w:rsid w:val="006F712D"/>
    <w:rsid w:val="00715127"/>
    <w:rsid w:val="00715E8E"/>
    <w:rsid w:val="00723580"/>
    <w:rsid w:val="00723755"/>
    <w:rsid w:val="0073136C"/>
    <w:rsid w:val="00731F0F"/>
    <w:rsid w:val="00733250"/>
    <w:rsid w:val="00741404"/>
    <w:rsid w:val="007449E5"/>
    <w:rsid w:val="0074750E"/>
    <w:rsid w:val="00747FF0"/>
    <w:rsid w:val="00764D4E"/>
    <w:rsid w:val="00765A1F"/>
    <w:rsid w:val="00775B6D"/>
    <w:rsid w:val="00776D68"/>
    <w:rsid w:val="007850EE"/>
    <w:rsid w:val="00785B95"/>
    <w:rsid w:val="00790E96"/>
    <w:rsid w:val="00793366"/>
    <w:rsid w:val="007A716F"/>
    <w:rsid w:val="007B270A"/>
    <w:rsid w:val="007C0695"/>
    <w:rsid w:val="007C419A"/>
    <w:rsid w:val="007C4CC8"/>
    <w:rsid w:val="007C5426"/>
    <w:rsid w:val="007C5798"/>
    <w:rsid w:val="007D4832"/>
    <w:rsid w:val="007E21B2"/>
    <w:rsid w:val="007E2C4E"/>
    <w:rsid w:val="007F1905"/>
    <w:rsid w:val="00802C64"/>
    <w:rsid w:val="00805E52"/>
    <w:rsid w:val="008061D0"/>
    <w:rsid w:val="00807DD3"/>
    <w:rsid w:val="00810B38"/>
    <w:rsid w:val="008204C7"/>
    <w:rsid w:val="00820992"/>
    <w:rsid w:val="00823602"/>
    <w:rsid w:val="008255F5"/>
    <w:rsid w:val="0083014E"/>
    <w:rsid w:val="0083214A"/>
    <w:rsid w:val="00834220"/>
    <w:rsid w:val="00845723"/>
    <w:rsid w:val="00851EF9"/>
    <w:rsid w:val="008577FD"/>
    <w:rsid w:val="00860B03"/>
    <w:rsid w:val="0086497A"/>
    <w:rsid w:val="008713A1"/>
    <w:rsid w:val="008754AB"/>
    <w:rsid w:val="0088060C"/>
    <w:rsid w:val="00882CD5"/>
    <w:rsid w:val="008908BC"/>
    <w:rsid w:val="00893576"/>
    <w:rsid w:val="00893E73"/>
    <w:rsid w:val="008B02DC"/>
    <w:rsid w:val="008B57CE"/>
    <w:rsid w:val="008C26DE"/>
    <w:rsid w:val="008D2225"/>
    <w:rsid w:val="008D4752"/>
    <w:rsid w:val="008D5A13"/>
    <w:rsid w:val="008E271C"/>
    <w:rsid w:val="008E3A08"/>
    <w:rsid w:val="008E418E"/>
    <w:rsid w:val="008E5BC6"/>
    <w:rsid w:val="008E6A25"/>
    <w:rsid w:val="008F3AEC"/>
    <w:rsid w:val="008F5193"/>
    <w:rsid w:val="008F6B36"/>
    <w:rsid w:val="009013A7"/>
    <w:rsid w:val="009017FB"/>
    <w:rsid w:val="009017FC"/>
    <w:rsid w:val="0090498D"/>
    <w:rsid w:val="0090506B"/>
    <w:rsid w:val="009050C9"/>
    <w:rsid w:val="009066FC"/>
    <w:rsid w:val="009140A3"/>
    <w:rsid w:val="009144A2"/>
    <w:rsid w:val="0091510C"/>
    <w:rsid w:val="009259AC"/>
    <w:rsid w:val="00926F38"/>
    <w:rsid w:val="00927BEB"/>
    <w:rsid w:val="00934301"/>
    <w:rsid w:val="00936CD1"/>
    <w:rsid w:val="00941747"/>
    <w:rsid w:val="00941EFB"/>
    <w:rsid w:val="00947AFB"/>
    <w:rsid w:val="00951AA3"/>
    <w:rsid w:val="00951D7D"/>
    <w:rsid w:val="009630C7"/>
    <w:rsid w:val="00967112"/>
    <w:rsid w:val="00972B55"/>
    <w:rsid w:val="009743B7"/>
    <w:rsid w:val="0098228B"/>
    <w:rsid w:val="009828DA"/>
    <w:rsid w:val="0098410D"/>
    <w:rsid w:val="00985BAB"/>
    <w:rsid w:val="009A1025"/>
    <w:rsid w:val="009B1B5F"/>
    <w:rsid w:val="009B6673"/>
    <w:rsid w:val="009C191B"/>
    <w:rsid w:val="009C2BD6"/>
    <w:rsid w:val="009E1F32"/>
    <w:rsid w:val="009E776C"/>
    <w:rsid w:val="00A14D48"/>
    <w:rsid w:val="00A1726E"/>
    <w:rsid w:val="00A204CF"/>
    <w:rsid w:val="00A23D49"/>
    <w:rsid w:val="00A27004"/>
    <w:rsid w:val="00A30C29"/>
    <w:rsid w:val="00A34DD6"/>
    <w:rsid w:val="00A36819"/>
    <w:rsid w:val="00A36989"/>
    <w:rsid w:val="00A43628"/>
    <w:rsid w:val="00A54192"/>
    <w:rsid w:val="00A6035E"/>
    <w:rsid w:val="00A6144C"/>
    <w:rsid w:val="00A66617"/>
    <w:rsid w:val="00A671F8"/>
    <w:rsid w:val="00A673A4"/>
    <w:rsid w:val="00A724AE"/>
    <w:rsid w:val="00A73329"/>
    <w:rsid w:val="00A82359"/>
    <w:rsid w:val="00A865D2"/>
    <w:rsid w:val="00A90BCD"/>
    <w:rsid w:val="00A94C20"/>
    <w:rsid w:val="00AA227F"/>
    <w:rsid w:val="00AA3BC7"/>
    <w:rsid w:val="00AA754A"/>
    <w:rsid w:val="00AB099E"/>
    <w:rsid w:val="00AB4328"/>
    <w:rsid w:val="00AE0A2E"/>
    <w:rsid w:val="00AE354C"/>
    <w:rsid w:val="00AF4B07"/>
    <w:rsid w:val="00AF6186"/>
    <w:rsid w:val="00AF7A3A"/>
    <w:rsid w:val="00B04A58"/>
    <w:rsid w:val="00B160DB"/>
    <w:rsid w:val="00B17470"/>
    <w:rsid w:val="00B20836"/>
    <w:rsid w:val="00B235BB"/>
    <w:rsid w:val="00B27A44"/>
    <w:rsid w:val="00B30BBF"/>
    <w:rsid w:val="00B33C03"/>
    <w:rsid w:val="00B44E56"/>
    <w:rsid w:val="00B46543"/>
    <w:rsid w:val="00B47D33"/>
    <w:rsid w:val="00B52BE0"/>
    <w:rsid w:val="00B54133"/>
    <w:rsid w:val="00B701ED"/>
    <w:rsid w:val="00B748F7"/>
    <w:rsid w:val="00B8086C"/>
    <w:rsid w:val="00B861B4"/>
    <w:rsid w:val="00B86DFE"/>
    <w:rsid w:val="00B90990"/>
    <w:rsid w:val="00B922FF"/>
    <w:rsid w:val="00B9281E"/>
    <w:rsid w:val="00B93925"/>
    <w:rsid w:val="00B95187"/>
    <w:rsid w:val="00BA2D55"/>
    <w:rsid w:val="00BA71B1"/>
    <w:rsid w:val="00BB0637"/>
    <w:rsid w:val="00BB345F"/>
    <w:rsid w:val="00BB68EA"/>
    <w:rsid w:val="00BC1C27"/>
    <w:rsid w:val="00BC6BBF"/>
    <w:rsid w:val="00BD1572"/>
    <w:rsid w:val="00BE14E3"/>
    <w:rsid w:val="00BE3774"/>
    <w:rsid w:val="00BE41E5"/>
    <w:rsid w:val="00BF3585"/>
    <w:rsid w:val="00BF4109"/>
    <w:rsid w:val="00BF4CC3"/>
    <w:rsid w:val="00C054C7"/>
    <w:rsid w:val="00C057B5"/>
    <w:rsid w:val="00C22687"/>
    <w:rsid w:val="00C32E4D"/>
    <w:rsid w:val="00C333A0"/>
    <w:rsid w:val="00C36A81"/>
    <w:rsid w:val="00C41974"/>
    <w:rsid w:val="00C53F4A"/>
    <w:rsid w:val="00C54125"/>
    <w:rsid w:val="00C55B54"/>
    <w:rsid w:val="00C6083D"/>
    <w:rsid w:val="00C6098E"/>
    <w:rsid w:val="00C6152C"/>
    <w:rsid w:val="00C74810"/>
    <w:rsid w:val="00C90D68"/>
    <w:rsid w:val="00C939FE"/>
    <w:rsid w:val="00CA4BDA"/>
    <w:rsid w:val="00CB1F66"/>
    <w:rsid w:val="00CB2951"/>
    <w:rsid w:val="00CD282B"/>
    <w:rsid w:val="00CD4C35"/>
    <w:rsid w:val="00CD7369"/>
    <w:rsid w:val="00CE0B0E"/>
    <w:rsid w:val="00CE3831"/>
    <w:rsid w:val="00CF2397"/>
    <w:rsid w:val="00D00ABB"/>
    <w:rsid w:val="00D02EEC"/>
    <w:rsid w:val="00D03551"/>
    <w:rsid w:val="00D06A63"/>
    <w:rsid w:val="00D07E0E"/>
    <w:rsid w:val="00D11478"/>
    <w:rsid w:val="00D15ED0"/>
    <w:rsid w:val="00D21B3E"/>
    <w:rsid w:val="00D21FED"/>
    <w:rsid w:val="00D24251"/>
    <w:rsid w:val="00D343E2"/>
    <w:rsid w:val="00D361A2"/>
    <w:rsid w:val="00D44C2E"/>
    <w:rsid w:val="00D45414"/>
    <w:rsid w:val="00D50A0A"/>
    <w:rsid w:val="00D566BD"/>
    <w:rsid w:val="00D57A4D"/>
    <w:rsid w:val="00D60AA7"/>
    <w:rsid w:val="00D6435F"/>
    <w:rsid w:val="00D75E28"/>
    <w:rsid w:val="00D772C2"/>
    <w:rsid w:val="00D8008E"/>
    <w:rsid w:val="00D8119B"/>
    <w:rsid w:val="00D82C45"/>
    <w:rsid w:val="00D908A8"/>
    <w:rsid w:val="00D977B6"/>
    <w:rsid w:val="00DA4A31"/>
    <w:rsid w:val="00DA7B04"/>
    <w:rsid w:val="00DB36C2"/>
    <w:rsid w:val="00DC169B"/>
    <w:rsid w:val="00DC2AB9"/>
    <w:rsid w:val="00DC63F0"/>
    <w:rsid w:val="00DD6EE5"/>
    <w:rsid w:val="00DE386C"/>
    <w:rsid w:val="00DE4D35"/>
    <w:rsid w:val="00DF098B"/>
    <w:rsid w:val="00DF11C4"/>
    <w:rsid w:val="00DF210C"/>
    <w:rsid w:val="00DF4B6A"/>
    <w:rsid w:val="00E02C09"/>
    <w:rsid w:val="00E04D59"/>
    <w:rsid w:val="00E07DA1"/>
    <w:rsid w:val="00E123CB"/>
    <w:rsid w:val="00E20E13"/>
    <w:rsid w:val="00E21DBC"/>
    <w:rsid w:val="00E275D7"/>
    <w:rsid w:val="00E27DBE"/>
    <w:rsid w:val="00E32AB1"/>
    <w:rsid w:val="00E36C71"/>
    <w:rsid w:val="00E40404"/>
    <w:rsid w:val="00E459C6"/>
    <w:rsid w:val="00E47589"/>
    <w:rsid w:val="00E64915"/>
    <w:rsid w:val="00E661D4"/>
    <w:rsid w:val="00E70091"/>
    <w:rsid w:val="00E720F5"/>
    <w:rsid w:val="00E76D47"/>
    <w:rsid w:val="00E849F7"/>
    <w:rsid w:val="00E90302"/>
    <w:rsid w:val="00E97396"/>
    <w:rsid w:val="00EA185E"/>
    <w:rsid w:val="00EA592A"/>
    <w:rsid w:val="00EB14E4"/>
    <w:rsid w:val="00EB32A5"/>
    <w:rsid w:val="00EB34ED"/>
    <w:rsid w:val="00EB447C"/>
    <w:rsid w:val="00EB7BE0"/>
    <w:rsid w:val="00EC315E"/>
    <w:rsid w:val="00ED077C"/>
    <w:rsid w:val="00ED1190"/>
    <w:rsid w:val="00ED6544"/>
    <w:rsid w:val="00EE0277"/>
    <w:rsid w:val="00EE3E00"/>
    <w:rsid w:val="00EE5DD2"/>
    <w:rsid w:val="00EF3DB4"/>
    <w:rsid w:val="00EF7F18"/>
    <w:rsid w:val="00F00A79"/>
    <w:rsid w:val="00F00E86"/>
    <w:rsid w:val="00F07C1E"/>
    <w:rsid w:val="00F105DB"/>
    <w:rsid w:val="00F132BC"/>
    <w:rsid w:val="00F13D80"/>
    <w:rsid w:val="00F16AAA"/>
    <w:rsid w:val="00F1709C"/>
    <w:rsid w:val="00F21161"/>
    <w:rsid w:val="00F218EF"/>
    <w:rsid w:val="00F21BC7"/>
    <w:rsid w:val="00F266A2"/>
    <w:rsid w:val="00F32269"/>
    <w:rsid w:val="00F56A6F"/>
    <w:rsid w:val="00F5709C"/>
    <w:rsid w:val="00F64EF1"/>
    <w:rsid w:val="00F8765F"/>
    <w:rsid w:val="00F90767"/>
    <w:rsid w:val="00FA685B"/>
    <w:rsid w:val="00FB0C01"/>
    <w:rsid w:val="00FC18F2"/>
    <w:rsid w:val="00FC39E5"/>
    <w:rsid w:val="00FC3A78"/>
    <w:rsid w:val="00FD1005"/>
    <w:rsid w:val="00FD6C75"/>
    <w:rsid w:val="00FE71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B17470"/>
    <w:pPr>
      <w:jc w:val="both"/>
    </w:pPr>
    <w:rPr>
      <w:rFonts w:eastAsiaTheme="minorEastAsia"/>
      <w:sz w:val="24"/>
    </w:rPr>
  </w:style>
  <w:style w:type="paragraph" w:styleId="Heading1">
    <w:name w:val="heading 1"/>
    <w:basedOn w:val="Normal"/>
    <w:next w:val="Normal"/>
    <w:link w:val="Heading1Char"/>
    <w:uiPriority w:val="99"/>
    <w:semiHidden/>
    <w:rsid w:val="00B17470"/>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B17470"/>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B17470"/>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B17470"/>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B17470"/>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B17470"/>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B17470"/>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B17470"/>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B17470"/>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17470"/>
    <w:rPr>
      <w:rFonts w:ascii="Tahoma" w:hAnsi="Tahoma" w:cs="Tahoma"/>
      <w:sz w:val="16"/>
      <w:szCs w:val="16"/>
    </w:rPr>
  </w:style>
  <w:style w:type="character" w:customStyle="1" w:styleId="BalloonTextChar">
    <w:name w:val="Balloon Text Char"/>
    <w:basedOn w:val="DefaultParagraphFont"/>
    <w:link w:val="BalloonText"/>
    <w:uiPriority w:val="99"/>
    <w:semiHidden/>
    <w:rsid w:val="00B17470"/>
    <w:rPr>
      <w:rFonts w:ascii="Tahoma" w:eastAsiaTheme="minorEastAsia" w:hAnsi="Tahoma" w:cs="Tahoma"/>
      <w:sz w:val="16"/>
      <w:szCs w:val="16"/>
    </w:rPr>
  </w:style>
  <w:style w:type="character" w:styleId="BookTitle">
    <w:name w:val="Book Title"/>
    <w:uiPriority w:val="99"/>
    <w:semiHidden/>
    <w:qFormat/>
    <w:rsid w:val="00B17470"/>
    <w:rPr>
      <w:i/>
      <w:iCs/>
      <w:smallCaps/>
      <w:spacing w:val="5"/>
    </w:rPr>
  </w:style>
  <w:style w:type="paragraph" w:customStyle="1" w:styleId="ECHRHeader">
    <w:name w:val="ECHR_Header"/>
    <w:aliases w:val="Ju_Header"/>
    <w:basedOn w:val="Header"/>
    <w:uiPriority w:val="4"/>
    <w:qFormat/>
    <w:rsid w:val="00B17470"/>
    <w:pPr>
      <w:tabs>
        <w:tab w:val="clear" w:pos="4536"/>
        <w:tab w:val="clear" w:pos="9072"/>
        <w:tab w:val="center" w:pos="3686"/>
        <w:tab w:val="right" w:pos="7371"/>
      </w:tabs>
      <w:jc w:val="left"/>
    </w:pPr>
    <w:rPr>
      <w:sz w:val="18"/>
    </w:rPr>
  </w:style>
  <w:style w:type="paragraph" w:customStyle="1" w:styleId="DecHTitle">
    <w:name w:val="Dec_H_Title"/>
    <w:basedOn w:val="ECHRTitleCentre1"/>
    <w:uiPriority w:val="7"/>
    <w:semiHidden/>
    <w:qFormat/>
    <w:rsid w:val="00B17470"/>
  </w:style>
  <w:style w:type="character" w:styleId="Strong">
    <w:name w:val="Strong"/>
    <w:uiPriority w:val="99"/>
    <w:semiHidden/>
    <w:qFormat/>
    <w:rsid w:val="00B17470"/>
    <w:rPr>
      <w:b/>
      <w:bCs/>
    </w:rPr>
  </w:style>
  <w:style w:type="paragraph" w:styleId="NoSpacing">
    <w:name w:val="No Spacing"/>
    <w:basedOn w:val="Normal"/>
    <w:link w:val="NoSpacingChar"/>
    <w:semiHidden/>
    <w:qFormat/>
    <w:rsid w:val="00B17470"/>
    <w:rPr>
      <w:sz w:val="22"/>
    </w:rPr>
  </w:style>
  <w:style w:type="character" w:customStyle="1" w:styleId="NoSpacingChar">
    <w:name w:val="No Spacing Char"/>
    <w:basedOn w:val="DefaultParagraphFont"/>
    <w:link w:val="NoSpacing"/>
    <w:rsid w:val="00B17470"/>
    <w:rPr>
      <w:rFonts w:eastAsiaTheme="minorEastAsia"/>
    </w:rPr>
  </w:style>
  <w:style w:type="paragraph" w:customStyle="1" w:styleId="ECHRParaQuote">
    <w:name w:val="ECHR_Para_Quote"/>
    <w:aliases w:val="Ju_Quot"/>
    <w:basedOn w:val="Normal"/>
    <w:link w:val="JuQuotChar"/>
    <w:uiPriority w:val="14"/>
    <w:qFormat/>
    <w:rsid w:val="00B17470"/>
    <w:pPr>
      <w:spacing w:before="120" w:after="120"/>
      <w:ind w:left="425" w:firstLine="142"/>
    </w:pPr>
    <w:rPr>
      <w:sz w:val="20"/>
    </w:rPr>
  </w:style>
  <w:style w:type="paragraph" w:customStyle="1" w:styleId="DecList">
    <w:name w:val="Dec_List"/>
    <w:basedOn w:val="Normal"/>
    <w:uiPriority w:val="9"/>
    <w:semiHidden/>
    <w:qFormat/>
    <w:rsid w:val="00B17470"/>
    <w:pPr>
      <w:spacing w:before="240"/>
      <w:ind w:left="284"/>
    </w:pPr>
  </w:style>
  <w:style w:type="paragraph" w:customStyle="1" w:styleId="DummyStyle">
    <w:name w:val="Dummy_Style"/>
    <w:basedOn w:val="Normal"/>
    <w:semiHidden/>
    <w:qFormat/>
    <w:rsid w:val="00B17470"/>
    <w:rPr>
      <w:color w:val="00B050"/>
    </w:rPr>
  </w:style>
  <w:style w:type="paragraph" w:customStyle="1" w:styleId="JuAppQuestion">
    <w:name w:val="Ju_App_Question"/>
    <w:basedOn w:val="Normal"/>
    <w:uiPriority w:val="5"/>
    <w:semiHidden/>
    <w:qFormat/>
    <w:rsid w:val="00B17470"/>
    <w:pPr>
      <w:numPr>
        <w:numId w:val="27"/>
      </w:numPr>
      <w:jc w:val="left"/>
    </w:pPr>
    <w:rPr>
      <w:b/>
    </w:rPr>
  </w:style>
  <w:style w:type="paragraph" w:customStyle="1" w:styleId="JuCourt">
    <w:name w:val="Ju_Court"/>
    <w:basedOn w:val="Normal"/>
    <w:next w:val="Normal"/>
    <w:uiPriority w:val="16"/>
    <w:qFormat/>
    <w:rsid w:val="00B17470"/>
    <w:pPr>
      <w:tabs>
        <w:tab w:val="left" w:pos="907"/>
        <w:tab w:val="left" w:pos="1701"/>
        <w:tab w:val="right" w:pos="7371"/>
      </w:tabs>
      <w:spacing w:before="240"/>
      <w:ind w:left="397" w:hanging="397"/>
      <w:jc w:val="left"/>
    </w:pPr>
    <w:rPr>
      <w:lang w:bidi="en-US"/>
    </w:rPr>
  </w:style>
  <w:style w:type="paragraph" w:customStyle="1" w:styleId="ECHRTitleCentre3">
    <w:name w:val="ECHR_Title_Centre_3"/>
    <w:aliases w:val="Ju_H_Article"/>
    <w:basedOn w:val="Normal"/>
    <w:next w:val="ECHRParaQuote"/>
    <w:uiPriority w:val="27"/>
    <w:qFormat/>
    <w:rsid w:val="00B17470"/>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B17470"/>
    <w:pPr>
      <w:keepNext/>
      <w:keepLines/>
      <w:spacing w:after="240"/>
      <w:jc w:val="center"/>
      <w:outlineLvl w:val="0"/>
    </w:pPr>
    <w:rPr>
      <w:rFonts w:asciiTheme="majorHAnsi" w:hAnsiTheme="majorHAnsi"/>
      <w:sz w:val="28"/>
    </w:rPr>
  </w:style>
  <w:style w:type="paragraph" w:customStyle="1" w:styleId="JuQuotSub">
    <w:name w:val="Ju_Quot_Sub"/>
    <w:basedOn w:val="ECHRParaQuote"/>
    <w:uiPriority w:val="15"/>
    <w:qFormat/>
    <w:rsid w:val="00B17470"/>
    <w:pPr>
      <w:ind w:left="567"/>
    </w:pPr>
  </w:style>
  <w:style w:type="paragraph" w:customStyle="1" w:styleId="ECHRTitle1">
    <w:name w:val="ECHR_Title_1"/>
    <w:aliases w:val="Ju_H_Head"/>
    <w:basedOn w:val="Normal"/>
    <w:next w:val="ECHRPara"/>
    <w:uiPriority w:val="18"/>
    <w:qFormat/>
    <w:rsid w:val="00B17470"/>
    <w:pPr>
      <w:keepNext/>
      <w:keepLines/>
      <w:spacing w:before="720" w:after="240"/>
      <w:outlineLvl w:val="0"/>
    </w:pPr>
    <w:rPr>
      <w:rFonts w:asciiTheme="majorHAnsi" w:hAnsiTheme="majorHAnsi"/>
      <w:sz w:val="28"/>
    </w:rPr>
  </w:style>
  <w:style w:type="paragraph" w:customStyle="1" w:styleId="JuHeaderLandscape">
    <w:name w:val="Ju_Header_Landscape"/>
    <w:basedOn w:val="ECHRHeader"/>
    <w:uiPriority w:val="4"/>
    <w:qFormat/>
    <w:rsid w:val="00B17470"/>
    <w:pPr>
      <w:tabs>
        <w:tab w:val="clear" w:pos="3686"/>
        <w:tab w:val="clear" w:pos="7371"/>
        <w:tab w:val="center" w:pos="6146"/>
        <w:tab w:val="right" w:pos="12293"/>
      </w:tabs>
    </w:pPr>
  </w:style>
  <w:style w:type="paragraph" w:customStyle="1" w:styleId="JuSigned">
    <w:name w:val="Ju_Signed"/>
    <w:basedOn w:val="Normal"/>
    <w:next w:val="JuParaLast"/>
    <w:uiPriority w:val="32"/>
    <w:qFormat/>
    <w:rsid w:val="00B17470"/>
    <w:pPr>
      <w:tabs>
        <w:tab w:val="center" w:pos="851"/>
        <w:tab w:val="center" w:pos="6407"/>
      </w:tabs>
      <w:spacing w:before="720"/>
      <w:jc w:val="left"/>
    </w:pPr>
  </w:style>
  <w:style w:type="paragraph" w:styleId="Title">
    <w:name w:val="Title"/>
    <w:basedOn w:val="Normal"/>
    <w:next w:val="Normal"/>
    <w:link w:val="TitleChar"/>
    <w:uiPriority w:val="99"/>
    <w:semiHidden/>
    <w:qFormat/>
    <w:rsid w:val="00B17470"/>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rsid w:val="00B17470"/>
    <w:rPr>
      <w:rFonts w:asciiTheme="majorHAnsi" w:eastAsiaTheme="majorEastAsia" w:hAnsiTheme="majorHAnsi" w:cstheme="majorBidi"/>
      <w:spacing w:val="5"/>
      <w:sz w:val="52"/>
      <w:szCs w:val="52"/>
      <w:lang w:bidi="en-US"/>
    </w:rPr>
  </w:style>
  <w:style w:type="paragraph" w:customStyle="1" w:styleId="JuInitialled">
    <w:name w:val="Ju_Initialled"/>
    <w:basedOn w:val="Normal"/>
    <w:uiPriority w:val="31"/>
    <w:qFormat/>
    <w:rsid w:val="00B17470"/>
    <w:pPr>
      <w:tabs>
        <w:tab w:val="center" w:pos="6407"/>
      </w:tabs>
      <w:spacing w:before="720"/>
      <w:jc w:val="right"/>
    </w:pPr>
  </w:style>
  <w:style w:type="character" w:customStyle="1" w:styleId="JuITMark">
    <w:name w:val="Ju_ITMark"/>
    <w:basedOn w:val="DefaultParagraphFont"/>
    <w:uiPriority w:val="38"/>
    <w:qFormat/>
    <w:rsid w:val="00B17470"/>
    <w:rPr>
      <w:vanish w:val="0"/>
      <w:color w:val="auto"/>
      <w:sz w:val="14"/>
      <w:bdr w:val="none" w:sz="0" w:space="0" w:color="auto"/>
      <w:shd w:val="clear" w:color="auto" w:fill="BEE5FF" w:themeFill="background1" w:themeFillTint="33"/>
    </w:rPr>
  </w:style>
  <w:style w:type="paragraph" w:customStyle="1" w:styleId="JuListi">
    <w:name w:val="Ju_List_i"/>
    <w:basedOn w:val="Normal"/>
    <w:next w:val="JuLista"/>
    <w:uiPriority w:val="28"/>
    <w:qFormat/>
    <w:rsid w:val="00B17470"/>
    <w:pPr>
      <w:ind w:left="794"/>
    </w:pPr>
  </w:style>
  <w:style w:type="character" w:customStyle="1" w:styleId="JUNAMES">
    <w:name w:val="JU_NAMES"/>
    <w:uiPriority w:val="17"/>
    <w:qFormat/>
    <w:rsid w:val="00B17470"/>
    <w:rPr>
      <w:caps w:val="0"/>
      <w:smallCaps/>
    </w:rPr>
  </w:style>
  <w:style w:type="paragraph" w:customStyle="1" w:styleId="JuParaSub">
    <w:name w:val="Ju_Para_Sub"/>
    <w:basedOn w:val="ECHRPara"/>
    <w:uiPriority w:val="13"/>
    <w:qFormat/>
    <w:rsid w:val="00B17470"/>
    <w:pPr>
      <w:ind w:left="284"/>
    </w:pPr>
  </w:style>
  <w:style w:type="paragraph" w:customStyle="1" w:styleId="ECHRHeading1">
    <w:name w:val="ECHR_Heading_1"/>
    <w:aliases w:val="Ju_H_I_Roman"/>
    <w:basedOn w:val="Heading1"/>
    <w:next w:val="ECHRPara"/>
    <w:uiPriority w:val="19"/>
    <w:qFormat/>
    <w:rsid w:val="00B17470"/>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B17470"/>
    <w:pPr>
      <w:keepNext/>
      <w:keepLines/>
      <w:tabs>
        <w:tab w:val="left" w:pos="584"/>
      </w:tabs>
      <w:spacing w:before="360" w:after="240"/>
      <w:ind w:left="584" w:hanging="352"/>
    </w:pPr>
    <w:rPr>
      <w:color w:val="auto"/>
      <w:sz w:val="24"/>
    </w:rPr>
  </w:style>
  <w:style w:type="paragraph" w:customStyle="1" w:styleId="ECHRHeading3">
    <w:name w:val="ECHR_Heading_3"/>
    <w:aliases w:val="Ju_H_1."/>
    <w:basedOn w:val="Heading3"/>
    <w:next w:val="ECHRPara"/>
    <w:uiPriority w:val="21"/>
    <w:qFormat/>
    <w:rsid w:val="00B17470"/>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B17470"/>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B17470"/>
    <w:rPr>
      <w:sz w:val="24"/>
    </w:rPr>
  </w:style>
  <w:style w:type="character" w:customStyle="1" w:styleId="Heading1Char">
    <w:name w:val="Heading 1 Char"/>
    <w:basedOn w:val="DefaultParagraphFont"/>
    <w:link w:val="Heading1"/>
    <w:uiPriority w:val="99"/>
    <w:rsid w:val="00B17470"/>
    <w:rPr>
      <w:rFonts w:asciiTheme="majorHAnsi" w:eastAsiaTheme="majorEastAsia" w:hAnsiTheme="majorHAnsi" w:cstheme="majorBidi"/>
      <w:b/>
      <w:bCs/>
      <w:color w:val="333333"/>
      <w:sz w:val="28"/>
      <w:szCs w:val="28"/>
    </w:rPr>
  </w:style>
  <w:style w:type="paragraph" w:customStyle="1" w:styleId="ECHRHeading4">
    <w:name w:val="ECHR_Heading_4"/>
    <w:aliases w:val="Ju_H_a"/>
    <w:basedOn w:val="Heading4"/>
    <w:next w:val="ECHRPara"/>
    <w:uiPriority w:val="22"/>
    <w:qFormat/>
    <w:rsid w:val="00B17470"/>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B17470"/>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B17470"/>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B17470"/>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B17470"/>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B17470"/>
    <w:rPr>
      <w:rFonts w:asciiTheme="majorHAnsi" w:eastAsiaTheme="majorEastAsia" w:hAnsiTheme="majorHAnsi" w:cstheme="majorBidi"/>
      <w:b/>
      <w:bCs/>
      <w:color w:val="5F5F5F"/>
      <w:sz w:val="24"/>
    </w:rPr>
  </w:style>
  <w:style w:type="paragraph" w:customStyle="1" w:styleId="JuParaLast">
    <w:name w:val="Ju_Para_Last"/>
    <w:basedOn w:val="Normal"/>
    <w:next w:val="ECHRPara"/>
    <w:uiPriority w:val="30"/>
    <w:qFormat/>
    <w:rsid w:val="00B17470"/>
    <w:pPr>
      <w:keepNext/>
      <w:keepLines/>
      <w:spacing w:before="240"/>
      <w:ind w:firstLine="284"/>
    </w:pPr>
  </w:style>
  <w:style w:type="paragraph" w:customStyle="1" w:styleId="ECHRDecisionBody">
    <w:name w:val="ECHR_Decision_Body"/>
    <w:aliases w:val="Ju_Judges"/>
    <w:basedOn w:val="Normal"/>
    <w:uiPriority w:val="11"/>
    <w:qFormat/>
    <w:rsid w:val="00B17470"/>
    <w:pPr>
      <w:tabs>
        <w:tab w:val="left" w:pos="567"/>
        <w:tab w:val="left" w:pos="1134"/>
      </w:tabs>
      <w:jc w:val="left"/>
    </w:pPr>
  </w:style>
  <w:style w:type="character" w:customStyle="1" w:styleId="Heading4Char">
    <w:name w:val="Heading 4 Char"/>
    <w:basedOn w:val="DefaultParagraphFont"/>
    <w:link w:val="Heading4"/>
    <w:uiPriority w:val="99"/>
    <w:semiHidden/>
    <w:rsid w:val="00B17470"/>
    <w:rPr>
      <w:rFonts w:asciiTheme="majorHAnsi" w:eastAsiaTheme="majorEastAsia" w:hAnsiTheme="majorHAnsi" w:cstheme="majorBidi"/>
      <w:b/>
      <w:bCs/>
      <w:i/>
      <w:iCs/>
      <w:color w:val="777777"/>
      <w:sz w:val="24"/>
    </w:rPr>
  </w:style>
  <w:style w:type="paragraph" w:customStyle="1" w:styleId="JuList">
    <w:name w:val="Ju_List"/>
    <w:basedOn w:val="Normal"/>
    <w:uiPriority w:val="28"/>
    <w:qFormat/>
    <w:rsid w:val="00B17470"/>
    <w:pPr>
      <w:ind w:left="340" w:hanging="340"/>
    </w:pPr>
  </w:style>
  <w:style w:type="character" w:customStyle="1" w:styleId="Heading5Char">
    <w:name w:val="Heading 5 Char"/>
    <w:basedOn w:val="DefaultParagraphFont"/>
    <w:link w:val="Heading5"/>
    <w:uiPriority w:val="99"/>
    <w:semiHidden/>
    <w:rsid w:val="00B17470"/>
    <w:rPr>
      <w:rFonts w:asciiTheme="majorHAnsi" w:eastAsiaTheme="majorEastAsia" w:hAnsiTheme="majorHAnsi" w:cstheme="majorBidi"/>
      <w:b/>
      <w:bCs/>
      <w:color w:val="808080"/>
    </w:rPr>
  </w:style>
  <w:style w:type="paragraph" w:customStyle="1" w:styleId="JuLista">
    <w:name w:val="Ju_List_a"/>
    <w:basedOn w:val="JuList"/>
    <w:uiPriority w:val="28"/>
    <w:qFormat/>
    <w:rsid w:val="00B17470"/>
    <w:pPr>
      <w:ind w:left="346" w:firstLine="0"/>
    </w:pPr>
  </w:style>
  <w:style w:type="paragraph" w:customStyle="1" w:styleId="JuTitle">
    <w:name w:val="Ju_Title"/>
    <w:basedOn w:val="Normal"/>
    <w:next w:val="ECHRPara"/>
    <w:uiPriority w:val="3"/>
    <w:semiHidden/>
    <w:qFormat/>
    <w:rsid w:val="00B17470"/>
    <w:pPr>
      <w:spacing w:before="720" w:after="240"/>
      <w:jc w:val="center"/>
      <w:outlineLvl w:val="0"/>
    </w:pPr>
    <w:rPr>
      <w:rFonts w:asciiTheme="majorHAnsi" w:hAnsiTheme="majorHAnsi"/>
      <w:b/>
      <w:caps/>
    </w:rPr>
  </w:style>
  <w:style w:type="character" w:styleId="SubtleEmphasis">
    <w:name w:val="Subtle Emphasis"/>
    <w:uiPriority w:val="99"/>
    <w:semiHidden/>
    <w:qFormat/>
    <w:rsid w:val="00B17470"/>
    <w:rPr>
      <w:i/>
      <w:iCs/>
    </w:rPr>
  </w:style>
  <w:style w:type="paragraph" w:customStyle="1" w:styleId="OpiH1">
    <w:name w:val="Opi_H_1"/>
    <w:basedOn w:val="ECHRHeading2"/>
    <w:uiPriority w:val="42"/>
    <w:qFormat/>
    <w:rsid w:val="00B17470"/>
    <w:pPr>
      <w:ind w:left="635" w:hanging="357"/>
      <w:outlineLvl w:val="2"/>
    </w:p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OpiHa">
    <w:name w:val="Opi_H_a"/>
    <w:basedOn w:val="ECHRHeading3"/>
    <w:uiPriority w:val="43"/>
    <w:qFormat/>
    <w:rsid w:val="00B17470"/>
    <w:pPr>
      <w:ind w:left="833" w:hanging="357"/>
      <w:outlineLvl w:val="3"/>
    </w:pPr>
    <w:rPr>
      <w:b/>
      <w:i w:val="0"/>
      <w:sz w:val="20"/>
    </w:rPr>
  </w:style>
  <w:style w:type="paragraph" w:customStyle="1" w:styleId="OpiHA0">
    <w:name w:val="Opi_H_A"/>
    <w:basedOn w:val="ECHRHeading1"/>
    <w:next w:val="OpiPara"/>
    <w:uiPriority w:val="41"/>
    <w:qFormat/>
    <w:rsid w:val="00B17470"/>
    <w:pPr>
      <w:tabs>
        <w:tab w:val="clear" w:pos="357"/>
      </w:tabs>
      <w:outlineLvl w:val="1"/>
    </w:pPr>
    <w:rPr>
      <w:b/>
    </w:rPr>
  </w:style>
  <w:style w:type="paragraph" w:customStyle="1" w:styleId="OpiHi">
    <w:name w:val="Opi_H_i"/>
    <w:basedOn w:val="ECHRHeading4"/>
    <w:uiPriority w:val="44"/>
    <w:qFormat/>
    <w:rsid w:val="00B17470"/>
    <w:pPr>
      <w:ind w:left="1037" w:hanging="357"/>
      <w:outlineLvl w:val="4"/>
    </w:pPr>
    <w:rPr>
      <w:b w:val="0"/>
      <w:i/>
    </w:rPr>
  </w:style>
  <w:style w:type="character" w:styleId="Emphasis">
    <w:name w:val="Emphasis"/>
    <w:uiPriority w:val="99"/>
    <w:semiHidden/>
    <w:qFormat/>
    <w:rsid w:val="00B17470"/>
    <w:rPr>
      <w:b/>
      <w:bCs/>
      <w:i/>
      <w:iCs/>
      <w:spacing w:val="10"/>
      <w:bdr w:val="none" w:sz="0" w:space="0" w:color="auto"/>
      <w:shd w:val="clear" w:color="auto" w:fill="auto"/>
    </w:rPr>
  </w:style>
  <w:style w:type="paragraph" w:styleId="Footer">
    <w:name w:val="footer"/>
    <w:basedOn w:val="Normal"/>
    <w:link w:val="FooterChar"/>
    <w:uiPriority w:val="57"/>
    <w:semiHidden/>
    <w:rsid w:val="00B17470"/>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B17470"/>
    <w:rPr>
      <w:sz w:val="24"/>
    </w:rPr>
  </w:style>
  <w:style w:type="character" w:styleId="FootnoteReference">
    <w:name w:val="footnote reference"/>
    <w:basedOn w:val="DefaultParagraphFont"/>
    <w:uiPriority w:val="99"/>
    <w:semiHidden/>
    <w:rsid w:val="00B17470"/>
    <w:rPr>
      <w:vertAlign w:val="superscript"/>
    </w:rPr>
  </w:style>
  <w:style w:type="paragraph" w:styleId="FootnoteText">
    <w:name w:val="footnote text"/>
    <w:basedOn w:val="Normal"/>
    <w:link w:val="FootnoteTextChar"/>
    <w:uiPriority w:val="99"/>
    <w:semiHidden/>
    <w:rsid w:val="00B17470"/>
    <w:rPr>
      <w:sz w:val="20"/>
      <w:szCs w:val="20"/>
    </w:rPr>
  </w:style>
  <w:style w:type="character" w:customStyle="1" w:styleId="FootnoteTextChar">
    <w:name w:val="Footnote Text Char"/>
    <w:basedOn w:val="DefaultParagraphFont"/>
    <w:link w:val="FootnoteText"/>
    <w:uiPriority w:val="99"/>
    <w:semiHidden/>
    <w:rsid w:val="00B17470"/>
    <w:rPr>
      <w:rFonts w:eastAsiaTheme="minorEastAsia"/>
      <w:sz w:val="20"/>
      <w:szCs w:val="20"/>
    </w:rPr>
  </w:style>
  <w:style w:type="character" w:customStyle="1" w:styleId="Heading6Char">
    <w:name w:val="Heading 6 Char"/>
    <w:basedOn w:val="DefaultParagraphFont"/>
    <w:link w:val="Heading6"/>
    <w:uiPriority w:val="99"/>
    <w:semiHidden/>
    <w:rsid w:val="00B17470"/>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B17470"/>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B17470"/>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B17470"/>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B17470"/>
    <w:rPr>
      <w:color w:val="0072BC" w:themeColor="hyperlink"/>
      <w:u w:val="single"/>
    </w:rPr>
  </w:style>
  <w:style w:type="character" w:styleId="IntenseEmphasis">
    <w:name w:val="Intense Emphasis"/>
    <w:uiPriority w:val="99"/>
    <w:semiHidden/>
    <w:qFormat/>
    <w:rsid w:val="00B17470"/>
    <w:rPr>
      <w:b/>
      <w:bCs/>
    </w:rPr>
  </w:style>
  <w:style w:type="paragraph" w:styleId="IntenseQuote">
    <w:name w:val="Intense Quote"/>
    <w:basedOn w:val="Normal"/>
    <w:next w:val="Normal"/>
    <w:link w:val="IntenseQuoteChar"/>
    <w:uiPriority w:val="99"/>
    <w:semiHidden/>
    <w:qFormat/>
    <w:rsid w:val="00B17470"/>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rsid w:val="00B17470"/>
    <w:rPr>
      <w:rFonts w:eastAsiaTheme="minorEastAsia"/>
      <w:b/>
      <w:bCs/>
      <w:i/>
      <w:iCs/>
      <w:lang w:bidi="en-US"/>
    </w:rPr>
  </w:style>
  <w:style w:type="character" w:styleId="IntenseReference">
    <w:name w:val="Intense Reference"/>
    <w:uiPriority w:val="99"/>
    <w:semiHidden/>
    <w:qFormat/>
    <w:rsid w:val="00B17470"/>
    <w:rPr>
      <w:smallCaps/>
      <w:spacing w:val="5"/>
      <w:u w:val="single"/>
    </w:rPr>
  </w:style>
  <w:style w:type="paragraph" w:styleId="ListParagraph">
    <w:name w:val="List Paragraph"/>
    <w:basedOn w:val="Normal"/>
    <w:uiPriority w:val="99"/>
    <w:semiHidden/>
    <w:qFormat/>
    <w:rsid w:val="00B17470"/>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B17470"/>
    <w:pPr>
      <w:spacing w:before="200"/>
      <w:ind w:left="360" w:right="360"/>
    </w:pPr>
    <w:rPr>
      <w:i/>
      <w:iCs/>
      <w:sz w:val="22"/>
      <w:lang w:bidi="en-US"/>
    </w:rPr>
  </w:style>
  <w:style w:type="character" w:customStyle="1" w:styleId="QuoteChar">
    <w:name w:val="Quote Char"/>
    <w:basedOn w:val="DefaultParagraphFont"/>
    <w:link w:val="Quote"/>
    <w:uiPriority w:val="99"/>
    <w:rsid w:val="00B17470"/>
    <w:rPr>
      <w:rFonts w:eastAsiaTheme="minorEastAsia"/>
      <w:i/>
      <w:iCs/>
      <w:lang w:bidi="en-US"/>
    </w:rPr>
  </w:style>
  <w:style w:type="character" w:styleId="SubtleReference">
    <w:name w:val="Subtle Reference"/>
    <w:uiPriority w:val="99"/>
    <w:semiHidden/>
    <w:qFormat/>
    <w:rsid w:val="00B17470"/>
    <w:rPr>
      <w:smallCaps/>
    </w:rPr>
  </w:style>
  <w:style w:type="table" w:styleId="TableGrid">
    <w:name w:val="Table Grid"/>
    <w:basedOn w:val="TableNormal"/>
    <w:uiPriority w:val="59"/>
    <w:semiHidden/>
    <w:rsid w:val="00B1747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B17470"/>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B17470"/>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B17470"/>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B17470"/>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B17470"/>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B17470"/>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B17470"/>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styleId="Subtitle">
    <w:name w:val="Subtitle"/>
    <w:basedOn w:val="Normal"/>
    <w:next w:val="Normal"/>
    <w:link w:val="SubtitleChar"/>
    <w:uiPriority w:val="99"/>
    <w:semiHidden/>
    <w:qFormat/>
    <w:rsid w:val="00B17470"/>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rsid w:val="00B17470"/>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98410D"/>
    <w:pPr>
      <w:numPr>
        <w:numId w:val="10"/>
      </w:numPr>
    </w:pPr>
  </w:style>
  <w:style w:type="paragraph" w:customStyle="1" w:styleId="ECHRPara">
    <w:name w:val="ECHR_Para"/>
    <w:aliases w:val="Ju_Para"/>
    <w:basedOn w:val="Normal"/>
    <w:link w:val="ECHRParaChar"/>
    <w:uiPriority w:val="12"/>
    <w:qFormat/>
    <w:rsid w:val="00B17470"/>
    <w:pPr>
      <w:ind w:firstLine="284"/>
    </w:pPr>
  </w:style>
  <w:style w:type="numbering" w:styleId="1ai">
    <w:name w:val="Outline List 1"/>
    <w:basedOn w:val="NoList"/>
    <w:uiPriority w:val="99"/>
    <w:semiHidden/>
    <w:unhideWhenUsed/>
    <w:rsid w:val="0098410D"/>
    <w:pPr>
      <w:numPr>
        <w:numId w:val="11"/>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98410D"/>
    <w:pPr>
      <w:numPr>
        <w:numId w:val="12"/>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B17470"/>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98410D"/>
  </w:style>
  <w:style w:type="paragraph" w:styleId="BlockText">
    <w:name w:val="Block Text"/>
    <w:basedOn w:val="Normal"/>
    <w:uiPriority w:val="99"/>
    <w:semiHidden/>
    <w:rsid w:val="0098410D"/>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98410D"/>
    <w:pPr>
      <w:spacing w:after="120"/>
    </w:pPr>
  </w:style>
  <w:style w:type="character" w:customStyle="1" w:styleId="BodyTextChar">
    <w:name w:val="Body Text Char"/>
    <w:basedOn w:val="DefaultParagraphFont"/>
    <w:link w:val="BodyText"/>
    <w:uiPriority w:val="99"/>
    <w:semiHidden/>
    <w:rsid w:val="0098410D"/>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98410D"/>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B17470"/>
    <w:pPr>
      <w:ind w:firstLine="284"/>
    </w:pPr>
    <w:rPr>
      <w:b/>
    </w:rPr>
  </w:style>
  <w:style w:type="character" w:styleId="PageNumber">
    <w:name w:val="page number"/>
    <w:uiPriority w:val="99"/>
    <w:semiHidden/>
    <w:rsid w:val="0098410D"/>
    <w:rPr>
      <w:sz w:val="18"/>
    </w:rPr>
  </w:style>
  <w:style w:type="paragraph" w:styleId="ListBullet">
    <w:name w:val="List Bullet"/>
    <w:basedOn w:val="Normal"/>
    <w:uiPriority w:val="99"/>
    <w:semiHidden/>
    <w:rsid w:val="0098410D"/>
    <w:pPr>
      <w:numPr>
        <w:numId w:val="9"/>
      </w:numPr>
    </w:pPr>
  </w:style>
  <w:style w:type="paragraph" w:styleId="ListBullet3">
    <w:name w:val="List Bullet 3"/>
    <w:basedOn w:val="Normal"/>
    <w:uiPriority w:val="99"/>
    <w:semiHidden/>
    <w:rsid w:val="0098410D"/>
    <w:pPr>
      <w:numPr>
        <w:numId w:val="8"/>
      </w:numPr>
      <w:contextualSpacing/>
    </w:pPr>
  </w:style>
  <w:style w:type="character" w:customStyle="1" w:styleId="BodyText2Char">
    <w:name w:val="Body Text 2 Char"/>
    <w:basedOn w:val="DefaultParagraphFont"/>
    <w:link w:val="BodyText2"/>
    <w:uiPriority w:val="99"/>
    <w:semiHidden/>
    <w:rsid w:val="0098410D"/>
    <w:rPr>
      <w:rFonts w:eastAsiaTheme="minorEastAsia"/>
      <w:sz w:val="24"/>
    </w:rPr>
  </w:style>
  <w:style w:type="paragraph" w:styleId="BodyText3">
    <w:name w:val="Body Text 3"/>
    <w:basedOn w:val="Normal"/>
    <w:link w:val="BodyText3Char"/>
    <w:uiPriority w:val="99"/>
    <w:semiHidden/>
    <w:rsid w:val="0098410D"/>
    <w:pPr>
      <w:spacing w:after="120"/>
    </w:pPr>
    <w:rPr>
      <w:sz w:val="16"/>
      <w:szCs w:val="16"/>
    </w:rPr>
  </w:style>
  <w:style w:type="character" w:customStyle="1" w:styleId="BodyText3Char">
    <w:name w:val="Body Text 3 Char"/>
    <w:basedOn w:val="DefaultParagraphFont"/>
    <w:link w:val="BodyText3"/>
    <w:uiPriority w:val="99"/>
    <w:semiHidden/>
    <w:rsid w:val="0098410D"/>
    <w:rPr>
      <w:rFonts w:eastAsiaTheme="minorEastAsia"/>
      <w:sz w:val="16"/>
      <w:szCs w:val="16"/>
    </w:rPr>
  </w:style>
  <w:style w:type="paragraph" w:styleId="BodyTextFirstIndent">
    <w:name w:val="Body Text First Indent"/>
    <w:basedOn w:val="BodyText"/>
    <w:link w:val="BodyTextFirstIndentChar"/>
    <w:uiPriority w:val="99"/>
    <w:semiHidden/>
    <w:rsid w:val="0098410D"/>
    <w:pPr>
      <w:spacing w:after="0"/>
      <w:ind w:firstLine="360"/>
    </w:pPr>
  </w:style>
  <w:style w:type="character" w:customStyle="1" w:styleId="BodyTextFirstIndentChar">
    <w:name w:val="Body Text First Indent Char"/>
    <w:basedOn w:val="BodyTextChar"/>
    <w:link w:val="BodyTextFirstIndent"/>
    <w:uiPriority w:val="99"/>
    <w:semiHidden/>
    <w:rsid w:val="0098410D"/>
    <w:rPr>
      <w:rFonts w:eastAsiaTheme="minorEastAsia"/>
      <w:sz w:val="24"/>
    </w:rPr>
  </w:style>
  <w:style w:type="paragraph" w:styleId="BodyTextIndent">
    <w:name w:val="Body Text Indent"/>
    <w:basedOn w:val="Normal"/>
    <w:link w:val="BodyTextIndentChar"/>
    <w:uiPriority w:val="99"/>
    <w:semiHidden/>
    <w:rsid w:val="0098410D"/>
    <w:pPr>
      <w:spacing w:after="120"/>
      <w:ind w:left="283"/>
    </w:pPr>
  </w:style>
  <w:style w:type="character" w:customStyle="1" w:styleId="BodyTextIndentChar">
    <w:name w:val="Body Text Indent Char"/>
    <w:basedOn w:val="DefaultParagraphFont"/>
    <w:link w:val="BodyTextIndent"/>
    <w:uiPriority w:val="99"/>
    <w:semiHidden/>
    <w:rsid w:val="0098410D"/>
    <w:rPr>
      <w:rFonts w:eastAsiaTheme="minorEastAsia"/>
      <w:sz w:val="24"/>
    </w:rPr>
  </w:style>
  <w:style w:type="paragraph" w:styleId="BodyTextFirstIndent2">
    <w:name w:val="Body Text First Indent 2"/>
    <w:basedOn w:val="BodyTextIndent"/>
    <w:link w:val="BodyTextFirstIndent2Char"/>
    <w:uiPriority w:val="99"/>
    <w:semiHidden/>
    <w:rsid w:val="0098410D"/>
    <w:pPr>
      <w:spacing w:after="0"/>
      <w:ind w:left="360" w:firstLine="360"/>
    </w:pPr>
  </w:style>
  <w:style w:type="character" w:customStyle="1" w:styleId="BodyTextFirstIndent2Char">
    <w:name w:val="Body Text First Indent 2 Char"/>
    <w:basedOn w:val="BodyTextIndentChar"/>
    <w:link w:val="BodyTextFirstIndent2"/>
    <w:uiPriority w:val="99"/>
    <w:semiHidden/>
    <w:rsid w:val="0098410D"/>
    <w:rPr>
      <w:rFonts w:eastAsiaTheme="minorEastAsia"/>
      <w:sz w:val="24"/>
    </w:rPr>
  </w:style>
  <w:style w:type="paragraph" w:styleId="BodyTextIndent2">
    <w:name w:val="Body Text Indent 2"/>
    <w:basedOn w:val="Normal"/>
    <w:link w:val="BodyTextIndent2Char"/>
    <w:uiPriority w:val="99"/>
    <w:semiHidden/>
    <w:rsid w:val="0098410D"/>
    <w:pPr>
      <w:spacing w:after="120" w:line="480" w:lineRule="auto"/>
      <w:ind w:left="283"/>
    </w:pPr>
  </w:style>
  <w:style w:type="character" w:customStyle="1" w:styleId="BodyTextIndent2Char">
    <w:name w:val="Body Text Indent 2 Char"/>
    <w:basedOn w:val="DefaultParagraphFont"/>
    <w:link w:val="BodyTextIndent2"/>
    <w:uiPriority w:val="99"/>
    <w:semiHidden/>
    <w:rsid w:val="0098410D"/>
    <w:rPr>
      <w:rFonts w:eastAsiaTheme="minorEastAsia"/>
      <w:sz w:val="24"/>
    </w:rPr>
  </w:style>
  <w:style w:type="paragraph" w:styleId="BodyTextIndent3">
    <w:name w:val="Body Text Indent 3"/>
    <w:basedOn w:val="Normal"/>
    <w:link w:val="BodyTextIndent3Char"/>
    <w:uiPriority w:val="99"/>
    <w:semiHidden/>
    <w:rsid w:val="0098410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8410D"/>
    <w:rPr>
      <w:rFonts w:eastAsiaTheme="minorEastAsia"/>
      <w:sz w:val="16"/>
      <w:szCs w:val="16"/>
    </w:rPr>
  </w:style>
  <w:style w:type="paragraph" w:styleId="Caption">
    <w:name w:val="caption"/>
    <w:basedOn w:val="Normal"/>
    <w:next w:val="Normal"/>
    <w:uiPriority w:val="99"/>
    <w:semiHidden/>
    <w:qFormat/>
    <w:rsid w:val="0098410D"/>
    <w:pPr>
      <w:spacing w:after="200"/>
    </w:pPr>
    <w:rPr>
      <w:b/>
      <w:bCs/>
      <w:color w:val="0072BC" w:themeColor="accent1"/>
      <w:sz w:val="18"/>
      <w:szCs w:val="18"/>
    </w:rPr>
  </w:style>
  <w:style w:type="paragraph" w:styleId="Closing">
    <w:name w:val="Closing"/>
    <w:basedOn w:val="Normal"/>
    <w:link w:val="ClosingChar"/>
    <w:uiPriority w:val="99"/>
    <w:semiHidden/>
    <w:rsid w:val="0098410D"/>
    <w:pPr>
      <w:ind w:left="4252"/>
    </w:pPr>
  </w:style>
  <w:style w:type="character" w:customStyle="1" w:styleId="ClosingChar">
    <w:name w:val="Closing Char"/>
    <w:basedOn w:val="DefaultParagraphFont"/>
    <w:link w:val="Closing"/>
    <w:uiPriority w:val="99"/>
    <w:semiHidden/>
    <w:rsid w:val="0098410D"/>
    <w:rPr>
      <w:rFonts w:eastAsiaTheme="minorEastAsia"/>
      <w:sz w:val="24"/>
    </w:rPr>
  </w:style>
  <w:style w:type="table" w:styleId="ColorfulGrid">
    <w:name w:val="Colorful Grid"/>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98410D"/>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98410D"/>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98410D"/>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98410D"/>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98410D"/>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98410D"/>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98410D"/>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98410D"/>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98410D"/>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98410D"/>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98410D"/>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98410D"/>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98410D"/>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98410D"/>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98410D"/>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98410D"/>
    <w:rPr>
      <w:sz w:val="16"/>
      <w:szCs w:val="16"/>
    </w:rPr>
  </w:style>
  <w:style w:type="paragraph" w:styleId="CommentText">
    <w:name w:val="annotation text"/>
    <w:basedOn w:val="Normal"/>
    <w:link w:val="CommentTextChar"/>
    <w:semiHidden/>
    <w:rsid w:val="0098410D"/>
    <w:rPr>
      <w:sz w:val="20"/>
      <w:szCs w:val="20"/>
    </w:rPr>
  </w:style>
  <w:style w:type="character" w:customStyle="1" w:styleId="CommentTextChar">
    <w:name w:val="Comment Text Char"/>
    <w:basedOn w:val="DefaultParagraphFont"/>
    <w:link w:val="CommentText"/>
    <w:semiHidden/>
    <w:rsid w:val="0098410D"/>
    <w:rPr>
      <w:rFonts w:eastAsiaTheme="minorEastAsia"/>
      <w:sz w:val="20"/>
      <w:szCs w:val="20"/>
    </w:rPr>
  </w:style>
  <w:style w:type="paragraph" w:styleId="CommentSubject">
    <w:name w:val="annotation subject"/>
    <w:basedOn w:val="CommentText"/>
    <w:next w:val="CommentText"/>
    <w:link w:val="CommentSubjectChar"/>
    <w:uiPriority w:val="99"/>
    <w:semiHidden/>
    <w:rsid w:val="0098410D"/>
    <w:rPr>
      <w:b/>
      <w:bCs/>
    </w:rPr>
  </w:style>
  <w:style w:type="character" w:customStyle="1" w:styleId="CommentSubjectChar">
    <w:name w:val="Comment Subject Char"/>
    <w:basedOn w:val="CommentTextChar"/>
    <w:link w:val="CommentSubject"/>
    <w:uiPriority w:val="99"/>
    <w:semiHidden/>
    <w:rsid w:val="0098410D"/>
    <w:rPr>
      <w:rFonts w:eastAsiaTheme="minorEastAsia"/>
      <w:b/>
      <w:bCs/>
      <w:sz w:val="20"/>
      <w:szCs w:val="20"/>
    </w:rPr>
  </w:style>
  <w:style w:type="table" w:styleId="DarkList">
    <w:name w:val="Dark List"/>
    <w:basedOn w:val="TableNormal"/>
    <w:uiPriority w:val="99"/>
    <w:semiHidden/>
    <w:rsid w:val="0098410D"/>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98410D"/>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98410D"/>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98410D"/>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98410D"/>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98410D"/>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98410D"/>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98410D"/>
  </w:style>
  <w:style w:type="character" w:customStyle="1" w:styleId="DateChar">
    <w:name w:val="Date Char"/>
    <w:basedOn w:val="DefaultParagraphFont"/>
    <w:link w:val="Date"/>
    <w:uiPriority w:val="99"/>
    <w:semiHidden/>
    <w:rsid w:val="0098410D"/>
    <w:rPr>
      <w:rFonts w:eastAsiaTheme="minorEastAsia"/>
      <w:sz w:val="24"/>
    </w:rPr>
  </w:style>
  <w:style w:type="paragraph" w:styleId="DocumentMap">
    <w:name w:val="Document Map"/>
    <w:basedOn w:val="Normal"/>
    <w:link w:val="DocumentMapChar"/>
    <w:uiPriority w:val="99"/>
    <w:semiHidden/>
    <w:rsid w:val="0098410D"/>
    <w:rPr>
      <w:rFonts w:ascii="Tahoma" w:hAnsi="Tahoma" w:cs="Tahoma"/>
      <w:sz w:val="16"/>
      <w:szCs w:val="16"/>
    </w:rPr>
  </w:style>
  <w:style w:type="character" w:customStyle="1" w:styleId="DocumentMapChar">
    <w:name w:val="Document Map Char"/>
    <w:basedOn w:val="DefaultParagraphFont"/>
    <w:link w:val="DocumentMap"/>
    <w:uiPriority w:val="99"/>
    <w:semiHidden/>
    <w:rsid w:val="0098410D"/>
    <w:rPr>
      <w:rFonts w:ascii="Tahoma" w:eastAsiaTheme="minorEastAsia" w:hAnsi="Tahoma" w:cs="Tahoma"/>
      <w:sz w:val="16"/>
      <w:szCs w:val="16"/>
    </w:rPr>
  </w:style>
  <w:style w:type="paragraph" w:styleId="E-mailSignature">
    <w:name w:val="E-mail Signature"/>
    <w:basedOn w:val="Normal"/>
    <w:link w:val="E-mailSignatureChar"/>
    <w:uiPriority w:val="99"/>
    <w:semiHidden/>
    <w:rsid w:val="0098410D"/>
  </w:style>
  <w:style w:type="character" w:customStyle="1" w:styleId="E-mailSignatureChar">
    <w:name w:val="E-mail Signature Char"/>
    <w:basedOn w:val="DefaultParagraphFont"/>
    <w:link w:val="E-mailSignature"/>
    <w:uiPriority w:val="99"/>
    <w:semiHidden/>
    <w:rsid w:val="0098410D"/>
    <w:rPr>
      <w:rFonts w:eastAsiaTheme="minorEastAsia"/>
      <w:sz w:val="24"/>
    </w:rPr>
  </w:style>
  <w:style w:type="character" w:styleId="EndnoteReference">
    <w:name w:val="endnote reference"/>
    <w:basedOn w:val="DefaultParagraphFont"/>
    <w:uiPriority w:val="99"/>
    <w:semiHidden/>
    <w:rsid w:val="0098410D"/>
    <w:rPr>
      <w:vertAlign w:val="superscript"/>
    </w:rPr>
  </w:style>
  <w:style w:type="paragraph" w:styleId="EndnoteText">
    <w:name w:val="endnote text"/>
    <w:basedOn w:val="Normal"/>
    <w:link w:val="EndnoteTextChar"/>
    <w:uiPriority w:val="99"/>
    <w:semiHidden/>
    <w:rsid w:val="0098410D"/>
    <w:rPr>
      <w:sz w:val="20"/>
      <w:szCs w:val="20"/>
    </w:rPr>
  </w:style>
  <w:style w:type="character" w:customStyle="1" w:styleId="EndnoteTextChar">
    <w:name w:val="Endnote Text Char"/>
    <w:basedOn w:val="DefaultParagraphFont"/>
    <w:link w:val="EndnoteText"/>
    <w:uiPriority w:val="99"/>
    <w:semiHidden/>
    <w:rsid w:val="0098410D"/>
    <w:rPr>
      <w:rFonts w:eastAsiaTheme="minorEastAsia"/>
      <w:sz w:val="20"/>
      <w:szCs w:val="20"/>
    </w:rPr>
  </w:style>
  <w:style w:type="paragraph" w:styleId="EnvelopeAddress">
    <w:name w:val="envelope address"/>
    <w:basedOn w:val="Normal"/>
    <w:uiPriority w:val="99"/>
    <w:semiHidden/>
    <w:rsid w:val="0098410D"/>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98410D"/>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98410D"/>
    <w:rPr>
      <w:color w:val="7030A0" w:themeColor="followedHyperlink"/>
      <w:u w:val="single"/>
    </w:rPr>
  </w:style>
  <w:style w:type="character" w:styleId="HTMLAcronym">
    <w:name w:val="HTML Acronym"/>
    <w:basedOn w:val="DefaultParagraphFont"/>
    <w:uiPriority w:val="99"/>
    <w:semiHidden/>
    <w:rsid w:val="0098410D"/>
  </w:style>
  <w:style w:type="paragraph" w:styleId="HTMLAddress">
    <w:name w:val="HTML Address"/>
    <w:basedOn w:val="Normal"/>
    <w:link w:val="HTMLAddressChar"/>
    <w:uiPriority w:val="99"/>
    <w:semiHidden/>
    <w:rsid w:val="0098410D"/>
    <w:rPr>
      <w:i/>
      <w:iCs/>
    </w:rPr>
  </w:style>
  <w:style w:type="character" w:customStyle="1" w:styleId="HTMLAddressChar">
    <w:name w:val="HTML Address Char"/>
    <w:basedOn w:val="DefaultParagraphFont"/>
    <w:link w:val="HTMLAddress"/>
    <w:uiPriority w:val="99"/>
    <w:semiHidden/>
    <w:rsid w:val="0098410D"/>
    <w:rPr>
      <w:rFonts w:eastAsiaTheme="minorEastAsia"/>
      <w:i/>
      <w:iCs/>
      <w:sz w:val="24"/>
    </w:rPr>
  </w:style>
  <w:style w:type="character" w:styleId="HTMLCite">
    <w:name w:val="HTML Cite"/>
    <w:basedOn w:val="DefaultParagraphFont"/>
    <w:uiPriority w:val="99"/>
    <w:semiHidden/>
    <w:rsid w:val="0098410D"/>
    <w:rPr>
      <w:i/>
      <w:iCs/>
    </w:rPr>
  </w:style>
  <w:style w:type="character" w:styleId="HTMLCode">
    <w:name w:val="HTML Code"/>
    <w:basedOn w:val="DefaultParagraphFont"/>
    <w:uiPriority w:val="99"/>
    <w:semiHidden/>
    <w:rsid w:val="0098410D"/>
    <w:rPr>
      <w:rFonts w:ascii="Consolas" w:hAnsi="Consolas" w:cs="Consolas"/>
      <w:sz w:val="20"/>
      <w:szCs w:val="20"/>
    </w:rPr>
  </w:style>
  <w:style w:type="character" w:styleId="HTMLDefinition">
    <w:name w:val="HTML Definition"/>
    <w:basedOn w:val="DefaultParagraphFont"/>
    <w:uiPriority w:val="99"/>
    <w:semiHidden/>
    <w:rsid w:val="0098410D"/>
    <w:rPr>
      <w:i/>
      <w:iCs/>
    </w:rPr>
  </w:style>
  <w:style w:type="character" w:styleId="HTMLKeyboard">
    <w:name w:val="HTML Keyboard"/>
    <w:basedOn w:val="DefaultParagraphFont"/>
    <w:uiPriority w:val="99"/>
    <w:semiHidden/>
    <w:rsid w:val="0098410D"/>
    <w:rPr>
      <w:rFonts w:ascii="Consolas" w:hAnsi="Consolas" w:cs="Consolas"/>
      <w:sz w:val="20"/>
      <w:szCs w:val="20"/>
    </w:rPr>
  </w:style>
  <w:style w:type="paragraph" w:styleId="HTMLPreformatted">
    <w:name w:val="HTML Preformatted"/>
    <w:basedOn w:val="Normal"/>
    <w:link w:val="HTMLPreformattedChar"/>
    <w:uiPriority w:val="99"/>
    <w:semiHidden/>
    <w:rsid w:val="0098410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8410D"/>
    <w:rPr>
      <w:rFonts w:ascii="Consolas" w:eastAsiaTheme="minorEastAsia" w:hAnsi="Consolas" w:cs="Consolas"/>
      <w:sz w:val="20"/>
      <w:szCs w:val="20"/>
    </w:rPr>
  </w:style>
  <w:style w:type="character" w:styleId="HTMLSample">
    <w:name w:val="HTML Sample"/>
    <w:basedOn w:val="DefaultParagraphFont"/>
    <w:uiPriority w:val="99"/>
    <w:semiHidden/>
    <w:rsid w:val="0098410D"/>
    <w:rPr>
      <w:rFonts w:ascii="Consolas" w:hAnsi="Consolas" w:cs="Consolas"/>
      <w:sz w:val="24"/>
      <w:szCs w:val="24"/>
    </w:rPr>
  </w:style>
  <w:style w:type="character" w:styleId="HTMLTypewriter">
    <w:name w:val="HTML Typewriter"/>
    <w:basedOn w:val="DefaultParagraphFont"/>
    <w:uiPriority w:val="99"/>
    <w:semiHidden/>
    <w:rsid w:val="0098410D"/>
    <w:rPr>
      <w:rFonts w:ascii="Consolas" w:hAnsi="Consolas" w:cs="Consolas"/>
      <w:sz w:val="20"/>
      <w:szCs w:val="20"/>
    </w:rPr>
  </w:style>
  <w:style w:type="character" w:styleId="HTMLVariable">
    <w:name w:val="HTML Variable"/>
    <w:basedOn w:val="DefaultParagraphFont"/>
    <w:uiPriority w:val="99"/>
    <w:semiHidden/>
    <w:rsid w:val="0098410D"/>
    <w:rPr>
      <w:i/>
      <w:iCs/>
    </w:rPr>
  </w:style>
  <w:style w:type="paragraph" w:styleId="Index1">
    <w:name w:val="index 1"/>
    <w:basedOn w:val="Normal"/>
    <w:next w:val="Normal"/>
    <w:autoRedefine/>
    <w:uiPriority w:val="99"/>
    <w:semiHidden/>
    <w:rsid w:val="0098410D"/>
    <w:pPr>
      <w:ind w:left="240" w:hanging="240"/>
    </w:pPr>
  </w:style>
  <w:style w:type="paragraph" w:styleId="Index2">
    <w:name w:val="index 2"/>
    <w:basedOn w:val="Normal"/>
    <w:next w:val="Normal"/>
    <w:autoRedefine/>
    <w:uiPriority w:val="99"/>
    <w:semiHidden/>
    <w:rsid w:val="0098410D"/>
    <w:pPr>
      <w:ind w:left="480" w:hanging="240"/>
    </w:pPr>
  </w:style>
  <w:style w:type="paragraph" w:styleId="Index3">
    <w:name w:val="index 3"/>
    <w:basedOn w:val="Normal"/>
    <w:next w:val="Normal"/>
    <w:autoRedefine/>
    <w:uiPriority w:val="99"/>
    <w:semiHidden/>
    <w:rsid w:val="0098410D"/>
    <w:pPr>
      <w:ind w:left="720" w:hanging="240"/>
    </w:pPr>
  </w:style>
  <w:style w:type="paragraph" w:styleId="Index4">
    <w:name w:val="index 4"/>
    <w:basedOn w:val="Normal"/>
    <w:next w:val="Normal"/>
    <w:autoRedefine/>
    <w:uiPriority w:val="99"/>
    <w:semiHidden/>
    <w:rsid w:val="0098410D"/>
    <w:pPr>
      <w:ind w:left="960" w:hanging="240"/>
    </w:pPr>
  </w:style>
  <w:style w:type="paragraph" w:styleId="Index5">
    <w:name w:val="index 5"/>
    <w:basedOn w:val="Normal"/>
    <w:next w:val="Normal"/>
    <w:autoRedefine/>
    <w:uiPriority w:val="99"/>
    <w:semiHidden/>
    <w:rsid w:val="0098410D"/>
    <w:pPr>
      <w:ind w:left="1200" w:hanging="240"/>
    </w:pPr>
  </w:style>
  <w:style w:type="paragraph" w:styleId="Index6">
    <w:name w:val="index 6"/>
    <w:basedOn w:val="Normal"/>
    <w:next w:val="Normal"/>
    <w:autoRedefine/>
    <w:uiPriority w:val="99"/>
    <w:semiHidden/>
    <w:rsid w:val="0098410D"/>
    <w:pPr>
      <w:ind w:left="1440" w:hanging="240"/>
    </w:pPr>
  </w:style>
  <w:style w:type="paragraph" w:styleId="Index7">
    <w:name w:val="index 7"/>
    <w:basedOn w:val="Normal"/>
    <w:next w:val="Normal"/>
    <w:autoRedefine/>
    <w:uiPriority w:val="99"/>
    <w:semiHidden/>
    <w:rsid w:val="0098410D"/>
    <w:pPr>
      <w:ind w:left="1680" w:hanging="240"/>
    </w:pPr>
  </w:style>
  <w:style w:type="paragraph" w:styleId="Index8">
    <w:name w:val="index 8"/>
    <w:basedOn w:val="Normal"/>
    <w:next w:val="Normal"/>
    <w:autoRedefine/>
    <w:uiPriority w:val="99"/>
    <w:semiHidden/>
    <w:rsid w:val="0098410D"/>
    <w:pPr>
      <w:ind w:left="1920" w:hanging="240"/>
    </w:pPr>
  </w:style>
  <w:style w:type="paragraph" w:styleId="Index9">
    <w:name w:val="index 9"/>
    <w:basedOn w:val="Normal"/>
    <w:next w:val="Normal"/>
    <w:autoRedefine/>
    <w:uiPriority w:val="99"/>
    <w:semiHidden/>
    <w:rsid w:val="0098410D"/>
    <w:pPr>
      <w:ind w:left="2160" w:hanging="240"/>
    </w:pPr>
  </w:style>
  <w:style w:type="paragraph" w:styleId="IndexHeading">
    <w:name w:val="index heading"/>
    <w:basedOn w:val="Normal"/>
    <w:next w:val="Index1"/>
    <w:uiPriority w:val="99"/>
    <w:semiHidden/>
    <w:rsid w:val="0098410D"/>
    <w:rPr>
      <w:rFonts w:asciiTheme="majorHAnsi" w:eastAsiaTheme="majorEastAsia" w:hAnsiTheme="majorHAnsi" w:cstheme="majorBidi"/>
      <w:b/>
      <w:bCs/>
    </w:rPr>
  </w:style>
  <w:style w:type="table" w:styleId="LightGrid">
    <w:name w:val="Light Grid"/>
    <w:basedOn w:val="TableNormal"/>
    <w:uiPriority w:val="99"/>
    <w:semiHidden/>
    <w:rsid w:val="0098410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98410D"/>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98410D"/>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98410D"/>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98410D"/>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98410D"/>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98410D"/>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98410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98410D"/>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98410D"/>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98410D"/>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98410D"/>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98410D"/>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98410D"/>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9841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98410D"/>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98410D"/>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98410D"/>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98410D"/>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98410D"/>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98410D"/>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98410D"/>
  </w:style>
  <w:style w:type="paragraph" w:styleId="List">
    <w:name w:val="List"/>
    <w:basedOn w:val="Normal"/>
    <w:uiPriority w:val="99"/>
    <w:semiHidden/>
    <w:rsid w:val="0098410D"/>
    <w:pPr>
      <w:ind w:left="283" w:hanging="283"/>
      <w:contextualSpacing/>
    </w:pPr>
  </w:style>
  <w:style w:type="paragraph" w:styleId="List2">
    <w:name w:val="List 2"/>
    <w:basedOn w:val="Normal"/>
    <w:uiPriority w:val="99"/>
    <w:semiHidden/>
    <w:rsid w:val="0098410D"/>
    <w:pPr>
      <w:ind w:left="566" w:hanging="283"/>
      <w:contextualSpacing/>
    </w:pPr>
  </w:style>
  <w:style w:type="paragraph" w:styleId="List3">
    <w:name w:val="List 3"/>
    <w:basedOn w:val="Normal"/>
    <w:uiPriority w:val="99"/>
    <w:semiHidden/>
    <w:rsid w:val="0098410D"/>
    <w:pPr>
      <w:ind w:left="849" w:hanging="283"/>
      <w:contextualSpacing/>
    </w:pPr>
  </w:style>
  <w:style w:type="paragraph" w:styleId="List4">
    <w:name w:val="List 4"/>
    <w:basedOn w:val="Normal"/>
    <w:uiPriority w:val="99"/>
    <w:semiHidden/>
    <w:rsid w:val="0098410D"/>
    <w:pPr>
      <w:ind w:left="1132" w:hanging="283"/>
      <w:contextualSpacing/>
    </w:pPr>
  </w:style>
  <w:style w:type="paragraph" w:styleId="List5">
    <w:name w:val="List 5"/>
    <w:basedOn w:val="Normal"/>
    <w:uiPriority w:val="99"/>
    <w:semiHidden/>
    <w:rsid w:val="0098410D"/>
    <w:pPr>
      <w:ind w:left="1415" w:hanging="283"/>
      <w:contextualSpacing/>
    </w:pPr>
  </w:style>
  <w:style w:type="paragraph" w:styleId="ListBullet2">
    <w:name w:val="List Bullet 2"/>
    <w:basedOn w:val="Normal"/>
    <w:uiPriority w:val="99"/>
    <w:semiHidden/>
    <w:rsid w:val="0098410D"/>
    <w:pPr>
      <w:numPr>
        <w:numId w:val="13"/>
      </w:numPr>
      <w:contextualSpacing/>
    </w:pPr>
  </w:style>
  <w:style w:type="paragraph" w:styleId="ListBullet4">
    <w:name w:val="List Bullet 4"/>
    <w:basedOn w:val="Normal"/>
    <w:uiPriority w:val="99"/>
    <w:semiHidden/>
    <w:rsid w:val="0098410D"/>
    <w:pPr>
      <w:numPr>
        <w:numId w:val="14"/>
      </w:numPr>
      <w:contextualSpacing/>
    </w:pPr>
  </w:style>
  <w:style w:type="paragraph" w:styleId="ListBullet5">
    <w:name w:val="List Bullet 5"/>
    <w:basedOn w:val="Normal"/>
    <w:uiPriority w:val="99"/>
    <w:semiHidden/>
    <w:rsid w:val="0098410D"/>
    <w:pPr>
      <w:numPr>
        <w:numId w:val="15"/>
      </w:numPr>
      <w:contextualSpacing/>
    </w:pPr>
  </w:style>
  <w:style w:type="paragraph" w:styleId="ListContinue">
    <w:name w:val="List Continue"/>
    <w:basedOn w:val="Normal"/>
    <w:uiPriority w:val="99"/>
    <w:semiHidden/>
    <w:rsid w:val="0098410D"/>
    <w:pPr>
      <w:spacing w:after="120"/>
      <w:ind w:left="283"/>
      <w:contextualSpacing/>
    </w:pPr>
  </w:style>
  <w:style w:type="paragraph" w:styleId="ListContinue2">
    <w:name w:val="List Continue 2"/>
    <w:basedOn w:val="Normal"/>
    <w:uiPriority w:val="99"/>
    <w:semiHidden/>
    <w:rsid w:val="0098410D"/>
    <w:pPr>
      <w:spacing w:after="120"/>
      <w:ind w:left="566"/>
      <w:contextualSpacing/>
    </w:pPr>
  </w:style>
  <w:style w:type="paragraph" w:styleId="ListContinue3">
    <w:name w:val="List Continue 3"/>
    <w:basedOn w:val="Normal"/>
    <w:uiPriority w:val="99"/>
    <w:semiHidden/>
    <w:rsid w:val="0098410D"/>
    <w:pPr>
      <w:spacing w:after="120"/>
      <w:ind w:left="849"/>
      <w:contextualSpacing/>
    </w:pPr>
  </w:style>
  <w:style w:type="paragraph" w:styleId="ListContinue4">
    <w:name w:val="List Continue 4"/>
    <w:basedOn w:val="Normal"/>
    <w:uiPriority w:val="99"/>
    <w:semiHidden/>
    <w:rsid w:val="0098410D"/>
    <w:pPr>
      <w:spacing w:after="120"/>
      <w:ind w:left="1132"/>
      <w:contextualSpacing/>
    </w:pPr>
  </w:style>
  <w:style w:type="paragraph" w:styleId="ListContinue5">
    <w:name w:val="List Continue 5"/>
    <w:basedOn w:val="Normal"/>
    <w:uiPriority w:val="99"/>
    <w:semiHidden/>
    <w:rsid w:val="0098410D"/>
    <w:pPr>
      <w:spacing w:after="120"/>
      <w:ind w:left="1415"/>
      <w:contextualSpacing/>
    </w:pPr>
  </w:style>
  <w:style w:type="paragraph" w:styleId="ListNumber">
    <w:name w:val="List Number"/>
    <w:basedOn w:val="Normal"/>
    <w:uiPriority w:val="99"/>
    <w:semiHidden/>
    <w:rsid w:val="0098410D"/>
    <w:pPr>
      <w:numPr>
        <w:numId w:val="16"/>
      </w:numPr>
      <w:contextualSpacing/>
    </w:pPr>
  </w:style>
  <w:style w:type="paragraph" w:styleId="ListNumber2">
    <w:name w:val="List Number 2"/>
    <w:basedOn w:val="Normal"/>
    <w:uiPriority w:val="99"/>
    <w:semiHidden/>
    <w:rsid w:val="0098410D"/>
    <w:pPr>
      <w:numPr>
        <w:numId w:val="17"/>
      </w:numPr>
      <w:contextualSpacing/>
    </w:pPr>
  </w:style>
  <w:style w:type="paragraph" w:styleId="ListNumber3">
    <w:name w:val="List Number 3"/>
    <w:basedOn w:val="Normal"/>
    <w:uiPriority w:val="99"/>
    <w:semiHidden/>
    <w:rsid w:val="0098410D"/>
    <w:pPr>
      <w:numPr>
        <w:numId w:val="18"/>
      </w:numPr>
      <w:contextualSpacing/>
    </w:pPr>
  </w:style>
  <w:style w:type="paragraph" w:styleId="ListNumber4">
    <w:name w:val="List Number 4"/>
    <w:basedOn w:val="Normal"/>
    <w:uiPriority w:val="99"/>
    <w:semiHidden/>
    <w:rsid w:val="0098410D"/>
    <w:pPr>
      <w:numPr>
        <w:numId w:val="19"/>
      </w:numPr>
      <w:contextualSpacing/>
    </w:pPr>
  </w:style>
  <w:style w:type="paragraph" w:styleId="ListNumber5">
    <w:name w:val="List Number 5"/>
    <w:basedOn w:val="Normal"/>
    <w:uiPriority w:val="99"/>
    <w:semiHidden/>
    <w:rsid w:val="0098410D"/>
    <w:pPr>
      <w:numPr>
        <w:numId w:val="20"/>
      </w:numPr>
      <w:contextualSpacing/>
    </w:pPr>
  </w:style>
  <w:style w:type="paragraph" w:styleId="MacroText">
    <w:name w:val="macro"/>
    <w:link w:val="MacroTextChar"/>
    <w:uiPriority w:val="99"/>
    <w:semiHidden/>
    <w:rsid w:val="0098410D"/>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98410D"/>
    <w:rPr>
      <w:rFonts w:ascii="Consolas" w:eastAsiaTheme="minorEastAsia" w:hAnsi="Consolas" w:cs="Consolas"/>
      <w:sz w:val="20"/>
      <w:szCs w:val="20"/>
    </w:rPr>
  </w:style>
  <w:style w:type="table" w:styleId="MediumGrid1">
    <w:name w:val="Medium Grid 1"/>
    <w:basedOn w:val="TableNormal"/>
    <w:uiPriority w:val="99"/>
    <w:semiHidden/>
    <w:rsid w:val="0098410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98410D"/>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98410D"/>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98410D"/>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98410D"/>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98410D"/>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98410D"/>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98410D"/>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98410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98410D"/>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98410D"/>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98410D"/>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98410D"/>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98410D"/>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98410D"/>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98410D"/>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98410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98410D"/>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98410D"/>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98410D"/>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98410D"/>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98410D"/>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98410D"/>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9841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98410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98410D"/>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98410D"/>
    <w:rPr>
      <w:rFonts w:ascii="Times New Roman" w:hAnsi="Times New Roman" w:cs="Times New Roman"/>
      <w:szCs w:val="24"/>
    </w:rPr>
  </w:style>
  <w:style w:type="paragraph" w:styleId="NormalIndent">
    <w:name w:val="Normal Indent"/>
    <w:basedOn w:val="Normal"/>
    <w:uiPriority w:val="99"/>
    <w:semiHidden/>
    <w:rsid w:val="0098410D"/>
    <w:pPr>
      <w:ind w:left="720"/>
    </w:pPr>
  </w:style>
  <w:style w:type="paragraph" w:styleId="NoteHeading">
    <w:name w:val="Note Heading"/>
    <w:basedOn w:val="Normal"/>
    <w:next w:val="Normal"/>
    <w:link w:val="NoteHeadingChar"/>
    <w:uiPriority w:val="99"/>
    <w:semiHidden/>
    <w:rsid w:val="0098410D"/>
  </w:style>
  <w:style w:type="character" w:customStyle="1" w:styleId="NoteHeadingChar">
    <w:name w:val="Note Heading Char"/>
    <w:basedOn w:val="DefaultParagraphFont"/>
    <w:link w:val="NoteHeading"/>
    <w:uiPriority w:val="99"/>
    <w:semiHidden/>
    <w:rsid w:val="0098410D"/>
    <w:rPr>
      <w:rFonts w:eastAsiaTheme="minorEastAsia"/>
      <w:sz w:val="24"/>
    </w:rPr>
  </w:style>
  <w:style w:type="character" w:styleId="PlaceholderText">
    <w:name w:val="Placeholder Text"/>
    <w:basedOn w:val="DefaultParagraphFont"/>
    <w:uiPriority w:val="99"/>
    <w:semiHidden/>
    <w:rsid w:val="00B17470"/>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98410D"/>
    <w:rPr>
      <w:rFonts w:ascii="Consolas" w:hAnsi="Consolas" w:cs="Consolas"/>
      <w:sz w:val="21"/>
      <w:szCs w:val="21"/>
    </w:rPr>
  </w:style>
  <w:style w:type="character" w:customStyle="1" w:styleId="PlainTextChar">
    <w:name w:val="Plain Text Char"/>
    <w:basedOn w:val="DefaultParagraphFont"/>
    <w:link w:val="PlainText"/>
    <w:uiPriority w:val="99"/>
    <w:semiHidden/>
    <w:rsid w:val="0098410D"/>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98410D"/>
  </w:style>
  <w:style w:type="character" w:customStyle="1" w:styleId="SalutationChar">
    <w:name w:val="Salutation Char"/>
    <w:basedOn w:val="DefaultParagraphFont"/>
    <w:link w:val="Salutation"/>
    <w:uiPriority w:val="99"/>
    <w:semiHidden/>
    <w:rsid w:val="0098410D"/>
    <w:rPr>
      <w:rFonts w:eastAsiaTheme="minorEastAsia"/>
      <w:sz w:val="24"/>
    </w:rPr>
  </w:style>
  <w:style w:type="paragraph" w:styleId="Signature">
    <w:name w:val="Signature"/>
    <w:basedOn w:val="Normal"/>
    <w:link w:val="SignatureChar"/>
    <w:uiPriority w:val="99"/>
    <w:semiHidden/>
    <w:rsid w:val="0098410D"/>
    <w:pPr>
      <w:ind w:left="4252"/>
    </w:pPr>
  </w:style>
  <w:style w:type="character" w:customStyle="1" w:styleId="SignatureChar">
    <w:name w:val="Signature Char"/>
    <w:basedOn w:val="DefaultParagraphFont"/>
    <w:link w:val="Signature"/>
    <w:uiPriority w:val="99"/>
    <w:semiHidden/>
    <w:rsid w:val="0098410D"/>
    <w:rPr>
      <w:rFonts w:eastAsiaTheme="minorEastAsia"/>
      <w:sz w:val="24"/>
    </w:rPr>
  </w:style>
  <w:style w:type="table" w:styleId="Table3Deffects1">
    <w:name w:val="Table 3D effects 1"/>
    <w:basedOn w:val="TableNormal"/>
    <w:uiPriority w:val="99"/>
    <w:semiHidden/>
    <w:unhideWhenUsed/>
    <w:rsid w:val="0098410D"/>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8410D"/>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8410D"/>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8410D"/>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8410D"/>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8410D"/>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8410D"/>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8410D"/>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8410D"/>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8410D"/>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8410D"/>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8410D"/>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8410D"/>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8410D"/>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8410D"/>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8410D"/>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8410D"/>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8410D"/>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8410D"/>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8410D"/>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8410D"/>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8410D"/>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8410D"/>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8410D"/>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8410D"/>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8410D"/>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8410D"/>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8410D"/>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8410D"/>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8410D"/>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8410D"/>
    <w:pPr>
      <w:ind w:left="240" w:hanging="240"/>
    </w:pPr>
  </w:style>
  <w:style w:type="paragraph" w:styleId="TableofFigures">
    <w:name w:val="table of figures"/>
    <w:basedOn w:val="Normal"/>
    <w:next w:val="Normal"/>
    <w:uiPriority w:val="99"/>
    <w:semiHidden/>
    <w:rsid w:val="0098410D"/>
  </w:style>
  <w:style w:type="table" w:styleId="TableProfessional">
    <w:name w:val="Table Professional"/>
    <w:basedOn w:val="TableNormal"/>
    <w:uiPriority w:val="99"/>
    <w:semiHidden/>
    <w:unhideWhenUsed/>
    <w:rsid w:val="0098410D"/>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8410D"/>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8410D"/>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8410D"/>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8410D"/>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8410D"/>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8410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8410D"/>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8410D"/>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8410D"/>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B17470"/>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B17470"/>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98410D"/>
    <w:pPr>
      <w:spacing w:after="100"/>
      <w:ind w:left="1680"/>
    </w:pPr>
  </w:style>
  <w:style w:type="paragraph" w:styleId="TOC9">
    <w:name w:val="toc 9"/>
    <w:basedOn w:val="Normal"/>
    <w:next w:val="Normal"/>
    <w:autoRedefine/>
    <w:uiPriority w:val="99"/>
    <w:semiHidden/>
    <w:rsid w:val="0098410D"/>
    <w:pPr>
      <w:spacing w:after="100"/>
      <w:ind w:left="1920"/>
    </w:pPr>
  </w:style>
  <w:style w:type="paragraph" w:customStyle="1" w:styleId="OpiPara">
    <w:name w:val="Opi_Para"/>
    <w:basedOn w:val="ECHRPara"/>
    <w:uiPriority w:val="46"/>
    <w:qFormat/>
    <w:rsid w:val="00B17470"/>
  </w:style>
  <w:style w:type="paragraph" w:customStyle="1" w:styleId="OpiParaSub">
    <w:name w:val="Opi_Para_Sub"/>
    <w:basedOn w:val="JuParaSub"/>
    <w:uiPriority w:val="47"/>
    <w:qFormat/>
    <w:rsid w:val="00B17470"/>
  </w:style>
  <w:style w:type="paragraph" w:customStyle="1" w:styleId="ECHRFooter">
    <w:name w:val="ECHR_Footer"/>
    <w:aliases w:val="Footer_ECHR"/>
    <w:basedOn w:val="Footer"/>
    <w:uiPriority w:val="57"/>
    <w:semiHidden/>
    <w:rsid w:val="00B17470"/>
    <w:pPr>
      <w:jc w:val="left"/>
    </w:pPr>
    <w:rPr>
      <w:sz w:val="8"/>
    </w:rPr>
  </w:style>
  <w:style w:type="paragraph" w:customStyle="1" w:styleId="ECHRFooterLine">
    <w:name w:val="ECHR_Footer_Line"/>
    <w:aliases w:val="Footer_Line"/>
    <w:basedOn w:val="Normal"/>
    <w:next w:val="ECHRFooter"/>
    <w:uiPriority w:val="57"/>
    <w:semiHidden/>
    <w:rsid w:val="00B17470"/>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
    <w:basedOn w:val="Normal"/>
    <w:next w:val="ECHRPara"/>
    <w:uiPriority w:val="8"/>
    <w:qFormat/>
    <w:rsid w:val="00B17470"/>
    <w:pPr>
      <w:spacing w:after="240"/>
      <w:jc w:val="center"/>
      <w:outlineLvl w:val="0"/>
    </w:pPr>
    <w:rPr>
      <w:rFonts w:asciiTheme="majorHAnsi" w:hAnsiTheme="majorHAnsi"/>
    </w:rPr>
  </w:style>
  <w:style w:type="paragraph" w:customStyle="1" w:styleId="OpiQuot">
    <w:name w:val="Opi_Quot"/>
    <w:basedOn w:val="ECHRParaQuote"/>
    <w:uiPriority w:val="48"/>
    <w:qFormat/>
    <w:rsid w:val="00B17470"/>
  </w:style>
  <w:style w:type="paragraph" w:customStyle="1" w:styleId="OpiQuotSub">
    <w:name w:val="Opi_Quot_Sub"/>
    <w:basedOn w:val="JuQuotSub"/>
    <w:uiPriority w:val="49"/>
    <w:qFormat/>
    <w:rsid w:val="00B17470"/>
  </w:style>
  <w:style w:type="paragraph" w:customStyle="1" w:styleId="OpiTranslation">
    <w:name w:val="Opi_Translation"/>
    <w:basedOn w:val="Normal"/>
    <w:next w:val="OpiPara"/>
    <w:uiPriority w:val="40"/>
    <w:qFormat/>
    <w:rsid w:val="00B17470"/>
    <w:pPr>
      <w:jc w:val="center"/>
      <w:outlineLvl w:val="0"/>
    </w:pPr>
    <w:rPr>
      <w:i/>
    </w:rPr>
  </w:style>
  <w:style w:type="character" w:customStyle="1" w:styleId="ECHRParaChar">
    <w:name w:val="ECHR_Para Char"/>
    <w:aliases w:val="Ju_Para Char"/>
    <w:link w:val="ECHRPara"/>
    <w:uiPriority w:val="12"/>
    <w:rsid w:val="00EF7F18"/>
    <w:rPr>
      <w:rFonts w:eastAsiaTheme="minorEastAsia"/>
      <w:sz w:val="24"/>
    </w:rPr>
  </w:style>
  <w:style w:type="character" w:customStyle="1" w:styleId="JuQuotChar">
    <w:name w:val="Ju_Quot Char"/>
    <w:basedOn w:val="DefaultParagraphFont"/>
    <w:link w:val="ECHRParaQuote"/>
    <w:uiPriority w:val="14"/>
    <w:rsid w:val="00EF7F18"/>
    <w:rPr>
      <w:rFonts w:eastAsiaTheme="minorEastAsia"/>
      <w:sz w:val="20"/>
    </w:rPr>
  </w:style>
  <w:style w:type="paragraph" w:customStyle="1" w:styleId="jupara">
    <w:name w:val="jupara"/>
    <w:basedOn w:val="Normal"/>
    <w:rsid w:val="00BF3585"/>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BF3585"/>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C85903-8826-40A6-BED6-BC86DD21E589}"/>
</file>

<file path=customXml/itemProps2.xml><?xml version="1.0" encoding="utf-8"?>
<ds:datastoreItem xmlns:ds="http://schemas.openxmlformats.org/officeDocument/2006/customXml" ds:itemID="{71F0AF88-1D38-4837-8864-33B2F3F24F7A}"/>
</file>

<file path=customXml/itemProps3.xml><?xml version="1.0" encoding="utf-8"?>
<ds:datastoreItem xmlns:ds="http://schemas.openxmlformats.org/officeDocument/2006/customXml" ds:itemID="{FAA9FC0C-153E-42FE-BECD-E5E3C455495A}"/>
</file>

<file path=customXml/itemProps4.xml><?xml version="1.0" encoding="utf-8"?>
<ds:datastoreItem xmlns:ds="http://schemas.openxmlformats.org/officeDocument/2006/customXml" ds:itemID="{604A39F9-588D-4521-B09D-6756B7994C65}"/>
</file>

<file path=docProps/app.xml><?xml version="1.0" encoding="utf-8"?>
<Properties xmlns="http://schemas.openxmlformats.org/officeDocument/2006/extended-properties" xmlns:vt="http://schemas.openxmlformats.org/officeDocument/2006/docPropsVTypes">
  <Template>Normal.dotm</Template>
  <TotalTime>0</TotalTime>
  <Pages>1</Pages>
  <Words>14798</Words>
  <Characters>84353</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98954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2017-11-03T10:15:00Z</dcterms:created>
  <dcterms:modified xsi:type="dcterms:W3CDTF">2017-11-03T10:15:00Z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2156/10</vt:lpwstr>
  </property>
  <property fmtid="{D5CDD505-2E9C-101B-9397-08002B2CF9AE}" pid="4" name="CASEID">
    <vt:lpwstr>616235</vt:lpwstr>
  </property>
  <property fmtid="{D5CDD505-2E9C-101B-9397-08002B2CF9AE}" pid="5" name="ContentTypeId">
    <vt:lpwstr>0x010100558EB02BDB9E204AB350EDD385B68E10</vt:lpwstr>
  </property>
</Properties>
</file>