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D212C" w:rsidR="00014566" w:rsidP="00BD212C" w:rsidRDefault="00014566">
      <w:pPr>
        <w:pStyle w:val="ECHRDecisionBody"/>
        <w:rPr>
          <w:lang w:val="en-GB"/>
        </w:rPr>
      </w:pPr>
      <w:bookmarkStart w:name="_GoBack" w:id="0"/>
      <w:bookmarkEnd w:id="0"/>
    </w:p>
    <w:p w:rsidRPr="00BD212C" w:rsidR="00960206" w:rsidP="00BD212C" w:rsidRDefault="00960206">
      <w:pPr>
        <w:pStyle w:val="ECHRDecisionBody"/>
        <w:rPr>
          <w:lang w:val="en-GB"/>
        </w:rPr>
      </w:pPr>
    </w:p>
    <w:p w:rsidRPr="00BD212C" w:rsidR="00960206" w:rsidP="00BD212C" w:rsidRDefault="00960206">
      <w:pPr>
        <w:pStyle w:val="ECHRDecisionBody"/>
        <w:rPr>
          <w:lang w:val="en-GB"/>
        </w:rPr>
      </w:pPr>
    </w:p>
    <w:p w:rsidRPr="00BD212C" w:rsidR="00014566" w:rsidP="00BD212C" w:rsidRDefault="00960206">
      <w:pPr>
        <w:jc w:val="center"/>
        <w:rPr>
          <w:lang w:val="en-GB"/>
        </w:rPr>
      </w:pPr>
      <w:r w:rsidRPr="00BD212C">
        <w:rPr>
          <w:lang w:val="en-GB"/>
        </w:rPr>
        <w:t>FIRST SECTION</w:t>
      </w:r>
    </w:p>
    <w:p w:rsidRPr="00BD212C" w:rsidR="00014566" w:rsidP="00BD212C" w:rsidRDefault="00014566">
      <w:pPr>
        <w:jc w:val="center"/>
        <w:rPr>
          <w:lang w:val="en-GB"/>
        </w:rPr>
      </w:pPr>
    </w:p>
    <w:p w:rsidRPr="00BD212C" w:rsidR="00960206" w:rsidP="00BD212C" w:rsidRDefault="00960206">
      <w:pPr>
        <w:jc w:val="center"/>
        <w:rPr>
          <w:lang w:val="en-GB"/>
        </w:rPr>
      </w:pPr>
    </w:p>
    <w:p w:rsidRPr="00BD212C" w:rsidR="00960206" w:rsidP="00BD212C" w:rsidRDefault="00960206">
      <w:pPr>
        <w:jc w:val="center"/>
        <w:rPr>
          <w:lang w:val="en-GB"/>
        </w:rPr>
      </w:pPr>
    </w:p>
    <w:p w:rsidRPr="00BD212C" w:rsidR="00960206" w:rsidP="00BD212C" w:rsidRDefault="00960206">
      <w:pPr>
        <w:jc w:val="center"/>
        <w:rPr>
          <w:lang w:val="en-GB"/>
        </w:rPr>
      </w:pPr>
    </w:p>
    <w:p w:rsidRPr="00BD212C" w:rsidR="00960206" w:rsidP="00BD212C" w:rsidRDefault="00960206">
      <w:pPr>
        <w:jc w:val="center"/>
        <w:rPr>
          <w:lang w:val="en-GB"/>
        </w:rPr>
      </w:pPr>
    </w:p>
    <w:p w:rsidRPr="00BD212C" w:rsidR="00960206" w:rsidP="00BD212C" w:rsidRDefault="00960206">
      <w:pPr>
        <w:jc w:val="center"/>
        <w:rPr>
          <w:lang w:val="en-GB"/>
        </w:rPr>
      </w:pPr>
    </w:p>
    <w:p w:rsidRPr="00BD212C" w:rsidR="00014566" w:rsidP="00BD212C" w:rsidRDefault="00014566">
      <w:pPr>
        <w:jc w:val="center"/>
        <w:rPr>
          <w:b/>
          <w:lang w:val="en-GB"/>
        </w:rPr>
      </w:pPr>
      <w:bookmarkStart w:name="To" w:id="1"/>
      <w:r w:rsidRPr="00BD212C">
        <w:rPr>
          <w:b/>
          <w:lang w:val="en-GB"/>
        </w:rPr>
        <w:t xml:space="preserve">CASE OF </w:t>
      </w:r>
      <w:bookmarkEnd w:id="1"/>
      <w:r w:rsidRPr="00BD212C" w:rsidR="00960206">
        <w:rPr>
          <w:b/>
          <w:lang w:val="en-GB"/>
        </w:rPr>
        <w:t>TADDEUCCI AND M</w:t>
      </w:r>
      <w:r w:rsidRPr="00BD212C" w:rsidR="000A37D2">
        <w:rPr>
          <w:b/>
          <w:lang w:val="en-GB"/>
        </w:rPr>
        <w:t>c</w:t>
      </w:r>
      <w:r w:rsidRPr="00BD212C" w:rsidR="00960206">
        <w:rPr>
          <w:b/>
          <w:lang w:val="en-GB"/>
        </w:rPr>
        <w:t>CALL v. ITALY</w:t>
      </w:r>
    </w:p>
    <w:p w:rsidRPr="00BD212C" w:rsidR="00014566" w:rsidP="00BD212C" w:rsidRDefault="00014566">
      <w:pPr>
        <w:jc w:val="center"/>
        <w:rPr>
          <w:lang w:val="en-GB"/>
        </w:rPr>
      </w:pPr>
    </w:p>
    <w:p w:rsidRPr="00BD212C" w:rsidR="00014566" w:rsidP="00BD212C" w:rsidRDefault="00014566">
      <w:pPr>
        <w:jc w:val="center"/>
        <w:rPr>
          <w:i/>
          <w:lang w:val="en-GB"/>
        </w:rPr>
      </w:pPr>
      <w:r w:rsidRPr="00BD212C">
        <w:rPr>
          <w:i/>
          <w:lang w:val="en-GB"/>
        </w:rPr>
        <w:t>(</w:t>
      </w:r>
      <w:r w:rsidRPr="00BD212C" w:rsidR="00960206">
        <w:rPr>
          <w:i/>
          <w:lang w:val="en-GB"/>
        </w:rPr>
        <w:t>Application no. 51362/09</w:t>
      </w:r>
      <w:r w:rsidRPr="00BD212C">
        <w:rPr>
          <w:i/>
          <w:lang w:val="en-GB"/>
        </w:rPr>
        <w:t>)</w:t>
      </w:r>
    </w:p>
    <w:p w:rsidRPr="00BD212C" w:rsidR="00014566" w:rsidP="00BD212C" w:rsidRDefault="00014566">
      <w:pPr>
        <w:jc w:val="center"/>
        <w:rPr>
          <w:lang w:val="en-GB"/>
        </w:rPr>
      </w:pPr>
    </w:p>
    <w:p w:rsidRPr="00BD212C" w:rsidR="00014566" w:rsidP="00BD212C" w:rsidRDefault="00014566">
      <w:pPr>
        <w:jc w:val="center"/>
        <w:rPr>
          <w:lang w:val="en-GB"/>
        </w:rPr>
      </w:pPr>
    </w:p>
    <w:p w:rsidRPr="00BD212C" w:rsidR="00014566" w:rsidP="00BD212C" w:rsidRDefault="00014566">
      <w:pPr>
        <w:jc w:val="center"/>
        <w:rPr>
          <w:lang w:val="en-GB"/>
        </w:rPr>
      </w:pPr>
    </w:p>
    <w:p w:rsidRPr="00BD212C" w:rsidR="00014566" w:rsidP="00BD212C" w:rsidRDefault="00014566">
      <w:pPr>
        <w:jc w:val="center"/>
        <w:rPr>
          <w:lang w:val="en-GB"/>
        </w:rPr>
      </w:pPr>
    </w:p>
    <w:p w:rsidRPr="00BD212C" w:rsidR="00014566" w:rsidP="00BD212C" w:rsidRDefault="00014566">
      <w:pPr>
        <w:jc w:val="center"/>
        <w:rPr>
          <w:lang w:val="en-GB"/>
        </w:rPr>
      </w:pPr>
    </w:p>
    <w:p w:rsidRPr="00BD212C" w:rsidR="00014566" w:rsidP="00BD212C" w:rsidRDefault="00014566">
      <w:pPr>
        <w:jc w:val="center"/>
        <w:rPr>
          <w:lang w:val="en-GB"/>
        </w:rPr>
      </w:pPr>
    </w:p>
    <w:p w:rsidRPr="00BD212C" w:rsidR="00014566" w:rsidP="00BD212C" w:rsidRDefault="00960206">
      <w:pPr>
        <w:jc w:val="center"/>
        <w:rPr>
          <w:szCs w:val="24"/>
          <w:lang w:val="en-GB"/>
        </w:rPr>
      </w:pPr>
      <w:r w:rsidRPr="00BD212C">
        <w:rPr>
          <w:szCs w:val="24"/>
          <w:lang w:val="en-GB"/>
        </w:rPr>
        <w:t>JUDGMENT</w:t>
      </w:r>
    </w:p>
    <w:p w:rsidRPr="00BD212C" w:rsidR="00014566" w:rsidP="00BD212C" w:rsidRDefault="00014566">
      <w:pPr>
        <w:rPr>
          <w:szCs w:val="24"/>
          <w:lang w:val="en-GB"/>
        </w:rPr>
      </w:pPr>
    </w:p>
    <w:p w:rsidRPr="00BD212C" w:rsidR="00960206" w:rsidP="00BD212C" w:rsidRDefault="00960206">
      <w:pPr>
        <w:pStyle w:val="JuCase"/>
        <w:ind w:firstLine="0"/>
        <w:jc w:val="center"/>
        <w:rPr>
          <w:b w:val="0"/>
          <w:lang w:val="en-GB"/>
        </w:rPr>
      </w:pPr>
    </w:p>
    <w:p w:rsidRPr="00BD212C" w:rsidR="00960206" w:rsidP="00BD212C" w:rsidRDefault="00960206">
      <w:pPr>
        <w:pStyle w:val="JuCase"/>
        <w:ind w:firstLine="0"/>
        <w:jc w:val="center"/>
        <w:rPr>
          <w:b w:val="0"/>
          <w:lang w:val="en-GB"/>
        </w:rPr>
      </w:pPr>
    </w:p>
    <w:p w:rsidRPr="00BD212C" w:rsidR="00960206" w:rsidP="00BD212C" w:rsidRDefault="00960206">
      <w:pPr>
        <w:pStyle w:val="JuCase"/>
        <w:ind w:firstLine="0"/>
        <w:jc w:val="center"/>
        <w:rPr>
          <w:b w:val="0"/>
          <w:lang w:val="en-GB"/>
        </w:rPr>
      </w:pPr>
      <w:r w:rsidRPr="00BD212C">
        <w:rPr>
          <w:b w:val="0"/>
          <w:lang w:val="en-GB"/>
        </w:rPr>
        <w:t>STRASBOURG</w:t>
      </w:r>
    </w:p>
    <w:p w:rsidRPr="00BD212C" w:rsidR="00960206" w:rsidP="00BD212C" w:rsidRDefault="00960206">
      <w:pPr>
        <w:pStyle w:val="JuCase"/>
        <w:ind w:firstLine="0"/>
        <w:jc w:val="center"/>
        <w:rPr>
          <w:b w:val="0"/>
          <w:lang w:val="en-GB"/>
        </w:rPr>
      </w:pPr>
    </w:p>
    <w:p w:rsidRPr="00BD212C" w:rsidR="00960206" w:rsidP="00BD212C" w:rsidRDefault="00960206">
      <w:pPr>
        <w:pStyle w:val="JuCase"/>
        <w:ind w:firstLine="0"/>
        <w:jc w:val="center"/>
        <w:rPr>
          <w:b w:val="0"/>
          <w:lang w:val="en-GB"/>
        </w:rPr>
      </w:pPr>
      <w:r w:rsidRPr="00BD212C">
        <w:rPr>
          <w:b w:val="0"/>
          <w:lang w:val="en-GB"/>
        </w:rPr>
        <w:t>30 June 2016</w:t>
      </w:r>
    </w:p>
    <w:p w:rsidRPr="00BD212C" w:rsidR="00E44D10" w:rsidP="00BD212C" w:rsidRDefault="00E44D10">
      <w:pPr>
        <w:pStyle w:val="ECHRPara"/>
        <w:rPr>
          <w:lang w:val="en-GB"/>
        </w:rPr>
      </w:pPr>
    </w:p>
    <w:p w:rsidRPr="00BD212C" w:rsidR="00E44D10" w:rsidP="00BD212C" w:rsidRDefault="00E44D10">
      <w:pPr>
        <w:pStyle w:val="ECHRPara"/>
        <w:jc w:val="center"/>
        <w:rPr>
          <w:b/>
          <w:color w:val="FF0000"/>
          <w:sz w:val="28"/>
          <w:szCs w:val="28"/>
          <w:u w:val="single"/>
          <w:lang w:val="en-GB"/>
        </w:rPr>
      </w:pPr>
      <w:r w:rsidRPr="00BD212C">
        <w:rPr>
          <w:b/>
          <w:color w:val="FF0000"/>
          <w:sz w:val="28"/>
          <w:szCs w:val="28"/>
          <w:u w:val="single"/>
          <w:lang w:val="en-GB"/>
        </w:rPr>
        <w:t>FINAL</w:t>
      </w:r>
    </w:p>
    <w:p w:rsidRPr="00BD212C" w:rsidR="00960206" w:rsidP="00BD212C" w:rsidRDefault="00960206">
      <w:pPr>
        <w:pStyle w:val="ECHRPara"/>
        <w:rPr>
          <w:b/>
          <w:color w:val="FF0000"/>
          <w:lang w:val="en-GB"/>
        </w:rPr>
      </w:pPr>
    </w:p>
    <w:p w:rsidRPr="00BD212C" w:rsidR="00960206" w:rsidP="00BD212C" w:rsidRDefault="00960206">
      <w:pPr>
        <w:pStyle w:val="JuCase"/>
        <w:ind w:firstLine="0"/>
        <w:jc w:val="center"/>
        <w:rPr>
          <w:b w:val="0"/>
          <w:lang w:val="en-GB"/>
        </w:rPr>
        <w:sectPr w:rsidRPr="00BD212C" w:rsidR="00960206" w:rsidSect="00960206">
          <w:headerReference w:type="default" r:id="rId8"/>
          <w:headerReference w:type="first" r:id="rId9"/>
          <w:footerReference w:type="first" r:id="rId10"/>
          <w:footnotePr>
            <w:numRestart w:val="eachSect"/>
          </w:footnotePr>
          <w:pgSz w:w="11906" w:h="16838" w:code="9"/>
          <w:pgMar w:top="2274" w:right="2274" w:bottom="2274" w:left="2274" w:header="1701" w:footer="720" w:gutter="0"/>
          <w:pgNumType w:start="1"/>
          <w:cols w:space="720"/>
          <w:titlePg/>
          <w:docGrid w:linePitch="326"/>
        </w:sectPr>
      </w:pPr>
      <w:r w:rsidRPr="00BD212C">
        <w:rPr>
          <w:b w:val="0"/>
          <w:i/>
          <w:sz w:val="22"/>
          <w:lang w:val="en-GB"/>
        </w:rPr>
        <w:t>This judgment became final in the circumstances set out in Article 44 § 2 of the Convention. It may be subject to editorial revision</w:t>
      </w:r>
    </w:p>
    <w:p w:rsidRPr="00BD212C" w:rsidR="00014566" w:rsidP="00BD212C" w:rsidRDefault="00014566">
      <w:pPr>
        <w:pStyle w:val="JuCase"/>
        <w:rPr>
          <w:bCs/>
          <w:lang w:val="en-GB"/>
        </w:rPr>
      </w:pPr>
      <w:r w:rsidRPr="00BD212C">
        <w:rPr>
          <w:lang w:val="en-GB"/>
        </w:rPr>
        <w:t xml:space="preserve">In the case of </w:t>
      </w:r>
      <w:r w:rsidRPr="00BD212C" w:rsidR="00960206">
        <w:rPr>
          <w:lang w:val="en-GB"/>
        </w:rPr>
        <w:t>Taddeucci and McCall v. Italy</w:t>
      </w:r>
      <w:r w:rsidRPr="00BD212C">
        <w:rPr>
          <w:lang w:val="en-GB"/>
        </w:rPr>
        <w:t>,</w:t>
      </w:r>
    </w:p>
    <w:p w:rsidRPr="00BD212C" w:rsidR="00014566" w:rsidP="00BD212C" w:rsidRDefault="00014566">
      <w:pPr>
        <w:pStyle w:val="ECHRPara"/>
        <w:rPr>
          <w:lang w:val="en-GB"/>
        </w:rPr>
      </w:pPr>
      <w:r w:rsidRPr="00BD212C">
        <w:rPr>
          <w:lang w:val="en-GB"/>
        </w:rPr>
        <w:t>The European Court of Human Rights (</w:t>
      </w:r>
      <w:r w:rsidRPr="00BD212C" w:rsidR="00960206">
        <w:rPr>
          <w:lang w:val="en-GB"/>
        </w:rPr>
        <w:t>First Section</w:t>
      </w:r>
      <w:r w:rsidRPr="00BD212C">
        <w:rPr>
          <w:lang w:val="en-GB"/>
        </w:rPr>
        <w:t xml:space="preserve">), sitting as a </w:t>
      </w:r>
      <w:r w:rsidRPr="00BD212C" w:rsidR="00960206">
        <w:rPr>
          <w:lang w:val="en-GB"/>
        </w:rPr>
        <w:t>Chamber</w:t>
      </w:r>
      <w:r w:rsidRPr="00BD212C">
        <w:rPr>
          <w:lang w:val="en-GB"/>
        </w:rPr>
        <w:t xml:space="preserve"> composed of:</w:t>
      </w:r>
    </w:p>
    <w:p w:rsidRPr="00BD212C" w:rsidR="00014566" w:rsidP="00BD212C" w:rsidRDefault="003852F1">
      <w:pPr>
        <w:pStyle w:val="ECHRDecisionBody"/>
        <w:rPr>
          <w:lang w:val="en-GB"/>
        </w:rPr>
      </w:pPr>
      <w:r w:rsidRPr="00BD212C">
        <w:tab/>
        <w:t>Mirjana Lazarova Trajkovska,</w:t>
      </w:r>
      <w:r w:rsidRPr="00BD212C">
        <w:rPr>
          <w:i/>
        </w:rPr>
        <w:t xml:space="preserve"> President,</w:t>
      </w:r>
      <w:r w:rsidRPr="00BD212C">
        <w:rPr>
          <w:i/>
        </w:rPr>
        <w:br/>
      </w:r>
      <w:r w:rsidRPr="00BD212C">
        <w:tab/>
        <w:t>Ledi Bianku,</w:t>
      </w:r>
      <w:r w:rsidRPr="00BD212C">
        <w:rPr>
          <w:i/>
        </w:rPr>
        <w:br/>
      </w:r>
      <w:r w:rsidRPr="00BD212C">
        <w:tab/>
        <w:t>Guido Raimondi,</w:t>
      </w:r>
      <w:r w:rsidRPr="00BD212C">
        <w:rPr>
          <w:i/>
        </w:rPr>
        <w:br/>
      </w:r>
      <w:r w:rsidRPr="00BD212C">
        <w:tab/>
        <w:t>Kristina Pardalos,</w:t>
      </w:r>
      <w:r w:rsidRPr="00BD212C">
        <w:rPr>
          <w:i/>
        </w:rPr>
        <w:br/>
      </w:r>
      <w:r w:rsidRPr="00BD212C">
        <w:tab/>
        <w:t>Linos-Alexandre Sicilianos,</w:t>
      </w:r>
      <w:r w:rsidRPr="00BD212C">
        <w:rPr>
          <w:i/>
        </w:rPr>
        <w:br/>
      </w:r>
      <w:r w:rsidRPr="00BD212C">
        <w:tab/>
        <w:t>Robert Spano,</w:t>
      </w:r>
      <w:r w:rsidRPr="00BD212C">
        <w:rPr>
          <w:i/>
        </w:rPr>
        <w:br/>
      </w:r>
      <w:r w:rsidRPr="00BD212C">
        <w:tab/>
        <w:t>Pauliine Koskelo,</w:t>
      </w:r>
      <w:r w:rsidRPr="00BD212C">
        <w:rPr>
          <w:i/>
        </w:rPr>
        <w:t xml:space="preserve"> judges,</w:t>
      </w:r>
      <w:r w:rsidRPr="00BD212C">
        <w:tab/>
      </w:r>
      <w:r w:rsidRPr="00BD212C">
        <w:rPr>
          <w:i/>
          <w:lang w:val="en-GB"/>
        </w:rPr>
        <w:br/>
      </w:r>
      <w:r w:rsidRPr="00BD212C" w:rsidR="00014566">
        <w:rPr>
          <w:lang w:val="en-GB"/>
        </w:rPr>
        <w:t xml:space="preserve">and </w:t>
      </w:r>
      <w:r w:rsidRPr="00BD212C" w:rsidR="00960206">
        <w:rPr>
          <w:lang w:val="en-GB"/>
        </w:rPr>
        <w:t>Abel Campos</w:t>
      </w:r>
      <w:r w:rsidRPr="00BD212C" w:rsidR="00014566">
        <w:rPr>
          <w:lang w:val="en-GB"/>
        </w:rPr>
        <w:t xml:space="preserve">, </w:t>
      </w:r>
      <w:r w:rsidRPr="00BD212C" w:rsidR="00960206">
        <w:rPr>
          <w:i/>
          <w:lang w:val="en-GB"/>
        </w:rPr>
        <w:t xml:space="preserve">Section </w:t>
      </w:r>
      <w:r w:rsidRPr="00BD212C" w:rsidR="00960206">
        <w:rPr>
          <w:i/>
          <w:iCs/>
          <w:lang w:val="en-GB"/>
        </w:rPr>
        <w:t>Registrar</w:t>
      </w:r>
      <w:r w:rsidRPr="00BD212C" w:rsidR="00014566">
        <w:rPr>
          <w:i/>
          <w:lang w:val="en-GB"/>
        </w:rPr>
        <w:t>,</w:t>
      </w:r>
    </w:p>
    <w:p w:rsidRPr="00BD212C" w:rsidR="00014566" w:rsidP="00BD212C" w:rsidRDefault="00014566">
      <w:pPr>
        <w:pStyle w:val="ECHRPara"/>
        <w:rPr>
          <w:lang w:val="en-GB"/>
        </w:rPr>
      </w:pPr>
      <w:r w:rsidRPr="00BD212C">
        <w:rPr>
          <w:lang w:val="en-GB"/>
        </w:rPr>
        <w:t xml:space="preserve">Having deliberated in private on </w:t>
      </w:r>
      <w:r w:rsidRPr="00BD212C" w:rsidR="003852F1">
        <w:rPr>
          <w:lang w:val="en-GB"/>
        </w:rPr>
        <w:t>31 May 2016</w:t>
      </w:r>
      <w:r w:rsidRPr="00BD212C">
        <w:rPr>
          <w:lang w:val="en-GB"/>
        </w:rPr>
        <w:t>,</w:t>
      </w:r>
    </w:p>
    <w:p w:rsidRPr="00BD212C" w:rsidR="00014566" w:rsidP="00BD212C" w:rsidRDefault="00014566">
      <w:pPr>
        <w:pStyle w:val="ECHRPara"/>
        <w:rPr>
          <w:lang w:val="en-GB"/>
        </w:rPr>
      </w:pPr>
      <w:r w:rsidRPr="00BD212C">
        <w:rPr>
          <w:lang w:val="en-GB"/>
        </w:rPr>
        <w:t>Delivers the following judgment, which was adopted on that date:</w:t>
      </w:r>
    </w:p>
    <w:p w:rsidRPr="00BD212C" w:rsidR="00014566" w:rsidP="00BD212C" w:rsidRDefault="00014566">
      <w:pPr>
        <w:pStyle w:val="ECHRTitle1"/>
        <w:rPr>
          <w:lang w:val="en-GB"/>
        </w:rPr>
      </w:pPr>
      <w:r w:rsidRPr="00BD212C">
        <w:rPr>
          <w:lang w:val="en-GB"/>
        </w:rPr>
        <w:t>PROCEDURE</w:t>
      </w:r>
    </w:p>
    <w:p w:rsidRPr="00BD212C" w:rsidR="00893ABA" w:rsidP="00BD212C" w:rsidRDefault="00960206">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1</w:t>
      </w:r>
      <w:r w:rsidRPr="00BD212C">
        <w:rPr>
          <w:lang w:val="en-GB"/>
        </w:rPr>
        <w:fldChar w:fldCharType="end"/>
      </w:r>
      <w:r w:rsidRPr="00BD212C" w:rsidR="00014566">
        <w:rPr>
          <w:lang w:val="en-GB"/>
        </w:rPr>
        <w:t xml:space="preserve">.  The case originated in </w:t>
      </w:r>
      <w:r w:rsidRPr="00BD212C">
        <w:rPr>
          <w:lang w:val="en-GB"/>
        </w:rPr>
        <w:t>an application (no. 51362/09)</w:t>
      </w:r>
      <w:r w:rsidRPr="00BD212C" w:rsidR="00014566">
        <w:rPr>
          <w:lang w:val="en-GB"/>
        </w:rPr>
        <w:t xml:space="preserve"> against </w:t>
      </w:r>
      <w:r w:rsidRPr="00BD212C">
        <w:rPr>
          <w:lang w:val="en-GB"/>
        </w:rPr>
        <w:t>the Italian Republic</w:t>
      </w:r>
      <w:r w:rsidRPr="00BD212C" w:rsidR="00014566">
        <w:rPr>
          <w:lang w:val="en-GB"/>
        </w:rPr>
        <w:t xml:space="preserve"> lodged with the </w:t>
      </w:r>
      <w:r w:rsidRPr="00BD212C">
        <w:rPr>
          <w:lang w:val="en-GB"/>
        </w:rPr>
        <w:t>Court under Article 34</w:t>
      </w:r>
      <w:r w:rsidRPr="00BD212C" w:rsidR="00014566">
        <w:rPr>
          <w:lang w:val="en-GB"/>
        </w:rPr>
        <w:t xml:space="preserve"> of the Convention for the Protection of Human Rights and Fundamental Freedoms (“the Convention”) by </w:t>
      </w:r>
      <w:r w:rsidRPr="00BD212C" w:rsidR="003852F1">
        <w:rPr>
          <w:lang w:val="en-GB"/>
        </w:rPr>
        <w:t>an</w:t>
      </w:r>
      <w:r w:rsidRPr="00BD212C">
        <w:rPr>
          <w:lang w:val="en-GB"/>
        </w:rPr>
        <w:t xml:space="preserve"> Italian</w:t>
      </w:r>
      <w:r w:rsidRPr="00BD212C" w:rsidR="003852F1">
        <w:rPr>
          <w:lang w:val="en-GB"/>
        </w:rPr>
        <w:t xml:space="preserve"> and a New-Zealand national</w:t>
      </w:r>
      <w:r w:rsidRPr="00BD212C">
        <w:rPr>
          <w:lang w:val="en-GB"/>
        </w:rPr>
        <w:t xml:space="preserve">, Mr Roberto Taddeucci and Mr </w:t>
      </w:r>
      <w:r w:rsidRPr="00BD212C" w:rsidR="003852F1">
        <w:rPr>
          <w:lang w:val="en-GB"/>
        </w:rPr>
        <w:t>Douglas McCall</w:t>
      </w:r>
      <w:r w:rsidRPr="00BD212C">
        <w:rPr>
          <w:lang w:val="en-GB"/>
        </w:rPr>
        <w:t xml:space="preserve"> (“the applicants”), on 15 September 2009</w:t>
      </w:r>
      <w:r w:rsidRPr="00BD212C" w:rsidR="00014566">
        <w:rPr>
          <w:lang w:val="en-GB"/>
        </w:rPr>
        <w:t>.</w:t>
      </w:r>
    </w:p>
    <w:p w:rsidRPr="00BD212C" w:rsidR="00960206" w:rsidP="00BD212C" w:rsidRDefault="00960206">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2</w:t>
      </w:r>
      <w:r w:rsidRPr="00BD212C">
        <w:rPr>
          <w:lang w:val="en-GB"/>
        </w:rPr>
        <w:fldChar w:fldCharType="end"/>
      </w:r>
      <w:r w:rsidRPr="00BD212C" w:rsidR="00014566">
        <w:rPr>
          <w:lang w:val="en-GB"/>
        </w:rPr>
        <w:t>.  </w:t>
      </w:r>
      <w:r w:rsidRPr="00BD212C">
        <w:rPr>
          <w:lang w:val="en-GB"/>
        </w:rPr>
        <w:t xml:space="preserve">The applicants were represented </w:t>
      </w:r>
      <w:r w:rsidRPr="00BD212C" w:rsidR="003C7568">
        <w:rPr>
          <w:lang w:val="en-GB"/>
        </w:rPr>
        <w:t xml:space="preserve">before the Court </w:t>
      </w:r>
      <w:r w:rsidRPr="00BD212C">
        <w:rPr>
          <w:lang w:val="en-GB"/>
        </w:rPr>
        <w:t>by Mr R.W. Wintemute, a lawyer practising in Lond</w:t>
      </w:r>
      <w:r w:rsidRPr="00BD212C" w:rsidR="003C7568">
        <w:rPr>
          <w:lang w:val="en-GB"/>
        </w:rPr>
        <w:t>on</w:t>
      </w:r>
      <w:r w:rsidRPr="00BD212C">
        <w:rPr>
          <w:lang w:val="en-GB"/>
        </w:rPr>
        <w:t xml:space="preserve">. </w:t>
      </w:r>
      <w:r w:rsidRPr="00BD212C" w:rsidR="00014566">
        <w:rPr>
          <w:lang w:val="en-GB"/>
        </w:rPr>
        <w:t xml:space="preserve">The </w:t>
      </w:r>
      <w:r w:rsidRPr="00BD212C">
        <w:rPr>
          <w:lang w:val="en-GB"/>
        </w:rPr>
        <w:t>Italian</w:t>
      </w:r>
      <w:r w:rsidRPr="00BD212C" w:rsidR="00014566">
        <w:rPr>
          <w:lang w:val="en-GB"/>
        </w:rPr>
        <w:t xml:space="preserve"> Government (“the Government”) were represented by their Agent, Mrs </w:t>
      </w:r>
      <w:r w:rsidRPr="00BD212C" w:rsidR="003C7568">
        <w:rPr>
          <w:lang w:val="en-GB"/>
        </w:rPr>
        <w:t>E. Spatafora</w:t>
      </w:r>
      <w:r w:rsidRPr="00BD212C" w:rsidR="00014566">
        <w:rPr>
          <w:lang w:val="en-GB"/>
        </w:rPr>
        <w:t xml:space="preserve">, </w:t>
      </w:r>
      <w:r w:rsidRPr="00BD212C" w:rsidR="003C7568">
        <w:rPr>
          <w:lang w:val="en-GB"/>
        </w:rPr>
        <w:t>and by their co-Agent, Mrs P. Accardo</w:t>
      </w:r>
      <w:r w:rsidRPr="00BD212C" w:rsidR="00014566">
        <w:rPr>
          <w:lang w:val="en-GB"/>
        </w:rPr>
        <w:t>.</w:t>
      </w:r>
    </w:p>
    <w:p w:rsidRPr="00BD212C" w:rsidR="00014566" w:rsidP="00BD212C" w:rsidRDefault="00960206">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3</w:t>
      </w:r>
      <w:r w:rsidRPr="00BD212C">
        <w:rPr>
          <w:lang w:val="en-GB"/>
        </w:rPr>
        <w:fldChar w:fldCharType="end"/>
      </w:r>
      <w:r w:rsidRPr="00BD212C">
        <w:rPr>
          <w:lang w:val="en-GB"/>
        </w:rPr>
        <w:t xml:space="preserve">.  The applicants alleged </w:t>
      </w:r>
      <w:r w:rsidRPr="00BD212C" w:rsidR="003C7568">
        <w:rPr>
          <w:lang w:val="en-GB"/>
        </w:rPr>
        <w:t>that the refusal to grant a residence permit</w:t>
      </w:r>
      <w:r w:rsidRPr="00BD212C" w:rsidR="00C0123C">
        <w:rPr>
          <w:lang w:val="en-GB"/>
        </w:rPr>
        <w:t xml:space="preserve"> sought by the second applicant</w:t>
      </w:r>
      <w:r w:rsidRPr="00BD212C" w:rsidR="003C7568">
        <w:t xml:space="preserve"> for family reasons</w:t>
      </w:r>
      <w:r w:rsidRPr="00BD212C" w:rsidR="00C0123C">
        <w:t xml:space="preserve"> had</w:t>
      </w:r>
      <w:r w:rsidRPr="00BD212C" w:rsidR="003C7568">
        <w:t xml:space="preserve"> </w:t>
      </w:r>
      <w:r w:rsidRPr="00BD212C" w:rsidR="00C0123C">
        <w:t>amounted to</w:t>
      </w:r>
      <w:r w:rsidRPr="00BD212C" w:rsidR="003C7568">
        <w:rPr>
          <w:lang w:val="en-GB"/>
        </w:rPr>
        <w:t xml:space="preserve"> discrimination on grounds of sexual orientation</w:t>
      </w:r>
      <w:r w:rsidRPr="00BD212C">
        <w:rPr>
          <w:lang w:val="en-GB"/>
        </w:rPr>
        <w:t>.</w:t>
      </w:r>
    </w:p>
    <w:p w:rsidRPr="00BD212C" w:rsidR="00014566" w:rsidP="00BD212C" w:rsidRDefault="00960206">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4</w:t>
      </w:r>
      <w:r w:rsidRPr="00BD212C">
        <w:rPr>
          <w:lang w:val="en-GB"/>
        </w:rPr>
        <w:fldChar w:fldCharType="end"/>
      </w:r>
      <w:r w:rsidRPr="00BD212C" w:rsidR="00014566">
        <w:rPr>
          <w:lang w:val="en-GB"/>
        </w:rPr>
        <w:t>.  </w:t>
      </w:r>
      <w:r w:rsidRPr="00BD212C">
        <w:rPr>
          <w:lang w:val="en-GB"/>
        </w:rPr>
        <w:t>On 10 January 2012</w:t>
      </w:r>
      <w:r w:rsidRPr="00BD212C" w:rsidR="00014566">
        <w:rPr>
          <w:lang w:val="en-GB"/>
        </w:rPr>
        <w:t xml:space="preserve"> the </w:t>
      </w:r>
      <w:r w:rsidRPr="00BD212C">
        <w:rPr>
          <w:lang w:val="en-GB"/>
        </w:rPr>
        <w:t>application was communicated to the Government</w:t>
      </w:r>
      <w:r w:rsidRPr="00BD212C" w:rsidR="00014566">
        <w:rPr>
          <w:lang w:val="en-GB"/>
        </w:rPr>
        <w:t>.</w:t>
      </w:r>
    </w:p>
    <w:p w:rsidRPr="00BD212C" w:rsidR="00ED728A" w:rsidP="00BD212C" w:rsidRDefault="00ED728A">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5</w:t>
      </w:r>
      <w:r w:rsidRPr="00BD212C">
        <w:rPr>
          <w:lang w:val="en-GB"/>
        </w:rPr>
        <w:fldChar w:fldCharType="end"/>
      </w:r>
      <w:r w:rsidRPr="00BD212C">
        <w:rPr>
          <w:lang w:val="en-GB"/>
        </w:rPr>
        <w:t>.  The applicants and the respondent Government each filed written observations. In addition, third-party comments were received from four non-governmental organisations (International Commission of Jurists</w:t>
      </w:r>
      <w:r w:rsidRPr="00BD212C">
        <w:rPr>
          <w:i/>
          <w:lang w:val="en-GB"/>
        </w:rPr>
        <w:t xml:space="preserve"> </w:t>
      </w:r>
      <w:r w:rsidRPr="00BD212C">
        <w:rPr>
          <w:lang w:val="en-GB"/>
        </w:rPr>
        <w:t>(ICJ), International Lesbian, Gay, Bisexual Trans and Intersex Association (ILGA) Europe, Network of European LGBT Families (NELFA) and European Commission on Sexual Orientation Law</w:t>
      </w:r>
      <w:r w:rsidRPr="00BD212C">
        <w:rPr>
          <w:i/>
          <w:lang w:val="en-GB"/>
        </w:rPr>
        <w:t xml:space="preserve"> </w:t>
      </w:r>
      <w:r w:rsidRPr="00BD212C">
        <w:rPr>
          <w:lang w:val="en-GB"/>
        </w:rPr>
        <w:t xml:space="preserve">(ECSOL)), </w:t>
      </w:r>
      <w:r w:rsidRPr="00BD212C">
        <w:t xml:space="preserve">which had been given leave by the President of the Chamber to intervene in the written procedure </w:t>
      </w:r>
      <w:r w:rsidRPr="00BD212C">
        <w:rPr>
          <w:lang w:val="en-GB"/>
        </w:rPr>
        <w:t>(Article 36 § 2 of the Convention and Rule 44 § 3 of the Rules of Court (“the Rules of Court”).</w:t>
      </w:r>
    </w:p>
    <w:p w:rsidRPr="00BD212C" w:rsidR="00ED728A" w:rsidP="00BD212C" w:rsidRDefault="00ED728A">
      <w:pPr>
        <w:pStyle w:val="ECHRPara"/>
        <w:rPr>
          <w:szCs w:val="24"/>
          <w:lang w:val="en-GB" w:eastAsia="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6</w:t>
      </w:r>
      <w:r w:rsidRPr="00BD212C">
        <w:rPr>
          <w:lang w:val="fr-FR"/>
        </w:rPr>
        <w:fldChar w:fldCharType="end"/>
      </w:r>
      <w:r w:rsidRPr="00BD212C">
        <w:rPr>
          <w:lang w:val="en-GB"/>
        </w:rPr>
        <w:t>.  </w:t>
      </w:r>
      <w:r w:rsidRPr="00BD212C" w:rsidR="00C901EB">
        <w:rPr>
          <w:lang w:val="en-GB"/>
        </w:rPr>
        <w:t>On</w:t>
      </w:r>
      <w:r w:rsidRPr="00BD212C">
        <w:rPr>
          <w:lang w:val="en-GB"/>
        </w:rPr>
        <w:t xml:space="preserve"> 19 </w:t>
      </w:r>
      <w:r w:rsidRPr="00BD212C" w:rsidR="00C901EB">
        <w:rPr>
          <w:lang w:val="en-GB"/>
        </w:rPr>
        <w:t>June</w:t>
      </w:r>
      <w:r w:rsidRPr="00BD212C">
        <w:rPr>
          <w:lang w:val="en-GB"/>
        </w:rPr>
        <w:t xml:space="preserve"> 2014</w:t>
      </w:r>
      <w:r w:rsidRPr="00BD212C" w:rsidR="00C901EB">
        <w:rPr>
          <w:lang w:val="en-GB"/>
        </w:rPr>
        <w:t xml:space="preserve"> the applica</w:t>
      </w:r>
      <w:r w:rsidRPr="00BD212C">
        <w:rPr>
          <w:lang w:val="en-GB"/>
        </w:rPr>
        <w:t xml:space="preserve">nts </w:t>
      </w:r>
      <w:r w:rsidRPr="00BD212C" w:rsidR="00C901EB">
        <w:rPr>
          <w:lang w:val="en-GB"/>
        </w:rPr>
        <w:t xml:space="preserve">requested the </w:t>
      </w:r>
      <w:r w:rsidRPr="00BD212C">
        <w:rPr>
          <w:lang w:val="en-GB"/>
        </w:rPr>
        <w:t>Cour</w:t>
      </w:r>
      <w:r w:rsidRPr="00BD212C" w:rsidR="00C901EB">
        <w:rPr>
          <w:lang w:val="en-GB"/>
        </w:rPr>
        <w:t>t</w:t>
      </w:r>
      <w:r w:rsidRPr="00BD212C">
        <w:rPr>
          <w:lang w:val="en-GB"/>
        </w:rPr>
        <w:t xml:space="preserve"> </w:t>
      </w:r>
      <w:r w:rsidRPr="00BD212C" w:rsidR="00C901EB">
        <w:rPr>
          <w:lang w:val="en-GB"/>
        </w:rPr>
        <w:t>to hold a hearing on the admissibility and merits of the cas</w:t>
      </w:r>
      <w:r w:rsidRPr="00BD212C">
        <w:rPr>
          <w:lang w:val="en-GB"/>
        </w:rPr>
        <w:t xml:space="preserve">e. </w:t>
      </w:r>
      <w:r w:rsidRPr="00BD212C" w:rsidR="00C901EB">
        <w:rPr>
          <w:lang w:val="en-GB"/>
        </w:rPr>
        <w:t>The</w:t>
      </w:r>
      <w:r w:rsidRPr="00BD212C">
        <w:rPr>
          <w:lang w:val="en-GB"/>
        </w:rPr>
        <w:t xml:space="preserve"> Cour</w:t>
      </w:r>
      <w:r w:rsidRPr="00BD212C" w:rsidR="00C901EB">
        <w:rPr>
          <w:lang w:val="en-GB"/>
        </w:rPr>
        <w:t>t considered that a hearing was unnecessary in the present cas</w:t>
      </w:r>
      <w:r w:rsidRPr="00BD212C">
        <w:rPr>
          <w:lang w:val="en-GB"/>
        </w:rPr>
        <w:t>e (</w:t>
      </w:r>
      <w:r w:rsidRPr="00BD212C" w:rsidR="00C901EB">
        <w:rPr>
          <w:lang w:val="en-GB"/>
        </w:rPr>
        <w:t>Rules</w:t>
      </w:r>
      <w:r w:rsidRPr="00BD212C">
        <w:rPr>
          <w:lang w:val="en-GB"/>
        </w:rPr>
        <w:t xml:space="preserve"> 54 § 5 </w:t>
      </w:r>
      <w:r w:rsidRPr="00BD212C" w:rsidR="00C901EB">
        <w:rPr>
          <w:lang w:val="en-GB"/>
        </w:rPr>
        <w:t>and</w:t>
      </w:r>
      <w:r w:rsidRPr="00BD212C">
        <w:rPr>
          <w:lang w:val="en-GB"/>
        </w:rPr>
        <w:t xml:space="preserve"> 59 § 3).</w:t>
      </w:r>
    </w:p>
    <w:p w:rsidRPr="00BD212C" w:rsidR="00014566" w:rsidP="00BD212C" w:rsidRDefault="00014566">
      <w:pPr>
        <w:pStyle w:val="ECHRTitle1"/>
        <w:rPr>
          <w:lang w:val="en-GB"/>
        </w:rPr>
      </w:pPr>
      <w:r w:rsidRPr="00BD212C">
        <w:rPr>
          <w:lang w:val="en-GB"/>
        </w:rPr>
        <w:t>THE FACTS</w:t>
      </w:r>
    </w:p>
    <w:p w:rsidRPr="00BD212C" w:rsidR="00014566" w:rsidP="00BD212C" w:rsidRDefault="00014566">
      <w:pPr>
        <w:pStyle w:val="ECHRHeading1"/>
        <w:rPr>
          <w:lang w:val="en-GB"/>
        </w:rPr>
      </w:pPr>
      <w:r w:rsidRPr="00BD212C">
        <w:rPr>
          <w:lang w:val="en-GB"/>
        </w:rPr>
        <w:t>I.  THE CIRCUMSTANCES OF THE CASE</w:t>
      </w:r>
    </w:p>
    <w:p w:rsidRPr="00BD212C" w:rsidR="00014566" w:rsidP="00BD212C" w:rsidRDefault="00960206">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7</w:t>
      </w:r>
      <w:r w:rsidRPr="00BD212C">
        <w:rPr>
          <w:lang w:val="en-GB"/>
        </w:rPr>
        <w:fldChar w:fldCharType="end"/>
      </w:r>
      <w:r w:rsidRPr="00BD212C" w:rsidR="00014566">
        <w:rPr>
          <w:lang w:val="en-GB"/>
        </w:rPr>
        <w:t>.  </w:t>
      </w:r>
      <w:r w:rsidRPr="00BD212C" w:rsidR="00C901EB">
        <w:rPr>
          <w:lang w:val="en-GB"/>
        </w:rPr>
        <w:t xml:space="preserve">Mr Tadeucci </w:t>
      </w:r>
      <w:r w:rsidRPr="00BD212C" w:rsidR="00265B09">
        <w:rPr>
          <w:lang w:val="en-GB"/>
        </w:rPr>
        <w:t>(</w:t>
      </w:r>
      <w:r w:rsidRPr="00BD212C" w:rsidR="00C901EB">
        <w:rPr>
          <w:lang w:val="en-GB"/>
        </w:rPr>
        <w:t>“the first</w:t>
      </w:r>
      <w:r w:rsidRPr="00BD212C" w:rsidR="00014566">
        <w:rPr>
          <w:lang w:val="en-GB"/>
        </w:rPr>
        <w:t xml:space="preserve"> </w:t>
      </w:r>
      <w:r w:rsidRPr="00BD212C">
        <w:rPr>
          <w:lang w:val="en-GB"/>
        </w:rPr>
        <w:t>applicant</w:t>
      </w:r>
      <w:r w:rsidRPr="00BD212C" w:rsidR="00C901EB">
        <w:rPr>
          <w:lang w:val="en-GB"/>
        </w:rPr>
        <w:t>”)</w:t>
      </w:r>
      <w:r w:rsidRPr="00BD212C">
        <w:rPr>
          <w:lang w:val="en-GB"/>
        </w:rPr>
        <w:t xml:space="preserve"> was born in 1965</w:t>
      </w:r>
      <w:r w:rsidRPr="00BD212C" w:rsidR="00C901EB">
        <w:rPr>
          <w:lang w:val="en-GB"/>
        </w:rPr>
        <w:t>. Mr McCall (“the second applicant”) was born in 1958.</w:t>
      </w:r>
      <w:r w:rsidRPr="00BD212C">
        <w:rPr>
          <w:lang w:val="en-GB"/>
        </w:rPr>
        <w:t xml:space="preserve"> </w:t>
      </w:r>
      <w:r w:rsidRPr="00BD212C" w:rsidR="00265B09">
        <w:rPr>
          <w:lang w:val="en-GB"/>
        </w:rPr>
        <w:t>They</w:t>
      </w:r>
      <w:r w:rsidRPr="00BD212C">
        <w:rPr>
          <w:lang w:val="en-GB"/>
        </w:rPr>
        <w:t xml:space="preserve"> live</w:t>
      </w:r>
      <w:r w:rsidRPr="00BD212C" w:rsidR="00014566">
        <w:rPr>
          <w:lang w:val="en-GB"/>
        </w:rPr>
        <w:t xml:space="preserve"> in </w:t>
      </w:r>
      <w:r w:rsidRPr="00BD212C">
        <w:rPr>
          <w:lang w:val="en-GB"/>
        </w:rPr>
        <w:t>Amsterdam</w:t>
      </w:r>
      <w:r w:rsidRPr="00BD212C" w:rsidR="00014566">
        <w:rPr>
          <w:lang w:val="en-GB"/>
        </w:rPr>
        <w:t>.</w:t>
      </w:r>
    </w:p>
    <w:p w:rsidRPr="00BD212C" w:rsidR="00893ABA" w:rsidP="00BD212C" w:rsidRDefault="00ED728A">
      <w:pPr>
        <w:pStyle w:val="ECHRHeading2"/>
        <w:rPr>
          <w:lang w:val="en-GB"/>
        </w:rPr>
      </w:pPr>
      <w:r w:rsidRPr="00BD212C">
        <w:rPr>
          <w:lang w:val="en-GB"/>
        </w:rPr>
        <w:t>A.  </w:t>
      </w:r>
      <w:r w:rsidRPr="00BD212C" w:rsidR="00265B09">
        <w:rPr>
          <w:lang w:val="en-GB"/>
        </w:rPr>
        <w:t>Application by the second applicant for a residence permit</w:t>
      </w:r>
      <w:r w:rsidRPr="00BD212C">
        <w:rPr>
          <w:lang w:val="en-GB"/>
        </w:rPr>
        <w:t xml:space="preserve"> </w:t>
      </w:r>
      <w:r w:rsidRPr="00BD212C" w:rsidR="00265B09">
        <w:rPr>
          <w:lang w:val="en-GB"/>
        </w:rPr>
        <w:t>for family reasons</w:t>
      </w:r>
    </w:p>
    <w:p w:rsidRPr="00BD212C" w:rsidR="00014566" w:rsidP="00BD212C" w:rsidRDefault="00960206">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8</w:t>
      </w:r>
      <w:r w:rsidRPr="00BD212C">
        <w:rPr>
          <w:lang w:val="en-GB"/>
        </w:rPr>
        <w:fldChar w:fldCharType="end"/>
      </w:r>
      <w:r w:rsidRPr="00BD212C" w:rsidR="00014566">
        <w:rPr>
          <w:lang w:val="en-GB"/>
        </w:rPr>
        <w:t>.  </w:t>
      </w:r>
      <w:r w:rsidRPr="00BD212C" w:rsidR="00265B09">
        <w:rPr>
          <w:lang w:val="en-GB"/>
        </w:rPr>
        <w:t>The applican</w:t>
      </w:r>
      <w:r w:rsidRPr="00BD212C" w:rsidR="00ED728A">
        <w:rPr>
          <w:lang w:val="en-GB"/>
        </w:rPr>
        <w:t xml:space="preserve">ts </w:t>
      </w:r>
      <w:r w:rsidRPr="00BD212C" w:rsidR="00265B09">
        <w:rPr>
          <w:lang w:val="en-GB"/>
        </w:rPr>
        <w:t xml:space="preserve">have </w:t>
      </w:r>
      <w:r w:rsidRPr="00BD212C" w:rsidR="0055404F">
        <w:rPr>
          <w:lang w:val="en-GB"/>
        </w:rPr>
        <w:t>formed</w:t>
      </w:r>
      <w:r w:rsidRPr="00BD212C" w:rsidR="00265B09">
        <w:rPr>
          <w:lang w:val="en-GB"/>
        </w:rPr>
        <w:t xml:space="preserve"> a </w:t>
      </w:r>
      <w:r w:rsidRPr="00BD212C" w:rsidR="0055404F">
        <w:rPr>
          <w:lang w:val="en-GB"/>
        </w:rPr>
        <w:t>same-sex couple</w:t>
      </w:r>
      <w:r w:rsidRPr="00BD212C" w:rsidR="00265B09">
        <w:rPr>
          <w:lang w:val="en-GB"/>
        </w:rPr>
        <w:t xml:space="preserve"> since</w:t>
      </w:r>
      <w:r w:rsidRPr="00BD212C" w:rsidR="00ED728A">
        <w:rPr>
          <w:lang w:val="en-GB"/>
        </w:rPr>
        <w:t xml:space="preserve"> 1999. </w:t>
      </w:r>
      <w:r w:rsidRPr="00BD212C" w:rsidR="00820D6B">
        <w:rPr>
          <w:lang w:val="en-GB"/>
        </w:rPr>
        <w:t>They lived in New Zealand</w:t>
      </w:r>
      <w:r w:rsidRPr="00BD212C" w:rsidR="00ED728A">
        <w:rPr>
          <w:lang w:val="en-GB"/>
        </w:rPr>
        <w:t xml:space="preserve">, </w:t>
      </w:r>
      <w:r w:rsidRPr="00BD212C" w:rsidR="00820D6B">
        <w:rPr>
          <w:lang w:val="en-GB"/>
        </w:rPr>
        <w:t>with the status of unmarried</w:t>
      </w:r>
      <w:r w:rsidRPr="00BD212C" w:rsidR="00ED728A">
        <w:rPr>
          <w:lang w:val="en-GB"/>
        </w:rPr>
        <w:t xml:space="preserve"> couple,</w:t>
      </w:r>
      <w:r w:rsidRPr="00BD212C" w:rsidR="00820D6B">
        <w:rPr>
          <w:lang w:val="en-GB"/>
        </w:rPr>
        <w:t xml:space="preserve"> until December</w:t>
      </w:r>
      <w:r w:rsidRPr="00BD212C" w:rsidR="00ED728A">
        <w:rPr>
          <w:lang w:val="en-GB"/>
        </w:rPr>
        <w:t xml:space="preserve"> 2003,</w:t>
      </w:r>
      <w:r w:rsidRPr="00BD212C" w:rsidR="00820D6B">
        <w:rPr>
          <w:lang w:val="en-GB"/>
        </w:rPr>
        <w:t xml:space="preserve"> when they decided to settle in Italy on grounds of the first applicant</w:t>
      </w:r>
      <w:r w:rsidRPr="00BD212C" w:rsidR="00BD212C">
        <w:rPr>
          <w:lang w:val="en-GB"/>
        </w:rPr>
        <w:t>’</w:t>
      </w:r>
      <w:r w:rsidRPr="00BD212C" w:rsidR="00820D6B">
        <w:rPr>
          <w:lang w:val="en-GB"/>
        </w:rPr>
        <w:t xml:space="preserve">s </w:t>
      </w:r>
      <w:r w:rsidRPr="00BD212C" w:rsidR="0033424F">
        <w:rPr>
          <w:lang w:val="en-GB"/>
        </w:rPr>
        <w:t>poor health</w:t>
      </w:r>
      <w:r w:rsidRPr="00BD212C" w:rsidR="00ED728A">
        <w:rPr>
          <w:lang w:val="en-GB"/>
        </w:rPr>
        <w:t>.</w:t>
      </w:r>
    </w:p>
    <w:p w:rsidRPr="00BD212C" w:rsidR="00D66CEE" w:rsidP="00BD212C" w:rsidRDefault="00ED728A">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9</w:t>
      </w:r>
      <w:r w:rsidRPr="00BD212C">
        <w:rPr>
          <w:lang w:val="fr-FR"/>
        </w:rPr>
        <w:fldChar w:fldCharType="end"/>
      </w:r>
      <w:r w:rsidRPr="00BD212C">
        <w:rPr>
          <w:lang w:val="en-GB"/>
        </w:rPr>
        <w:t>.  </w:t>
      </w:r>
      <w:r w:rsidRPr="00BD212C" w:rsidR="0033424F">
        <w:rPr>
          <w:lang w:val="en-GB"/>
        </w:rPr>
        <w:t>During their first period of residence in Italy the second applicant had a</w:t>
      </w:r>
      <w:r w:rsidRPr="00BD212C" w:rsidR="00FC3336">
        <w:rPr>
          <w:lang w:val="en-GB"/>
        </w:rPr>
        <w:t xml:space="preserve"> student</w:t>
      </w:r>
      <w:r w:rsidRPr="00BD212C" w:rsidR="00BD212C">
        <w:rPr>
          <w:lang w:val="en-GB"/>
        </w:rPr>
        <w:t>’</w:t>
      </w:r>
      <w:r w:rsidRPr="00BD212C" w:rsidR="00FC3336">
        <w:rPr>
          <w:lang w:val="en-GB"/>
        </w:rPr>
        <w:t>s</w:t>
      </w:r>
      <w:r w:rsidRPr="00BD212C" w:rsidR="0033424F">
        <w:rPr>
          <w:lang w:val="en-GB"/>
        </w:rPr>
        <w:t xml:space="preserve"> temporary residence permit. He subsequently applied for a residence permit for family reasons, under </w:t>
      </w:r>
      <w:r w:rsidRPr="00BD212C" w:rsidR="0033424F">
        <w:t>Legislative Decree no</w:t>
      </w:r>
      <w:r w:rsidRPr="00BD212C" w:rsidR="0033424F">
        <w:rPr>
          <w:lang w:val="en-GB"/>
        </w:rPr>
        <w:t>. 2</w:t>
      </w:r>
      <w:r w:rsidRPr="00BD212C" w:rsidR="00D66CEE">
        <w:rPr>
          <w:lang w:val="en-GB"/>
        </w:rPr>
        <w:t xml:space="preserve">86 of 1998 </w:t>
      </w:r>
      <w:r w:rsidRPr="00BD212C" w:rsidR="00893ABA">
        <w:rPr>
          <w:lang w:val="en-GB"/>
        </w:rPr>
        <w:t>...</w:t>
      </w:r>
      <w:r w:rsidRPr="00BD212C" w:rsidR="00D66CEE">
        <w:rPr>
          <w:lang w:val="en-GB"/>
        </w:rPr>
        <w:t xml:space="preserve"> .</w:t>
      </w:r>
    </w:p>
    <w:p w:rsidRPr="00BD212C" w:rsidR="00ED728A" w:rsidP="00BD212C" w:rsidRDefault="00D66CEE">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10</w:t>
      </w:r>
      <w:r w:rsidRPr="00BD212C">
        <w:rPr>
          <w:lang w:val="en-GB"/>
        </w:rPr>
        <w:fldChar w:fldCharType="end"/>
      </w:r>
      <w:r w:rsidRPr="00BD212C">
        <w:rPr>
          <w:lang w:val="en-GB"/>
        </w:rPr>
        <w:t xml:space="preserve">.  On 18 October 2004 the </w:t>
      </w:r>
      <w:r w:rsidRPr="00BD212C" w:rsidR="007246BC">
        <w:rPr>
          <w:lang w:val="en-GB"/>
        </w:rPr>
        <w:t>chief</w:t>
      </w:r>
      <w:r w:rsidRPr="00BD212C">
        <w:rPr>
          <w:lang w:val="en-GB"/>
        </w:rPr>
        <w:t xml:space="preserve"> of the Livorno police rejected his application on the ground that the statutory criteria were not satisfied.</w:t>
      </w:r>
    </w:p>
    <w:p w:rsidRPr="00BD212C" w:rsidR="00D66CEE" w:rsidP="00BD212C" w:rsidRDefault="00D66CEE">
      <w:pPr>
        <w:pStyle w:val="ECHRHeading2"/>
        <w:rPr>
          <w:lang w:val="en-GB"/>
        </w:rPr>
      </w:pPr>
      <w:r w:rsidRPr="00BD212C">
        <w:rPr>
          <w:lang w:val="en-GB"/>
        </w:rPr>
        <w:t>B.  First-instance civil proceedings</w:t>
      </w:r>
    </w:p>
    <w:p w:rsidRPr="00BD212C" w:rsidR="00D66CEE" w:rsidP="00BD212C" w:rsidRDefault="00D66CEE">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11</w:t>
      </w:r>
      <w:r w:rsidRPr="00BD212C">
        <w:rPr>
          <w:lang w:val="en-GB"/>
        </w:rPr>
        <w:fldChar w:fldCharType="end"/>
      </w:r>
      <w:r w:rsidRPr="00BD212C">
        <w:rPr>
          <w:lang w:val="en-GB"/>
        </w:rPr>
        <w:t xml:space="preserve">.  On 27 January 2005 the applicants </w:t>
      </w:r>
      <w:r w:rsidRPr="00BD212C" w:rsidR="003662C9">
        <w:rPr>
          <w:lang w:val="en-GB"/>
        </w:rPr>
        <w:t>appealed</w:t>
      </w:r>
      <w:r w:rsidRPr="00BD212C">
        <w:rPr>
          <w:lang w:val="en-GB"/>
        </w:rPr>
        <w:t xml:space="preserve"> on the basis of Legislative Decree no. 286 of 1998</w:t>
      </w:r>
      <w:r w:rsidRPr="00BD212C" w:rsidR="003662C9">
        <w:rPr>
          <w:lang w:val="en-GB"/>
        </w:rPr>
        <w:t>,</w:t>
      </w:r>
      <w:r w:rsidRPr="00BD212C">
        <w:rPr>
          <w:lang w:val="en-GB"/>
        </w:rPr>
        <w:t xml:space="preserve"> requesting that the second applicant be issued with a residence permit for family reasons.</w:t>
      </w:r>
    </w:p>
    <w:p w:rsidRPr="00BD212C" w:rsidR="00D66CEE" w:rsidP="00BD212C" w:rsidRDefault="00D66CEE">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12</w:t>
      </w:r>
      <w:r w:rsidRPr="00BD212C">
        <w:rPr>
          <w:lang w:val="en-GB"/>
        </w:rPr>
        <w:fldChar w:fldCharType="end"/>
      </w:r>
      <w:r w:rsidRPr="00BD212C">
        <w:rPr>
          <w:lang w:val="en-GB"/>
        </w:rPr>
        <w:t>.  </w:t>
      </w:r>
      <w:r w:rsidRPr="00BD212C" w:rsidR="003662C9">
        <w:rPr>
          <w:lang w:val="en-GB"/>
        </w:rPr>
        <w:t>In a judgment of 4 July 2005 the Florence Civil Court allowed the applicants</w:t>
      </w:r>
      <w:r w:rsidRPr="00BD212C" w:rsidR="00BD212C">
        <w:rPr>
          <w:lang w:val="en-GB"/>
        </w:rPr>
        <w:t>’</w:t>
      </w:r>
      <w:r w:rsidRPr="00BD212C" w:rsidR="003662C9">
        <w:rPr>
          <w:lang w:val="en-GB"/>
        </w:rPr>
        <w:t xml:space="preserve"> appeal.</w:t>
      </w:r>
    </w:p>
    <w:p w:rsidRPr="00BD212C" w:rsidR="003662C9" w:rsidP="00BD212C" w:rsidRDefault="003662C9">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13</w:t>
      </w:r>
      <w:r w:rsidRPr="00BD212C">
        <w:rPr>
          <w:lang w:val="en-GB"/>
        </w:rPr>
        <w:fldChar w:fldCharType="end"/>
      </w:r>
      <w:r w:rsidRPr="00BD212C">
        <w:rPr>
          <w:lang w:val="en-GB"/>
        </w:rPr>
        <w:t xml:space="preserve">.  The court observed that the </w:t>
      </w:r>
      <w:r w:rsidRPr="00BD212C" w:rsidR="00077D06">
        <w:rPr>
          <w:lang w:val="en-GB"/>
        </w:rPr>
        <w:t>applicants</w:t>
      </w:r>
      <w:r w:rsidRPr="00BD212C">
        <w:rPr>
          <w:lang w:val="en-GB"/>
        </w:rPr>
        <w:t xml:space="preserve"> </w:t>
      </w:r>
      <w:r w:rsidRPr="00BD212C" w:rsidR="00077D06">
        <w:rPr>
          <w:lang w:val="en-GB"/>
        </w:rPr>
        <w:t>were recognised as a couple in New Zealand</w:t>
      </w:r>
      <w:r w:rsidRPr="00BD212C">
        <w:rPr>
          <w:lang w:val="en-GB"/>
        </w:rPr>
        <w:t xml:space="preserve">, </w:t>
      </w:r>
      <w:r w:rsidRPr="00BD212C" w:rsidR="00077D06">
        <w:rPr>
          <w:lang w:val="en-GB"/>
        </w:rPr>
        <w:t>the first applica</w:t>
      </w:r>
      <w:r w:rsidRPr="00BD212C">
        <w:rPr>
          <w:lang w:val="en-GB"/>
        </w:rPr>
        <w:t xml:space="preserve">nt </w:t>
      </w:r>
      <w:r w:rsidRPr="00BD212C" w:rsidR="00077D06">
        <w:rPr>
          <w:lang w:val="en-GB"/>
        </w:rPr>
        <w:t>having</w:t>
      </w:r>
      <w:r w:rsidRPr="00BD212C">
        <w:rPr>
          <w:lang w:val="en-GB"/>
        </w:rPr>
        <w:t xml:space="preserve"> </w:t>
      </w:r>
      <w:r w:rsidRPr="00BD212C" w:rsidR="00077D06">
        <w:rPr>
          <w:lang w:val="en-GB"/>
        </w:rPr>
        <w:t>been issued with a residence permit in that country for family reasons in his capacity as an unmarried partner</w:t>
      </w:r>
      <w:r w:rsidRPr="00BD212C">
        <w:rPr>
          <w:lang w:val="en-GB"/>
        </w:rPr>
        <w:t xml:space="preserve">. </w:t>
      </w:r>
      <w:r w:rsidRPr="00BD212C" w:rsidR="00BD6F9B">
        <w:rPr>
          <w:lang w:val="en-GB"/>
        </w:rPr>
        <w:t>The court found that th</w:t>
      </w:r>
      <w:r w:rsidRPr="00BD212C">
        <w:rPr>
          <w:lang w:val="en-GB"/>
        </w:rPr>
        <w:t xml:space="preserve">e </w:t>
      </w:r>
      <w:r w:rsidRPr="00BD212C" w:rsidR="00BD6F9B">
        <w:rPr>
          <w:lang w:val="en-GB"/>
        </w:rPr>
        <w:t>applicants</w:t>
      </w:r>
      <w:r w:rsidRPr="00BD212C" w:rsidR="00BD212C">
        <w:rPr>
          <w:lang w:val="en-GB"/>
        </w:rPr>
        <w:t>’</w:t>
      </w:r>
      <w:r w:rsidRPr="00BD212C" w:rsidR="00BD6F9B">
        <w:rPr>
          <w:lang w:val="en-GB"/>
        </w:rPr>
        <w:t xml:space="preserve"> status as an unmarried</w:t>
      </w:r>
      <w:r w:rsidRPr="00BD212C">
        <w:rPr>
          <w:lang w:val="en-GB"/>
        </w:rPr>
        <w:t xml:space="preserve"> couple </w:t>
      </w:r>
      <w:r w:rsidRPr="00BD212C" w:rsidR="00BD6F9B">
        <w:rPr>
          <w:lang w:val="en-GB"/>
        </w:rPr>
        <w:t>was not contrary to Italian public policy</w:t>
      </w:r>
      <w:r w:rsidRPr="00BD212C">
        <w:rPr>
          <w:lang w:val="en-GB"/>
        </w:rPr>
        <w:t xml:space="preserve">, </w:t>
      </w:r>
      <w:r w:rsidRPr="00BD212C" w:rsidR="00BD6F9B">
        <w:rPr>
          <w:lang w:val="en-GB"/>
        </w:rPr>
        <w:t>as</w:t>
      </w:r>
      <w:r w:rsidRPr="00BD212C">
        <w:rPr>
          <w:lang w:val="en-GB"/>
        </w:rPr>
        <w:t xml:space="preserve"> </w:t>
      </w:r>
      <w:r w:rsidRPr="00BD212C">
        <w:rPr>
          <w:i/>
          <w:lang w:val="en-GB"/>
        </w:rPr>
        <w:t>de facto</w:t>
      </w:r>
      <w:r w:rsidRPr="00BD212C">
        <w:rPr>
          <w:lang w:val="en-GB"/>
        </w:rPr>
        <w:t xml:space="preserve"> </w:t>
      </w:r>
      <w:r w:rsidRPr="00BD212C" w:rsidR="00BD6F9B">
        <w:rPr>
          <w:lang w:val="en-GB"/>
        </w:rPr>
        <w:t>couples received social and legal recognition in the Italian</w:t>
      </w:r>
      <w:r w:rsidRPr="00BD212C">
        <w:rPr>
          <w:lang w:val="en-GB"/>
        </w:rPr>
        <w:t xml:space="preserve"> sys</w:t>
      </w:r>
      <w:r w:rsidRPr="00BD212C" w:rsidR="00BD6F9B">
        <w:rPr>
          <w:lang w:val="en-GB"/>
        </w:rPr>
        <w:t>te</w:t>
      </w:r>
      <w:r w:rsidRPr="00BD212C">
        <w:rPr>
          <w:lang w:val="en-GB"/>
        </w:rPr>
        <w:t xml:space="preserve">m. </w:t>
      </w:r>
      <w:r w:rsidRPr="00BD212C" w:rsidR="00714899">
        <w:rPr>
          <w:lang w:val="en-GB"/>
        </w:rPr>
        <w:t>In the court</w:t>
      </w:r>
      <w:r w:rsidRPr="00BD212C" w:rsidR="00BD212C">
        <w:rPr>
          <w:lang w:val="en-GB"/>
        </w:rPr>
        <w:t>’</w:t>
      </w:r>
      <w:r w:rsidRPr="00BD212C" w:rsidR="00714899">
        <w:rPr>
          <w:lang w:val="en-GB"/>
        </w:rPr>
        <w:t>s view</w:t>
      </w:r>
      <w:r w:rsidRPr="00BD212C">
        <w:rPr>
          <w:lang w:val="en-GB"/>
        </w:rPr>
        <w:t>,</w:t>
      </w:r>
      <w:r w:rsidRPr="00BD212C" w:rsidR="00714899">
        <w:rPr>
          <w:lang w:val="en-GB"/>
        </w:rPr>
        <w:t xml:space="preserve"> Article</w:t>
      </w:r>
      <w:r w:rsidRPr="00BD212C">
        <w:rPr>
          <w:lang w:val="en-GB"/>
        </w:rPr>
        <w:t xml:space="preserve"> 30 </w:t>
      </w:r>
      <w:r w:rsidRPr="00BD212C" w:rsidR="00714899">
        <w:rPr>
          <w:lang w:val="en-GB"/>
        </w:rPr>
        <w:t>of</w:t>
      </w:r>
      <w:r w:rsidRPr="00BD212C">
        <w:rPr>
          <w:lang w:val="en-GB"/>
        </w:rPr>
        <w:t xml:space="preserve"> </w:t>
      </w:r>
      <w:r w:rsidRPr="00BD212C" w:rsidR="00714899">
        <w:rPr>
          <w:lang w:val="en-GB"/>
        </w:rPr>
        <w:t>Legislative Decree no. 286 of 199</w:t>
      </w:r>
      <w:r w:rsidRPr="00BD212C">
        <w:rPr>
          <w:lang w:val="en-GB"/>
        </w:rPr>
        <w:t xml:space="preserve">8 </w:t>
      </w:r>
      <w:r w:rsidRPr="00BD212C" w:rsidR="00893ABA">
        <w:rPr>
          <w:lang w:val="en-GB"/>
        </w:rPr>
        <w:t>...</w:t>
      </w:r>
      <w:r w:rsidRPr="00BD212C">
        <w:rPr>
          <w:lang w:val="en-GB"/>
        </w:rPr>
        <w:t xml:space="preserve"> </w:t>
      </w:r>
      <w:r w:rsidRPr="00BD212C" w:rsidR="00714899">
        <w:rPr>
          <w:lang w:val="en-GB"/>
        </w:rPr>
        <w:t>had to be interpreted</w:t>
      </w:r>
      <w:r w:rsidRPr="00BD212C">
        <w:rPr>
          <w:lang w:val="en-GB"/>
        </w:rPr>
        <w:t xml:space="preserve"> </w:t>
      </w:r>
      <w:r w:rsidRPr="00BD212C" w:rsidR="00ED1F49">
        <w:rPr>
          <w:lang w:val="en-GB"/>
        </w:rPr>
        <w:t>in conformity with the principles established by the</w:t>
      </w:r>
      <w:r w:rsidRPr="00BD212C">
        <w:rPr>
          <w:lang w:val="en-GB"/>
        </w:rPr>
        <w:t xml:space="preserve"> Constitution, </w:t>
      </w:r>
      <w:r w:rsidRPr="00BD212C" w:rsidR="00ED1F49">
        <w:rPr>
          <w:lang w:val="en-GB"/>
        </w:rPr>
        <w:t>which</w:t>
      </w:r>
      <w:r w:rsidRPr="00BD212C">
        <w:rPr>
          <w:lang w:val="en-GB"/>
        </w:rPr>
        <w:t xml:space="preserve"> </w:t>
      </w:r>
      <w:r w:rsidRPr="00BD212C" w:rsidR="00ED1F49">
        <w:rPr>
          <w:lang w:val="en-GB"/>
        </w:rPr>
        <w:t xml:space="preserve">meant that a same-sex </w:t>
      </w:r>
      <w:r w:rsidRPr="00BD212C" w:rsidR="00B30DFE">
        <w:rPr>
          <w:lang w:val="en-GB"/>
        </w:rPr>
        <w:t xml:space="preserve">cohabiting </w:t>
      </w:r>
      <w:r w:rsidRPr="00BD212C" w:rsidR="00ED1F49">
        <w:rPr>
          <w:lang w:val="en-GB"/>
        </w:rPr>
        <w:t>partner</w:t>
      </w:r>
      <w:r w:rsidRPr="00BD212C">
        <w:rPr>
          <w:lang w:val="en-GB"/>
        </w:rPr>
        <w:t xml:space="preserve"> </w:t>
      </w:r>
      <w:r w:rsidRPr="00BD212C" w:rsidR="00ED1F49">
        <w:rPr>
          <w:lang w:val="en-GB"/>
        </w:rPr>
        <w:t>should be regarded as a “</w:t>
      </w:r>
      <w:r w:rsidRPr="00BD212C">
        <w:rPr>
          <w:lang w:val="en-GB"/>
        </w:rPr>
        <w:t>memb</w:t>
      </w:r>
      <w:r w:rsidRPr="00BD212C" w:rsidR="00714899">
        <w:rPr>
          <w:lang w:val="en-GB"/>
        </w:rPr>
        <w:t>er</w:t>
      </w:r>
      <w:r w:rsidRPr="00BD212C">
        <w:rPr>
          <w:lang w:val="en-GB"/>
        </w:rPr>
        <w:t xml:space="preserve"> </w:t>
      </w:r>
      <w:r w:rsidRPr="00BD212C" w:rsidR="00714899">
        <w:rPr>
          <w:lang w:val="en-GB"/>
        </w:rPr>
        <w:t>of the</w:t>
      </w:r>
      <w:r w:rsidRPr="00BD212C">
        <w:rPr>
          <w:lang w:val="en-GB"/>
        </w:rPr>
        <w:t xml:space="preserve"> </w:t>
      </w:r>
      <w:r w:rsidRPr="00BD212C" w:rsidR="00714899">
        <w:rPr>
          <w:lang w:val="en-GB"/>
        </w:rPr>
        <w:t>family</w:t>
      </w:r>
      <w:r w:rsidRPr="00BD212C" w:rsidR="00ED1F49">
        <w:rPr>
          <w:lang w:val="en-GB"/>
        </w:rPr>
        <w:t>”</w:t>
      </w:r>
      <w:r w:rsidRPr="00BD212C">
        <w:rPr>
          <w:lang w:val="en-GB"/>
        </w:rPr>
        <w:t xml:space="preserve"> </w:t>
      </w:r>
      <w:r w:rsidRPr="00BD212C" w:rsidR="00714899">
        <w:rPr>
          <w:lang w:val="en-GB"/>
        </w:rPr>
        <w:t>of the Italian national</w:t>
      </w:r>
      <w:r w:rsidRPr="00BD212C">
        <w:rPr>
          <w:lang w:val="en-GB"/>
        </w:rPr>
        <w:t xml:space="preserve"> </w:t>
      </w:r>
      <w:r w:rsidRPr="00BD212C" w:rsidR="00ED1F49">
        <w:rPr>
          <w:lang w:val="en-GB"/>
        </w:rPr>
        <w:t>and</w:t>
      </w:r>
      <w:r w:rsidRPr="00BD212C">
        <w:rPr>
          <w:lang w:val="en-GB"/>
        </w:rPr>
        <w:t xml:space="preserve"> </w:t>
      </w:r>
      <w:r w:rsidRPr="00BD212C" w:rsidR="00ED1F49">
        <w:rPr>
          <w:lang w:val="en-GB"/>
        </w:rPr>
        <w:t xml:space="preserve">thus </w:t>
      </w:r>
      <w:r w:rsidRPr="00BD212C" w:rsidR="00F164E9">
        <w:rPr>
          <w:lang w:val="en-GB"/>
        </w:rPr>
        <w:t>entitled</w:t>
      </w:r>
      <w:r w:rsidRPr="00BD212C" w:rsidR="00ED1F49">
        <w:rPr>
          <w:lang w:val="en-GB"/>
        </w:rPr>
        <w:t xml:space="preserve"> to obtain</w:t>
      </w:r>
      <w:r w:rsidRPr="00BD212C">
        <w:rPr>
          <w:lang w:val="en-GB"/>
        </w:rPr>
        <w:t xml:space="preserve"> </w:t>
      </w:r>
      <w:r w:rsidRPr="00BD212C" w:rsidR="00F164E9">
        <w:rPr>
          <w:lang w:val="en-GB"/>
        </w:rPr>
        <w:t>a residence permit</w:t>
      </w:r>
      <w:r w:rsidRPr="00BD212C">
        <w:rPr>
          <w:lang w:val="en-GB"/>
        </w:rPr>
        <w:t>.</w:t>
      </w:r>
    </w:p>
    <w:p w:rsidRPr="00BD212C" w:rsidR="003E1448" w:rsidP="00BD212C" w:rsidRDefault="003E1448">
      <w:pPr>
        <w:pStyle w:val="ECHRPara"/>
        <w:rPr>
          <w:rStyle w:val="ECHRParaCha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14</w:t>
      </w:r>
      <w:r w:rsidRPr="00BD212C">
        <w:rPr>
          <w:lang w:val="en-GB"/>
        </w:rPr>
        <w:fldChar w:fldCharType="end"/>
      </w:r>
      <w:r w:rsidRPr="00BD212C">
        <w:rPr>
          <w:lang w:val="en-GB"/>
        </w:rPr>
        <w:t xml:space="preserve">.  The court found that the right </w:t>
      </w:r>
      <w:r w:rsidRPr="00BD212C" w:rsidR="007F5E25">
        <w:rPr>
          <w:lang w:val="en-GB"/>
        </w:rPr>
        <w:t>asserted</w:t>
      </w:r>
      <w:r w:rsidRPr="00BD212C">
        <w:rPr>
          <w:lang w:val="en-GB"/>
        </w:rPr>
        <w:t xml:space="preserve"> by the second applicant also derived from Articles 3 and 10 of D</w:t>
      </w:r>
      <w:r w:rsidRPr="00BD212C">
        <w:rPr>
          <w:lang w:val="en-GB" w:eastAsia="en-GB"/>
        </w:rPr>
        <w:t xml:space="preserve">irective </w:t>
      </w:r>
      <w:r w:rsidRPr="00BD212C">
        <w:rPr>
          <w:lang w:val="en-GB"/>
        </w:rPr>
        <w:t xml:space="preserve">2004/38/EC of 29 May 2004 of the European Parliament and of the Council </w:t>
      </w:r>
      <w:r w:rsidRPr="00BD212C" w:rsidR="00893ABA">
        <w:rPr>
          <w:lang w:val="en-GB"/>
        </w:rPr>
        <w:t>...</w:t>
      </w:r>
      <w:r w:rsidRPr="00BD212C">
        <w:rPr>
          <w:lang w:val="en-GB"/>
        </w:rPr>
        <w:t xml:space="preserve">, </w:t>
      </w:r>
      <w:r w:rsidRPr="00BD212C" w:rsidR="007F5E25">
        <w:rPr>
          <w:rStyle w:val="ECHRParaChar"/>
          <w:lang w:val="en-GB"/>
        </w:rPr>
        <w:t>which recognised the right of the partner of</w:t>
      </w:r>
      <w:r w:rsidRPr="00BD212C">
        <w:rPr>
          <w:rStyle w:val="ECHRParaChar"/>
          <w:lang w:val="en-GB"/>
        </w:rPr>
        <w:t xml:space="preserve"> a citizen of the European Union (EU) </w:t>
      </w:r>
      <w:r w:rsidRPr="00BD212C" w:rsidR="007F5E25">
        <w:rPr>
          <w:rStyle w:val="ECHRParaChar"/>
          <w:lang w:val="en-GB"/>
        </w:rPr>
        <w:t xml:space="preserve">to obtain a residence permit where the </w:t>
      </w:r>
      <w:r w:rsidRPr="00BD212C">
        <w:rPr>
          <w:rStyle w:val="ECHRParaChar"/>
          <w:lang w:val="en-GB"/>
        </w:rPr>
        <w:t xml:space="preserve">existence </w:t>
      </w:r>
      <w:r w:rsidRPr="00BD212C" w:rsidR="007F5E25">
        <w:rPr>
          <w:rStyle w:val="ECHRParaChar"/>
          <w:lang w:val="en-GB"/>
        </w:rPr>
        <w:t>of a</w:t>
      </w:r>
      <w:r w:rsidRPr="00BD212C">
        <w:rPr>
          <w:rStyle w:val="ECHRParaChar"/>
          <w:lang w:val="en-GB"/>
        </w:rPr>
        <w:t xml:space="preserve"> durable</w:t>
      </w:r>
      <w:r w:rsidRPr="00BD212C" w:rsidR="007F5E25">
        <w:rPr>
          <w:rStyle w:val="ECHRParaChar"/>
          <w:lang w:val="en-GB"/>
        </w:rPr>
        <w:t xml:space="preserve"> relationship</w:t>
      </w:r>
      <w:r w:rsidRPr="00BD212C">
        <w:rPr>
          <w:rStyle w:val="ECHRParaChar"/>
          <w:lang w:val="en-GB"/>
        </w:rPr>
        <w:t xml:space="preserve"> </w:t>
      </w:r>
      <w:r w:rsidRPr="00BD212C" w:rsidR="007F5E25">
        <w:rPr>
          <w:rStyle w:val="ECHRParaChar"/>
          <w:lang w:val="en-GB"/>
        </w:rPr>
        <w:t xml:space="preserve">was </w:t>
      </w:r>
      <w:r w:rsidRPr="00BD212C" w:rsidR="0013575F">
        <w:rPr>
          <w:rStyle w:val="ECHRParaChar"/>
          <w:lang w:val="en-GB"/>
        </w:rPr>
        <w:t>duly attested</w:t>
      </w:r>
      <w:r w:rsidRPr="00BD212C">
        <w:rPr>
          <w:rStyle w:val="ECHRParaChar"/>
          <w:lang w:val="en-GB"/>
        </w:rPr>
        <w:t>.</w:t>
      </w:r>
    </w:p>
    <w:p w:rsidRPr="00BD212C" w:rsidR="00893ABA" w:rsidP="00BD212C" w:rsidRDefault="003E1448">
      <w:pPr>
        <w:pStyle w:val="ECHRHeading2"/>
        <w:rPr>
          <w:lang w:val="en-GB" w:eastAsia="en-GB"/>
        </w:rPr>
      </w:pPr>
      <w:r w:rsidRPr="00BD212C">
        <w:rPr>
          <w:lang w:val="en-GB" w:eastAsia="en-GB"/>
        </w:rPr>
        <w:t>C.  </w:t>
      </w:r>
      <w:r w:rsidRPr="00BD212C" w:rsidR="0013575F">
        <w:rPr>
          <w:lang w:val="en-GB" w:eastAsia="en-GB"/>
        </w:rPr>
        <w:t>Appeal by the Minister of Foreign A</w:t>
      </w:r>
      <w:r w:rsidRPr="00BD212C">
        <w:rPr>
          <w:lang w:val="en-GB" w:eastAsia="en-GB"/>
        </w:rPr>
        <w:t>ffairs</w:t>
      </w:r>
    </w:p>
    <w:p w:rsidRPr="00BD212C" w:rsidR="003E1448" w:rsidP="00BD212C" w:rsidRDefault="003E1448">
      <w:pPr>
        <w:pStyle w:val="ECHRPara"/>
        <w:rPr>
          <w:rStyle w:val="ECHRParaChar"/>
          <w:lang w:val="en-GB"/>
        </w:rPr>
      </w:pPr>
      <w:r w:rsidRPr="00BD212C">
        <w:rPr>
          <w:rStyle w:val="ECHRParaChar"/>
          <w:lang w:val="fr-FR"/>
        </w:rPr>
        <w:fldChar w:fldCharType="begin"/>
      </w:r>
      <w:r w:rsidRPr="00BD212C">
        <w:rPr>
          <w:rStyle w:val="ECHRParaChar"/>
          <w:lang w:val="en-GB"/>
        </w:rPr>
        <w:instrText xml:space="preserve"> SEQ level0 \*arabic </w:instrText>
      </w:r>
      <w:r w:rsidRPr="00BD212C">
        <w:rPr>
          <w:rStyle w:val="ECHRParaChar"/>
          <w:lang w:val="fr-FR"/>
        </w:rPr>
        <w:fldChar w:fldCharType="separate"/>
      </w:r>
      <w:r w:rsidRPr="00BD212C" w:rsidR="00BD212C">
        <w:rPr>
          <w:rStyle w:val="ECHRParaChar"/>
          <w:noProof/>
          <w:lang w:val="en-GB"/>
        </w:rPr>
        <w:t>15</w:t>
      </w:r>
      <w:r w:rsidRPr="00BD212C">
        <w:rPr>
          <w:rStyle w:val="ECHRParaChar"/>
          <w:lang w:val="fr-FR"/>
        </w:rPr>
        <w:fldChar w:fldCharType="end"/>
      </w:r>
      <w:r w:rsidRPr="00BD212C">
        <w:rPr>
          <w:rStyle w:val="ECHRParaChar"/>
          <w:lang w:val="en-GB"/>
        </w:rPr>
        <w:t>.  </w:t>
      </w:r>
      <w:r w:rsidRPr="00BD212C" w:rsidR="0013575F">
        <w:rPr>
          <w:rStyle w:val="ECHRParaChar"/>
          <w:lang w:val="en-GB"/>
        </w:rPr>
        <w:t>The Minister of Foreign Affairs appealed against the judgment of the Florence Civil Court.</w:t>
      </w:r>
    </w:p>
    <w:p w:rsidRPr="00BD212C" w:rsidR="0013575F" w:rsidP="00BD212C" w:rsidRDefault="0013575F">
      <w:pPr>
        <w:pStyle w:val="ECHRPara"/>
        <w:rPr>
          <w:lang w:val="en-GB"/>
        </w:rPr>
      </w:pPr>
      <w:r w:rsidRPr="00BD212C">
        <w:rPr>
          <w:rStyle w:val="ECHRParaChar"/>
          <w:lang w:val="en-GB"/>
        </w:rPr>
        <w:fldChar w:fldCharType="begin"/>
      </w:r>
      <w:r w:rsidRPr="00BD212C">
        <w:rPr>
          <w:rStyle w:val="ECHRParaChar"/>
          <w:lang w:val="en-GB"/>
        </w:rPr>
        <w:instrText xml:space="preserve"> SEQ level0 \*arabic </w:instrText>
      </w:r>
      <w:r w:rsidRPr="00BD212C">
        <w:rPr>
          <w:rStyle w:val="ECHRParaChar"/>
          <w:lang w:val="en-GB"/>
        </w:rPr>
        <w:fldChar w:fldCharType="separate"/>
      </w:r>
      <w:r w:rsidRPr="00BD212C" w:rsidR="00BD212C">
        <w:rPr>
          <w:rStyle w:val="ECHRParaChar"/>
          <w:noProof/>
          <w:lang w:val="en-GB"/>
        </w:rPr>
        <w:t>16</w:t>
      </w:r>
      <w:r w:rsidRPr="00BD212C">
        <w:rPr>
          <w:rStyle w:val="ECHRParaChar"/>
          <w:lang w:val="en-GB"/>
        </w:rPr>
        <w:fldChar w:fldCharType="end"/>
      </w:r>
      <w:r w:rsidRPr="00BD212C">
        <w:rPr>
          <w:rStyle w:val="ECHRParaChar"/>
          <w:lang w:val="en-GB"/>
        </w:rPr>
        <w:t>.  </w:t>
      </w:r>
      <w:r w:rsidRPr="00BD212C">
        <w:rPr>
          <w:lang w:val="en-GB"/>
        </w:rPr>
        <w:t xml:space="preserve">In a judgment of 12 May 2006 the Florence Court of Appeal allowed the appeal. It </w:t>
      </w:r>
      <w:r w:rsidRPr="00BD212C" w:rsidR="00C22619">
        <w:rPr>
          <w:lang w:val="en-GB"/>
        </w:rPr>
        <w:t>observed that the New Zealand authorities had</w:t>
      </w:r>
      <w:r w:rsidRPr="00BD212C">
        <w:rPr>
          <w:lang w:val="en-GB"/>
        </w:rPr>
        <w:t xml:space="preserve"> </w:t>
      </w:r>
      <w:r w:rsidRPr="00BD212C" w:rsidR="00C22619">
        <w:rPr>
          <w:lang w:val="en-GB"/>
        </w:rPr>
        <w:t xml:space="preserve">recognised that the applicants had the status of “unmarried </w:t>
      </w:r>
      <w:r w:rsidRPr="00BD212C" w:rsidR="00B30DFE">
        <w:rPr>
          <w:lang w:val="en-GB"/>
        </w:rPr>
        <w:t>cohabiting</w:t>
      </w:r>
      <w:r w:rsidRPr="00BD212C" w:rsidR="00C22619">
        <w:rPr>
          <w:lang w:val="en-GB"/>
        </w:rPr>
        <w:t xml:space="preserve"> partners” and not</w:t>
      </w:r>
      <w:r w:rsidRPr="00BD212C">
        <w:rPr>
          <w:lang w:val="en-GB"/>
        </w:rPr>
        <w:t xml:space="preserve"> </w:t>
      </w:r>
      <w:r w:rsidRPr="00BD212C" w:rsidR="00C22619">
        <w:rPr>
          <w:lang w:val="en-GB"/>
        </w:rPr>
        <w:t>that of “members of the same family”</w:t>
      </w:r>
      <w:r w:rsidRPr="00BD212C">
        <w:rPr>
          <w:lang w:val="en-GB"/>
        </w:rPr>
        <w:t>.</w:t>
      </w:r>
    </w:p>
    <w:p w:rsidRPr="00BD212C" w:rsidR="005F6F5D" w:rsidP="00BD212C" w:rsidRDefault="0013575F">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17</w:t>
      </w:r>
      <w:r w:rsidRPr="00BD212C">
        <w:rPr>
          <w:lang w:val="fr-FR"/>
        </w:rPr>
        <w:fldChar w:fldCharType="end"/>
      </w:r>
      <w:r w:rsidRPr="00BD212C">
        <w:rPr>
          <w:lang w:val="en-GB"/>
        </w:rPr>
        <w:t>.  </w:t>
      </w:r>
      <w:r w:rsidRPr="00BD212C" w:rsidR="003156AE">
        <w:rPr>
          <w:lang w:val="en-GB"/>
        </w:rPr>
        <w:t>The Court of Appeal found, first, that</w:t>
      </w:r>
      <w:r w:rsidRPr="00BD212C" w:rsidR="005F6F5D">
        <w:rPr>
          <w:lang w:val="en-GB"/>
        </w:rPr>
        <w:t xml:space="preserve"> the lower court</w:t>
      </w:r>
      <w:r w:rsidRPr="00BD212C" w:rsidR="00BD212C">
        <w:rPr>
          <w:lang w:val="en-GB"/>
        </w:rPr>
        <w:t>’</w:t>
      </w:r>
      <w:r w:rsidRPr="00BD212C" w:rsidR="005F6F5D">
        <w:rPr>
          <w:lang w:val="en-GB"/>
        </w:rPr>
        <w:t>s</w:t>
      </w:r>
      <w:r w:rsidRPr="00BD212C" w:rsidR="00D91002">
        <w:rPr>
          <w:lang w:val="en-GB"/>
        </w:rPr>
        <w:t xml:space="preserve"> recommended interpretation of </w:t>
      </w:r>
      <w:r w:rsidRPr="00BD212C" w:rsidR="005F6F5D">
        <w:rPr>
          <w:lang w:val="en-GB"/>
        </w:rPr>
        <w:t>Legislative Decree no. 286 of 1998</w:t>
      </w:r>
      <w:r w:rsidRPr="00BD212C" w:rsidR="00D91002">
        <w:rPr>
          <w:lang w:val="en-GB"/>
        </w:rPr>
        <w:t>,</w:t>
      </w:r>
      <w:r w:rsidRPr="00BD212C" w:rsidR="005F6F5D">
        <w:rPr>
          <w:lang w:val="en-GB"/>
        </w:rPr>
        <w:t xml:space="preserve"> according to which the “</w:t>
      </w:r>
      <w:r w:rsidRPr="00BD212C" w:rsidR="00B30DFE">
        <w:rPr>
          <w:lang w:val="en-GB"/>
        </w:rPr>
        <w:t xml:space="preserve">cohabiting </w:t>
      </w:r>
      <w:r w:rsidRPr="00BD212C" w:rsidR="005F6F5D">
        <w:rPr>
          <w:lang w:val="en-GB"/>
        </w:rPr>
        <w:t xml:space="preserve">partner” was regarded as a “member of the family”, was not compatible with the Italian legal system, which, according to the court, </w:t>
      </w:r>
      <w:r w:rsidRPr="00BD212C" w:rsidR="00B30DFE">
        <w:rPr>
          <w:lang w:val="en-GB"/>
        </w:rPr>
        <w:t>ascribed a different</w:t>
      </w:r>
      <w:r w:rsidRPr="00BD212C" w:rsidR="005F6F5D">
        <w:rPr>
          <w:lang w:val="en-GB"/>
        </w:rPr>
        <w:t xml:space="preserve"> scope and meaning to those two legal </w:t>
      </w:r>
      <w:bookmarkStart w:name="OLE_LINK2" w:id="2"/>
      <w:r w:rsidRPr="00BD212C" w:rsidR="005F6F5D">
        <w:rPr>
          <w:lang w:val="en-GB"/>
        </w:rPr>
        <w:t>concepts</w:t>
      </w:r>
      <w:bookmarkEnd w:id="2"/>
      <w:r w:rsidRPr="00BD212C" w:rsidR="005F6F5D">
        <w:rPr>
          <w:lang w:val="en-GB"/>
        </w:rPr>
        <w:t>. Secondly, the Court of Appeal pointed out that the Constitutional Court had repeatedly held that a relationship based on cohabitation alone,</w:t>
      </w:r>
      <w:r w:rsidRPr="00BD212C" w:rsidR="00D91002">
        <w:rPr>
          <w:lang w:val="en-GB"/>
        </w:rPr>
        <w:t xml:space="preserve"> and</w:t>
      </w:r>
      <w:r w:rsidRPr="00BD212C" w:rsidR="005F6F5D">
        <w:rPr>
          <w:lang w:val="en-GB"/>
        </w:rPr>
        <w:t xml:space="preserve"> lacking stability and legal certainty, could not in any circumstances be </w:t>
      </w:r>
      <w:r w:rsidRPr="00BD212C" w:rsidR="00512F64">
        <w:rPr>
          <w:lang w:val="en-GB"/>
        </w:rPr>
        <w:t>regarded</w:t>
      </w:r>
      <w:r w:rsidRPr="00BD212C" w:rsidR="005F6F5D">
        <w:rPr>
          <w:lang w:val="en-GB"/>
        </w:rPr>
        <w:t xml:space="preserve"> as a legitimate family based on marriage.</w:t>
      </w:r>
    </w:p>
    <w:p w:rsidRPr="00BD212C" w:rsidR="0013575F" w:rsidP="00BD212C" w:rsidRDefault="005F6F5D">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18</w:t>
      </w:r>
      <w:r w:rsidRPr="00BD212C">
        <w:rPr>
          <w:lang w:val="fr-FR"/>
        </w:rPr>
        <w:fldChar w:fldCharType="end"/>
      </w:r>
      <w:r w:rsidRPr="00BD212C">
        <w:rPr>
          <w:lang w:val="en-GB"/>
        </w:rPr>
        <w:t>.  </w:t>
      </w:r>
      <w:r w:rsidRPr="00BD212C" w:rsidR="00170452">
        <w:rPr>
          <w:lang w:val="en-GB"/>
        </w:rPr>
        <w:t>The Court of Appeal found that New Zealand law was not compatible with Italian public policy on the grounds, firstly, that it regarded persons of the same sex as “</w:t>
      </w:r>
      <w:r w:rsidRPr="00BD212C" w:rsidR="00B30DFE">
        <w:rPr>
          <w:lang w:val="en-GB"/>
        </w:rPr>
        <w:t xml:space="preserve">cohabiting </w:t>
      </w:r>
      <w:r w:rsidRPr="00BD212C" w:rsidR="00170452">
        <w:rPr>
          <w:lang w:val="en-GB"/>
        </w:rPr>
        <w:t xml:space="preserve">partners” and, furthermore, that it could be construed as conferring the status of “family members” on them for the purposes of granting them a residence permit. Lastly, it added that neither European law, particularly Directive No 2004/38/EC </w:t>
      </w:r>
      <w:r w:rsidRPr="00BD212C" w:rsidR="00893ABA">
        <w:rPr>
          <w:lang w:val="en-GB"/>
        </w:rPr>
        <w:t>...</w:t>
      </w:r>
      <w:r w:rsidRPr="00BD212C" w:rsidR="00170452">
        <w:rPr>
          <w:lang w:val="en-GB"/>
        </w:rPr>
        <w:t>, nor the provisions of the European Convention on Human Rights</w:t>
      </w:r>
      <w:r w:rsidRPr="00BD212C" w:rsidR="00512F64">
        <w:rPr>
          <w:lang w:val="en-GB"/>
        </w:rPr>
        <w:t>,</w:t>
      </w:r>
      <w:r w:rsidRPr="00BD212C" w:rsidR="00170452">
        <w:rPr>
          <w:lang w:val="en-GB"/>
        </w:rPr>
        <w:t xml:space="preserve"> obliged the States to recognise same-sex relationships.</w:t>
      </w:r>
    </w:p>
    <w:p w:rsidRPr="00BD212C" w:rsidR="005739A2" w:rsidP="00BD212C" w:rsidRDefault="005739A2">
      <w:pPr>
        <w:pStyle w:val="ECHRHeading2"/>
        <w:rPr>
          <w:lang w:val="en-GB"/>
        </w:rPr>
      </w:pPr>
      <w:r w:rsidRPr="00BD212C">
        <w:rPr>
          <w:lang w:val="en-GB"/>
        </w:rPr>
        <w:t>D.  </w:t>
      </w:r>
      <w:r w:rsidRPr="00BD212C" w:rsidR="00B30DFE">
        <w:rPr>
          <w:lang w:val="en-GB"/>
        </w:rPr>
        <w:t>A</w:t>
      </w:r>
      <w:r w:rsidRPr="00BD212C">
        <w:rPr>
          <w:lang w:val="en-GB"/>
        </w:rPr>
        <w:t>ppeal on points of law</w:t>
      </w:r>
      <w:r w:rsidRPr="00BD212C" w:rsidR="00B30DFE">
        <w:rPr>
          <w:lang w:val="en-GB"/>
        </w:rPr>
        <w:t xml:space="preserve"> by the applicants</w:t>
      </w:r>
    </w:p>
    <w:p w:rsidRPr="00BD212C" w:rsidR="005739A2" w:rsidP="00BD212C" w:rsidRDefault="005739A2">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19</w:t>
      </w:r>
      <w:r w:rsidRPr="00BD212C">
        <w:rPr>
          <w:lang w:val="fr-FR"/>
        </w:rPr>
        <w:fldChar w:fldCharType="end"/>
      </w:r>
      <w:r w:rsidRPr="00BD212C">
        <w:rPr>
          <w:lang w:val="en-GB"/>
        </w:rPr>
        <w:t>.  The applicants appealed on points of law.</w:t>
      </w:r>
    </w:p>
    <w:p w:rsidRPr="00BD212C" w:rsidR="005739A2" w:rsidP="00BD212C" w:rsidRDefault="005739A2">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20</w:t>
      </w:r>
      <w:r w:rsidRPr="00BD212C">
        <w:rPr>
          <w:lang w:val="en-GB"/>
        </w:rPr>
        <w:fldChar w:fldCharType="end"/>
      </w:r>
      <w:r w:rsidRPr="00BD212C">
        <w:rPr>
          <w:lang w:val="en-GB"/>
        </w:rPr>
        <w:t>.  In a judgment of 30 September 2008, the text of which was deposited with the registry on 17 March 2009, the Court of Cassation dismissed the applicants</w:t>
      </w:r>
      <w:r w:rsidRPr="00BD212C" w:rsidR="00BD212C">
        <w:rPr>
          <w:lang w:val="en-GB"/>
        </w:rPr>
        <w:t>’</w:t>
      </w:r>
      <w:r w:rsidRPr="00BD212C">
        <w:rPr>
          <w:lang w:val="en-GB"/>
        </w:rPr>
        <w:t xml:space="preserve"> appeal.</w:t>
      </w:r>
    </w:p>
    <w:p w:rsidRPr="00BD212C" w:rsidR="00313EB5" w:rsidP="00BD212C" w:rsidRDefault="00313EB5">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21</w:t>
      </w:r>
      <w:r w:rsidRPr="00BD212C">
        <w:rPr>
          <w:lang w:val="en-GB"/>
        </w:rPr>
        <w:fldChar w:fldCharType="end"/>
      </w:r>
      <w:r w:rsidRPr="00BD212C">
        <w:rPr>
          <w:lang w:val="en-GB"/>
        </w:rPr>
        <w:t>.  The Court of Cassation observed first that, according to the terms of Article 29 of Legislative Decree no.</w:t>
      </w:r>
      <w:r w:rsidRPr="00BD212C">
        <w:rPr>
          <w:vertAlign w:val="superscript"/>
          <w:lang w:val="en-GB"/>
        </w:rPr>
        <w:t> </w:t>
      </w:r>
      <w:r w:rsidRPr="00BD212C">
        <w:rPr>
          <w:lang w:val="en-GB"/>
        </w:rPr>
        <w:t xml:space="preserve">286 of 1998 </w:t>
      </w:r>
      <w:r w:rsidRPr="00BD212C" w:rsidR="00893ABA">
        <w:rPr>
          <w:lang w:val="en-GB"/>
        </w:rPr>
        <w:t>...</w:t>
      </w:r>
      <w:r w:rsidRPr="00BD212C">
        <w:rPr>
          <w:lang w:val="en-GB"/>
        </w:rPr>
        <w:t>, the concept of “family member”</w:t>
      </w:r>
      <w:r w:rsidRPr="00BD212C" w:rsidR="00D91002">
        <w:rPr>
          <w:lang w:val="en-GB"/>
        </w:rPr>
        <w:t xml:space="preserve"> </w:t>
      </w:r>
      <w:r w:rsidRPr="00BD212C" w:rsidR="00113B78">
        <w:rPr>
          <w:lang w:val="en-GB"/>
        </w:rPr>
        <w:t>extended</w:t>
      </w:r>
      <w:r w:rsidRPr="00BD212C" w:rsidR="00D91002">
        <w:rPr>
          <w:lang w:val="en-GB"/>
        </w:rPr>
        <w:t xml:space="preserve"> only</w:t>
      </w:r>
      <w:r w:rsidRPr="00BD212C" w:rsidR="00113B78">
        <w:rPr>
          <w:lang w:val="en-GB"/>
        </w:rPr>
        <w:t xml:space="preserve"> to</w:t>
      </w:r>
      <w:r w:rsidRPr="00BD212C" w:rsidR="00D91002">
        <w:rPr>
          <w:lang w:val="en-GB"/>
        </w:rPr>
        <w:t xml:space="preserve"> spouses</w:t>
      </w:r>
      <w:r w:rsidRPr="00BD212C" w:rsidR="00B30DFE">
        <w:rPr>
          <w:lang w:val="en-GB"/>
        </w:rPr>
        <w:t>,</w:t>
      </w:r>
      <w:r w:rsidRPr="00BD212C">
        <w:rPr>
          <w:lang w:val="en-GB"/>
        </w:rPr>
        <w:t xml:space="preserve"> minor children</w:t>
      </w:r>
      <w:r w:rsidRPr="00BD212C" w:rsidR="00B30DFE">
        <w:rPr>
          <w:lang w:val="en-GB"/>
        </w:rPr>
        <w:t>,</w:t>
      </w:r>
      <w:r w:rsidRPr="00BD212C">
        <w:rPr>
          <w:lang w:val="en-GB"/>
        </w:rPr>
        <w:t xml:space="preserve"> adult children</w:t>
      </w:r>
      <w:r w:rsidRPr="00BD212C" w:rsidR="00D91002">
        <w:rPr>
          <w:lang w:val="en-GB"/>
        </w:rPr>
        <w:t xml:space="preserve"> </w:t>
      </w:r>
      <w:r w:rsidRPr="00BD212C" w:rsidR="006C249F">
        <w:rPr>
          <w:lang w:val="en-GB"/>
        </w:rPr>
        <w:t>who were not self-supporting</w:t>
      </w:r>
      <w:r w:rsidRPr="00BD212C" w:rsidR="00D91002">
        <w:rPr>
          <w:lang w:val="en-GB"/>
        </w:rPr>
        <w:t xml:space="preserve"> </w:t>
      </w:r>
      <w:r w:rsidRPr="00BD212C" w:rsidR="001B4DC9">
        <w:rPr>
          <w:lang w:val="en-GB"/>
        </w:rPr>
        <w:t xml:space="preserve">for </w:t>
      </w:r>
      <w:r w:rsidRPr="00BD212C">
        <w:rPr>
          <w:lang w:val="en-GB"/>
        </w:rPr>
        <w:t xml:space="preserve">health </w:t>
      </w:r>
      <w:r w:rsidRPr="00BD212C" w:rsidR="001B4DC9">
        <w:rPr>
          <w:lang w:val="en-GB"/>
        </w:rPr>
        <w:t>reasons</w:t>
      </w:r>
      <w:r w:rsidRPr="00BD212C" w:rsidR="00B30DFE">
        <w:rPr>
          <w:lang w:val="en-GB"/>
        </w:rPr>
        <w:t>,</w:t>
      </w:r>
      <w:r w:rsidRPr="00BD212C" w:rsidR="001B4DC9">
        <w:rPr>
          <w:lang w:val="en-GB"/>
        </w:rPr>
        <w:t xml:space="preserve"> and depende</w:t>
      </w:r>
      <w:r w:rsidRPr="00BD212C">
        <w:rPr>
          <w:lang w:val="en-GB"/>
        </w:rPr>
        <w:t xml:space="preserve">nt </w:t>
      </w:r>
      <w:r w:rsidRPr="00BD212C" w:rsidR="00113B78">
        <w:rPr>
          <w:lang w:val="en-GB"/>
        </w:rPr>
        <w:t>relatives</w:t>
      </w:r>
      <w:r w:rsidRPr="00BD212C">
        <w:rPr>
          <w:lang w:val="en-GB"/>
        </w:rPr>
        <w:t xml:space="preserve"> who lacked adequate support in their country of origin. </w:t>
      </w:r>
      <w:r w:rsidRPr="00BD212C" w:rsidR="001B4DC9">
        <w:rPr>
          <w:lang w:val="en-GB"/>
        </w:rPr>
        <w:t>It pointed out that as the Constitutional</w:t>
      </w:r>
      <w:r w:rsidRPr="00BD212C">
        <w:rPr>
          <w:lang w:val="en-GB"/>
        </w:rPr>
        <w:t xml:space="preserve"> Cour</w:t>
      </w:r>
      <w:r w:rsidRPr="00BD212C" w:rsidR="001B4DC9">
        <w:rPr>
          <w:lang w:val="en-GB"/>
        </w:rPr>
        <w:t>t</w:t>
      </w:r>
      <w:r w:rsidRPr="00BD212C">
        <w:rPr>
          <w:lang w:val="en-GB"/>
        </w:rPr>
        <w:t xml:space="preserve"> </w:t>
      </w:r>
      <w:r w:rsidRPr="00BD212C" w:rsidR="001B4DC9">
        <w:rPr>
          <w:lang w:val="en-GB"/>
        </w:rPr>
        <w:t>had</w:t>
      </w:r>
      <w:r w:rsidRPr="00BD212C" w:rsidR="00D91002">
        <w:rPr>
          <w:lang w:val="en-GB"/>
        </w:rPr>
        <w:t>, moreover,</w:t>
      </w:r>
      <w:r w:rsidRPr="00BD212C" w:rsidR="001B4DC9">
        <w:rPr>
          <w:lang w:val="en-GB"/>
        </w:rPr>
        <w:t xml:space="preserve"> ruled out the</w:t>
      </w:r>
      <w:r w:rsidRPr="00BD212C">
        <w:rPr>
          <w:lang w:val="en-GB"/>
        </w:rPr>
        <w:t xml:space="preserve"> possibilit</w:t>
      </w:r>
      <w:r w:rsidRPr="00BD212C" w:rsidR="001B4DC9">
        <w:rPr>
          <w:lang w:val="en-GB"/>
        </w:rPr>
        <w:t xml:space="preserve">y of extending to </w:t>
      </w:r>
      <w:r w:rsidRPr="00BD212C" w:rsidR="00D91002">
        <w:rPr>
          <w:lang w:val="en-GB"/>
        </w:rPr>
        <w:t>cohabiting</w:t>
      </w:r>
      <w:r w:rsidRPr="00BD212C" w:rsidR="001B4DC9">
        <w:rPr>
          <w:lang w:val="en-GB"/>
        </w:rPr>
        <w:t xml:space="preserve"> partners the</w:t>
      </w:r>
      <w:r w:rsidRPr="00BD212C">
        <w:rPr>
          <w:lang w:val="en-GB"/>
        </w:rPr>
        <w:t xml:space="preserve"> protection </w:t>
      </w:r>
      <w:r w:rsidRPr="00BD212C" w:rsidR="001B4DC9">
        <w:rPr>
          <w:lang w:val="en-GB"/>
        </w:rPr>
        <w:t xml:space="preserve">granted to members of </w:t>
      </w:r>
      <w:r w:rsidRPr="00BD212C" w:rsidR="00FE59B8">
        <w:rPr>
          <w:lang w:val="en-GB"/>
        </w:rPr>
        <w:t>a</w:t>
      </w:r>
      <w:r w:rsidRPr="00BD212C">
        <w:rPr>
          <w:lang w:val="en-GB"/>
        </w:rPr>
        <w:t xml:space="preserve"> </w:t>
      </w:r>
      <w:r w:rsidRPr="00BD212C" w:rsidR="001B4DC9">
        <w:rPr>
          <w:lang w:val="en-GB"/>
        </w:rPr>
        <w:t>legitimate family</w:t>
      </w:r>
      <w:r w:rsidRPr="00BD212C">
        <w:rPr>
          <w:lang w:val="en-GB"/>
        </w:rPr>
        <w:t xml:space="preserve">, </w:t>
      </w:r>
      <w:r w:rsidRPr="00BD212C" w:rsidR="001B4DC9">
        <w:rPr>
          <w:lang w:val="en-GB"/>
        </w:rPr>
        <w:t>the</w:t>
      </w:r>
      <w:r w:rsidRPr="00BD212C">
        <w:rPr>
          <w:lang w:val="en-GB"/>
        </w:rPr>
        <w:t xml:space="preserve"> Constitution </w:t>
      </w:r>
      <w:r w:rsidRPr="00BD212C" w:rsidR="001B4DC9">
        <w:rPr>
          <w:lang w:val="en-GB"/>
        </w:rPr>
        <w:t>did not require an extensive</w:t>
      </w:r>
      <w:r w:rsidRPr="00BD212C">
        <w:rPr>
          <w:lang w:val="en-GB"/>
        </w:rPr>
        <w:t xml:space="preserve"> interpr</w:t>
      </w:r>
      <w:r w:rsidRPr="00BD212C" w:rsidR="001B4DC9">
        <w:rPr>
          <w:lang w:val="en-GB"/>
        </w:rPr>
        <w:t>e</w:t>
      </w:r>
      <w:r w:rsidRPr="00BD212C">
        <w:rPr>
          <w:lang w:val="en-GB"/>
        </w:rPr>
        <w:t xml:space="preserve">tation </w:t>
      </w:r>
      <w:r w:rsidRPr="00BD212C" w:rsidR="001B4DC9">
        <w:rPr>
          <w:lang w:val="en-GB"/>
        </w:rPr>
        <w:t>of A</w:t>
      </w:r>
      <w:r w:rsidRPr="00BD212C">
        <w:rPr>
          <w:lang w:val="en-GB"/>
        </w:rPr>
        <w:t xml:space="preserve">rticle 29 </w:t>
      </w:r>
      <w:r w:rsidRPr="00BD212C" w:rsidR="001B4DC9">
        <w:rPr>
          <w:lang w:val="en-GB"/>
        </w:rPr>
        <w:t>cited above</w:t>
      </w:r>
      <w:r w:rsidRPr="00BD212C">
        <w:rPr>
          <w:lang w:val="en-GB"/>
        </w:rPr>
        <w:t>.</w:t>
      </w:r>
    </w:p>
    <w:p w:rsidRPr="00BD212C" w:rsidR="001B4DC9" w:rsidP="00BD212C" w:rsidRDefault="00313EB5">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22</w:t>
      </w:r>
      <w:r w:rsidRPr="00BD212C">
        <w:rPr>
          <w:lang w:val="fr-FR"/>
        </w:rPr>
        <w:fldChar w:fldCharType="end"/>
      </w:r>
      <w:r w:rsidRPr="00BD212C">
        <w:rPr>
          <w:lang w:val="en-GB"/>
        </w:rPr>
        <w:t>.  </w:t>
      </w:r>
      <w:r w:rsidRPr="00BD212C" w:rsidR="001B4DC9">
        <w:rPr>
          <w:lang w:val="en-GB"/>
        </w:rPr>
        <w:t>The Court of Cassation also considered that Articles 8</w:t>
      </w:r>
      <w:r w:rsidRPr="00BD212C" w:rsidR="001B4DC9">
        <w:rPr>
          <w:vertAlign w:val="superscript"/>
          <w:lang w:val="en-GB"/>
        </w:rPr>
        <w:t xml:space="preserve"> </w:t>
      </w:r>
      <w:r w:rsidRPr="00BD212C" w:rsidR="001B4DC9">
        <w:rPr>
          <w:lang w:val="en-GB"/>
        </w:rPr>
        <w:t xml:space="preserve">and 12 of the Convention did not require such an interpretation either. In its view, those provisions left a wide margin of appreciation to the States regarding the choice of </w:t>
      </w:r>
      <w:r w:rsidRPr="00BD212C" w:rsidR="004770BC">
        <w:rPr>
          <w:lang w:val="en-GB"/>
        </w:rPr>
        <w:t>means of exercising the rights they guaranteed</w:t>
      </w:r>
      <w:r w:rsidRPr="00BD212C" w:rsidR="001B4DC9">
        <w:rPr>
          <w:lang w:val="en-GB"/>
        </w:rPr>
        <w:t xml:space="preserve">, </w:t>
      </w:r>
      <w:r w:rsidRPr="00BD212C" w:rsidR="004770BC">
        <w:rPr>
          <w:lang w:val="en-GB"/>
        </w:rPr>
        <w:t xml:space="preserve">particularly in the area of </w:t>
      </w:r>
      <w:r w:rsidRPr="00BD212C" w:rsidR="001B4DC9">
        <w:rPr>
          <w:lang w:val="en-GB"/>
        </w:rPr>
        <w:t>immigration</w:t>
      </w:r>
      <w:r w:rsidRPr="00BD212C" w:rsidR="004770BC">
        <w:rPr>
          <w:lang w:val="en-GB"/>
        </w:rPr>
        <w:t xml:space="preserve"> control</w:t>
      </w:r>
      <w:r w:rsidRPr="00BD212C" w:rsidR="001B4DC9">
        <w:rPr>
          <w:lang w:val="en-GB"/>
        </w:rPr>
        <w:t xml:space="preserve">. </w:t>
      </w:r>
      <w:r w:rsidRPr="00BD212C" w:rsidR="004770BC">
        <w:rPr>
          <w:lang w:val="en-GB"/>
        </w:rPr>
        <w:t>The</w:t>
      </w:r>
      <w:r w:rsidRPr="00BD212C" w:rsidR="001B4DC9">
        <w:rPr>
          <w:lang w:val="en-GB"/>
        </w:rPr>
        <w:t xml:space="preserve"> Cour</w:t>
      </w:r>
      <w:r w:rsidRPr="00BD212C" w:rsidR="004770BC">
        <w:rPr>
          <w:lang w:val="en-GB"/>
        </w:rPr>
        <w:t>t of C</w:t>
      </w:r>
      <w:r w:rsidRPr="00BD212C" w:rsidR="001B4DC9">
        <w:rPr>
          <w:lang w:val="en-GB"/>
        </w:rPr>
        <w:t xml:space="preserve">assation </w:t>
      </w:r>
      <w:r w:rsidRPr="00BD212C" w:rsidR="004770BC">
        <w:rPr>
          <w:lang w:val="en-GB"/>
        </w:rPr>
        <w:t>added that there had been no</w:t>
      </w:r>
      <w:r w:rsidRPr="00BD212C" w:rsidR="001B4DC9">
        <w:rPr>
          <w:lang w:val="en-GB"/>
        </w:rPr>
        <w:t xml:space="preserve"> discrimination</w:t>
      </w:r>
      <w:r w:rsidRPr="00BD212C" w:rsidR="004770BC">
        <w:rPr>
          <w:lang w:val="en-GB"/>
        </w:rPr>
        <w:t xml:space="preserve"> on grounds of the applicants</w:t>
      </w:r>
      <w:r w:rsidRPr="00BD212C" w:rsidR="00BD212C">
        <w:rPr>
          <w:lang w:val="en-GB"/>
        </w:rPr>
        <w:t>’</w:t>
      </w:r>
      <w:r w:rsidRPr="00BD212C" w:rsidR="001B4DC9">
        <w:rPr>
          <w:lang w:val="en-GB"/>
        </w:rPr>
        <w:t xml:space="preserve"> </w:t>
      </w:r>
      <w:r w:rsidRPr="00BD212C" w:rsidR="004770BC">
        <w:rPr>
          <w:lang w:val="en-GB"/>
        </w:rPr>
        <w:t xml:space="preserve">sexual </w:t>
      </w:r>
      <w:r w:rsidRPr="00BD212C" w:rsidR="001B4DC9">
        <w:rPr>
          <w:lang w:val="en-GB"/>
        </w:rPr>
        <w:t>orientation</w:t>
      </w:r>
      <w:r w:rsidRPr="00BD212C" w:rsidR="004770BC">
        <w:rPr>
          <w:lang w:val="en-GB"/>
        </w:rPr>
        <w:t xml:space="preserve"> in the present case</w:t>
      </w:r>
      <w:r w:rsidRPr="00BD212C" w:rsidR="001B4DC9">
        <w:rPr>
          <w:lang w:val="en-GB"/>
        </w:rPr>
        <w:t xml:space="preserve">. </w:t>
      </w:r>
      <w:r w:rsidRPr="00BD212C" w:rsidR="004770BC">
        <w:rPr>
          <w:lang w:val="en-GB"/>
        </w:rPr>
        <w:t>It</w:t>
      </w:r>
      <w:r w:rsidRPr="00BD212C" w:rsidR="001B4DC9">
        <w:rPr>
          <w:lang w:val="en-GB"/>
        </w:rPr>
        <w:t xml:space="preserve"> observ</w:t>
      </w:r>
      <w:r w:rsidRPr="00BD212C" w:rsidR="004770BC">
        <w:rPr>
          <w:lang w:val="en-GB"/>
        </w:rPr>
        <w:t>ed in that connection that the non-eligibility</w:t>
      </w:r>
      <w:r w:rsidRPr="00BD212C" w:rsidR="001B4DC9">
        <w:rPr>
          <w:lang w:val="en-GB"/>
        </w:rPr>
        <w:t xml:space="preserve"> </w:t>
      </w:r>
      <w:r w:rsidRPr="00BD212C" w:rsidR="004770BC">
        <w:rPr>
          <w:lang w:val="en-GB"/>
        </w:rPr>
        <w:t>of unmarried partners</w:t>
      </w:r>
      <w:r w:rsidRPr="00BD212C" w:rsidR="001B4DC9">
        <w:rPr>
          <w:lang w:val="en-GB"/>
        </w:rPr>
        <w:t xml:space="preserve"> </w:t>
      </w:r>
      <w:r w:rsidRPr="00BD212C" w:rsidR="004770BC">
        <w:rPr>
          <w:lang w:val="en-GB"/>
        </w:rPr>
        <w:t>for a residence permit for family reasons applied to</w:t>
      </w:r>
      <w:r w:rsidRPr="00BD212C" w:rsidR="001B4DC9">
        <w:rPr>
          <w:lang w:val="en-GB"/>
        </w:rPr>
        <w:t xml:space="preserve"> </w:t>
      </w:r>
      <w:r w:rsidRPr="00BD212C" w:rsidR="00113B78">
        <w:rPr>
          <w:lang w:val="en-GB"/>
        </w:rPr>
        <w:t>opposite</w:t>
      </w:r>
      <w:r w:rsidRPr="00BD212C" w:rsidR="004770BC">
        <w:rPr>
          <w:lang w:val="en-GB"/>
        </w:rPr>
        <w:t>-sex</w:t>
      </w:r>
      <w:r w:rsidRPr="00BD212C" w:rsidR="001B4DC9">
        <w:rPr>
          <w:lang w:val="en-GB"/>
        </w:rPr>
        <w:t xml:space="preserve"> couples</w:t>
      </w:r>
      <w:r w:rsidRPr="00BD212C" w:rsidR="004770BC">
        <w:rPr>
          <w:lang w:val="en-GB"/>
        </w:rPr>
        <w:t xml:space="preserve"> as well as same-sex partners</w:t>
      </w:r>
      <w:r w:rsidRPr="00BD212C" w:rsidR="001B4DC9">
        <w:rPr>
          <w:lang w:val="en-GB"/>
        </w:rPr>
        <w:t>.</w:t>
      </w:r>
    </w:p>
    <w:p w:rsidRPr="00BD212C" w:rsidR="00313EB5" w:rsidP="00BD212C" w:rsidRDefault="001B4DC9">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23</w:t>
      </w:r>
      <w:r w:rsidRPr="00BD212C">
        <w:rPr>
          <w:lang w:val="fr-FR"/>
        </w:rPr>
        <w:fldChar w:fldCharType="end"/>
      </w:r>
      <w:r w:rsidRPr="00BD212C">
        <w:rPr>
          <w:lang w:val="en-GB"/>
        </w:rPr>
        <w:t>.  </w:t>
      </w:r>
      <w:r w:rsidRPr="00BD212C" w:rsidR="004770BC">
        <w:rPr>
          <w:lang w:val="en-GB"/>
        </w:rPr>
        <w:t xml:space="preserve">Lastly, it held that European Directive 2004/38/EC </w:t>
      </w:r>
      <w:r w:rsidRPr="00BD212C" w:rsidR="00893ABA">
        <w:rPr>
          <w:lang w:val="en-GB"/>
        </w:rPr>
        <w:t>...</w:t>
      </w:r>
      <w:r w:rsidRPr="00BD212C" w:rsidR="004770BC">
        <w:rPr>
          <w:lang w:val="en-GB"/>
        </w:rPr>
        <w:t>, which concerned th</w:t>
      </w:r>
      <w:r w:rsidRPr="00BD212C" w:rsidR="00FE59B8">
        <w:rPr>
          <w:lang w:val="en-GB"/>
        </w:rPr>
        <w:t xml:space="preserve">e right of </w:t>
      </w:r>
      <w:r w:rsidRPr="00BD212C" w:rsidR="004770BC">
        <w:rPr>
          <w:lang w:val="en-GB"/>
        </w:rPr>
        <w:t>EU citizens</w:t>
      </w:r>
      <w:r w:rsidRPr="00BD212C" w:rsidR="00FE59B8">
        <w:rPr>
          <w:lang w:val="en-GB"/>
        </w:rPr>
        <w:t xml:space="preserve"> to move freely </w:t>
      </w:r>
      <w:r w:rsidRPr="00BD212C" w:rsidR="006B72CB">
        <w:rPr>
          <w:lang w:val="en-GB"/>
        </w:rPr>
        <w:t>within the territory of the Member States other than</w:t>
      </w:r>
      <w:r w:rsidRPr="00BD212C" w:rsidR="004770BC">
        <w:rPr>
          <w:lang w:val="en-GB"/>
        </w:rPr>
        <w:t xml:space="preserve"> </w:t>
      </w:r>
      <w:r w:rsidRPr="00BD212C" w:rsidR="006B72CB">
        <w:rPr>
          <w:lang w:val="en-GB"/>
        </w:rPr>
        <w:t xml:space="preserve">their State of </w:t>
      </w:r>
      <w:r w:rsidRPr="00BD212C" w:rsidR="004770BC">
        <w:rPr>
          <w:lang w:val="en-GB"/>
        </w:rPr>
        <w:t xml:space="preserve">origin, did not apply to the present case, which concerned family reunification with an Italian national </w:t>
      </w:r>
      <w:r w:rsidRPr="00BD212C" w:rsidR="006B72CB">
        <w:rPr>
          <w:lang w:val="en-GB"/>
        </w:rPr>
        <w:t>resident in his own country</w:t>
      </w:r>
      <w:r w:rsidRPr="00BD212C" w:rsidR="004770BC">
        <w:rPr>
          <w:lang w:val="en-GB"/>
        </w:rPr>
        <w:t>.</w:t>
      </w:r>
    </w:p>
    <w:p w:rsidRPr="00BD212C" w:rsidR="004770BC" w:rsidP="00BD212C" w:rsidRDefault="004770BC">
      <w:pPr>
        <w:pStyle w:val="ECHRHeading2"/>
        <w:rPr>
          <w:lang w:val="en-GB"/>
        </w:rPr>
      </w:pPr>
      <w:r w:rsidRPr="00BD212C">
        <w:rPr>
          <w:lang w:val="en-GB"/>
        </w:rPr>
        <w:t>E.  The applicants</w:t>
      </w:r>
      <w:r w:rsidRPr="00BD212C" w:rsidR="00BD212C">
        <w:rPr>
          <w:lang w:val="en-GB"/>
        </w:rPr>
        <w:t>’</w:t>
      </w:r>
      <w:r w:rsidRPr="00BD212C">
        <w:rPr>
          <w:lang w:val="en-GB"/>
        </w:rPr>
        <w:t xml:space="preserve"> marriage</w:t>
      </w:r>
    </w:p>
    <w:p w:rsidRPr="00BD212C" w:rsidR="004770BC" w:rsidP="00BD212C" w:rsidRDefault="004770BC">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24</w:t>
      </w:r>
      <w:r w:rsidRPr="00BD212C">
        <w:rPr>
          <w:lang w:val="fr-FR"/>
        </w:rPr>
        <w:fldChar w:fldCharType="end"/>
      </w:r>
      <w:r w:rsidRPr="00BD212C">
        <w:rPr>
          <w:lang w:val="en-GB"/>
        </w:rPr>
        <w:t>.  </w:t>
      </w:r>
      <w:r w:rsidRPr="00BD212C" w:rsidR="00FE59B8">
        <w:rPr>
          <w:lang w:val="en-GB"/>
        </w:rPr>
        <w:t>After being</w:t>
      </w:r>
      <w:r w:rsidRPr="00BD212C" w:rsidR="006B72CB">
        <w:rPr>
          <w:lang w:val="en-GB"/>
        </w:rPr>
        <w:t xml:space="preserve"> notified of the Court of Cassation</w:t>
      </w:r>
      <w:r w:rsidRPr="00BD212C" w:rsidR="00BD212C">
        <w:rPr>
          <w:lang w:val="en-GB"/>
        </w:rPr>
        <w:t>’</w:t>
      </w:r>
      <w:r w:rsidRPr="00BD212C" w:rsidR="006B72CB">
        <w:rPr>
          <w:lang w:val="en-GB"/>
        </w:rPr>
        <w:t xml:space="preserve">s judgment, the applicants left Italy in July 2009. They </w:t>
      </w:r>
      <w:r w:rsidRPr="00BD212C" w:rsidR="00FE59B8">
        <w:rPr>
          <w:lang w:val="en-GB"/>
        </w:rPr>
        <w:t>moved to</w:t>
      </w:r>
      <w:r w:rsidRPr="00BD212C" w:rsidR="006B72CB">
        <w:rPr>
          <w:lang w:val="en-GB"/>
        </w:rPr>
        <w:t xml:space="preserve"> the Netherlands, where the second applicant </w:t>
      </w:r>
      <w:r w:rsidRPr="00BD212C" w:rsidR="00735448">
        <w:rPr>
          <w:lang w:val="en-GB"/>
        </w:rPr>
        <w:t>was issued with</w:t>
      </w:r>
      <w:r w:rsidRPr="00BD212C" w:rsidR="006B72CB">
        <w:rPr>
          <w:lang w:val="en-GB"/>
        </w:rPr>
        <w:t xml:space="preserve"> a</w:t>
      </w:r>
      <w:r w:rsidRPr="00BD212C" w:rsidR="00735448">
        <w:rPr>
          <w:lang w:val="en-GB"/>
        </w:rPr>
        <w:t xml:space="preserve"> five-year</w:t>
      </w:r>
      <w:r w:rsidRPr="00BD212C" w:rsidR="006B72CB">
        <w:rPr>
          <w:lang w:val="en-GB"/>
        </w:rPr>
        <w:t xml:space="preserve"> residence permit on 25 August 2009 as </w:t>
      </w:r>
      <w:r w:rsidRPr="00BD212C" w:rsidR="00735448">
        <w:rPr>
          <w:lang w:val="en-GB"/>
        </w:rPr>
        <w:t>a</w:t>
      </w:r>
      <w:r w:rsidRPr="00BD212C" w:rsidR="006B72CB">
        <w:rPr>
          <w:lang w:val="en-GB"/>
        </w:rPr>
        <w:t xml:space="preserve"> </w:t>
      </w:r>
      <w:r w:rsidRPr="00BD212C" w:rsidR="006B72CB">
        <w:rPr>
          <w:i/>
          <w:lang w:val="en-GB"/>
        </w:rPr>
        <w:t xml:space="preserve">de facto </w:t>
      </w:r>
      <w:r w:rsidRPr="00BD212C" w:rsidR="006B72CB">
        <w:rPr>
          <w:lang w:val="en-GB"/>
        </w:rPr>
        <w:t xml:space="preserve">partner </w:t>
      </w:r>
      <w:r w:rsidRPr="00BD212C" w:rsidR="00735448">
        <w:rPr>
          <w:lang w:val="en-GB"/>
        </w:rPr>
        <w:t>in a</w:t>
      </w:r>
      <w:r w:rsidRPr="00BD212C" w:rsidR="006B72CB">
        <w:rPr>
          <w:lang w:val="en-GB"/>
        </w:rPr>
        <w:t xml:space="preserve"> </w:t>
      </w:r>
      <w:r w:rsidRPr="00BD212C" w:rsidR="00FE59B8">
        <w:rPr>
          <w:lang w:val="en-GB"/>
        </w:rPr>
        <w:t>long-term</w:t>
      </w:r>
      <w:r w:rsidRPr="00BD212C" w:rsidR="006B72CB">
        <w:rPr>
          <w:lang w:val="en-GB"/>
        </w:rPr>
        <w:t xml:space="preserve"> </w:t>
      </w:r>
      <w:r w:rsidRPr="00BD212C" w:rsidR="00735448">
        <w:rPr>
          <w:lang w:val="en-GB"/>
        </w:rPr>
        <w:t>relationship</w:t>
      </w:r>
      <w:r w:rsidRPr="00BD212C" w:rsidR="00FE59B8">
        <w:rPr>
          <w:lang w:val="en-GB"/>
        </w:rPr>
        <w:t xml:space="preserve"> </w:t>
      </w:r>
      <w:r w:rsidRPr="00BD212C" w:rsidR="00735448">
        <w:rPr>
          <w:lang w:val="en-GB"/>
        </w:rPr>
        <w:t>with an EU national</w:t>
      </w:r>
      <w:r w:rsidRPr="00BD212C" w:rsidR="006B72CB">
        <w:rPr>
          <w:lang w:val="en-GB"/>
        </w:rPr>
        <w:t>.</w:t>
      </w:r>
    </w:p>
    <w:p w:rsidRPr="00BD212C" w:rsidR="006B72CB" w:rsidP="00BD212C" w:rsidRDefault="006B72CB">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25</w:t>
      </w:r>
      <w:r w:rsidRPr="00BD212C">
        <w:rPr>
          <w:lang w:val="fr-FR"/>
        </w:rPr>
        <w:fldChar w:fldCharType="end"/>
      </w:r>
      <w:r w:rsidRPr="00BD212C">
        <w:rPr>
          <w:lang w:val="en-GB"/>
        </w:rPr>
        <w:t>.  </w:t>
      </w:r>
      <w:r w:rsidRPr="00BD212C" w:rsidR="00735448">
        <w:rPr>
          <w:lang w:val="en-GB"/>
        </w:rPr>
        <w:t>On</w:t>
      </w:r>
      <w:r w:rsidRPr="00BD212C">
        <w:rPr>
          <w:lang w:val="en-GB"/>
        </w:rPr>
        <w:t xml:space="preserve"> 8 </w:t>
      </w:r>
      <w:r w:rsidRPr="00BD212C" w:rsidR="00735448">
        <w:rPr>
          <w:lang w:val="en-GB"/>
        </w:rPr>
        <w:t>May</w:t>
      </w:r>
      <w:r w:rsidRPr="00BD212C">
        <w:rPr>
          <w:lang w:val="en-GB"/>
        </w:rPr>
        <w:t xml:space="preserve"> 2010</w:t>
      </w:r>
      <w:r w:rsidRPr="00BD212C" w:rsidR="00735448">
        <w:rPr>
          <w:lang w:val="en-GB"/>
        </w:rPr>
        <w:t xml:space="preserve"> the applica</w:t>
      </w:r>
      <w:r w:rsidRPr="00BD212C">
        <w:rPr>
          <w:lang w:val="en-GB"/>
        </w:rPr>
        <w:t xml:space="preserve">nts </w:t>
      </w:r>
      <w:r w:rsidRPr="00BD212C" w:rsidR="00735448">
        <w:rPr>
          <w:lang w:val="en-GB"/>
        </w:rPr>
        <w:t xml:space="preserve">married in </w:t>
      </w:r>
      <w:r w:rsidRPr="00BD212C">
        <w:rPr>
          <w:lang w:val="en-GB"/>
        </w:rPr>
        <w:t xml:space="preserve">Amsterdam. </w:t>
      </w:r>
      <w:r w:rsidRPr="00BD212C" w:rsidR="00735448">
        <w:rPr>
          <w:lang w:val="en-GB"/>
        </w:rPr>
        <w:t>They stated that they had chosen to marry for personal reasons and not in order to obtain a residence permit</w:t>
      </w:r>
      <w:r w:rsidRPr="00BD212C">
        <w:rPr>
          <w:lang w:val="en-GB"/>
        </w:rPr>
        <w:t xml:space="preserve">, </w:t>
      </w:r>
      <w:r w:rsidRPr="00BD212C" w:rsidR="00735448">
        <w:rPr>
          <w:lang w:val="en-GB"/>
        </w:rPr>
        <w:t>as the Netherlands authorities had already issued one to the second applicant</w:t>
      </w:r>
      <w:r w:rsidRPr="00BD212C">
        <w:rPr>
          <w:lang w:val="en-GB"/>
        </w:rPr>
        <w:t xml:space="preserve">. </w:t>
      </w:r>
      <w:r w:rsidRPr="00BD212C" w:rsidR="00735448">
        <w:rPr>
          <w:lang w:val="en-GB"/>
        </w:rPr>
        <w:t xml:space="preserve">They added that the </w:t>
      </w:r>
      <w:r w:rsidRPr="00BD212C">
        <w:rPr>
          <w:lang w:val="en-GB"/>
        </w:rPr>
        <w:t>mar</w:t>
      </w:r>
      <w:r w:rsidRPr="00BD212C" w:rsidR="00735448">
        <w:rPr>
          <w:lang w:val="en-GB"/>
        </w:rPr>
        <w:t>r</w:t>
      </w:r>
      <w:r w:rsidRPr="00BD212C">
        <w:rPr>
          <w:lang w:val="en-GB"/>
        </w:rPr>
        <w:t>iage contract</w:t>
      </w:r>
      <w:r w:rsidRPr="00BD212C" w:rsidR="00735448">
        <w:rPr>
          <w:lang w:val="en-GB"/>
        </w:rPr>
        <w:t>ed in the Netherlands did not allow them to live together in Italy</w:t>
      </w:r>
      <w:r w:rsidRPr="00BD212C">
        <w:rPr>
          <w:lang w:val="en-GB"/>
        </w:rPr>
        <w:t xml:space="preserve">. </w:t>
      </w:r>
      <w:r w:rsidRPr="00BD212C" w:rsidR="00735448">
        <w:rPr>
          <w:lang w:val="en-GB"/>
        </w:rPr>
        <w:t>On</w:t>
      </w:r>
      <w:r w:rsidRPr="00BD212C">
        <w:rPr>
          <w:lang w:val="en-GB"/>
        </w:rPr>
        <w:t xml:space="preserve"> 22 </w:t>
      </w:r>
      <w:r w:rsidRPr="00BD212C" w:rsidR="00735448">
        <w:rPr>
          <w:lang w:val="en-GB"/>
        </w:rPr>
        <w:t>August</w:t>
      </w:r>
      <w:r w:rsidRPr="00BD212C">
        <w:rPr>
          <w:lang w:val="en-GB"/>
        </w:rPr>
        <w:t xml:space="preserve"> 2014</w:t>
      </w:r>
      <w:r w:rsidRPr="00BD212C" w:rsidR="00735448">
        <w:rPr>
          <w:lang w:val="en-GB"/>
        </w:rPr>
        <w:t xml:space="preserve"> the second applic</w:t>
      </w:r>
      <w:r w:rsidRPr="00BD212C">
        <w:rPr>
          <w:lang w:val="en-GB"/>
        </w:rPr>
        <w:t xml:space="preserve">ant </w:t>
      </w:r>
      <w:r w:rsidRPr="00BD212C" w:rsidR="00735448">
        <w:rPr>
          <w:lang w:val="en-GB"/>
        </w:rPr>
        <w:t>obtained a second</w:t>
      </w:r>
      <w:r w:rsidRPr="00BD212C" w:rsidR="000353B5">
        <w:rPr>
          <w:lang w:val="en-GB"/>
        </w:rPr>
        <w:t xml:space="preserve"> five-year</w:t>
      </w:r>
      <w:r w:rsidRPr="00BD212C" w:rsidR="00735448">
        <w:rPr>
          <w:lang w:val="en-GB"/>
        </w:rPr>
        <w:t xml:space="preserve"> residence permit in the Netherland</w:t>
      </w:r>
      <w:r w:rsidRPr="00BD212C">
        <w:rPr>
          <w:lang w:val="en-GB"/>
        </w:rPr>
        <w:t xml:space="preserve">s, </w:t>
      </w:r>
      <w:r w:rsidRPr="00BD212C" w:rsidR="000353B5">
        <w:rPr>
          <w:lang w:val="en-GB"/>
        </w:rPr>
        <w:t>valid until</w:t>
      </w:r>
      <w:r w:rsidRPr="00BD212C">
        <w:rPr>
          <w:lang w:val="en-GB"/>
        </w:rPr>
        <w:t xml:space="preserve"> 22 </w:t>
      </w:r>
      <w:r w:rsidRPr="00BD212C" w:rsidR="000353B5">
        <w:rPr>
          <w:lang w:val="en-GB"/>
        </w:rPr>
        <w:t>August</w:t>
      </w:r>
      <w:r w:rsidRPr="00BD212C">
        <w:rPr>
          <w:lang w:val="en-GB"/>
        </w:rPr>
        <w:t xml:space="preserve"> 2019.</w:t>
      </w:r>
    </w:p>
    <w:p w:rsidRPr="00BD212C" w:rsidR="006B72CB" w:rsidP="00BD212C" w:rsidRDefault="00893ABA">
      <w:pPr>
        <w:pStyle w:val="JuParaSub"/>
      </w:pPr>
      <w:r w:rsidRPr="00BD212C">
        <w:t>...</w:t>
      </w:r>
    </w:p>
    <w:p w:rsidRPr="00BD212C" w:rsidR="00014566" w:rsidP="00BD212C" w:rsidRDefault="00014566">
      <w:pPr>
        <w:pStyle w:val="ECHRTitle1"/>
        <w:rPr>
          <w:lang w:val="en-GB"/>
        </w:rPr>
      </w:pPr>
      <w:r w:rsidRPr="00BD212C">
        <w:rPr>
          <w:lang w:val="en-GB"/>
        </w:rPr>
        <w:t>THE LAW</w:t>
      </w:r>
    </w:p>
    <w:p w:rsidRPr="00BD212C" w:rsidR="00014566" w:rsidP="00BD212C" w:rsidRDefault="00014566">
      <w:pPr>
        <w:pStyle w:val="ECHRHeading1"/>
        <w:rPr>
          <w:lang w:val="en-GB"/>
        </w:rPr>
      </w:pPr>
      <w:r w:rsidRPr="00BD212C">
        <w:rPr>
          <w:lang w:val="en-GB"/>
        </w:rPr>
        <w:t xml:space="preserve">I.  ALLEGED VIOLATION OF ARTICLE </w:t>
      </w:r>
      <w:r w:rsidRPr="00BD212C" w:rsidR="000353B5">
        <w:rPr>
          <w:lang w:val="en-GB"/>
        </w:rPr>
        <w:t>14</w:t>
      </w:r>
      <w:r w:rsidRPr="00BD212C">
        <w:rPr>
          <w:lang w:val="en-GB"/>
        </w:rPr>
        <w:t xml:space="preserve"> OF THE CONVENTION</w:t>
      </w:r>
      <w:r w:rsidRPr="00BD212C" w:rsidR="000353B5">
        <w:rPr>
          <w:lang w:val="en-GB"/>
        </w:rPr>
        <w:t xml:space="preserve"> TAKEN IN CONJUNCTION WITH ARTICLE 8</w:t>
      </w:r>
    </w:p>
    <w:p w:rsidRPr="00BD212C" w:rsidR="00014566" w:rsidP="00BD212C" w:rsidRDefault="00F27EF9">
      <w:pPr>
        <w:pStyle w:val="ECHRPara"/>
        <w:rPr>
          <w:lang w:val="en-GB"/>
        </w:rPr>
      </w:pPr>
      <w:r w:rsidRPr="00BD212C">
        <w:rPr>
          <w:lang w:val="en-GB"/>
        </w:rPr>
        <w:fldChar w:fldCharType="begin"/>
      </w:r>
      <w:r w:rsidRPr="00BD212C">
        <w:rPr>
          <w:lang w:val="en-GB"/>
        </w:rPr>
        <w:instrText xml:space="preserve"> SEQ level0 \*arabic \r</w:instrText>
      </w:r>
      <w:r w:rsidRPr="00BD212C" w:rsidR="00DD763D">
        <w:rPr>
          <w:lang w:val="en-GB"/>
        </w:rPr>
        <w:instrText xml:space="preserve"> </w:instrText>
      </w:r>
      <w:r w:rsidRPr="00BD212C">
        <w:rPr>
          <w:lang w:val="en-GB"/>
        </w:rPr>
        <w:instrText>35</w:instrText>
      </w:r>
      <w:r w:rsidRPr="00BD212C">
        <w:rPr>
          <w:lang w:val="en-GB"/>
        </w:rPr>
        <w:fldChar w:fldCharType="separate"/>
      </w:r>
      <w:r w:rsidRPr="00BD212C" w:rsidR="00BD212C">
        <w:rPr>
          <w:noProof/>
          <w:lang w:val="en-GB"/>
        </w:rPr>
        <w:t>35</w:t>
      </w:r>
      <w:r w:rsidRPr="00BD212C">
        <w:rPr>
          <w:lang w:val="en-GB"/>
        </w:rPr>
        <w:fldChar w:fldCharType="end"/>
      </w:r>
      <w:r w:rsidRPr="00BD212C">
        <w:rPr>
          <w:lang w:val="en-GB"/>
        </w:rPr>
        <w:t>.  </w:t>
      </w:r>
      <w:r w:rsidRPr="00BD212C" w:rsidR="00014566">
        <w:rPr>
          <w:lang w:val="en-GB"/>
        </w:rPr>
        <w:t>The applicant</w:t>
      </w:r>
      <w:r w:rsidRPr="00BD212C" w:rsidR="00960206">
        <w:rPr>
          <w:lang w:val="en-GB"/>
        </w:rPr>
        <w:t>s</w:t>
      </w:r>
      <w:r w:rsidRPr="00BD212C" w:rsidR="00014566">
        <w:rPr>
          <w:lang w:val="en-GB"/>
        </w:rPr>
        <w:t xml:space="preserve"> complained that </w:t>
      </w:r>
      <w:r w:rsidRPr="00BD212C" w:rsidR="000353B5">
        <w:rPr>
          <w:lang w:val="en-GB"/>
        </w:rPr>
        <w:t xml:space="preserve">the refusal to </w:t>
      </w:r>
      <w:r w:rsidRPr="00BD212C" w:rsidR="0023735C">
        <w:rPr>
          <w:lang w:val="en-GB"/>
        </w:rPr>
        <w:t>grant the residence sought by</w:t>
      </w:r>
      <w:r w:rsidRPr="00BD212C" w:rsidR="000353B5">
        <w:rPr>
          <w:lang w:val="en-GB"/>
        </w:rPr>
        <w:t xml:space="preserve"> the second applicant family reasons </w:t>
      </w:r>
      <w:r w:rsidRPr="00BD212C" w:rsidR="0023735C">
        <w:rPr>
          <w:lang w:val="en-GB"/>
        </w:rPr>
        <w:t xml:space="preserve">had </w:t>
      </w:r>
      <w:r w:rsidRPr="00BD212C" w:rsidR="000353B5">
        <w:rPr>
          <w:lang w:val="en-GB"/>
        </w:rPr>
        <w:t>amounted to</w:t>
      </w:r>
      <w:r w:rsidRPr="00BD212C" w:rsidR="00014566">
        <w:rPr>
          <w:lang w:val="en-GB"/>
        </w:rPr>
        <w:t xml:space="preserve"> </w:t>
      </w:r>
      <w:r w:rsidRPr="00BD212C" w:rsidR="000353B5">
        <w:rPr>
          <w:lang w:val="en-GB"/>
        </w:rPr>
        <w:t>discrimination on grounds of sexual orientation.</w:t>
      </w:r>
    </w:p>
    <w:p w:rsidRPr="00BD212C" w:rsidR="00F72F44" w:rsidP="00BD212C" w:rsidRDefault="00F72F44">
      <w:pPr>
        <w:pStyle w:val="ECHRPara"/>
      </w:pPr>
      <w:r w:rsidRPr="00BD212C">
        <w:t>They relied on Article 14 of the Convention taken in conjunction with Article 8.</w:t>
      </w:r>
    </w:p>
    <w:p w:rsidRPr="00BD212C" w:rsidR="00F72F44" w:rsidP="00BD212C" w:rsidRDefault="00F72F44">
      <w:pPr>
        <w:pStyle w:val="ECHRPara"/>
      </w:pPr>
      <w:r w:rsidRPr="00BD212C">
        <w:t xml:space="preserve">Those </w:t>
      </w:r>
      <w:r w:rsidRPr="00BD212C" w:rsidR="000E4E4A">
        <w:t>provisions</w:t>
      </w:r>
      <w:r w:rsidRPr="00BD212C">
        <w:t xml:space="preserve"> read as follows:-</w:t>
      </w:r>
    </w:p>
    <w:p w:rsidRPr="00BD212C" w:rsidR="00F72F44" w:rsidP="00BD212C" w:rsidRDefault="00F72F44">
      <w:pPr>
        <w:pStyle w:val="ECHRTitleCentre3"/>
      </w:pPr>
      <w:r w:rsidRPr="00BD212C">
        <w:t>Article 14</w:t>
      </w:r>
    </w:p>
    <w:p w:rsidRPr="00BD212C" w:rsidR="00014566" w:rsidP="00BD212C" w:rsidRDefault="00F72F44">
      <w:pPr>
        <w:pStyle w:val="ECHRParaQuote"/>
      </w:pPr>
      <w:r w:rsidRPr="00BD212C">
        <w:t>“The enjoyment of the rights and freedoms set forth in [the] Convention shall be secured without discrimination on any ground such as sex, race, colour, language, religion, political or other opinion, national or social origin, association with a national minority, property, birth or other status.”</w:t>
      </w:r>
    </w:p>
    <w:p w:rsidRPr="00BD212C" w:rsidR="00F72F44" w:rsidP="00BD212C" w:rsidRDefault="00F72F44">
      <w:pPr>
        <w:pStyle w:val="ECHRTitleCentre3"/>
      </w:pPr>
      <w:r w:rsidRPr="00BD212C">
        <w:t>Article 8</w:t>
      </w:r>
    </w:p>
    <w:p w:rsidRPr="00BD212C" w:rsidR="00F72F44" w:rsidP="00BD212C" w:rsidRDefault="00F72F44">
      <w:pPr>
        <w:pStyle w:val="ECHRParaQuote"/>
      </w:pPr>
      <w:r w:rsidRPr="00BD212C">
        <w:t>“1.  Everyone has the right to respect for his private and family life, his home and his correspondence.</w:t>
      </w:r>
    </w:p>
    <w:p w:rsidRPr="00BD212C" w:rsidR="00F72F44" w:rsidP="00BD212C" w:rsidRDefault="00F72F44">
      <w:pPr>
        <w:pStyle w:val="ECHRParaQuote"/>
        <w:rPr>
          <w:lang w:bidi="en-US"/>
        </w:rPr>
      </w:pPr>
      <w:r w:rsidRPr="00BD212C">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BD212C" w:rsidR="00014566" w:rsidP="00BD212C" w:rsidRDefault="00960206">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36</w:t>
      </w:r>
      <w:r w:rsidRPr="00BD212C">
        <w:rPr>
          <w:lang w:val="en-GB"/>
        </w:rPr>
        <w:fldChar w:fldCharType="end"/>
      </w:r>
      <w:r w:rsidRPr="00BD212C" w:rsidR="00014566">
        <w:rPr>
          <w:lang w:val="en-GB"/>
        </w:rPr>
        <w:t xml:space="preserve">.  The Government contested </w:t>
      </w:r>
      <w:r w:rsidRPr="00BD212C" w:rsidR="00437E34">
        <w:rPr>
          <w:lang w:val="en-GB"/>
        </w:rPr>
        <w:t>the applicants</w:t>
      </w:r>
      <w:r w:rsidRPr="00BD212C" w:rsidR="00BD212C">
        <w:rPr>
          <w:lang w:val="en-GB"/>
        </w:rPr>
        <w:t>’</w:t>
      </w:r>
      <w:r w:rsidRPr="00BD212C" w:rsidR="00014566">
        <w:rPr>
          <w:lang w:val="en-GB"/>
        </w:rPr>
        <w:t xml:space="preserve"> </w:t>
      </w:r>
      <w:r w:rsidRPr="00BD212C" w:rsidR="00437E34">
        <w:rPr>
          <w:lang w:val="en-GB"/>
        </w:rPr>
        <w:t>submission</w:t>
      </w:r>
      <w:r w:rsidRPr="00BD212C" w:rsidR="00014566">
        <w:rPr>
          <w:lang w:val="en-GB"/>
        </w:rPr>
        <w:t>.</w:t>
      </w:r>
    </w:p>
    <w:p w:rsidRPr="00BD212C" w:rsidR="00D1172E" w:rsidP="00BD212C" w:rsidRDefault="00893ABA">
      <w:pPr>
        <w:pStyle w:val="ECHRPara"/>
        <w:rPr>
          <w:lang w:val="en-GB"/>
        </w:rPr>
      </w:pPr>
      <w:r w:rsidRPr="00BD212C">
        <w:rPr>
          <w:lang w:val="en-GB"/>
        </w:rPr>
        <w:t>...</w:t>
      </w:r>
    </w:p>
    <w:p w:rsidRPr="00BD212C" w:rsidR="00014566" w:rsidP="00BD212C" w:rsidRDefault="00014566">
      <w:pPr>
        <w:pStyle w:val="ECHRHeading2"/>
        <w:rPr>
          <w:lang w:val="en-GB"/>
        </w:rPr>
      </w:pPr>
      <w:r w:rsidRPr="00BD212C">
        <w:rPr>
          <w:lang w:val="en-GB"/>
        </w:rPr>
        <w:t>B.  Merits</w:t>
      </w:r>
    </w:p>
    <w:p w:rsidRPr="00BD212C" w:rsidR="00D1172E" w:rsidP="00BD212C" w:rsidRDefault="00D1172E">
      <w:pPr>
        <w:pStyle w:val="ECHRHeading3"/>
      </w:pPr>
      <w:r w:rsidRPr="00BD212C">
        <w:t>1.  Applicability of Article 14 of the Convention taken in conjunction with Article 8</w:t>
      </w:r>
    </w:p>
    <w:p w:rsidRPr="00BD212C" w:rsidR="00D1172E" w:rsidP="00BD212C" w:rsidRDefault="00D1172E">
      <w:pPr>
        <w:pStyle w:val="ECHRHeading4"/>
      </w:pPr>
      <w:r w:rsidRPr="00BD212C">
        <w:t>a)  The parties</w:t>
      </w:r>
      <w:r w:rsidRPr="00BD212C" w:rsidR="00BD212C">
        <w:t>’</w:t>
      </w:r>
      <w:r w:rsidRPr="00BD212C">
        <w:t xml:space="preserve"> arguments</w:t>
      </w:r>
    </w:p>
    <w:p w:rsidRPr="00BD212C" w:rsidR="00D1172E" w:rsidP="00BD212C" w:rsidRDefault="00D1172E">
      <w:pPr>
        <w:pStyle w:val="ECHRHeading5"/>
      </w:pPr>
      <w:r w:rsidRPr="00BD212C">
        <w:t>i.  The Government</w:t>
      </w:r>
    </w:p>
    <w:p w:rsidRPr="00BD212C" w:rsidR="00D1172E" w:rsidP="00BD212C" w:rsidRDefault="00960206">
      <w:pPr>
        <w:pStyle w:val="ECHRPara"/>
      </w:pPr>
      <w:r w:rsidRPr="00BD212C">
        <w:rPr>
          <w:lang w:val="en-GB"/>
        </w:rPr>
        <w:fldChar w:fldCharType="begin"/>
      </w:r>
      <w:r w:rsidRPr="00BD212C">
        <w:instrText xml:space="preserve"> SEQ level0 \*arabic </w:instrText>
      </w:r>
      <w:r w:rsidRPr="00BD212C" w:rsidR="00DD763D">
        <w:instrText>\r 42</w:instrText>
      </w:r>
      <w:r w:rsidRPr="00BD212C">
        <w:rPr>
          <w:lang w:val="en-GB"/>
        </w:rPr>
        <w:fldChar w:fldCharType="separate"/>
      </w:r>
      <w:r w:rsidRPr="00BD212C" w:rsidR="00BD212C">
        <w:rPr>
          <w:noProof/>
        </w:rPr>
        <w:t>42</w:t>
      </w:r>
      <w:r w:rsidRPr="00BD212C">
        <w:rPr>
          <w:lang w:val="en-GB"/>
        </w:rPr>
        <w:fldChar w:fldCharType="end"/>
      </w:r>
      <w:r w:rsidRPr="00BD212C" w:rsidR="00014566">
        <w:t xml:space="preserve">.  The Government </w:t>
      </w:r>
      <w:r w:rsidRPr="00BD212C" w:rsidR="00D1172E">
        <w:t xml:space="preserve">submitted that Article 14 was </w:t>
      </w:r>
      <w:r w:rsidRPr="00BD212C" w:rsidR="00137DB4">
        <w:t xml:space="preserve">not </w:t>
      </w:r>
      <w:r w:rsidRPr="00BD212C" w:rsidR="00D1172E">
        <w:t xml:space="preserve">applicable </w:t>
      </w:r>
      <w:r w:rsidRPr="00BD212C" w:rsidR="00137DB4">
        <w:t>in the present cas</w:t>
      </w:r>
      <w:r w:rsidRPr="00BD212C" w:rsidR="00D1172E">
        <w:t>e.</w:t>
      </w:r>
      <w:r w:rsidRPr="00BD212C" w:rsidR="00D1172E">
        <w:rPr>
          <w:szCs w:val="24"/>
        </w:rPr>
        <w:t xml:space="preserve"> </w:t>
      </w:r>
      <w:r w:rsidRPr="00BD212C" w:rsidR="00137DB4">
        <w:rPr>
          <w:szCs w:val="24"/>
        </w:rPr>
        <w:t>In their view</w:t>
      </w:r>
      <w:r w:rsidRPr="00BD212C" w:rsidR="00D1172E">
        <w:rPr>
          <w:szCs w:val="24"/>
        </w:rPr>
        <w:t xml:space="preserve">, </w:t>
      </w:r>
      <w:r w:rsidRPr="00BD212C" w:rsidR="00137DB4">
        <w:rPr>
          <w:szCs w:val="24"/>
        </w:rPr>
        <w:t>in</w:t>
      </w:r>
      <w:r w:rsidRPr="00BD212C" w:rsidR="00D1172E">
        <w:rPr>
          <w:szCs w:val="24"/>
        </w:rPr>
        <w:t xml:space="preserve"> </w:t>
      </w:r>
      <w:r w:rsidRPr="00BD212C" w:rsidR="00D1172E">
        <w:rPr>
          <w:i/>
          <w:szCs w:val="24"/>
        </w:rPr>
        <w:t xml:space="preserve">S. </w:t>
      </w:r>
      <w:r w:rsidRPr="00BD212C" w:rsidR="00137DB4">
        <w:rPr>
          <w:i/>
          <w:szCs w:val="24"/>
        </w:rPr>
        <w:t>v</w:t>
      </w:r>
      <w:r w:rsidRPr="00BD212C" w:rsidR="00D1172E">
        <w:rPr>
          <w:i/>
          <w:szCs w:val="24"/>
        </w:rPr>
        <w:t>.</w:t>
      </w:r>
      <w:r w:rsidRPr="00BD212C" w:rsidR="00137DB4">
        <w:rPr>
          <w:i/>
          <w:szCs w:val="24"/>
        </w:rPr>
        <w:t xml:space="preserve"> the United Kingdom</w:t>
      </w:r>
      <w:r w:rsidRPr="00BD212C" w:rsidR="00D1172E">
        <w:rPr>
          <w:szCs w:val="24"/>
        </w:rPr>
        <w:t xml:space="preserve"> (</w:t>
      </w:r>
      <w:r w:rsidRPr="00BD212C" w:rsidR="00137DB4">
        <w:rPr>
          <w:szCs w:val="24"/>
        </w:rPr>
        <w:t>no.</w:t>
      </w:r>
      <w:r w:rsidRPr="00BD212C" w:rsidR="00D1172E">
        <w:rPr>
          <w:szCs w:val="24"/>
        </w:rPr>
        <w:t> 11716/85</w:t>
      </w:r>
      <w:r w:rsidRPr="00BD212C" w:rsidR="00D1172E">
        <w:t>,</w:t>
      </w:r>
      <w:r w:rsidRPr="00BD212C" w:rsidR="00D1172E">
        <w:rPr>
          <w:szCs w:val="24"/>
        </w:rPr>
        <w:t xml:space="preserve"> Commission </w:t>
      </w:r>
      <w:r w:rsidRPr="00BD212C" w:rsidR="00137DB4">
        <w:rPr>
          <w:szCs w:val="24"/>
        </w:rPr>
        <w:t xml:space="preserve">decision of </w:t>
      </w:r>
      <w:r w:rsidRPr="00BD212C" w:rsidR="00D1172E">
        <w:rPr>
          <w:szCs w:val="24"/>
        </w:rPr>
        <w:t xml:space="preserve">14 </w:t>
      </w:r>
      <w:r w:rsidRPr="00BD212C" w:rsidR="00137DB4">
        <w:rPr>
          <w:szCs w:val="24"/>
        </w:rPr>
        <w:t>May</w:t>
      </w:r>
      <w:r w:rsidRPr="00BD212C" w:rsidR="00D1172E">
        <w:rPr>
          <w:szCs w:val="24"/>
        </w:rPr>
        <w:t xml:space="preserve"> 1986, </w:t>
      </w:r>
      <w:r w:rsidRPr="00BD212C" w:rsidR="00D1172E">
        <w:t>D</w:t>
      </w:r>
      <w:r w:rsidRPr="00BD212C" w:rsidR="00137DB4">
        <w:t>e</w:t>
      </w:r>
      <w:r w:rsidRPr="00BD212C" w:rsidR="00D1172E">
        <w:t xml:space="preserve">cisions </w:t>
      </w:r>
      <w:r w:rsidRPr="00BD212C" w:rsidR="00137DB4">
        <w:t>and Reports (DR) 47, p. </w:t>
      </w:r>
      <w:r w:rsidRPr="00BD212C" w:rsidR="00D1172E">
        <w:t>274)</w:t>
      </w:r>
      <w:r w:rsidRPr="00BD212C" w:rsidR="00D1172E">
        <w:rPr>
          <w:szCs w:val="24"/>
        </w:rPr>
        <w:t xml:space="preserve"> </w:t>
      </w:r>
      <w:r w:rsidRPr="00BD212C" w:rsidR="00137DB4">
        <w:rPr>
          <w:szCs w:val="24"/>
        </w:rPr>
        <w:t>and</w:t>
      </w:r>
      <w:r w:rsidRPr="00BD212C" w:rsidR="00D1172E">
        <w:rPr>
          <w:szCs w:val="24"/>
        </w:rPr>
        <w:t xml:space="preserve"> </w:t>
      </w:r>
      <w:r w:rsidRPr="00BD212C" w:rsidR="00D1172E">
        <w:rPr>
          <w:i/>
          <w:szCs w:val="24"/>
        </w:rPr>
        <w:t xml:space="preserve">Röösli </w:t>
      </w:r>
      <w:r w:rsidRPr="00BD212C" w:rsidR="00137DB4">
        <w:rPr>
          <w:i/>
          <w:szCs w:val="24"/>
        </w:rPr>
        <w:t>v</w:t>
      </w:r>
      <w:r w:rsidRPr="00BD212C" w:rsidR="00D1172E">
        <w:rPr>
          <w:i/>
          <w:szCs w:val="24"/>
        </w:rPr>
        <w:t xml:space="preserve">. </w:t>
      </w:r>
      <w:r w:rsidRPr="00BD212C" w:rsidR="00137DB4">
        <w:rPr>
          <w:i/>
          <w:szCs w:val="24"/>
        </w:rPr>
        <w:t>Germany</w:t>
      </w:r>
      <w:r w:rsidRPr="00BD212C" w:rsidR="00D1172E">
        <w:rPr>
          <w:i/>
          <w:szCs w:val="24"/>
        </w:rPr>
        <w:t xml:space="preserve"> </w:t>
      </w:r>
      <w:r w:rsidRPr="00BD212C" w:rsidR="00D1172E">
        <w:rPr>
          <w:szCs w:val="24"/>
        </w:rPr>
        <w:t>(</w:t>
      </w:r>
      <w:r w:rsidRPr="00BD212C" w:rsidR="00137DB4">
        <w:rPr>
          <w:szCs w:val="24"/>
        </w:rPr>
        <w:t>no.</w:t>
      </w:r>
      <w:r w:rsidRPr="00BD212C" w:rsidR="00D1172E">
        <w:rPr>
          <w:szCs w:val="24"/>
        </w:rPr>
        <w:t xml:space="preserve"> 28318/95, Commission </w:t>
      </w:r>
      <w:r w:rsidRPr="00BD212C" w:rsidR="00137DB4">
        <w:rPr>
          <w:szCs w:val="24"/>
        </w:rPr>
        <w:t>decision of</w:t>
      </w:r>
      <w:r w:rsidRPr="00BD212C" w:rsidR="00D1172E">
        <w:rPr>
          <w:szCs w:val="24"/>
        </w:rPr>
        <w:t xml:space="preserve"> 15 </w:t>
      </w:r>
      <w:r w:rsidRPr="00BD212C" w:rsidR="00137DB4">
        <w:rPr>
          <w:szCs w:val="24"/>
        </w:rPr>
        <w:t>May</w:t>
      </w:r>
      <w:r w:rsidRPr="00BD212C" w:rsidR="00D1172E">
        <w:rPr>
          <w:szCs w:val="24"/>
        </w:rPr>
        <w:t xml:space="preserve"> 1996), </w:t>
      </w:r>
      <w:r w:rsidRPr="00BD212C" w:rsidR="00137DB4">
        <w:rPr>
          <w:szCs w:val="24"/>
        </w:rPr>
        <w:t>the</w:t>
      </w:r>
      <w:r w:rsidRPr="00BD212C" w:rsidR="00D1172E">
        <w:rPr>
          <w:szCs w:val="24"/>
        </w:rPr>
        <w:t xml:space="preserve"> Commission </w:t>
      </w:r>
      <w:r w:rsidRPr="00BD212C" w:rsidR="00137DB4">
        <w:rPr>
          <w:szCs w:val="24"/>
        </w:rPr>
        <w:t>had indicated that</w:t>
      </w:r>
      <w:r w:rsidRPr="00BD212C" w:rsidR="00D1172E">
        <w:rPr>
          <w:szCs w:val="24"/>
        </w:rPr>
        <w:t xml:space="preserve"> </w:t>
      </w:r>
      <w:r w:rsidRPr="00BD212C" w:rsidR="009C5B22">
        <w:rPr>
          <w:szCs w:val="24"/>
        </w:rPr>
        <w:t>the protection of the family was a legitimate aim</w:t>
      </w:r>
      <w:r w:rsidRPr="00BD212C" w:rsidR="004F6BEA">
        <w:rPr>
          <w:szCs w:val="24"/>
        </w:rPr>
        <w:t xml:space="preserve"> capable of</w:t>
      </w:r>
      <w:r w:rsidRPr="00BD212C" w:rsidR="00D1172E">
        <w:rPr>
          <w:szCs w:val="24"/>
        </w:rPr>
        <w:t xml:space="preserve"> justif</w:t>
      </w:r>
      <w:r w:rsidRPr="00BD212C" w:rsidR="009C5B22">
        <w:rPr>
          <w:szCs w:val="24"/>
        </w:rPr>
        <w:t>ying a difference in treatment and that a</w:t>
      </w:r>
      <w:r w:rsidRPr="00BD212C" w:rsidR="00D1172E">
        <w:rPr>
          <w:szCs w:val="24"/>
        </w:rPr>
        <w:t xml:space="preserve"> </w:t>
      </w:r>
      <w:r w:rsidRPr="00BD212C" w:rsidR="001D25EE">
        <w:rPr>
          <w:rFonts w:ascii="Times New Roman" w:hAnsi="Times New Roman" w:cs="Times New Roman" w:eastAsiaTheme="minorHAnsi"/>
          <w:szCs w:val="24"/>
        </w:rPr>
        <w:t>stable</w:t>
      </w:r>
      <w:r w:rsidRPr="00BD212C" w:rsidR="009C5B22">
        <w:rPr>
          <w:rFonts w:ascii="Times New Roman" w:hAnsi="Times New Roman" w:cs="Times New Roman" w:eastAsiaTheme="minorHAnsi"/>
          <w:szCs w:val="24"/>
        </w:rPr>
        <w:t xml:space="preserve"> homosexual</w:t>
      </w:r>
      <w:r w:rsidRPr="00BD212C" w:rsidR="00D1172E">
        <w:rPr>
          <w:rFonts w:ascii="Times New Roman" w:hAnsi="Times New Roman" w:cs="Times New Roman" w:eastAsiaTheme="minorHAnsi"/>
          <w:szCs w:val="24"/>
        </w:rPr>
        <w:t xml:space="preserve"> relations</w:t>
      </w:r>
      <w:r w:rsidRPr="00BD212C" w:rsidR="009C5B22">
        <w:rPr>
          <w:rFonts w:ascii="Times New Roman" w:hAnsi="Times New Roman" w:cs="Times New Roman" w:eastAsiaTheme="minorHAnsi"/>
          <w:szCs w:val="24"/>
        </w:rPr>
        <w:t>hip between two men</w:t>
      </w:r>
      <w:r w:rsidRPr="00BD212C" w:rsidR="00D1172E">
        <w:rPr>
          <w:rFonts w:ascii="Times New Roman" w:hAnsi="Times New Roman" w:cs="Times New Roman" w:eastAsiaTheme="minorHAnsi"/>
          <w:szCs w:val="24"/>
        </w:rPr>
        <w:t xml:space="preserve"> </w:t>
      </w:r>
      <w:r w:rsidRPr="00BD212C" w:rsidR="009C5B22">
        <w:rPr>
          <w:rFonts w:ascii="Times New Roman" w:hAnsi="Times New Roman" w:cs="Times New Roman" w:eastAsiaTheme="minorHAnsi"/>
          <w:szCs w:val="24"/>
        </w:rPr>
        <w:t xml:space="preserve">did not fall within the scope of the right to </w:t>
      </w:r>
      <w:r w:rsidRPr="00BD212C" w:rsidR="00D1172E">
        <w:rPr>
          <w:rFonts w:ascii="Times New Roman" w:hAnsi="Times New Roman" w:cs="Times New Roman" w:eastAsiaTheme="minorHAnsi"/>
          <w:szCs w:val="24"/>
        </w:rPr>
        <w:t>respect</w:t>
      </w:r>
      <w:r w:rsidRPr="00BD212C" w:rsidR="009C5B22">
        <w:rPr>
          <w:rFonts w:ascii="Times New Roman" w:hAnsi="Times New Roman" w:cs="Times New Roman" w:eastAsiaTheme="minorHAnsi"/>
          <w:szCs w:val="24"/>
        </w:rPr>
        <w:t xml:space="preserve"> for</w:t>
      </w:r>
      <w:r w:rsidRPr="00BD212C" w:rsidR="00D1172E">
        <w:rPr>
          <w:rFonts w:ascii="Times New Roman" w:hAnsi="Times New Roman" w:cs="Times New Roman" w:eastAsiaTheme="minorHAnsi"/>
          <w:szCs w:val="24"/>
        </w:rPr>
        <w:t xml:space="preserve"> </w:t>
      </w:r>
      <w:r w:rsidRPr="00BD212C" w:rsidR="009C5B22">
        <w:rPr>
          <w:rFonts w:ascii="Times New Roman" w:hAnsi="Times New Roman" w:cs="Times New Roman" w:eastAsiaTheme="minorHAnsi"/>
          <w:szCs w:val="24"/>
        </w:rPr>
        <w:t>family life guaranteed by A</w:t>
      </w:r>
      <w:r w:rsidRPr="00BD212C" w:rsidR="00D1172E">
        <w:rPr>
          <w:rFonts w:ascii="Times New Roman" w:hAnsi="Times New Roman" w:cs="Times New Roman" w:eastAsiaTheme="minorHAnsi"/>
          <w:szCs w:val="24"/>
        </w:rPr>
        <w:t xml:space="preserve">rticle 8 </w:t>
      </w:r>
      <w:r w:rsidRPr="00BD212C" w:rsidR="009C5B22">
        <w:rPr>
          <w:rFonts w:ascii="Times New Roman" w:hAnsi="Times New Roman" w:cs="Times New Roman" w:eastAsiaTheme="minorHAnsi"/>
          <w:szCs w:val="24"/>
        </w:rPr>
        <w:t>of the</w:t>
      </w:r>
      <w:r w:rsidRPr="00BD212C" w:rsidR="00D1172E">
        <w:rPr>
          <w:rFonts w:ascii="Times New Roman" w:hAnsi="Times New Roman" w:cs="Times New Roman" w:eastAsiaTheme="minorHAnsi"/>
          <w:szCs w:val="24"/>
        </w:rPr>
        <w:t xml:space="preserve"> Convention</w:t>
      </w:r>
      <w:r w:rsidRPr="00BD212C" w:rsidR="00D1172E">
        <w:rPr>
          <w:szCs w:val="24"/>
        </w:rPr>
        <w:t>.</w:t>
      </w:r>
      <w:r w:rsidRPr="00BD212C" w:rsidR="00D1172E">
        <w:t xml:space="preserve"> </w:t>
      </w:r>
      <w:r w:rsidRPr="00BD212C" w:rsidR="009C5B22">
        <w:t>The</w:t>
      </w:r>
      <w:r w:rsidRPr="00BD212C" w:rsidR="00D1172E">
        <w:t xml:space="preserve"> Commission</w:t>
      </w:r>
      <w:r w:rsidRPr="00BD212C" w:rsidR="000E4E4A">
        <w:t xml:space="preserve"> had</w:t>
      </w:r>
      <w:r w:rsidRPr="00BD212C" w:rsidR="00D1172E">
        <w:t xml:space="preserve"> </w:t>
      </w:r>
      <w:r w:rsidRPr="00BD212C" w:rsidR="009C5B22">
        <w:t xml:space="preserve">also found that the </w:t>
      </w:r>
      <w:r w:rsidRPr="00BD212C" w:rsidR="001D25EE">
        <w:t>deportation</w:t>
      </w:r>
      <w:r w:rsidRPr="00BD212C" w:rsidR="009C5B22">
        <w:t xml:space="preserve"> of an alien </w:t>
      </w:r>
      <w:r w:rsidRPr="00BD212C" w:rsidR="001D25EE">
        <w:t>who was in a same-sex relationship with a person in the host State</w:t>
      </w:r>
      <w:r w:rsidRPr="00BD212C" w:rsidR="00D1172E">
        <w:t xml:space="preserve"> </w:t>
      </w:r>
      <w:r w:rsidRPr="00BD212C" w:rsidR="001D25EE">
        <w:t>did not amount to an interference with the righ</w:t>
      </w:r>
      <w:r w:rsidRPr="00BD212C" w:rsidR="00D1172E">
        <w:t>t g</w:t>
      </w:r>
      <w:r w:rsidRPr="00BD212C" w:rsidR="001D25EE">
        <w:t>uaranteed by that provis</w:t>
      </w:r>
      <w:r w:rsidRPr="00BD212C" w:rsidR="00D1172E">
        <w:t>ion (</w:t>
      </w:r>
      <w:r w:rsidRPr="00BD212C" w:rsidR="00137DB4">
        <w:t xml:space="preserve">see </w:t>
      </w:r>
      <w:r w:rsidRPr="00BD212C" w:rsidR="00D1172E">
        <w:rPr>
          <w:i/>
        </w:rPr>
        <w:t xml:space="preserve">X </w:t>
      </w:r>
      <w:r w:rsidRPr="00BD212C" w:rsidR="009C5B22">
        <w:rPr>
          <w:i/>
        </w:rPr>
        <w:t>and</w:t>
      </w:r>
      <w:r w:rsidRPr="00BD212C" w:rsidR="00D1172E">
        <w:rPr>
          <w:i/>
        </w:rPr>
        <w:t xml:space="preserve"> Y </w:t>
      </w:r>
      <w:r w:rsidRPr="00BD212C" w:rsidR="009C5B22">
        <w:rPr>
          <w:i/>
        </w:rPr>
        <w:t>v</w:t>
      </w:r>
      <w:r w:rsidRPr="00BD212C" w:rsidR="00D1172E">
        <w:rPr>
          <w:i/>
        </w:rPr>
        <w:t xml:space="preserve">. </w:t>
      </w:r>
      <w:r w:rsidRPr="00BD212C" w:rsidR="009C5B22">
        <w:rPr>
          <w:i/>
        </w:rPr>
        <w:t>the United Kingdom,</w:t>
      </w:r>
      <w:r w:rsidRPr="00BD212C" w:rsidR="00D1172E">
        <w:t xml:space="preserve"> </w:t>
      </w:r>
      <w:r w:rsidRPr="00BD212C" w:rsidR="009C5B22">
        <w:t xml:space="preserve">no. </w:t>
      </w:r>
      <w:r w:rsidRPr="00BD212C" w:rsidR="00D1172E">
        <w:t>9369/81, Commission d</w:t>
      </w:r>
      <w:r w:rsidRPr="00BD212C" w:rsidR="009C5B22">
        <w:t>ecision of 3</w:t>
      </w:r>
      <w:r w:rsidRPr="00BD212C" w:rsidR="00D1172E">
        <w:t xml:space="preserve"> </w:t>
      </w:r>
      <w:r w:rsidRPr="00BD212C" w:rsidR="009C5B22">
        <w:t>May</w:t>
      </w:r>
      <w:r w:rsidRPr="00BD212C" w:rsidR="00D1172E">
        <w:t xml:space="preserve"> 1983, DR 32, p. 223</w:t>
      </w:r>
      <w:r w:rsidRPr="00BD212C" w:rsidR="001C795A">
        <w:t>;</w:t>
      </w:r>
      <w:r w:rsidRPr="00BD212C" w:rsidR="00D1172E">
        <w:t xml:space="preserve"> </w:t>
      </w:r>
      <w:r w:rsidRPr="00BD212C" w:rsidR="00D1172E">
        <w:rPr>
          <w:i/>
        </w:rPr>
        <w:t xml:space="preserve">W.J. </w:t>
      </w:r>
      <w:r w:rsidRPr="00BD212C" w:rsidR="001C795A">
        <w:rPr>
          <w:i/>
        </w:rPr>
        <w:t>and</w:t>
      </w:r>
      <w:r w:rsidRPr="00BD212C" w:rsidR="00D1172E">
        <w:t xml:space="preserve"> </w:t>
      </w:r>
      <w:r w:rsidRPr="00BD212C" w:rsidR="001C795A">
        <w:rPr>
          <w:i/>
        </w:rPr>
        <w:t>D.P. v</w:t>
      </w:r>
      <w:r w:rsidRPr="00BD212C" w:rsidR="00D1172E">
        <w:rPr>
          <w:i/>
        </w:rPr>
        <w:t>. </w:t>
      </w:r>
      <w:r w:rsidRPr="00BD212C" w:rsidR="001C795A">
        <w:rPr>
          <w:i/>
        </w:rPr>
        <w:t>the United Kingdom</w:t>
      </w:r>
      <w:r w:rsidRPr="00BD212C" w:rsidR="00D1172E">
        <w:t xml:space="preserve">, </w:t>
      </w:r>
      <w:r w:rsidRPr="00BD212C" w:rsidR="001C795A">
        <w:t>no.</w:t>
      </w:r>
      <w:r w:rsidRPr="00BD212C" w:rsidR="00437E34">
        <w:t xml:space="preserve"> 12513/86, </w:t>
      </w:r>
      <w:r w:rsidRPr="00BD212C" w:rsidR="00D1172E">
        <w:t xml:space="preserve">Commission </w:t>
      </w:r>
      <w:r w:rsidRPr="00BD212C" w:rsidR="009C5B22">
        <w:t>decision of</w:t>
      </w:r>
      <w:r w:rsidRPr="00BD212C" w:rsidR="00D1172E">
        <w:t xml:space="preserve"> 13 </w:t>
      </w:r>
      <w:r w:rsidRPr="00BD212C" w:rsidR="009C5B22">
        <w:t>July</w:t>
      </w:r>
      <w:r w:rsidRPr="00BD212C" w:rsidR="00D1172E">
        <w:t> 1987</w:t>
      </w:r>
      <w:r w:rsidRPr="00BD212C" w:rsidR="009C5B22">
        <w:t>;</w:t>
      </w:r>
      <w:r w:rsidRPr="00BD212C" w:rsidR="00D1172E">
        <w:t xml:space="preserve"> </w:t>
      </w:r>
      <w:r w:rsidRPr="00BD212C" w:rsidR="009C5B22">
        <w:t>and</w:t>
      </w:r>
      <w:r w:rsidRPr="00BD212C" w:rsidR="00D1172E">
        <w:t xml:space="preserve"> </w:t>
      </w:r>
      <w:r w:rsidRPr="00BD212C" w:rsidR="00D1172E">
        <w:rPr>
          <w:i/>
        </w:rPr>
        <w:t xml:space="preserve">C. </w:t>
      </w:r>
      <w:r w:rsidRPr="00BD212C" w:rsidR="009C5B22">
        <w:rPr>
          <w:i/>
        </w:rPr>
        <w:t>and L.M. v</w:t>
      </w:r>
      <w:r w:rsidRPr="00BD212C" w:rsidR="00D1172E">
        <w:rPr>
          <w:i/>
        </w:rPr>
        <w:t>. </w:t>
      </w:r>
      <w:r w:rsidRPr="00BD212C" w:rsidR="009C5B22">
        <w:rPr>
          <w:i/>
        </w:rPr>
        <w:t>the United Kingdom</w:t>
      </w:r>
      <w:r w:rsidRPr="00BD212C" w:rsidR="009C5B22">
        <w:t>,</w:t>
      </w:r>
      <w:r w:rsidRPr="00BD212C" w:rsidR="00D1172E">
        <w:t xml:space="preserve"> </w:t>
      </w:r>
      <w:r w:rsidRPr="00BD212C" w:rsidR="009C5B22">
        <w:t>no.</w:t>
      </w:r>
      <w:r w:rsidRPr="00BD212C" w:rsidR="00D1172E">
        <w:t xml:space="preserve"> 14753/89, Commission </w:t>
      </w:r>
      <w:r w:rsidRPr="00BD212C" w:rsidR="009C5B22">
        <w:t>decision of</w:t>
      </w:r>
      <w:r w:rsidRPr="00BD212C" w:rsidR="00D1172E">
        <w:t xml:space="preserve"> 9 </w:t>
      </w:r>
      <w:r w:rsidRPr="00BD212C" w:rsidR="009C5B22">
        <w:t>October</w:t>
      </w:r>
      <w:r w:rsidRPr="00BD212C" w:rsidR="00D1172E">
        <w:t xml:space="preserve"> 1989).</w:t>
      </w:r>
    </w:p>
    <w:p w:rsidRPr="00BD212C" w:rsidR="00A9262B" w:rsidP="00BD212C" w:rsidRDefault="00BD212C">
      <w:pPr>
        <w:pStyle w:val="ECHRPara"/>
      </w:pPr>
      <w:fldSimple w:instr=" SEQ level0 \*arabic ">
        <w:r w:rsidRPr="00BD212C">
          <w:rPr>
            <w:noProof/>
          </w:rPr>
          <w:t>43</w:t>
        </w:r>
      </w:fldSimple>
      <w:r w:rsidRPr="00BD212C" w:rsidR="00DD763D">
        <w:t>.  </w:t>
      </w:r>
      <w:r w:rsidRPr="00BD212C" w:rsidR="00A9262B">
        <w:t xml:space="preserve">The Government then submitted that, while acknowledging that the States enjoyed a margin of appreciation regarding the protection of the traditional family, </w:t>
      </w:r>
      <w:r w:rsidRPr="00BD212C" w:rsidR="00BB6B08">
        <w:t>in 2010 the Court had started examining under A</w:t>
      </w:r>
      <w:r w:rsidRPr="00BD212C" w:rsidR="00A9262B">
        <w:t xml:space="preserve">rticle 8 </w:t>
      </w:r>
      <w:r w:rsidRPr="00BD212C" w:rsidR="00BB6B08">
        <w:t>of the</w:t>
      </w:r>
      <w:r w:rsidRPr="00BD212C" w:rsidR="00A9262B">
        <w:t xml:space="preserve"> Convention </w:t>
      </w:r>
      <w:r w:rsidRPr="00BD212C" w:rsidR="000E4E4A">
        <w:t>form</w:t>
      </w:r>
      <w:r w:rsidRPr="00BD212C" w:rsidR="00A9262B">
        <w:t xml:space="preserve">s </w:t>
      </w:r>
      <w:r w:rsidRPr="00BD212C" w:rsidR="000E4E4A">
        <w:t>of</w:t>
      </w:r>
      <w:r w:rsidRPr="00BD212C" w:rsidR="00A9262B">
        <w:t xml:space="preserve"> cohabitation </w:t>
      </w:r>
      <w:r w:rsidRPr="00BD212C" w:rsidR="00BB6B08">
        <w:t>between same-sex couples</w:t>
      </w:r>
      <w:r w:rsidRPr="00BD212C" w:rsidR="00A9262B">
        <w:t xml:space="preserve"> (</w:t>
      </w:r>
      <w:r w:rsidRPr="00BD212C" w:rsidR="00BB6B08">
        <w:t>see</w:t>
      </w:r>
      <w:r w:rsidRPr="00BD212C" w:rsidR="00A9262B">
        <w:t xml:space="preserve">, </w:t>
      </w:r>
      <w:r w:rsidRPr="00BD212C" w:rsidR="00BB6B08">
        <w:rPr>
          <w:i/>
        </w:rPr>
        <w:t>inter alia</w:t>
      </w:r>
      <w:r w:rsidRPr="00BD212C" w:rsidR="00A9262B">
        <w:t xml:space="preserve">, </w:t>
      </w:r>
      <w:r w:rsidRPr="00BD212C" w:rsidR="00A9262B">
        <w:rPr>
          <w:i/>
        </w:rPr>
        <w:t xml:space="preserve">Kozak </w:t>
      </w:r>
      <w:r w:rsidRPr="00BD212C" w:rsidR="00C97B91">
        <w:rPr>
          <w:i/>
        </w:rPr>
        <w:t>v</w:t>
      </w:r>
      <w:r w:rsidRPr="00BD212C" w:rsidR="00A9262B">
        <w:rPr>
          <w:i/>
        </w:rPr>
        <w:t>. </w:t>
      </w:r>
      <w:r w:rsidRPr="00BD212C" w:rsidR="00C97B91">
        <w:rPr>
          <w:i/>
        </w:rPr>
        <w:t>Poland</w:t>
      </w:r>
      <w:r w:rsidRPr="00BD212C" w:rsidR="00A9262B">
        <w:t xml:space="preserve">, </w:t>
      </w:r>
      <w:r w:rsidRPr="00BD212C" w:rsidR="00C97B91">
        <w:t>no.</w:t>
      </w:r>
      <w:r w:rsidRPr="00BD212C" w:rsidR="00A9262B">
        <w:t xml:space="preserve"> 13102/02, 2 </w:t>
      </w:r>
      <w:r w:rsidRPr="00BD212C" w:rsidR="00C97B91">
        <w:t>March</w:t>
      </w:r>
      <w:r w:rsidRPr="00BD212C" w:rsidR="00A9262B">
        <w:t xml:space="preserve"> 2010). </w:t>
      </w:r>
      <w:r w:rsidRPr="00BD212C" w:rsidR="0054353F">
        <w:t>In the case of</w:t>
      </w:r>
      <w:r w:rsidRPr="00BD212C" w:rsidR="00A9262B">
        <w:t xml:space="preserve"> </w:t>
      </w:r>
      <w:r w:rsidRPr="00BD212C" w:rsidR="0054353F">
        <w:rPr>
          <w:i/>
          <w:lang w:val="de-DE"/>
        </w:rPr>
        <w:t>Schalk and Kopf v. Austria</w:t>
      </w:r>
      <w:r w:rsidRPr="00BD212C" w:rsidR="0054353F">
        <w:rPr>
          <w:lang w:val="de-DE"/>
        </w:rPr>
        <w:t xml:space="preserve"> </w:t>
      </w:r>
      <w:r w:rsidRPr="00BD212C" w:rsidR="00C97B91">
        <w:rPr>
          <w:lang w:val="de-DE"/>
        </w:rPr>
        <w:t>(</w:t>
      </w:r>
      <w:r w:rsidRPr="00BD212C" w:rsidR="0054353F">
        <w:rPr>
          <w:lang w:val="de-DE"/>
        </w:rPr>
        <w:t>no. 30141/04, ECHR 2010</w:t>
      </w:r>
      <w:r w:rsidRPr="00BD212C" w:rsidR="00A9262B">
        <w:t>)</w:t>
      </w:r>
      <w:r w:rsidRPr="00BD212C" w:rsidR="0054353F">
        <w:t xml:space="preserve"> the Court had acknowledged that same-sex c</w:t>
      </w:r>
      <w:r w:rsidRPr="00BD212C" w:rsidR="00A9262B">
        <w:t xml:space="preserve">ouples </w:t>
      </w:r>
      <w:r w:rsidRPr="00BD212C" w:rsidR="00C97B91">
        <w:t>could rely on their right to</w:t>
      </w:r>
      <w:r w:rsidRPr="00BD212C" w:rsidR="00A9262B">
        <w:t xml:space="preserve"> respect </w:t>
      </w:r>
      <w:r w:rsidRPr="00BD212C" w:rsidR="00C97B91">
        <w:t>for family life</w:t>
      </w:r>
      <w:r w:rsidRPr="00BD212C" w:rsidR="00A9262B">
        <w:t xml:space="preserve">, </w:t>
      </w:r>
      <w:r w:rsidRPr="00BD212C" w:rsidR="00C97B91">
        <w:t>but pointed out that the</w:t>
      </w:r>
      <w:r w:rsidRPr="00BD212C" w:rsidR="00A9262B">
        <w:t xml:space="preserve"> Convention </w:t>
      </w:r>
      <w:r w:rsidRPr="00BD212C" w:rsidR="00C97B91">
        <w:t xml:space="preserve">did not guarantee </w:t>
      </w:r>
      <w:r w:rsidRPr="00BD212C" w:rsidR="000E4E4A">
        <w:t>them the</w:t>
      </w:r>
      <w:r w:rsidRPr="00BD212C" w:rsidR="00C97B91">
        <w:t xml:space="preserve"> right to m</w:t>
      </w:r>
      <w:r w:rsidRPr="00BD212C" w:rsidR="00A9262B">
        <w:t>ar</w:t>
      </w:r>
      <w:r w:rsidRPr="00BD212C" w:rsidR="00C97B91">
        <w:t>r</w:t>
      </w:r>
      <w:r w:rsidRPr="00BD212C" w:rsidR="000E4E4A">
        <w:t>y</w:t>
      </w:r>
      <w:r w:rsidRPr="00BD212C" w:rsidR="00A9262B">
        <w:t xml:space="preserve">. </w:t>
      </w:r>
      <w:r w:rsidRPr="00BD212C" w:rsidR="00BB6B08">
        <w:t>It ha</w:t>
      </w:r>
      <w:r w:rsidRPr="00BD212C" w:rsidR="00C97B91">
        <w:t>d</w:t>
      </w:r>
      <w:r w:rsidRPr="00BD212C" w:rsidR="00BB6B08">
        <w:t xml:space="preserve"> also observed that</w:t>
      </w:r>
      <w:r w:rsidRPr="00BD212C" w:rsidR="00A9262B">
        <w:t xml:space="preserve"> </w:t>
      </w:r>
      <w:r w:rsidRPr="00BD212C" w:rsidR="00BB6B08">
        <w:t xml:space="preserve">where a State chose to provide same-sex couples with an alternative means of recognition, it enjoyed a certain margin of appreciation as regards the exact status conferred </w:t>
      </w:r>
      <w:r w:rsidRPr="00BD212C" w:rsidR="00A9262B">
        <w:t>(</w:t>
      </w:r>
      <w:r w:rsidRPr="00BD212C" w:rsidR="00BB6B08">
        <w:t>see</w:t>
      </w:r>
      <w:r w:rsidRPr="00BD212C" w:rsidR="00A9262B">
        <w:t xml:space="preserve">, </w:t>
      </w:r>
      <w:r w:rsidRPr="00BD212C" w:rsidR="00BB6B08">
        <w:rPr>
          <w:i/>
        </w:rPr>
        <w:t>inter alia</w:t>
      </w:r>
      <w:r w:rsidRPr="00BD212C" w:rsidR="00A9262B">
        <w:t xml:space="preserve">, </w:t>
      </w:r>
      <w:r w:rsidRPr="00BD212C" w:rsidR="00BB6B08">
        <w:rPr>
          <w:i/>
          <w:lang w:val="en-GB"/>
        </w:rPr>
        <w:t>Gas and Dubois v. France</w:t>
      </w:r>
      <w:r w:rsidRPr="00BD212C" w:rsidR="00BB6B08">
        <w:rPr>
          <w:lang w:val="en-GB"/>
        </w:rPr>
        <w:t>, no. 25951/07</w:t>
      </w:r>
      <w:r w:rsidRPr="00BD212C" w:rsidR="00BB6B08">
        <w:rPr>
          <w:snapToGrid w:val="0"/>
          <w:szCs w:val="24"/>
          <w:lang w:val="en-GB"/>
        </w:rPr>
        <w:t>, § 66, ECHR 2012</w:t>
      </w:r>
      <w:r w:rsidRPr="00BD212C" w:rsidR="00A9262B">
        <w:t>).</w:t>
      </w:r>
    </w:p>
    <w:p w:rsidRPr="00BD212C" w:rsidR="00C97B91" w:rsidP="00BD212C" w:rsidRDefault="00BD212C">
      <w:pPr>
        <w:pStyle w:val="ECHRPara"/>
        <w:rPr>
          <w:rFonts w:eastAsiaTheme="minorHAnsi"/>
        </w:rPr>
      </w:pPr>
      <w:fldSimple w:instr=" SEQ level0 \*arabic ">
        <w:r w:rsidRPr="00BD212C">
          <w:rPr>
            <w:noProof/>
          </w:rPr>
          <w:t>44</w:t>
        </w:r>
      </w:fldSimple>
      <w:r w:rsidRPr="00BD212C" w:rsidR="00C97B91">
        <w:t xml:space="preserve">.  The Government indicated that in the present case the applicants had </w:t>
      </w:r>
      <w:r w:rsidRPr="00BD212C" w:rsidR="00992D51">
        <w:t>requested a residence permit for family reasons</w:t>
      </w:r>
      <w:r w:rsidRPr="00BD212C" w:rsidR="00C97B91">
        <w:t xml:space="preserve">. </w:t>
      </w:r>
      <w:r w:rsidRPr="00BD212C" w:rsidR="00992D51">
        <w:t>In the Government</w:t>
      </w:r>
      <w:r w:rsidRPr="00BD212C">
        <w:t>’</w:t>
      </w:r>
      <w:r w:rsidRPr="00BD212C" w:rsidR="00992D51">
        <w:t xml:space="preserve">s submission, the </w:t>
      </w:r>
      <w:r w:rsidRPr="00BD212C" w:rsidR="00C97B91">
        <w:t>discrimination</w:t>
      </w:r>
      <w:r w:rsidRPr="00BD212C" w:rsidR="00992D51">
        <w:t xml:space="preserve"> of which they complained should be examined in the light of the relevant Italian</w:t>
      </w:r>
      <w:r w:rsidRPr="00BD212C" w:rsidR="00C97B91">
        <w:t xml:space="preserve"> l</w:t>
      </w:r>
      <w:r w:rsidRPr="00BD212C" w:rsidR="00992D51">
        <w:t>egislation, namely</w:t>
      </w:r>
      <w:r w:rsidRPr="00BD212C" w:rsidR="00437E34">
        <w:t>,</w:t>
      </w:r>
      <w:r w:rsidRPr="00BD212C" w:rsidR="00992D51">
        <w:t xml:space="preserve"> A</w:t>
      </w:r>
      <w:r w:rsidRPr="00BD212C" w:rsidR="00C97B91">
        <w:t xml:space="preserve">rticles 29 </w:t>
      </w:r>
      <w:r w:rsidRPr="00BD212C" w:rsidR="00992D51">
        <w:t>and</w:t>
      </w:r>
      <w:r w:rsidRPr="00BD212C" w:rsidR="00C97B91">
        <w:t xml:space="preserve"> 30 </w:t>
      </w:r>
      <w:r w:rsidRPr="00BD212C" w:rsidR="00992D51">
        <w:t>of Legislative Decree no.</w:t>
      </w:r>
      <w:r w:rsidRPr="00BD212C" w:rsidR="00C97B91">
        <w:t xml:space="preserve"> 286 </w:t>
      </w:r>
      <w:r w:rsidRPr="00BD212C" w:rsidR="00992D51">
        <w:t>of</w:t>
      </w:r>
      <w:r w:rsidRPr="00BD212C" w:rsidR="00C97B91">
        <w:t xml:space="preserve"> 1998 </w:t>
      </w:r>
      <w:r w:rsidRPr="00BD212C" w:rsidR="00893ABA">
        <w:t>...</w:t>
      </w:r>
      <w:r w:rsidRPr="00BD212C" w:rsidR="00C97B91">
        <w:t xml:space="preserve">. </w:t>
      </w:r>
      <w:r w:rsidRPr="00BD212C" w:rsidR="00437E34">
        <w:t>They argued that</w:t>
      </w:r>
      <w:r w:rsidRPr="00BD212C" w:rsidR="00C97B91">
        <w:t xml:space="preserve">, </w:t>
      </w:r>
      <w:r w:rsidRPr="00BD212C" w:rsidR="003F7B56">
        <w:t>under those provisions</w:t>
      </w:r>
      <w:r w:rsidRPr="00BD212C" w:rsidR="00437E34">
        <w:t>,</w:t>
      </w:r>
      <w:r w:rsidRPr="00BD212C" w:rsidR="003F7B56">
        <w:t xml:space="preserve"> the fact of being a </w:t>
      </w:r>
      <w:r w:rsidRPr="00BD212C" w:rsidR="003F7B56">
        <w:rPr>
          <w:i/>
        </w:rPr>
        <w:t>de facto</w:t>
      </w:r>
      <w:r w:rsidRPr="00BD212C" w:rsidR="003F7B56">
        <w:t xml:space="preserve"> partner did not</w:t>
      </w:r>
      <w:r w:rsidRPr="00BD212C" w:rsidR="00C97B91">
        <w:t xml:space="preserve"> </w:t>
      </w:r>
      <w:r w:rsidRPr="00BD212C" w:rsidR="003F7B56">
        <w:t>confer on the person concerned the status of “family member”</w:t>
      </w:r>
      <w:r w:rsidRPr="00BD212C" w:rsidR="00C97B91">
        <w:t xml:space="preserve">. </w:t>
      </w:r>
      <w:r w:rsidRPr="00BD212C" w:rsidR="003F7B56">
        <w:t>They indicated, further, that Legislative Decree</w:t>
      </w:r>
      <w:r w:rsidRPr="00BD212C" w:rsidR="00C97B91">
        <w:t xml:space="preserve"> n</w:t>
      </w:r>
      <w:r w:rsidRPr="00BD212C" w:rsidR="003F7B56">
        <w:t>o. </w:t>
      </w:r>
      <w:r w:rsidRPr="00BD212C" w:rsidR="00C97B91">
        <w:t xml:space="preserve">30 </w:t>
      </w:r>
      <w:r w:rsidRPr="00BD212C" w:rsidR="003F7B56">
        <w:t>of</w:t>
      </w:r>
      <w:r w:rsidRPr="00BD212C" w:rsidR="00C97B91">
        <w:t xml:space="preserve"> 6 </w:t>
      </w:r>
      <w:r w:rsidRPr="00BD212C" w:rsidR="003F7B56">
        <w:t>February</w:t>
      </w:r>
      <w:r w:rsidRPr="00BD212C" w:rsidR="00C97B91">
        <w:t xml:space="preserve"> 2007 </w:t>
      </w:r>
      <w:r w:rsidRPr="00BD212C" w:rsidR="003F7B56">
        <w:t>implemented European Di</w:t>
      </w:r>
      <w:r w:rsidRPr="00BD212C" w:rsidR="00C97B91">
        <w:t xml:space="preserve">rective </w:t>
      </w:r>
      <w:r w:rsidRPr="00BD212C" w:rsidR="003F7B56">
        <w:t>2004/38/</w:t>
      </w:r>
      <w:r w:rsidRPr="00BD212C" w:rsidR="00C97B91">
        <w:t>E</w:t>
      </w:r>
      <w:r w:rsidRPr="00BD212C" w:rsidR="003F7B56">
        <w:t>C</w:t>
      </w:r>
      <w:r w:rsidRPr="00BD212C" w:rsidR="00C97B91">
        <w:t xml:space="preserve"> </w:t>
      </w:r>
      <w:r w:rsidRPr="00BD212C" w:rsidR="00893ABA">
        <w:t>...</w:t>
      </w:r>
      <w:r w:rsidRPr="00BD212C" w:rsidR="00C97B91">
        <w:t xml:space="preserve">, </w:t>
      </w:r>
      <w:r w:rsidRPr="00BD212C" w:rsidR="003F7B56">
        <w:t xml:space="preserve">according to which a </w:t>
      </w:r>
      <w:r w:rsidRPr="00BD212C" w:rsidR="00437E34">
        <w:t>“</w:t>
      </w:r>
      <w:r w:rsidRPr="00BD212C" w:rsidR="003F7B56">
        <w:t>family member</w:t>
      </w:r>
      <w:r w:rsidRPr="00BD212C" w:rsidR="00437E34">
        <w:t>”</w:t>
      </w:r>
      <w:r w:rsidRPr="00BD212C" w:rsidR="00C97B91">
        <w:t xml:space="preserve"> </w:t>
      </w:r>
      <w:r w:rsidRPr="00BD212C" w:rsidR="003F7B56">
        <w:t>was</w:t>
      </w:r>
      <w:r w:rsidRPr="00BD212C" w:rsidR="00C97B91">
        <w:t xml:space="preserve">, </w:t>
      </w:r>
      <w:r w:rsidRPr="00BD212C" w:rsidR="003F7B56">
        <w:rPr>
          <w:i/>
        </w:rPr>
        <w:t>inter alia</w:t>
      </w:r>
      <w:r w:rsidRPr="00BD212C" w:rsidR="00C97B91">
        <w:t xml:space="preserve">, </w:t>
      </w:r>
      <w:r w:rsidRPr="00BD212C" w:rsidR="003F7B56">
        <w:t xml:space="preserve">“the partner with whom the </w:t>
      </w:r>
      <w:r w:rsidRPr="00BD212C" w:rsidR="00873DA6">
        <w:t>[E</w:t>
      </w:r>
      <w:r w:rsidRPr="00BD212C" w:rsidR="003F7B56">
        <w:t>U</w:t>
      </w:r>
      <w:r w:rsidRPr="00BD212C" w:rsidR="00873DA6">
        <w:t>]</w:t>
      </w:r>
      <w:r w:rsidRPr="00BD212C" w:rsidR="003F7B56">
        <w:t xml:space="preserve"> citizen has contracted a registered partnership, on the basis of the legislation of a Member State, if the legislation of the host Member State treats registered partnerships as equivalent to marriage and in accordance with the conditions laid down in the relevant legislation of the host Member State</w:t>
      </w:r>
      <w:r w:rsidRPr="00BD212C" w:rsidR="003F7B56">
        <w:rPr>
          <w:rFonts w:eastAsiaTheme="minorHAnsi"/>
        </w:rPr>
        <w:t>”.</w:t>
      </w:r>
      <w:r w:rsidRPr="00BD212C" w:rsidR="00C97B91">
        <w:rPr>
          <w:rFonts w:eastAsiaTheme="minorHAnsi"/>
        </w:rPr>
        <w:t xml:space="preserve"> </w:t>
      </w:r>
      <w:r w:rsidRPr="00BD212C" w:rsidR="00873DA6">
        <w:rPr>
          <w:rFonts w:eastAsiaTheme="minorHAnsi"/>
        </w:rPr>
        <w:t>According to the Go</w:t>
      </w:r>
      <w:r w:rsidRPr="00BD212C" w:rsidR="00C97B91">
        <w:rPr>
          <w:rFonts w:eastAsiaTheme="minorHAnsi"/>
        </w:rPr>
        <w:t xml:space="preserve">vernment, </w:t>
      </w:r>
      <w:r w:rsidRPr="00BD212C" w:rsidR="003F7B56">
        <w:rPr>
          <w:rFonts w:eastAsiaTheme="minorHAnsi"/>
        </w:rPr>
        <w:t>as the</w:t>
      </w:r>
      <w:r w:rsidRPr="00BD212C" w:rsidR="00C97B91">
        <w:rPr>
          <w:rFonts w:eastAsiaTheme="minorHAnsi"/>
        </w:rPr>
        <w:t xml:space="preserve"> </w:t>
      </w:r>
      <w:r w:rsidRPr="00BD212C" w:rsidR="003F7B56">
        <w:rPr>
          <w:rFonts w:eastAsiaTheme="minorHAnsi"/>
        </w:rPr>
        <w:t>applicants had entered into their partnership in New Zealand</w:t>
      </w:r>
      <w:r w:rsidRPr="00BD212C" w:rsidR="00C97B91">
        <w:rPr>
          <w:rFonts w:eastAsiaTheme="minorHAnsi"/>
        </w:rPr>
        <w:t>,</w:t>
      </w:r>
      <w:r w:rsidRPr="00BD212C" w:rsidR="003F7B56">
        <w:rPr>
          <w:rFonts w:eastAsiaTheme="minorHAnsi"/>
        </w:rPr>
        <w:t xml:space="preserve"> and thus outside the EU</w:t>
      </w:r>
      <w:r w:rsidRPr="00BD212C" w:rsidR="00C97B91">
        <w:rPr>
          <w:rFonts w:eastAsiaTheme="minorHAnsi"/>
        </w:rPr>
        <w:t xml:space="preserve">, </w:t>
      </w:r>
      <w:r w:rsidRPr="00BD212C" w:rsidR="003F7B56">
        <w:rPr>
          <w:rFonts w:eastAsiaTheme="minorHAnsi"/>
        </w:rPr>
        <w:t>it could not be recognised under that provis</w:t>
      </w:r>
      <w:r w:rsidRPr="00BD212C" w:rsidR="00C97B91">
        <w:rPr>
          <w:rFonts w:eastAsiaTheme="minorHAnsi"/>
        </w:rPr>
        <w:t>ion.</w:t>
      </w:r>
    </w:p>
    <w:p w:rsidRPr="00BD212C" w:rsidR="00873DA6" w:rsidP="00BD212C" w:rsidRDefault="00873DA6">
      <w:pPr>
        <w:pStyle w:val="ECHRPara"/>
        <w:rPr>
          <w:lang w:eastAsia="en-GB"/>
        </w:rPr>
      </w:pPr>
      <w:r w:rsidRPr="00BD212C">
        <w:rPr>
          <w:rFonts w:eastAsiaTheme="minorHAnsi"/>
        </w:rPr>
        <w:fldChar w:fldCharType="begin"/>
      </w:r>
      <w:r w:rsidRPr="00BD212C">
        <w:rPr>
          <w:rFonts w:eastAsiaTheme="minorHAnsi"/>
        </w:rPr>
        <w:instrText xml:space="preserve"> SEQ level0 \*arabic </w:instrText>
      </w:r>
      <w:r w:rsidRPr="00BD212C">
        <w:rPr>
          <w:rFonts w:eastAsiaTheme="minorHAnsi"/>
        </w:rPr>
        <w:fldChar w:fldCharType="separate"/>
      </w:r>
      <w:r w:rsidRPr="00BD212C" w:rsidR="00BD212C">
        <w:rPr>
          <w:rFonts w:eastAsiaTheme="minorHAnsi"/>
          <w:noProof/>
        </w:rPr>
        <w:t>45</w:t>
      </w:r>
      <w:r w:rsidRPr="00BD212C">
        <w:rPr>
          <w:rFonts w:eastAsiaTheme="minorHAnsi"/>
        </w:rPr>
        <w:fldChar w:fldCharType="end"/>
      </w:r>
      <w:r w:rsidRPr="00BD212C">
        <w:rPr>
          <w:rFonts w:eastAsiaTheme="minorHAnsi"/>
        </w:rPr>
        <w:t>.  </w:t>
      </w:r>
      <w:r w:rsidRPr="00BD212C">
        <w:t>The Government submitted further that, under Article 3 § 1 of the above-mentioned directive, which had been transposed into Italian law by Law no.</w:t>
      </w:r>
      <w:r w:rsidRPr="00BD212C">
        <w:rPr>
          <w:vertAlign w:val="superscript"/>
        </w:rPr>
        <w:t> </w:t>
      </w:r>
      <w:r w:rsidRPr="00BD212C">
        <w:t xml:space="preserve">97 of 6 August 2013 </w:t>
      </w:r>
      <w:r w:rsidRPr="00BD212C" w:rsidR="00893ABA">
        <w:t>...</w:t>
      </w:r>
      <w:r w:rsidRPr="00BD212C">
        <w:t>, the host Member State had to facilitate entry and residence for the following persons: “a)  </w:t>
      </w:r>
      <w:r w:rsidRPr="00BD212C" w:rsidR="00CF4032">
        <w:rPr>
          <w:lang w:eastAsia="en-GB"/>
        </w:rPr>
        <w:t xml:space="preserve">any </w:t>
      </w:r>
      <w:r w:rsidRPr="00BD212C" w:rsidR="00E43D0C">
        <w:rPr>
          <w:lang w:eastAsia="en-GB"/>
        </w:rPr>
        <w:t>other family members, irrespective of their nationality</w:t>
      </w:r>
      <w:r w:rsidRPr="00BD212C" w:rsidR="00CF4032">
        <w:rPr>
          <w:lang w:eastAsia="en-GB"/>
        </w:rPr>
        <w:t xml:space="preserve"> </w:t>
      </w:r>
      <w:r w:rsidRPr="00BD212C" w:rsidR="00893ABA">
        <w:rPr>
          <w:lang w:eastAsia="en-GB"/>
        </w:rPr>
        <w:t>...</w:t>
      </w:r>
      <w:r w:rsidRPr="00BD212C" w:rsidR="00E43D0C">
        <w:rPr>
          <w:lang w:eastAsia="en-GB"/>
        </w:rPr>
        <w:t xml:space="preserve"> where serious health grounds strictly require the personal care of the family member by the</w:t>
      </w:r>
      <w:r w:rsidRPr="00BD212C" w:rsidR="00CF4032">
        <w:rPr>
          <w:lang w:eastAsia="en-GB"/>
        </w:rPr>
        <w:t xml:space="preserve"> </w:t>
      </w:r>
      <w:r w:rsidRPr="00BD212C" w:rsidR="00E43D0C">
        <w:rPr>
          <w:lang w:eastAsia="en-GB"/>
        </w:rPr>
        <w:t>Union citizen</w:t>
      </w:r>
      <w:r w:rsidRPr="00BD212C" w:rsidR="00CF4032">
        <w:rPr>
          <w:lang w:eastAsia="en-GB"/>
        </w:rPr>
        <w:t>”</w:t>
      </w:r>
      <w:r w:rsidRPr="00BD212C">
        <w:rPr>
          <w:lang w:eastAsia="en-GB"/>
        </w:rPr>
        <w:t xml:space="preserve">, </w:t>
      </w:r>
      <w:r w:rsidRPr="00BD212C" w:rsidR="00CF4032">
        <w:rPr>
          <w:lang w:eastAsia="en-GB"/>
        </w:rPr>
        <w:t>and “</w:t>
      </w:r>
      <w:r w:rsidRPr="00BD212C">
        <w:rPr>
          <w:lang w:eastAsia="en-GB"/>
        </w:rPr>
        <w:t>b)  </w:t>
      </w:r>
      <w:r w:rsidRPr="00BD212C" w:rsidR="00CF4032">
        <w:rPr>
          <w:lang w:eastAsia="en-GB"/>
        </w:rPr>
        <w:t>the partner with whom the Union citizen has a durable relationship, duly attested”</w:t>
      </w:r>
      <w:r w:rsidRPr="00BD212C">
        <w:rPr>
          <w:lang w:eastAsia="en-GB"/>
        </w:rPr>
        <w:t xml:space="preserve">. </w:t>
      </w:r>
      <w:r w:rsidRPr="00BD212C" w:rsidR="00CF4032">
        <w:rPr>
          <w:lang w:eastAsia="en-GB"/>
        </w:rPr>
        <w:t>They observed that those prov</w:t>
      </w:r>
      <w:r w:rsidRPr="00BD212C">
        <w:rPr>
          <w:lang w:eastAsia="en-GB"/>
        </w:rPr>
        <w:t>i</w:t>
      </w:r>
      <w:r w:rsidRPr="00BD212C" w:rsidR="00CF4032">
        <w:rPr>
          <w:lang w:eastAsia="en-GB"/>
        </w:rPr>
        <w:t>si</w:t>
      </w:r>
      <w:r w:rsidRPr="00BD212C">
        <w:rPr>
          <w:lang w:eastAsia="en-GB"/>
        </w:rPr>
        <w:t xml:space="preserve">ons </w:t>
      </w:r>
      <w:r w:rsidRPr="00BD212C" w:rsidR="00CF4032">
        <w:rPr>
          <w:lang w:eastAsia="en-GB"/>
        </w:rPr>
        <w:t>did not confer</w:t>
      </w:r>
      <w:r w:rsidRPr="00BD212C">
        <w:rPr>
          <w:lang w:eastAsia="en-GB"/>
        </w:rPr>
        <w:t xml:space="preserve"> </w:t>
      </w:r>
      <w:r w:rsidRPr="00BD212C" w:rsidR="00CF4032">
        <w:rPr>
          <w:lang w:eastAsia="en-GB"/>
        </w:rPr>
        <w:t>a right to the residence permit requested</w:t>
      </w:r>
      <w:r w:rsidRPr="00BD212C">
        <w:rPr>
          <w:lang w:eastAsia="en-GB"/>
        </w:rPr>
        <w:t xml:space="preserve">: </w:t>
      </w:r>
      <w:r w:rsidRPr="00BD212C" w:rsidR="00CF4032">
        <w:rPr>
          <w:lang w:eastAsia="en-GB"/>
        </w:rPr>
        <w:t>firstly, the person with a serious illness was the first applicant</w:t>
      </w:r>
      <w:r w:rsidRPr="00BD212C">
        <w:rPr>
          <w:lang w:eastAsia="en-GB"/>
        </w:rPr>
        <w:t xml:space="preserve">, </w:t>
      </w:r>
      <w:r w:rsidRPr="00BD212C" w:rsidR="00CF4032">
        <w:rPr>
          <w:lang w:eastAsia="en-GB"/>
        </w:rPr>
        <w:t>who was an Italian citizen</w:t>
      </w:r>
      <w:r w:rsidRPr="00BD212C">
        <w:rPr>
          <w:lang w:eastAsia="en-GB"/>
        </w:rPr>
        <w:t xml:space="preserve">; </w:t>
      </w:r>
      <w:r w:rsidRPr="00BD212C" w:rsidR="00CF4032">
        <w:rPr>
          <w:lang w:eastAsia="en-GB"/>
        </w:rPr>
        <w:t>secondly</w:t>
      </w:r>
      <w:r w:rsidRPr="00BD212C">
        <w:rPr>
          <w:lang w:eastAsia="en-GB"/>
        </w:rPr>
        <w:t xml:space="preserve">, </w:t>
      </w:r>
      <w:r w:rsidRPr="00BD212C" w:rsidR="00CF4032">
        <w:rPr>
          <w:lang w:eastAsia="en-GB"/>
        </w:rPr>
        <w:t xml:space="preserve">it fell to the States which, like Italy, did not guarantee same-sex </w:t>
      </w:r>
      <w:r w:rsidRPr="00BD212C">
        <w:t xml:space="preserve">couples </w:t>
      </w:r>
      <w:r w:rsidRPr="00BD212C" w:rsidR="00CF4032">
        <w:t>a means of legal recognition</w:t>
      </w:r>
      <w:r w:rsidRPr="00BD212C">
        <w:t>,</w:t>
      </w:r>
      <w:r w:rsidRPr="00BD212C">
        <w:rPr>
          <w:lang w:eastAsia="en-GB"/>
        </w:rPr>
        <w:t xml:space="preserve"> </w:t>
      </w:r>
      <w:r w:rsidRPr="00BD212C" w:rsidR="00CF4032">
        <w:rPr>
          <w:lang w:eastAsia="en-GB"/>
        </w:rPr>
        <w:t>to decide whether the</w:t>
      </w:r>
      <w:r w:rsidRPr="00BD212C">
        <w:rPr>
          <w:lang w:eastAsia="en-GB"/>
        </w:rPr>
        <w:t xml:space="preserve"> conditions </w:t>
      </w:r>
      <w:r w:rsidRPr="00BD212C" w:rsidR="00CF4032">
        <w:rPr>
          <w:lang w:eastAsia="en-GB"/>
        </w:rPr>
        <w:t>for obtaining a residence permit were satisfied</w:t>
      </w:r>
      <w:r w:rsidRPr="00BD212C">
        <w:rPr>
          <w:lang w:eastAsia="en-GB"/>
        </w:rPr>
        <w:t xml:space="preserve">. </w:t>
      </w:r>
      <w:r w:rsidRPr="00BD212C" w:rsidR="00CF4032">
        <w:rPr>
          <w:lang w:eastAsia="en-GB"/>
        </w:rPr>
        <w:t>The Govern</w:t>
      </w:r>
      <w:r w:rsidRPr="00BD212C">
        <w:rPr>
          <w:lang w:eastAsia="en-GB"/>
        </w:rPr>
        <w:t xml:space="preserve">ment </w:t>
      </w:r>
      <w:r w:rsidRPr="00BD212C" w:rsidR="00CF4032">
        <w:rPr>
          <w:lang w:eastAsia="en-GB"/>
        </w:rPr>
        <w:t xml:space="preserve">concluded on that </w:t>
      </w:r>
      <w:r w:rsidRPr="00BD212C">
        <w:rPr>
          <w:lang w:eastAsia="en-GB"/>
        </w:rPr>
        <w:t>point</w:t>
      </w:r>
      <w:r w:rsidRPr="00BD212C" w:rsidR="00CF4032">
        <w:rPr>
          <w:lang w:eastAsia="en-GB"/>
        </w:rPr>
        <w:t xml:space="preserve"> that the dec</w:t>
      </w:r>
      <w:r w:rsidRPr="00BD212C">
        <w:rPr>
          <w:lang w:eastAsia="en-GB"/>
        </w:rPr>
        <w:t xml:space="preserve">isions </w:t>
      </w:r>
      <w:r w:rsidRPr="00BD212C" w:rsidR="009560C6">
        <w:rPr>
          <w:lang w:eastAsia="en-GB"/>
        </w:rPr>
        <w:t>made</w:t>
      </w:r>
      <w:r w:rsidRPr="00BD212C" w:rsidR="00CF4032">
        <w:rPr>
          <w:lang w:eastAsia="en-GB"/>
        </w:rPr>
        <w:t xml:space="preserve"> by the Italian authorities in the present case were compatible with EU law</w:t>
      </w:r>
      <w:r w:rsidRPr="00BD212C">
        <w:rPr>
          <w:lang w:eastAsia="en-GB"/>
        </w:rPr>
        <w:t xml:space="preserve">. </w:t>
      </w:r>
      <w:r w:rsidRPr="00BD212C" w:rsidR="00CF4032">
        <w:rPr>
          <w:lang w:eastAsia="en-GB"/>
        </w:rPr>
        <w:t>In any event the second applic</w:t>
      </w:r>
      <w:r w:rsidRPr="00BD212C">
        <w:rPr>
          <w:lang w:eastAsia="en-GB"/>
        </w:rPr>
        <w:t xml:space="preserve">ant </w:t>
      </w:r>
      <w:r w:rsidRPr="00BD212C" w:rsidR="00CF4032">
        <w:rPr>
          <w:lang w:eastAsia="en-GB"/>
        </w:rPr>
        <w:t xml:space="preserve">had not </w:t>
      </w:r>
      <w:r w:rsidRPr="00BD212C" w:rsidR="00031B8C">
        <w:rPr>
          <w:lang w:eastAsia="en-GB"/>
        </w:rPr>
        <w:t>lodged</w:t>
      </w:r>
      <w:r w:rsidRPr="00BD212C" w:rsidR="00CF4032">
        <w:rPr>
          <w:lang w:eastAsia="en-GB"/>
        </w:rPr>
        <w:t xml:space="preserve"> a</w:t>
      </w:r>
      <w:r w:rsidRPr="00BD212C" w:rsidR="004F6BEA">
        <w:rPr>
          <w:lang w:eastAsia="en-GB"/>
        </w:rPr>
        <w:t>n</w:t>
      </w:r>
      <w:r w:rsidRPr="00BD212C" w:rsidR="00CF4032">
        <w:rPr>
          <w:lang w:eastAsia="en-GB"/>
        </w:rPr>
        <w:t xml:space="preserve"> </w:t>
      </w:r>
      <w:r w:rsidRPr="00BD212C" w:rsidR="00031B8C">
        <w:rPr>
          <w:lang w:eastAsia="en-GB"/>
        </w:rPr>
        <w:t>application under Law no.</w:t>
      </w:r>
      <w:r w:rsidRPr="00BD212C">
        <w:rPr>
          <w:lang w:eastAsia="en-GB"/>
        </w:rPr>
        <w:t xml:space="preserve"> 97 </w:t>
      </w:r>
      <w:r w:rsidRPr="00BD212C" w:rsidR="00031B8C">
        <w:rPr>
          <w:lang w:eastAsia="en-GB"/>
        </w:rPr>
        <w:t>of</w:t>
      </w:r>
      <w:r w:rsidRPr="00BD212C">
        <w:rPr>
          <w:lang w:eastAsia="en-GB"/>
        </w:rPr>
        <w:t xml:space="preserve"> 2013 </w:t>
      </w:r>
      <w:r w:rsidRPr="00BD212C" w:rsidR="00A65A61">
        <w:rPr>
          <w:lang w:eastAsia="en-GB"/>
        </w:rPr>
        <w:t xml:space="preserve">and </w:t>
      </w:r>
      <w:r w:rsidRPr="00BD212C" w:rsidR="009560C6">
        <w:rPr>
          <w:lang w:eastAsia="en-GB"/>
        </w:rPr>
        <w:t>had</w:t>
      </w:r>
      <w:r w:rsidRPr="00BD212C" w:rsidR="00A65A61">
        <w:rPr>
          <w:lang w:eastAsia="en-GB"/>
        </w:rPr>
        <w:t xml:space="preserve"> not registered</w:t>
      </w:r>
      <w:r w:rsidRPr="00BD212C" w:rsidR="009560C6">
        <w:rPr>
          <w:lang w:eastAsia="en-GB"/>
        </w:rPr>
        <w:t xml:space="preserve"> </w:t>
      </w:r>
      <w:r w:rsidRPr="00BD212C" w:rsidR="00A65A61">
        <w:rPr>
          <w:lang w:eastAsia="en-GB"/>
        </w:rPr>
        <w:t>i</w:t>
      </w:r>
      <w:r w:rsidRPr="00BD212C" w:rsidR="00031B8C">
        <w:rPr>
          <w:lang w:eastAsia="en-GB"/>
        </w:rPr>
        <w:t>n the</w:t>
      </w:r>
      <w:r w:rsidRPr="00BD212C">
        <w:rPr>
          <w:lang w:eastAsia="en-GB"/>
        </w:rPr>
        <w:t xml:space="preserve"> population</w:t>
      </w:r>
      <w:r w:rsidRPr="00BD212C" w:rsidR="00031B8C">
        <w:rPr>
          <w:lang w:eastAsia="en-GB"/>
        </w:rPr>
        <w:t xml:space="preserve"> register</w:t>
      </w:r>
      <w:r w:rsidRPr="00BD212C">
        <w:rPr>
          <w:lang w:eastAsia="en-GB"/>
        </w:rPr>
        <w:t xml:space="preserve"> </w:t>
      </w:r>
      <w:r w:rsidRPr="00BD212C" w:rsidR="00031B8C">
        <w:rPr>
          <w:lang w:eastAsia="en-GB"/>
        </w:rPr>
        <w:t xml:space="preserve">for </w:t>
      </w:r>
      <w:r w:rsidRPr="00BD212C">
        <w:rPr>
          <w:lang w:eastAsia="en-GB"/>
        </w:rPr>
        <w:t>Cecina (Livorn</w:t>
      </w:r>
      <w:r w:rsidRPr="00BD212C" w:rsidR="00031B8C">
        <w:rPr>
          <w:lang w:eastAsia="en-GB"/>
        </w:rPr>
        <w:t>o</w:t>
      </w:r>
      <w:r w:rsidRPr="00BD212C">
        <w:rPr>
          <w:lang w:eastAsia="en-GB"/>
        </w:rPr>
        <w:t xml:space="preserve">) </w:t>
      </w:r>
      <w:r w:rsidRPr="00BD212C" w:rsidR="00031B8C">
        <w:rPr>
          <w:lang w:eastAsia="en-GB"/>
        </w:rPr>
        <w:t>as a person cohabiting with the first applic</w:t>
      </w:r>
      <w:r w:rsidRPr="00BD212C">
        <w:rPr>
          <w:lang w:eastAsia="en-GB"/>
        </w:rPr>
        <w:t>ant.</w:t>
      </w:r>
    </w:p>
    <w:p w:rsidRPr="00BD212C" w:rsidR="00031B8C" w:rsidP="00BD212C" w:rsidRDefault="00031B8C">
      <w:pPr>
        <w:pStyle w:val="ECHRPara"/>
        <w:rPr>
          <w:rFonts w:ascii="Times New Roman" w:hAnsi="Times New Roman" w:cs="Times New Roman"/>
          <w:szCs w:val="24"/>
          <w:lang w:eastAsia="en-GB"/>
        </w:rPr>
      </w:pPr>
      <w:r w:rsidRPr="00BD212C">
        <w:rPr>
          <w:lang w:eastAsia="en-GB"/>
        </w:rPr>
        <w:fldChar w:fldCharType="begin"/>
      </w:r>
      <w:r w:rsidRPr="00BD212C">
        <w:rPr>
          <w:lang w:eastAsia="en-GB"/>
        </w:rPr>
        <w:instrText xml:space="preserve"> SEQ level0 \*arabic </w:instrText>
      </w:r>
      <w:r w:rsidRPr="00BD212C">
        <w:rPr>
          <w:lang w:eastAsia="en-GB"/>
        </w:rPr>
        <w:fldChar w:fldCharType="separate"/>
      </w:r>
      <w:r w:rsidRPr="00BD212C" w:rsidR="00BD212C">
        <w:rPr>
          <w:noProof/>
          <w:lang w:eastAsia="en-GB"/>
        </w:rPr>
        <w:t>46</w:t>
      </w:r>
      <w:r w:rsidRPr="00BD212C">
        <w:rPr>
          <w:lang w:eastAsia="en-GB"/>
        </w:rPr>
        <w:fldChar w:fldCharType="end"/>
      </w:r>
      <w:r w:rsidRPr="00BD212C">
        <w:rPr>
          <w:lang w:eastAsia="en-GB"/>
        </w:rPr>
        <w:t>.  The Government also pointed out that, under Article 9 of the EU Charter of Fundamental Rights</w:t>
      </w:r>
      <w:r w:rsidRPr="00BD212C">
        <w:rPr>
          <w:rFonts w:ascii="Times New Roman" w:hAnsi="Times New Roman" w:cs="Times New Roman"/>
          <w:szCs w:val="24"/>
          <w:lang w:eastAsia="en-GB"/>
        </w:rPr>
        <w:t xml:space="preserve">, “the right to marry and the right to found a family </w:t>
      </w:r>
      <w:r w:rsidRPr="00BD212C" w:rsidR="009560C6">
        <w:rPr>
          <w:rFonts w:ascii="Times New Roman" w:hAnsi="Times New Roman" w:cs="Times New Roman"/>
          <w:szCs w:val="24"/>
          <w:lang w:eastAsia="en-GB"/>
        </w:rPr>
        <w:t>[were to]</w:t>
      </w:r>
      <w:r w:rsidRPr="00BD212C">
        <w:rPr>
          <w:rFonts w:ascii="Times New Roman" w:hAnsi="Times New Roman" w:cs="Times New Roman"/>
          <w:szCs w:val="24"/>
          <w:lang w:eastAsia="en-GB"/>
        </w:rPr>
        <w:t xml:space="preserve"> be guaranteed </w:t>
      </w:r>
      <w:r w:rsidRPr="00BD212C">
        <w:rPr>
          <w:rFonts w:ascii="Times New Roman" w:hAnsi="Times New Roman" w:cs="Times New Roman"/>
          <w:i/>
          <w:szCs w:val="24"/>
          <w:lang w:eastAsia="en-GB"/>
        </w:rPr>
        <w:t>in accordance with the national laws governing the exercise of these rights</w:t>
      </w:r>
      <w:r w:rsidRPr="00BD212C">
        <w:rPr>
          <w:rFonts w:ascii="Times New Roman" w:hAnsi="Times New Roman" w:cs="Times New Roman"/>
          <w:szCs w:val="24"/>
          <w:lang w:eastAsia="en-GB"/>
        </w:rPr>
        <w:t>”</w:t>
      </w:r>
      <w:r w:rsidRPr="00BD212C">
        <w:rPr>
          <w:rFonts w:ascii="Times New Roman" w:hAnsi="Times New Roman" w:cs="Times New Roman" w:eastAsiaTheme="minorHAnsi"/>
          <w:szCs w:val="24"/>
        </w:rPr>
        <w:t xml:space="preserve"> (italics added). In their view, that provision showed that the power to</w:t>
      </w:r>
      <w:r w:rsidRPr="00BD212C" w:rsidR="000C2AC5">
        <w:rPr>
          <w:rFonts w:ascii="Times New Roman" w:hAnsi="Times New Roman" w:cs="Times New Roman" w:eastAsiaTheme="minorHAnsi"/>
          <w:szCs w:val="24"/>
        </w:rPr>
        <w:t xml:space="preserve"> regulate those rights was vested in the Member States</w:t>
      </w:r>
      <w:r w:rsidRPr="00BD212C">
        <w:rPr>
          <w:rFonts w:ascii="Times New Roman" w:hAnsi="Times New Roman" w:cs="Times New Roman" w:eastAsiaTheme="minorHAnsi"/>
          <w:szCs w:val="24"/>
        </w:rPr>
        <w:t>.</w:t>
      </w:r>
    </w:p>
    <w:p w:rsidRPr="00BD212C" w:rsidR="00031B8C" w:rsidP="00BD212C" w:rsidRDefault="00031B8C">
      <w:pPr>
        <w:pStyle w:val="ECHRPara"/>
        <w:rPr>
          <w:rFonts w:ascii="Times New Roman" w:hAnsi="Times New Roman" w:cs="Times New Roman"/>
          <w:szCs w:val="24"/>
          <w:lang w:eastAsia="en-GB"/>
        </w:rPr>
      </w:pPr>
      <w:r w:rsidRPr="00BD212C">
        <w:rPr>
          <w:rFonts w:eastAsiaTheme="minorHAnsi"/>
          <w:lang w:val="fr-FR"/>
        </w:rPr>
        <w:fldChar w:fldCharType="begin"/>
      </w:r>
      <w:r w:rsidRPr="00BD212C">
        <w:rPr>
          <w:rFonts w:eastAsiaTheme="minorHAnsi"/>
        </w:rPr>
        <w:instrText xml:space="preserve"> SEQ level0 \*arabic </w:instrText>
      </w:r>
      <w:r w:rsidRPr="00BD212C">
        <w:rPr>
          <w:rFonts w:eastAsiaTheme="minorHAnsi"/>
          <w:lang w:val="fr-FR"/>
        </w:rPr>
        <w:fldChar w:fldCharType="separate"/>
      </w:r>
      <w:r w:rsidRPr="00BD212C" w:rsidR="00BD212C">
        <w:rPr>
          <w:rFonts w:eastAsiaTheme="minorHAnsi"/>
          <w:noProof/>
        </w:rPr>
        <w:t>47</w:t>
      </w:r>
      <w:r w:rsidRPr="00BD212C">
        <w:rPr>
          <w:rFonts w:eastAsiaTheme="minorHAnsi"/>
          <w:lang w:val="fr-FR"/>
        </w:rPr>
        <w:fldChar w:fldCharType="end"/>
      </w:r>
      <w:r w:rsidRPr="00BD212C">
        <w:rPr>
          <w:rFonts w:eastAsiaTheme="minorHAnsi"/>
        </w:rPr>
        <w:t>.  </w:t>
      </w:r>
      <w:r w:rsidRPr="00BD212C" w:rsidR="007B067F">
        <w:rPr>
          <w:rFonts w:ascii="Times New Roman" w:hAnsi="Times New Roman" w:cs="Times New Roman"/>
          <w:szCs w:val="24"/>
          <w:lang w:eastAsia="en-GB"/>
        </w:rPr>
        <w:t>In the light of the foregoing, the Government submitted that Articles 8 and 14 of the Convention did not apply in the present case, either because the statutory conditions for recognising the second applicant as a “family member”</w:t>
      </w:r>
      <w:r w:rsidRPr="00BD212C" w:rsidR="004F6BEA">
        <w:rPr>
          <w:rFonts w:ascii="Times New Roman" w:hAnsi="Times New Roman" w:cs="Times New Roman"/>
          <w:szCs w:val="24"/>
          <w:lang w:eastAsia="en-GB"/>
        </w:rPr>
        <w:t xml:space="preserve"> were not </w:t>
      </w:r>
      <w:r w:rsidRPr="00BD212C" w:rsidR="007B067F">
        <w:rPr>
          <w:rFonts w:ascii="Times New Roman" w:hAnsi="Times New Roman" w:cs="Times New Roman"/>
          <w:szCs w:val="24"/>
          <w:lang w:eastAsia="en-GB"/>
        </w:rPr>
        <w:t xml:space="preserve">satisfied, </w:t>
      </w:r>
      <w:r w:rsidRPr="00BD212C" w:rsidR="009560C6">
        <w:rPr>
          <w:rFonts w:ascii="Times New Roman" w:hAnsi="Times New Roman" w:cs="Times New Roman"/>
          <w:szCs w:val="24"/>
          <w:lang w:eastAsia="en-GB"/>
        </w:rPr>
        <w:t>or because of the extent</w:t>
      </w:r>
      <w:r w:rsidRPr="00BD212C" w:rsidR="007B067F">
        <w:rPr>
          <w:rFonts w:ascii="Times New Roman" w:hAnsi="Times New Roman" w:cs="Times New Roman"/>
          <w:szCs w:val="24"/>
          <w:lang w:eastAsia="en-GB"/>
        </w:rPr>
        <w:t xml:space="preserve"> of the State</w:t>
      </w:r>
      <w:r w:rsidRPr="00BD212C" w:rsidR="00BD212C">
        <w:rPr>
          <w:rFonts w:ascii="Times New Roman" w:hAnsi="Times New Roman" w:cs="Times New Roman"/>
          <w:szCs w:val="24"/>
          <w:lang w:eastAsia="en-GB"/>
        </w:rPr>
        <w:t>’</w:t>
      </w:r>
      <w:r w:rsidRPr="00BD212C" w:rsidR="007B067F">
        <w:rPr>
          <w:rFonts w:ascii="Times New Roman" w:hAnsi="Times New Roman" w:cs="Times New Roman"/>
          <w:szCs w:val="24"/>
          <w:lang w:eastAsia="en-GB"/>
        </w:rPr>
        <w:t>s margin of appreciation</w:t>
      </w:r>
      <w:r w:rsidRPr="00BD212C" w:rsidR="009560C6">
        <w:rPr>
          <w:rFonts w:ascii="Times New Roman" w:hAnsi="Times New Roman" w:cs="Times New Roman"/>
          <w:szCs w:val="24"/>
          <w:lang w:eastAsia="en-GB"/>
        </w:rPr>
        <w:t xml:space="preserve"> in social affairs</w:t>
      </w:r>
      <w:r w:rsidRPr="00BD212C" w:rsidR="007B067F">
        <w:rPr>
          <w:rFonts w:ascii="Times New Roman" w:hAnsi="Times New Roman" w:cs="Times New Roman"/>
          <w:szCs w:val="24"/>
          <w:lang w:eastAsia="en-GB"/>
        </w:rPr>
        <w:t>. The State</w:t>
      </w:r>
      <w:r w:rsidRPr="00BD212C" w:rsidR="009560C6">
        <w:rPr>
          <w:rFonts w:ascii="Times New Roman" w:hAnsi="Times New Roman" w:cs="Times New Roman"/>
          <w:szCs w:val="24"/>
          <w:lang w:eastAsia="en-GB"/>
        </w:rPr>
        <w:t xml:space="preserve"> </w:t>
      </w:r>
      <w:r w:rsidRPr="00BD212C" w:rsidR="007B067F">
        <w:rPr>
          <w:rFonts w:ascii="Times New Roman" w:hAnsi="Times New Roman" w:cs="Times New Roman"/>
          <w:szCs w:val="24"/>
          <w:lang w:eastAsia="en-GB"/>
        </w:rPr>
        <w:t xml:space="preserve">remained free, </w:t>
      </w:r>
      <w:r w:rsidRPr="00BD212C" w:rsidR="007B067F">
        <w:rPr>
          <w:rFonts w:ascii="Times New Roman" w:hAnsi="Times New Roman" w:cs="Times New Roman"/>
          <w:i/>
          <w:szCs w:val="24"/>
          <w:lang w:eastAsia="en-GB"/>
        </w:rPr>
        <w:t>inter alia</w:t>
      </w:r>
      <w:r w:rsidRPr="00BD212C" w:rsidR="007B067F">
        <w:rPr>
          <w:rFonts w:ascii="Times New Roman" w:hAnsi="Times New Roman" w:cs="Times New Roman"/>
          <w:szCs w:val="24"/>
          <w:lang w:eastAsia="en-GB"/>
        </w:rPr>
        <w:t>, to decide whether same-sex couples should or should not enjoy the same rights as those recognised as belonging to the traditional family.</w:t>
      </w:r>
    </w:p>
    <w:p w:rsidRPr="00BD212C" w:rsidR="007B067F" w:rsidP="00BD212C" w:rsidRDefault="007B067F">
      <w:pPr>
        <w:pStyle w:val="ECHRHeading5"/>
        <w:rPr>
          <w:lang w:val="en-GB"/>
        </w:rPr>
      </w:pPr>
      <w:r w:rsidRPr="00BD212C">
        <w:rPr>
          <w:lang w:val="en-GB"/>
        </w:rPr>
        <w:t>ii.  The applicants</w:t>
      </w:r>
    </w:p>
    <w:p w:rsidRPr="00BD212C" w:rsidR="007B067F" w:rsidP="00BD212C" w:rsidRDefault="007B067F">
      <w:pPr>
        <w:pStyle w:val="ECHRPara"/>
        <w:rPr>
          <w:lang w:val="en-GB"/>
        </w:rPr>
      </w:pPr>
      <w:r w:rsidRPr="00BD212C">
        <w:rPr>
          <w:rFonts w:ascii="Times New Roman" w:hAnsi="Times New Roman" w:cs="Times New Roman"/>
          <w:szCs w:val="24"/>
          <w:lang w:eastAsia="en-GB"/>
        </w:rPr>
        <w:fldChar w:fldCharType="begin"/>
      </w:r>
      <w:r w:rsidRPr="00BD212C">
        <w:rPr>
          <w:rFonts w:ascii="Times New Roman" w:hAnsi="Times New Roman" w:cs="Times New Roman"/>
          <w:szCs w:val="24"/>
          <w:lang w:val="en-GB" w:eastAsia="en-GB"/>
        </w:rPr>
        <w:instrText xml:space="preserve"> SEQ level0 \*arabic </w:instrText>
      </w:r>
      <w:r w:rsidRPr="00BD212C">
        <w:rPr>
          <w:rFonts w:ascii="Times New Roman" w:hAnsi="Times New Roman" w:cs="Times New Roman"/>
          <w:szCs w:val="24"/>
          <w:lang w:eastAsia="en-GB"/>
        </w:rPr>
        <w:fldChar w:fldCharType="separate"/>
      </w:r>
      <w:r w:rsidRPr="00BD212C" w:rsidR="00BD212C">
        <w:rPr>
          <w:rFonts w:ascii="Times New Roman" w:hAnsi="Times New Roman" w:cs="Times New Roman"/>
          <w:noProof/>
          <w:szCs w:val="24"/>
          <w:lang w:val="en-GB" w:eastAsia="en-GB"/>
        </w:rPr>
        <w:t>48</w:t>
      </w:r>
      <w:r w:rsidRPr="00BD212C">
        <w:rPr>
          <w:rFonts w:ascii="Times New Roman" w:hAnsi="Times New Roman" w:cs="Times New Roman"/>
          <w:szCs w:val="24"/>
          <w:lang w:eastAsia="en-GB"/>
        </w:rPr>
        <w:fldChar w:fldCharType="end"/>
      </w:r>
      <w:r w:rsidRPr="00BD212C">
        <w:rPr>
          <w:rFonts w:ascii="Times New Roman" w:hAnsi="Times New Roman" w:cs="Times New Roman"/>
          <w:szCs w:val="24"/>
          <w:lang w:val="en-GB" w:eastAsia="en-GB"/>
        </w:rPr>
        <w:t>.  </w:t>
      </w:r>
      <w:r w:rsidRPr="00BD212C" w:rsidR="00220BCF">
        <w:rPr>
          <w:lang w:val="en-GB"/>
        </w:rPr>
        <w:t>The applic</w:t>
      </w:r>
      <w:r w:rsidRPr="00BD212C">
        <w:rPr>
          <w:lang w:val="en-GB"/>
        </w:rPr>
        <w:t xml:space="preserve">ants </w:t>
      </w:r>
      <w:r w:rsidRPr="00BD212C" w:rsidR="00220BCF">
        <w:rPr>
          <w:lang w:val="en-GB"/>
        </w:rPr>
        <w:t>disagreed with the Govern</w:t>
      </w:r>
      <w:r w:rsidRPr="00BD212C">
        <w:rPr>
          <w:lang w:val="en-GB"/>
        </w:rPr>
        <w:t>ment</w:t>
      </w:r>
      <w:r w:rsidRPr="00BD212C" w:rsidR="00BD212C">
        <w:rPr>
          <w:lang w:val="en-GB"/>
        </w:rPr>
        <w:t>’</w:t>
      </w:r>
      <w:r w:rsidRPr="00BD212C" w:rsidR="00220BCF">
        <w:rPr>
          <w:lang w:val="en-GB"/>
        </w:rPr>
        <w:t>s submissions</w:t>
      </w:r>
      <w:r w:rsidRPr="00BD212C">
        <w:rPr>
          <w:lang w:val="en-GB"/>
        </w:rPr>
        <w:t xml:space="preserve">. </w:t>
      </w:r>
      <w:r w:rsidRPr="00BD212C" w:rsidR="00220BCF">
        <w:rPr>
          <w:lang w:val="en-GB"/>
        </w:rPr>
        <w:t>They observed that</w:t>
      </w:r>
      <w:r w:rsidRPr="00BD212C">
        <w:rPr>
          <w:lang w:val="en-GB"/>
        </w:rPr>
        <w:t>,</w:t>
      </w:r>
      <w:r w:rsidRPr="00BD212C" w:rsidR="00220BCF">
        <w:rPr>
          <w:lang w:val="en-GB"/>
        </w:rPr>
        <w:t xml:space="preserve"> in</w:t>
      </w:r>
      <w:r w:rsidRPr="00BD212C">
        <w:rPr>
          <w:lang w:val="en-GB"/>
        </w:rPr>
        <w:t xml:space="preserve"> </w:t>
      </w:r>
      <w:r w:rsidRPr="00BD212C">
        <w:rPr>
          <w:i/>
          <w:lang w:val="en-GB"/>
        </w:rPr>
        <w:t xml:space="preserve">Schalk and Kopf </w:t>
      </w:r>
      <w:r w:rsidRPr="00BD212C">
        <w:rPr>
          <w:lang w:val="en-GB"/>
        </w:rPr>
        <w:t>(cited above, § 94)</w:t>
      </w:r>
      <w:r w:rsidRPr="00BD212C" w:rsidR="009560C6">
        <w:rPr>
          <w:lang w:val="en-GB"/>
        </w:rPr>
        <w:t>,</w:t>
      </w:r>
      <w:r w:rsidRPr="00BD212C" w:rsidR="00220BCF">
        <w:rPr>
          <w:lang w:val="en-GB"/>
        </w:rPr>
        <w:t xml:space="preserve"> the</w:t>
      </w:r>
      <w:r w:rsidRPr="00BD212C">
        <w:rPr>
          <w:lang w:val="en-GB"/>
        </w:rPr>
        <w:t xml:space="preserve"> Cour</w:t>
      </w:r>
      <w:r w:rsidRPr="00BD212C" w:rsidR="00220BCF">
        <w:rPr>
          <w:lang w:val="en-GB"/>
        </w:rPr>
        <w:t>t had clearly</w:t>
      </w:r>
      <w:r w:rsidRPr="00BD212C">
        <w:rPr>
          <w:lang w:val="en-GB"/>
        </w:rPr>
        <w:t xml:space="preserve"> </w:t>
      </w:r>
      <w:r w:rsidRPr="00BD212C" w:rsidR="001F13F3">
        <w:rPr>
          <w:lang w:val="en-GB"/>
        </w:rPr>
        <w:t>departed from the Commission</w:t>
      </w:r>
      <w:r w:rsidRPr="00BD212C" w:rsidR="00BD212C">
        <w:rPr>
          <w:lang w:val="en-GB"/>
        </w:rPr>
        <w:t>’</w:t>
      </w:r>
      <w:r w:rsidRPr="00BD212C" w:rsidR="001F13F3">
        <w:rPr>
          <w:lang w:val="en-GB"/>
        </w:rPr>
        <w:t xml:space="preserve">s earlier case-law in stating that </w:t>
      </w:r>
      <w:r w:rsidRPr="00BD212C" w:rsidR="001F13F3">
        <w:t xml:space="preserve">the relationship of a cohabiting same-sex couple living in a stable </w:t>
      </w:r>
      <w:r w:rsidRPr="00BD212C" w:rsidR="001F13F3">
        <w:rPr>
          <w:i/>
        </w:rPr>
        <w:t>de facto</w:t>
      </w:r>
      <w:r w:rsidRPr="00BD212C" w:rsidR="00D5778F">
        <w:t xml:space="preserve"> partnership</w:t>
      </w:r>
      <w:r w:rsidRPr="00BD212C" w:rsidR="001F13F3">
        <w:t xml:space="preserve"> fell within the notion of “family life”</w:t>
      </w:r>
      <w:r w:rsidRPr="00BD212C">
        <w:rPr>
          <w:lang w:val="en-GB"/>
        </w:rPr>
        <w:t xml:space="preserve">. </w:t>
      </w:r>
      <w:r w:rsidRPr="00BD212C" w:rsidR="00D5778F">
        <w:rPr>
          <w:lang w:val="en-GB"/>
        </w:rPr>
        <w:t>In their submission</w:t>
      </w:r>
      <w:r w:rsidRPr="00BD212C">
        <w:rPr>
          <w:lang w:val="en-GB"/>
        </w:rPr>
        <w:t xml:space="preserve">, </w:t>
      </w:r>
      <w:r w:rsidRPr="00BD212C" w:rsidR="00D5778F">
        <w:rPr>
          <w:lang w:val="en-GB"/>
        </w:rPr>
        <w:t>the refusal to issue the second applican</w:t>
      </w:r>
      <w:r w:rsidRPr="00BD212C">
        <w:rPr>
          <w:lang w:val="en-GB"/>
        </w:rPr>
        <w:t>t</w:t>
      </w:r>
      <w:r w:rsidRPr="00BD212C" w:rsidR="00D5778F">
        <w:rPr>
          <w:lang w:val="en-GB"/>
        </w:rPr>
        <w:t xml:space="preserve"> with a residence permit had deprived them of any </w:t>
      </w:r>
      <w:r w:rsidRPr="00BD212C">
        <w:rPr>
          <w:lang w:val="en-GB"/>
        </w:rPr>
        <w:t>possibilit</w:t>
      </w:r>
      <w:r w:rsidRPr="00BD212C" w:rsidR="00D5778F">
        <w:rPr>
          <w:lang w:val="en-GB"/>
        </w:rPr>
        <w:t xml:space="preserve">y of </w:t>
      </w:r>
      <w:r w:rsidRPr="00BD212C" w:rsidR="00A65A61">
        <w:rPr>
          <w:lang w:val="en-GB"/>
        </w:rPr>
        <w:t>living</w:t>
      </w:r>
      <w:r w:rsidRPr="00BD212C" w:rsidR="00D5778F">
        <w:rPr>
          <w:lang w:val="en-GB"/>
        </w:rPr>
        <w:t xml:space="preserve"> in</w:t>
      </w:r>
      <w:r w:rsidRPr="00BD212C">
        <w:rPr>
          <w:lang w:val="en-GB"/>
        </w:rPr>
        <w:t xml:space="preserve"> Ital</w:t>
      </w:r>
      <w:r w:rsidRPr="00BD212C" w:rsidR="00D5778F">
        <w:rPr>
          <w:lang w:val="en-GB"/>
        </w:rPr>
        <w:t>y as a</w:t>
      </w:r>
      <w:r w:rsidRPr="00BD212C">
        <w:rPr>
          <w:lang w:val="en-GB"/>
        </w:rPr>
        <w:t xml:space="preserve"> couple </w:t>
      </w:r>
      <w:r w:rsidRPr="00BD212C" w:rsidR="00D5778F">
        <w:rPr>
          <w:lang w:val="en-GB"/>
        </w:rPr>
        <w:t>and had</w:t>
      </w:r>
      <w:r w:rsidRPr="00BD212C">
        <w:rPr>
          <w:lang w:val="en-GB"/>
        </w:rPr>
        <w:t xml:space="preserve"> </w:t>
      </w:r>
      <w:r w:rsidRPr="00BD212C" w:rsidR="00D5778F">
        <w:rPr>
          <w:lang w:val="en-GB"/>
        </w:rPr>
        <w:t xml:space="preserve">resulted in a legal </w:t>
      </w:r>
      <w:r w:rsidRPr="00BD212C">
        <w:rPr>
          <w:lang w:val="en-GB"/>
        </w:rPr>
        <w:t>obligation</w:t>
      </w:r>
      <w:r w:rsidRPr="00BD212C" w:rsidR="00D5778F">
        <w:rPr>
          <w:lang w:val="en-GB"/>
        </w:rPr>
        <w:t xml:space="preserve"> for th</w:t>
      </w:r>
      <w:r w:rsidRPr="00BD212C">
        <w:rPr>
          <w:lang w:val="en-GB"/>
        </w:rPr>
        <w:t xml:space="preserve">e </w:t>
      </w:r>
      <w:r w:rsidRPr="00BD212C" w:rsidR="00D5778F">
        <w:rPr>
          <w:lang w:val="en-GB"/>
        </w:rPr>
        <w:t>second applic</w:t>
      </w:r>
      <w:r w:rsidRPr="00BD212C">
        <w:rPr>
          <w:lang w:val="en-GB"/>
        </w:rPr>
        <w:t>ant</w:t>
      </w:r>
      <w:r w:rsidRPr="00BD212C" w:rsidR="00D5778F">
        <w:rPr>
          <w:lang w:val="en-GB"/>
        </w:rPr>
        <w:t xml:space="preserve"> to leave the country</w:t>
      </w:r>
      <w:r w:rsidRPr="00BD212C">
        <w:rPr>
          <w:lang w:val="en-GB"/>
        </w:rPr>
        <w:t>.</w:t>
      </w:r>
      <w:r w:rsidRPr="00BD212C" w:rsidR="00C238BC">
        <w:rPr>
          <w:lang w:val="en-GB"/>
        </w:rPr>
        <w:t xml:space="preserve"> In their view</w:t>
      </w:r>
      <w:r w:rsidRPr="00BD212C">
        <w:rPr>
          <w:lang w:val="en-GB"/>
        </w:rPr>
        <w:t>,</w:t>
      </w:r>
      <w:r w:rsidRPr="00BD212C" w:rsidR="00C238BC">
        <w:rPr>
          <w:lang w:val="en-GB"/>
        </w:rPr>
        <w:t xml:space="preserve"> it followed that the facts of the present case fell within the scope of A</w:t>
      </w:r>
      <w:r w:rsidRPr="00BD212C">
        <w:rPr>
          <w:lang w:val="en-GB"/>
        </w:rPr>
        <w:t xml:space="preserve">rticle 8 </w:t>
      </w:r>
      <w:r w:rsidRPr="00BD212C" w:rsidR="00C238BC">
        <w:rPr>
          <w:lang w:val="en-GB"/>
        </w:rPr>
        <w:t xml:space="preserve">of the </w:t>
      </w:r>
      <w:r w:rsidRPr="00BD212C">
        <w:rPr>
          <w:lang w:val="en-GB"/>
        </w:rPr>
        <w:t xml:space="preserve">Convention, </w:t>
      </w:r>
      <w:r w:rsidRPr="00BD212C" w:rsidR="00C238BC">
        <w:rPr>
          <w:lang w:val="en-GB"/>
        </w:rPr>
        <w:t>thus A</w:t>
      </w:r>
      <w:r w:rsidRPr="00BD212C">
        <w:rPr>
          <w:lang w:val="en-GB"/>
        </w:rPr>
        <w:t xml:space="preserve">rticle 14 </w:t>
      </w:r>
      <w:r w:rsidRPr="00BD212C" w:rsidR="00C238BC">
        <w:rPr>
          <w:lang w:val="en-GB"/>
        </w:rPr>
        <w:t>was also</w:t>
      </w:r>
      <w:r w:rsidRPr="00BD212C">
        <w:rPr>
          <w:lang w:val="en-GB"/>
        </w:rPr>
        <w:t xml:space="preserve"> applicable.</w:t>
      </w:r>
    </w:p>
    <w:p w:rsidRPr="00BD212C" w:rsidR="008032DD" w:rsidP="00BD212C" w:rsidRDefault="008032DD">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49</w:t>
      </w:r>
      <w:r w:rsidRPr="00BD212C">
        <w:rPr>
          <w:lang w:val="en-GB"/>
        </w:rPr>
        <w:fldChar w:fldCharType="end"/>
      </w:r>
      <w:r w:rsidRPr="00BD212C">
        <w:rPr>
          <w:lang w:val="en-GB"/>
        </w:rPr>
        <w:t>.  The applicants also explained that, in 2003, when they had left New Zealand, the laws of that country had not yet allowed them to obtain a certificate of registration of their partnership, which, they argued, they could have sought to have registered in Italy. Accordingly, they ha</w:t>
      </w:r>
      <w:r w:rsidRPr="00BD212C" w:rsidR="00A65A61">
        <w:rPr>
          <w:lang w:val="en-GB"/>
        </w:rPr>
        <w:t>d</w:t>
      </w:r>
      <w:r w:rsidRPr="00BD212C">
        <w:rPr>
          <w:lang w:val="en-GB"/>
        </w:rPr>
        <w:t xml:space="preserve"> requested a residence permit for family reasons as </w:t>
      </w:r>
      <w:r w:rsidRPr="00BD212C" w:rsidR="00A65A61">
        <w:rPr>
          <w:lang w:val="en-GB"/>
        </w:rPr>
        <w:t xml:space="preserve">cohabiting </w:t>
      </w:r>
      <w:r w:rsidRPr="00BD212C">
        <w:rPr>
          <w:lang w:val="en-GB"/>
        </w:rPr>
        <w:t xml:space="preserve">partners in a stable relationship. However, </w:t>
      </w:r>
      <w:r w:rsidRPr="00BD212C" w:rsidR="00DF7FDF">
        <w:rPr>
          <w:lang w:val="en-GB"/>
        </w:rPr>
        <w:t>in their submission</w:t>
      </w:r>
      <w:r w:rsidRPr="00BD212C">
        <w:rPr>
          <w:lang w:val="en-GB"/>
        </w:rPr>
        <w:t xml:space="preserve">, Article 29 § 1 of Legislative Decree no. 286 of 1998 </w:t>
      </w:r>
      <w:r w:rsidRPr="00BD212C" w:rsidR="00893ABA">
        <w:rPr>
          <w:lang w:val="en-GB"/>
        </w:rPr>
        <w:t>...</w:t>
      </w:r>
      <w:r w:rsidRPr="00BD212C">
        <w:rPr>
          <w:lang w:val="en-GB"/>
        </w:rPr>
        <w:t xml:space="preserve"> specified that only a married</w:t>
      </w:r>
      <w:r w:rsidRPr="00BD212C" w:rsidR="00A65A61">
        <w:rPr>
          <w:lang w:val="en-GB"/>
        </w:rPr>
        <w:t xml:space="preserve"> partner, and not a cohabiting partner</w:t>
      </w:r>
      <w:r w:rsidRPr="00BD212C">
        <w:rPr>
          <w:lang w:val="en-GB"/>
        </w:rPr>
        <w:t xml:space="preserve">, </w:t>
      </w:r>
      <w:r w:rsidRPr="00BD212C" w:rsidR="00DF7FDF">
        <w:rPr>
          <w:lang w:val="en-GB"/>
        </w:rPr>
        <w:t>qualified as</w:t>
      </w:r>
      <w:r w:rsidRPr="00BD212C">
        <w:rPr>
          <w:lang w:val="en-GB"/>
        </w:rPr>
        <w:t xml:space="preserve"> a </w:t>
      </w:r>
      <w:r w:rsidRPr="00BD212C" w:rsidR="00BF27A0">
        <w:rPr>
          <w:lang w:val="en-GB"/>
        </w:rPr>
        <w:t>“family member”</w:t>
      </w:r>
      <w:r w:rsidRPr="00BD212C">
        <w:rPr>
          <w:lang w:val="en-GB"/>
        </w:rPr>
        <w:t xml:space="preserve">. </w:t>
      </w:r>
      <w:r w:rsidRPr="00BD212C" w:rsidR="00E2351B">
        <w:rPr>
          <w:lang w:val="en-GB"/>
        </w:rPr>
        <w:t>With regard to</w:t>
      </w:r>
      <w:r w:rsidRPr="00BD212C" w:rsidR="00DF7FDF">
        <w:rPr>
          <w:lang w:val="en-GB"/>
        </w:rPr>
        <w:t xml:space="preserve"> Legislative Decree no. </w:t>
      </w:r>
      <w:r w:rsidRPr="00BD212C">
        <w:rPr>
          <w:lang w:val="en-GB"/>
        </w:rPr>
        <w:t xml:space="preserve">30 </w:t>
      </w:r>
      <w:r w:rsidRPr="00BD212C" w:rsidR="00DF7FDF">
        <w:rPr>
          <w:lang w:val="en-GB"/>
        </w:rPr>
        <w:t>of</w:t>
      </w:r>
      <w:r w:rsidRPr="00BD212C">
        <w:rPr>
          <w:lang w:val="en-GB"/>
        </w:rPr>
        <w:t xml:space="preserve"> 2007, </w:t>
      </w:r>
      <w:r w:rsidRPr="00BD212C" w:rsidR="00DF7FDF">
        <w:rPr>
          <w:lang w:val="en-GB"/>
        </w:rPr>
        <w:t xml:space="preserve">which had </w:t>
      </w:r>
      <w:r w:rsidRPr="00BD212C">
        <w:rPr>
          <w:lang w:val="en-GB"/>
        </w:rPr>
        <w:t>transpos</w:t>
      </w:r>
      <w:r w:rsidRPr="00BD212C" w:rsidR="00DF7FDF">
        <w:rPr>
          <w:lang w:val="en-GB"/>
        </w:rPr>
        <w:t xml:space="preserve">ed Directive </w:t>
      </w:r>
      <w:r w:rsidRPr="00BD212C">
        <w:rPr>
          <w:lang w:val="en-GB"/>
        </w:rPr>
        <w:t>2004/38/EC</w:t>
      </w:r>
      <w:r w:rsidRPr="00BD212C" w:rsidR="00DF7FDF">
        <w:rPr>
          <w:lang w:val="en-GB"/>
        </w:rPr>
        <w:t xml:space="preserve"> into Italian law</w:t>
      </w:r>
      <w:r w:rsidRPr="00BD212C">
        <w:rPr>
          <w:lang w:val="en-GB"/>
        </w:rPr>
        <w:t xml:space="preserve"> </w:t>
      </w:r>
      <w:r w:rsidRPr="00BD212C" w:rsidR="00893ABA">
        <w:rPr>
          <w:lang w:val="en-GB"/>
        </w:rPr>
        <w:t>...</w:t>
      </w:r>
      <w:r w:rsidRPr="00BD212C">
        <w:rPr>
          <w:lang w:val="en-GB"/>
        </w:rPr>
        <w:t xml:space="preserve">, </w:t>
      </w:r>
      <w:r w:rsidRPr="00BD212C" w:rsidR="00DF7FDF">
        <w:rPr>
          <w:lang w:val="en-GB"/>
        </w:rPr>
        <w:t>the applic</w:t>
      </w:r>
      <w:r w:rsidRPr="00BD212C">
        <w:rPr>
          <w:lang w:val="en-GB"/>
        </w:rPr>
        <w:t xml:space="preserve">ants </w:t>
      </w:r>
      <w:r w:rsidRPr="00BD212C" w:rsidR="00DF7FDF">
        <w:rPr>
          <w:lang w:val="en-GB"/>
        </w:rPr>
        <w:t xml:space="preserve">submitted that it was only applicable to the </w:t>
      </w:r>
      <w:r w:rsidRPr="00BD212C">
        <w:rPr>
          <w:lang w:val="en-GB"/>
        </w:rPr>
        <w:t>cas</w:t>
      </w:r>
      <w:r w:rsidRPr="00BD212C" w:rsidR="009D0931">
        <w:rPr>
          <w:lang w:val="en-GB"/>
        </w:rPr>
        <w:t xml:space="preserve">e – irrelevant </w:t>
      </w:r>
      <w:r w:rsidRPr="00BD212C" w:rsidR="00E2351B">
        <w:rPr>
          <w:lang w:val="en-GB"/>
        </w:rPr>
        <w:t>her</w:t>
      </w:r>
      <w:r w:rsidRPr="00BD212C" w:rsidR="009D0931">
        <w:rPr>
          <w:lang w:val="en-GB"/>
        </w:rPr>
        <w:t>e –</w:t>
      </w:r>
      <w:r w:rsidRPr="00BD212C">
        <w:rPr>
          <w:lang w:val="en-GB"/>
        </w:rPr>
        <w:t xml:space="preserve"> </w:t>
      </w:r>
      <w:r w:rsidRPr="00BD212C" w:rsidR="009D0931">
        <w:rPr>
          <w:lang w:val="en-GB"/>
        </w:rPr>
        <w:t xml:space="preserve">of EU citizens residing in </w:t>
      </w:r>
      <w:r w:rsidRPr="00BD212C">
        <w:rPr>
          <w:lang w:val="en-GB"/>
        </w:rPr>
        <w:t>Ital</w:t>
      </w:r>
      <w:r w:rsidRPr="00BD212C" w:rsidR="009D0931">
        <w:rPr>
          <w:lang w:val="en-GB"/>
        </w:rPr>
        <w:t>y</w:t>
      </w:r>
      <w:r w:rsidRPr="00BD212C">
        <w:rPr>
          <w:lang w:val="en-GB"/>
        </w:rPr>
        <w:t xml:space="preserve"> o</w:t>
      </w:r>
      <w:r w:rsidRPr="00BD212C" w:rsidR="009D0931">
        <w:rPr>
          <w:lang w:val="en-GB"/>
        </w:rPr>
        <w:t>r Italian citizen</w:t>
      </w:r>
      <w:r w:rsidRPr="00BD212C">
        <w:rPr>
          <w:lang w:val="en-GB"/>
        </w:rPr>
        <w:t xml:space="preserve">s </w:t>
      </w:r>
      <w:r w:rsidRPr="00BD212C" w:rsidR="009D0931">
        <w:rPr>
          <w:lang w:val="en-GB"/>
        </w:rPr>
        <w:t xml:space="preserve">who had returned to their country of </w:t>
      </w:r>
      <w:r w:rsidRPr="00BD212C">
        <w:rPr>
          <w:lang w:val="en-GB"/>
        </w:rPr>
        <w:t>origin</w:t>
      </w:r>
      <w:r w:rsidRPr="00BD212C" w:rsidR="009D0931">
        <w:rPr>
          <w:lang w:val="en-GB"/>
        </w:rPr>
        <w:t xml:space="preserve"> after having lived in another EU State</w:t>
      </w:r>
      <w:r w:rsidRPr="00BD212C">
        <w:rPr>
          <w:lang w:val="en-GB"/>
        </w:rPr>
        <w:t xml:space="preserve">. </w:t>
      </w:r>
      <w:r w:rsidRPr="00BD212C" w:rsidR="009D0931">
        <w:rPr>
          <w:lang w:val="en-GB"/>
        </w:rPr>
        <w:t xml:space="preserve">They argued that the </w:t>
      </w:r>
      <w:r w:rsidRPr="00BD212C">
        <w:rPr>
          <w:lang w:val="en-GB"/>
        </w:rPr>
        <w:t>inapplicabilit</w:t>
      </w:r>
      <w:r w:rsidRPr="00BD212C" w:rsidR="009D0931">
        <w:rPr>
          <w:lang w:val="en-GB"/>
        </w:rPr>
        <w:t>y of the</w:t>
      </w:r>
      <w:r w:rsidRPr="00BD212C">
        <w:rPr>
          <w:lang w:val="en-GB"/>
        </w:rPr>
        <w:t xml:space="preserve"> directive </w:t>
      </w:r>
      <w:r w:rsidRPr="00BD212C" w:rsidR="009D0931">
        <w:rPr>
          <w:lang w:val="en-GB"/>
        </w:rPr>
        <w:t>i</w:t>
      </w:r>
      <w:r w:rsidRPr="00BD212C">
        <w:rPr>
          <w:lang w:val="en-GB"/>
        </w:rPr>
        <w:t xml:space="preserve">n question </w:t>
      </w:r>
      <w:r w:rsidRPr="00BD212C" w:rsidR="009D0931">
        <w:rPr>
          <w:lang w:val="en-GB"/>
        </w:rPr>
        <w:t>to the “domestic” situation of the first applicant</w:t>
      </w:r>
      <w:r w:rsidRPr="00BD212C">
        <w:rPr>
          <w:lang w:val="en-GB"/>
        </w:rPr>
        <w:t xml:space="preserve">, </w:t>
      </w:r>
      <w:r w:rsidRPr="00BD212C" w:rsidR="009D0931">
        <w:rPr>
          <w:lang w:val="en-GB"/>
        </w:rPr>
        <w:t>an Italian citizen who had lived in Italy from</w:t>
      </w:r>
      <w:r w:rsidRPr="00BD212C">
        <w:rPr>
          <w:lang w:val="en-GB"/>
        </w:rPr>
        <w:t xml:space="preserve"> 2003 </w:t>
      </w:r>
      <w:r w:rsidRPr="00BD212C" w:rsidR="009D0931">
        <w:rPr>
          <w:lang w:val="en-GB"/>
        </w:rPr>
        <w:t>to</w:t>
      </w:r>
      <w:r w:rsidRPr="00BD212C">
        <w:rPr>
          <w:lang w:val="en-GB"/>
        </w:rPr>
        <w:t xml:space="preserve"> 2009 </w:t>
      </w:r>
      <w:r w:rsidRPr="00BD212C" w:rsidR="009D0931">
        <w:rPr>
          <w:lang w:val="en-GB"/>
        </w:rPr>
        <w:t>without having first lived in another EU State</w:t>
      </w:r>
      <w:r w:rsidRPr="00BD212C">
        <w:rPr>
          <w:lang w:val="en-GB"/>
        </w:rPr>
        <w:t xml:space="preserve">, </w:t>
      </w:r>
      <w:r w:rsidRPr="00BD212C" w:rsidR="009D0931">
        <w:rPr>
          <w:lang w:val="en-GB"/>
        </w:rPr>
        <w:t>had been confirmed by the CJ</w:t>
      </w:r>
      <w:r w:rsidRPr="00BD212C">
        <w:rPr>
          <w:lang w:val="en-GB"/>
        </w:rPr>
        <w:t>E</w:t>
      </w:r>
      <w:r w:rsidRPr="00BD212C" w:rsidR="009D0931">
        <w:rPr>
          <w:lang w:val="en-GB"/>
        </w:rPr>
        <w:t>U</w:t>
      </w:r>
      <w:r w:rsidRPr="00BD212C">
        <w:rPr>
          <w:lang w:val="en-GB"/>
        </w:rPr>
        <w:t> </w:t>
      </w:r>
      <w:r w:rsidRPr="00BD212C" w:rsidR="009D0931">
        <w:rPr>
          <w:lang w:val="en-GB"/>
        </w:rPr>
        <w:t>and by the</w:t>
      </w:r>
      <w:r w:rsidRPr="00BD212C">
        <w:rPr>
          <w:lang w:val="en-GB"/>
        </w:rPr>
        <w:t xml:space="preserve"> </w:t>
      </w:r>
      <w:r w:rsidRPr="00BD212C" w:rsidR="00BF27A0">
        <w:rPr>
          <w:rStyle w:val="Strong"/>
          <w:b w:val="0"/>
          <w:lang w:val="en-GB"/>
        </w:rPr>
        <w:t>C</w:t>
      </w:r>
      <w:r w:rsidRPr="00BD212C">
        <w:rPr>
          <w:rStyle w:val="Strong"/>
          <w:b w:val="0"/>
          <w:lang w:val="en-GB"/>
        </w:rPr>
        <w:t xml:space="preserve">ommunication </w:t>
      </w:r>
      <w:r w:rsidRPr="00BD212C" w:rsidR="00BF27A0">
        <w:rPr>
          <w:rStyle w:val="Strong"/>
          <w:b w:val="0"/>
          <w:lang w:val="en-GB"/>
        </w:rPr>
        <w:t>from</w:t>
      </w:r>
      <w:r w:rsidRPr="00BD212C" w:rsidR="009D0931">
        <w:rPr>
          <w:rStyle w:val="Strong"/>
          <w:b w:val="0"/>
          <w:lang w:val="en-GB"/>
        </w:rPr>
        <w:t xml:space="preserve"> the</w:t>
      </w:r>
      <w:r w:rsidRPr="00BD212C">
        <w:rPr>
          <w:rStyle w:val="Strong"/>
          <w:b w:val="0"/>
          <w:lang w:val="en-GB"/>
        </w:rPr>
        <w:t xml:space="preserve"> Commission </w:t>
      </w:r>
      <w:r w:rsidRPr="00BD212C" w:rsidR="009D0931">
        <w:rPr>
          <w:rStyle w:val="Strong"/>
          <w:b w:val="0"/>
          <w:lang w:val="en-GB"/>
        </w:rPr>
        <w:t>to the European Parliament and the</w:t>
      </w:r>
      <w:r w:rsidRPr="00BD212C">
        <w:rPr>
          <w:rStyle w:val="Strong"/>
          <w:b w:val="0"/>
          <w:lang w:val="en-GB"/>
        </w:rPr>
        <w:t xml:space="preserve"> </w:t>
      </w:r>
      <w:r w:rsidRPr="00BD212C" w:rsidR="009D0931">
        <w:rPr>
          <w:rStyle w:val="Strong"/>
          <w:b w:val="0"/>
          <w:lang w:val="en-GB"/>
        </w:rPr>
        <w:t xml:space="preserve">Council </w:t>
      </w:r>
      <w:r w:rsidRPr="00BD212C" w:rsidR="00BF27A0">
        <w:rPr>
          <w:rStyle w:val="Strong"/>
          <w:b w:val="0"/>
          <w:lang w:val="en-GB"/>
        </w:rPr>
        <w:t>on</w:t>
      </w:r>
      <w:r w:rsidRPr="00BD212C" w:rsidR="00BF27A0">
        <w:rPr>
          <w:rFonts w:ascii="Tahoma" w:hAnsi="Tahoma" w:cs="Tahoma"/>
          <w:sz w:val="18"/>
          <w:szCs w:val="18"/>
          <w:lang w:val="en"/>
        </w:rPr>
        <w:t xml:space="preserve"> </w:t>
      </w:r>
      <w:r w:rsidRPr="00BD212C" w:rsidR="00BF27A0">
        <w:rPr>
          <w:bCs/>
          <w:lang w:val="en"/>
        </w:rPr>
        <w:t>guidance for better transposition and application of Directive 2004/38/EC</w:t>
      </w:r>
      <w:r w:rsidRPr="00BD212C">
        <w:rPr>
          <w:rStyle w:val="Strong"/>
          <w:b w:val="0"/>
          <w:lang w:val="en-GB"/>
        </w:rPr>
        <w:t xml:space="preserve"> (COM/2009/0313 </w:t>
      </w:r>
      <w:r w:rsidRPr="00BD212C">
        <w:rPr>
          <w:lang w:val="en-GB"/>
        </w:rPr>
        <w:t>final).</w:t>
      </w:r>
    </w:p>
    <w:p w:rsidRPr="00BD212C" w:rsidR="00BF27A0" w:rsidP="00BD212C" w:rsidRDefault="008032DD">
      <w:pPr>
        <w:pStyle w:val="ECHRPara"/>
        <w:rPr>
          <w:lang w:val="en-GB"/>
        </w:rPr>
      </w:pPr>
      <w:r w:rsidRPr="00BD212C">
        <w:rPr>
          <w:rFonts w:eastAsiaTheme="minorHAnsi"/>
          <w:lang w:val="fr-FR"/>
        </w:rPr>
        <w:fldChar w:fldCharType="begin"/>
      </w:r>
      <w:r w:rsidRPr="00BD212C">
        <w:rPr>
          <w:rFonts w:eastAsiaTheme="minorHAnsi"/>
          <w:lang w:val="en-GB"/>
        </w:rPr>
        <w:instrText xml:space="preserve"> SEQ level0 \*arabic </w:instrText>
      </w:r>
      <w:r w:rsidRPr="00BD212C">
        <w:rPr>
          <w:rFonts w:eastAsiaTheme="minorHAnsi"/>
          <w:lang w:val="fr-FR"/>
        </w:rPr>
        <w:fldChar w:fldCharType="separate"/>
      </w:r>
      <w:r w:rsidRPr="00BD212C" w:rsidR="00BD212C">
        <w:rPr>
          <w:rFonts w:eastAsiaTheme="minorHAnsi"/>
          <w:noProof/>
          <w:lang w:val="en-GB"/>
        </w:rPr>
        <w:t>50</w:t>
      </w:r>
      <w:r w:rsidRPr="00BD212C">
        <w:rPr>
          <w:rFonts w:eastAsiaTheme="minorHAnsi"/>
          <w:lang w:val="fr-FR"/>
        </w:rPr>
        <w:fldChar w:fldCharType="end"/>
      </w:r>
      <w:r w:rsidRPr="00BD212C">
        <w:rPr>
          <w:rFonts w:eastAsiaTheme="minorHAnsi"/>
          <w:lang w:val="en-GB"/>
        </w:rPr>
        <w:t>.  </w:t>
      </w:r>
      <w:r w:rsidRPr="00BD212C" w:rsidR="00BF27A0">
        <w:rPr>
          <w:lang w:val="en-GB"/>
        </w:rPr>
        <w:t>In the applicants</w:t>
      </w:r>
      <w:r w:rsidRPr="00BD212C" w:rsidR="00BD212C">
        <w:rPr>
          <w:lang w:val="en-GB"/>
        </w:rPr>
        <w:t>’</w:t>
      </w:r>
      <w:r w:rsidRPr="00BD212C" w:rsidR="00BF27A0">
        <w:rPr>
          <w:lang w:val="en-GB"/>
        </w:rPr>
        <w:t xml:space="preserve"> submission, whilst it was true that, under EU law, Italy was free to regulate “domestic situations” such as theirs, the fact remained that those same situations had to be dealt with in conformity with Articles 8 and 14 of the Convention. The emergence of an European consensus with regard to the immigration rights of same-sex partners was, moreover, clear from the terms of Article 3 § 2 b) of Directive 2004/38/EC </w:t>
      </w:r>
      <w:r w:rsidRPr="00BD212C" w:rsidR="00893ABA">
        <w:rPr>
          <w:lang w:val="en-GB"/>
        </w:rPr>
        <w:t>...</w:t>
      </w:r>
      <w:r w:rsidRPr="00BD212C" w:rsidR="00BF27A0">
        <w:rPr>
          <w:lang w:val="en-GB"/>
        </w:rPr>
        <w:t xml:space="preserve">, according to which “the host Member State </w:t>
      </w:r>
      <w:r w:rsidRPr="00BD212C" w:rsidR="0077392D">
        <w:rPr>
          <w:lang w:val="en-GB"/>
        </w:rPr>
        <w:t>shal</w:t>
      </w:r>
      <w:r w:rsidRPr="00BD212C" w:rsidR="00BF27A0">
        <w:rPr>
          <w:lang w:val="en-GB"/>
        </w:rPr>
        <w:t>l</w:t>
      </w:r>
      <w:r w:rsidRPr="00BD212C" w:rsidR="0077392D">
        <w:rPr>
          <w:lang w:val="en-GB"/>
        </w:rPr>
        <w:t>, in accordance with its national legislation, facilitate entry and residence</w:t>
      </w:r>
      <w:r w:rsidRPr="00BD212C" w:rsidR="00BF27A0">
        <w:rPr>
          <w:lang w:val="en-GB"/>
        </w:rPr>
        <w:t xml:space="preserve"> [</w:t>
      </w:r>
      <w:r w:rsidRPr="00BD212C" w:rsidR="0077392D">
        <w:rPr>
          <w:lang w:val="en-GB"/>
        </w:rPr>
        <w:t>of the</w:t>
      </w:r>
      <w:r w:rsidRPr="00BD212C" w:rsidR="00BF27A0">
        <w:rPr>
          <w:lang w:val="en-GB"/>
        </w:rPr>
        <w:t>] partn</w:t>
      </w:r>
      <w:r w:rsidRPr="00BD212C" w:rsidR="0077392D">
        <w:rPr>
          <w:lang w:val="en-GB"/>
        </w:rPr>
        <w:t>er with whom the</w:t>
      </w:r>
      <w:r w:rsidRPr="00BD212C" w:rsidR="00BF27A0">
        <w:rPr>
          <w:lang w:val="en-GB"/>
        </w:rPr>
        <w:t xml:space="preserve"> </w:t>
      </w:r>
      <w:r w:rsidRPr="00BD212C" w:rsidR="0077392D">
        <w:rPr>
          <w:lang w:val="en-GB"/>
        </w:rPr>
        <w:t>[</w:t>
      </w:r>
      <w:r w:rsidRPr="00BD212C" w:rsidR="00BF27A0">
        <w:rPr>
          <w:lang w:val="en-GB"/>
        </w:rPr>
        <w:t>E</w:t>
      </w:r>
      <w:r w:rsidRPr="00BD212C" w:rsidR="0077392D">
        <w:rPr>
          <w:lang w:val="en-GB"/>
        </w:rPr>
        <w:t>U</w:t>
      </w:r>
      <w:r w:rsidRPr="00BD212C" w:rsidR="00BF27A0">
        <w:rPr>
          <w:lang w:val="en-GB"/>
        </w:rPr>
        <w:t>]</w:t>
      </w:r>
      <w:r w:rsidRPr="00BD212C" w:rsidR="0077392D">
        <w:rPr>
          <w:lang w:val="en-GB"/>
        </w:rPr>
        <w:t xml:space="preserve"> citizen has a</w:t>
      </w:r>
      <w:r w:rsidRPr="00BD212C" w:rsidR="007649BA">
        <w:rPr>
          <w:lang w:val="en-GB"/>
        </w:rPr>
        <w:t xml:space="preserve"> durable</w:t>
      </w:r>
      <w:r w:rsidRPr="00BD212C" w:rsidR="0077392D">
        <w:rPr>
          <w:lang w:val="en-GB"/>
        </w:rPr>
        <w:t xml:space="preserve"> </w:t>
      </w:r>
      <w:r w:rsidRPr="00BD212C" w:rsidR="00BF27A0">
        <w:rPr>
          <w:lang w:val="en-GB"/>
        </w:rPr>
        <w:t>relation</w:t>
      </w:r>
      <w:r w:rsidRPr="00BD212C" w:rsidR="0077392D">
        <w:rPr>
          <w:lang w:val="en-GB"/>
        </w:rPr>
        <w:t>ship</w:t>
      </w:r>
      <w:r w:rsidRPr="00BD212C" w:rsidR="00BF27A0">
        <w:rPr>
          <w:lang w:val="en-GB"/>
        </w:rPr>
        <w:t>, d</w:t>
      </w:r>
      <w:r w:rsidRPr="00BD212C" w:rsidR="0077392D">
        <w:rPr>
          <w:lang w:val="en-GB"/>
        </w:rPr>
        <w:t>uly attested”</w:t>
      </w:r>
      <w:r w:rsidRPr="00BD212C" w:rsidR="00BF27A0">
        <w:rPr>
          <w:lang w:val="en-GB"/>
        </w:rPr>
        <w:t xml:space="preserve">. </w:t>
      </w:r>
      <w:r w:rsidRPr="00BD212C" w:rsidR="006D764C">
        <w:rPr>
          <w:lang w:val="en-GB"/>
        </w:rPr>
        <w:t>The applica</w:t>
      </w:r>
      <w:r w:rsidRPr="00BD212C" w:rsidR="00BF27A0">
        <w:rPr>
          <w:lang w:val="en-GB"/>
        </w:rPr>
        <w:t xml:space="preserve">nts </w:t>
      </w:r>
      <w:r w:rsidRPr="00BD212C" w:rsidR="006D764C">
        <w:rPr>
          <w:lang w:val="en-GB"/>
        </w:rPr>
        <w:t xml:space="preserve">added that, in its </w:t>
      </w:r>
      <w:r w:rsidRPr="00BD212C" w:rsidR="00D15E9C">
        <w:rPr>
          <w:lang w:val="en-GB"/>
        </w:rPr>
        <w:t>C</w:t>
      </w:r>
      <w:r w:rsidRPr="00BD212C" w:rsidR="00BF27A0">
        <w:rPr>
          <w:lang w:val="en-GB"/>
        </w:rPr>
        <w:t xml:space="preserve">ommunication COM/2009/0313, </w:t>
      </w:r>
      <w:r w:rsidRPr="00BD212C" w:rsidR="006D764C">
        <w:rPr>
          <w:lang w:val="en-GB"/>
        </w:rPr>
        <w:t>cited above</w:t>
      </w:r>
      <w:r w:rsidRPr="00BD212C" w:rsidR="00BF27A0">
        <w:rPr>
          <w:lang w:val="en-GB"/>
        </w:rPr>
        <w:t xml:space="preserve">, </w:t>
      </w:r>
      <w:r w:rsidRPr="00BD212C" w:rsidR="006D764C">
        <w:rPr>
          <w:lang w:val="en-GB"/>
        </w:rPr>
        <w:t>the European</w:t>
      </w:r>
      <w:r w:rsidRPr="00BD212C" w:rsidR="00BF27A0">
        <w:rPr>
          <w:lang w:val="en-GB"/>
        </w:rPr>
        <w:t xml:space="preserve"> Commission </w:t>
      </w:r>
      <w:r w:rsidRPr="00BD212C" w:rsidR="006D764C">
        <w:rPr>
          <w:lang w:val="en-GB"/>
        </w:rPr>
        <w:t>had specified that</w:t>
      </w:r>
      <w:r w:rsidRPr="00BD212C" w:rsidR="00441F90">
        <w:rPr>
          <w:lang w:val="en-GB"/>
        </w:rPr>
        <w:t xml:space="preserve"> documentary</w:t>
      </w:r>
      <w:r w:rsidRPr="00BD212C" w:rsidR="00BF27A0">
        <w:rPr>
          <w:lang w:val="en-GB"/>
        </w:rPr>
        <w:t xml:space="preserve"> </w:t>
      </w:r>
      <w:r w:rsidRPr="00BD212C" w:rsidR="00441F90">
        <w:rPr>
          <w:lang w:val="en-GB"/>
        </w:rPr>
        <w:t>evidence</w:t>
      </w:r>
      <w:r w:rsidRPr="00BD212C" w:rsidR="00BF27A0">
        <w:rPr>
          <w:lang w:val="en-GB"/>
        </w:rPr>
        <w:t xml:space="preserve"> </w:t>
      </w:r>
      <w:r w:rsidRPr="00BD212C" w:rsidR="00441F90">
        <w:rPr>
          <w:lang w:val="en-GB"/>
        </w:rPr>
        <w:t xml:space="preserve">in that regard </w:t>
      </w:r>
      <w:r w:rsidRPr="00BD212C" w:rsidR="006D764C">
        <w:rPr>
          <w:lang w:val="en-GB"/>
        </w:rPr>
        <w:t xml:space="preserve">could be </w:t>
      </w:r>
      <w:r w:rsidRPr="00BD212C" w:rsidR="00441F90">
        <w:rPr>
          <w:lang w:val="en-GB"/>
        </w:rPr>
        <w:t>adduced</w:t>
      </w:r>
      <w:r w:rsidRPr="00BD212C" w:rsidR="006D764C">
        <w:rPr>
          <w:lang w:val="en-GB"/>
        </w:rPr>
        <w:t xml:space="preserve"> by “any appropriate means”</w:t>
      </w:r>
      <w:r w:rsidRPr="00BD212C" w:rsidR="00BF27A0">
        <w:rPr>
          <w:lang w:val="en-GB"/>
        </w:rPr>
        <w:t>.</w:t>
      </w:r>
    </w:p>
    <w:p w:rsidRPr="00BD212C" w:rsidR="00BF27A0" w:rsidP="00BD212C" w:rsidRDefault="00BF27A0">
      <w:pPr>
        <w:pStyle w:val="ECHRPara"/>
        <w:rPr>
          <w:lang w:val="en-GB"/>
        </w:rPr>
      </w:pPr>
      <w:r w:rsidRPr="00BD212C">
        <w:rPr>
          <w:rFonts w:eastAsiaTheme="minorHAnsi"/>
          <w:lang w:val="fr-FR"/>
        </w:rPr>
        <w:fldChar w:fldCharType="begin"/>
      </w:r>
      <w:r w:rsidRPr="00BD212C">
        <w:rPr>
          <w:rFonts w:eastAsiaTheme="minorHAnsi"/>
          <w:lang w:val="en-GB"/>
        </w:rPr>
        <w:instrText xml:space="preserve"> SEQ level0 \*arabic </w:instrText>
      </w:r>
      <w:r w:rsidRPr="00BD212C">
        <w:rPr>
          <w:rFonts w:eastAsiaTheme="minorHAnsi"/>
          <w:lang w:val="fr-FR"/>
        </w:rPr>
        <w:fldChar w:fldCharType="separate"/>
      </w:r>
      <w:r w:rsidRPr="00BD212C" w:rsidR="00BD212C">
        <w:rPr>
          <w:rFonts w:eastAsiaTheme="minorHAnsi"/>
          <w:noProof/>
          <w:lang w:val="en-GB"/>
        </w:rPr>
        <w:t>51</w:t>
      </w:r>
      <w:r w:rsidRPr="00BD212C">
        <w:rPr>
          <w:rFonts w:eastAsiaTheme="minorHAnsi"/>
          <w:lang w:val="fr-FR"/>
        </w:rPr>
        <w:fldChar w:fldCharType="end"/>
      </w:r>
      <w:r w:rsidRPr="00BD212C">
        <w:rPr>
          <w:rFonts w:eastAsiaTheme="minorHAnsi"/>
          <w:lang w:val="en-GB"/>
        </w:rPr>
        <w:t>.  </w:t>
      </w:r>
      <w:r w:rsidRPr="00BD212C" w:rsidR="006D764C">
        <w:rPr>
          <w:lang w:val="en-GB"/>
        </w:rPr>
        <w:t>In their submission</w:t>
      </w:r>
      <w:r w:rsidRPr="00BD212C">
        <w:rPr>
          <w:lang w:val="en-GB"/>
        </w:rPr>
        <w:t xml:space="preserve">, </w:t>
      </w:r>
      <w:r w:rsidRPr="00BD212C" w:rsidR="006D764C">
        <w:rPr>
          <w:lang w:val="en-GB"/>
        </w:rPr>
        <w:t>Law no. </w:t>
      </w:r>
      <w:r w:rsidRPr="00BD212C">
        <w:rPr>
          <w:lang w:val="en-GB"/>
        </w:rPr>
        <w:t xml:space="preserve">97 </w:t>
      </w:r>
      <w:r w:rsidRPr="00BD212C" w:rsidR="006D764C">
        <w:rPr>
          <w:lang w:val="en-GB"/>
        </w:rPr>
        <w:t xml:space="preserve">of 2013 </w:t>
      </w:r>
      <w:r w:rsidRPr="00BD212C" w:rsidR="00893ABA">
        <w:rPr>
          <w:lang w:val="en-GB"/>
        </w:rPr>
        <w:t>...</w:t>
      </w:r>
      <w:r w:rsidRPr="00BD212C">
        <w:rPr>
          <w:lang w:val="en-GB"/>
        </w:rPr>
        <w:t xml:space="preserve"> </w:t>
      </w:r>
      <w:r w:rsidRPr="00BD212C" w:rsidR="006D764C">
        <w:rPr>
          <w:lang w:val="en-GB"/>
        </w:rPr>
        <w:t>had</w:t>
      </w:r>
      <w:r w:rsidRPr="00BD212C">
        <w:rPr>
          <w:lang w:val="en-GB"/>
        </w:rPr>
        <w:t xml:space="preserve"> </w:t>
      </w:r>
      <w:r w:rsidRPr="00BD212C" w:rsidR="006D764C">
        <w:rPr>
          <w:lang w:val="en-GB"/>
        </w:rPr>
        <w:t>indeed transposed Ar</w:t>
      </w:r>
      <w:r w:rsidRPr="00BD212C">
        <w:rPr>
          <w:lang w:val="en-GB"/>
        </w:rPr>
        <w:t xml:space="preserve">ticle 3 </w:t>
      </w:r>
      <w:r w:rsidRPr="00BD212C" w:rsidR="006D764C">
        <w:rPr>
          <w:lang w:val="en-GB"/>
        </w:rPr>
        <w:t>of D</w:t>
      </w:r>
      <w:r w:rsidRPr="00BD212C">
        <w:rPr>
          <w:lang w:val="en-GB"/>
        </w:rPr>
        <w:t>irective </w:t>
      </w:r>
      <w:r w:rsidRPr="00BD212C" w:rsidR="006D764C">
        <w:rPr>
          <w:lang w:val="en-GB"/>
        </w:rPr>
        <w:t>2004/38/</w:t>
      </w:r>
      <w:r w:rsidRPr="00BD212C">
        <w:rPr>
          <w:lang w:val="en-GB"/>
        </w:rPr>
        <w:t>E</w:t>
      </w:r>
      <w:r w:rsidRPr="00BD212C" w:rsidR="006D764C">
        <w:rPr>
          <w:lang w:val="en-GB"/>
        </w:rPr>
        <w:t>C into Italian law</w:t>
      </w:r>
      <w:r w:rsidRPr="00BD212C">
        <w:rPr>
          <w:lang w:val="en-GB"/>
        </w:rPr>
        <w:t xml:space="preserve">. </w:t>
      </w:r>
      <w:r w:rsidRPr="00BD212C" w:rsidR="006D764C">
        <w:rPr>
          <w:lang w:val="en-GB"/>
        </w:rPr>
        <w:t>However</w:t>
      </w:r>
      <w:r w:rsidRPr="00BD212C">
        <w:rPr>
          <w:lang w:val="en-GB"/>
        </w:rPr>
        <w:t>,</w:t>
      </w:r>
      <w:r w:rsidRPr="00BD212C" w:rsidR="006D764C">
        <w:rPr>
          <w:lang w:val="en-GB"/>
        </w:rPr>
        <w:t xml:space="preserve"> that provision did not</w:t>
      </w:r>
      <w:r w:rsidRPr="00BD212C">
        <w:rPr>
          <w:lang w:val="en-GB"/>
        </w:rPr>
        <w:t xml:space="preserve"> </w:t>
      </w:r>
      <w:r w:rsidRPr="00BD212C" w:rsidR="006D764C">
        <w:rPr>
          <w:lang w:val="en-GB"/>
        </w:rPr>
        <w:t>clearly confer a right on the second applicant to obtain the residence permit in question</w:t>
      </w:r>
      <w:r w:rsidRPr="00BD212C">
        <w:rPr>
          <w:lang w:val="en-GB"/>
        </w:rPr>
        <w:t xml:space="preserve">. </w:t>
      </w:r>
      <w:r w:rsidRPr="00BD212C" w:rsidR="00441F90">
        <w:rPr>
          <w:lang w:val="en-GB"/>
        </w:rPr>
        <w:t>In any event</w:t>
      </w:r>
      <w:r w:rsidRPr="00BD212C">
        <w:rPr>
          <w:lang w:val="en-GB"/>
        </w:rPr>
        <w:t xml:space="preserve">, </w:t>
      </w:r>
      <w:r w:rsidRPr="00BD212C" w:rsidR="00441F90">
        <w:rPr>
          <w:lang w:val="en-GB"/>
        </w:rPr>
        <w:t>even supposing that the residence permit</w:t>
      </w:r>
      <w:r w:rsidRPr="00BD212C">
        <w:rPr>
          <w:lang w:val="en-GB"/>
        </w:rPr>
        <w:t xml:space="preserve"> </w:t>
      </w:r>
      <w:r w:rsidRPr="00BD212C" w:rsidR="00441F90">
        <w:rPr>
          <w:lang w:val="en-GB"/>
        </w:rPr>
        <w:t>could have been issued from S</w:t>
      </w:r>
      <w:r w:rsidRPr="00BD212C">
        <w:rPr>
          <w:lang w:val="en-GB"/>
        </w:rPr>
        <w:t>eptemb</w:t>
      </w:r>
      <w:r w:rsidRPr="00BD212C" w:rsidR="00441F90">
        <w:rPr>
          <w:lang w:val="en-GB"/>
        </w:rPr>
        <w:t>er</w:t>
      </w:r>
      <w:r w:rsidRPr="00BD212C">
        <w:rPr>
          <w:lang w:val="en-GB"/>
        </w:rPr>
        <w:t xml:space="preserve"> 2013, </w:t>
      </w:r>
      <w:r w:rsidRPr="00BD212C" w:rsidR="00441F90">
        <w:rPr>
          <w:lang w:val="en-GB"/>
        </w:rPr>
        <w:t>the fact remained, they argued, that the second applica</w:t>
      </w:r>
      <w:r w:rsidRPr="00BD212C">
        <w:rPr>
          <w:lang w:val="en-GB"/>
        </w:rPr>
        <w:t xml:space="preserve">nt </w:t>
      </w:r>
      <w:r w:rsidRPr="00BD212C" w:rsidR="00441F90">
        <w:rPr>
          <w:lang w:val="en-GB"/>
        </w:rPr>
        <w:t xml:space="preserve">had been refused </w:t>
      </w:r>
      <w:r w:rsidRPr="00BD212C" w:rsidR="007649BA">
        <w:rPr>
          <w:lang w:val="en-GB"/>
        </w:rPr>
        <w:t>leave to</w:t>
      </w:r>
      <w:r w:rsidRPr="00BD212C" w:rsidR="00441F90">
        <w:rPr>
          <w:lang w:val="en-GB"/>
        </w:rPr>
        <w:t xml:space="preserve"> reside in Italy from</w:t>
      </w:r>
      <w:r w:rsidRPr="00BD212C">
        <w:rPr>
          <w:lang w:val="en-GB"/>
        </w:rPr>
        <w:t xml:space="preserve"> 2004</w:t>
      </w:r>
      <w:r w:rsidRPr="00BD212C" w:rsidR="00441F90">
        <w:rPr>
          <w:lang w:val="en-GB"/>
        </w:rPr>
        <w:t xml:space="preserve"> onwards</w:t>
      </w:r>
      <w:r w:rsidRPr="00BD212C">
        <w:rPr>
          <w:lang w:val="en-GB"/>
        </w:rPr>
        <w:t xml:space="preserve"> </w:t>
      </w:r>
      <w:r w:rsidRPr="00BD212C" w:rsidR="00441F90">
        <w:rPr>
          <w:lang w:val="en-GB"/>
        </w:rPr>
        <w:t>and had suffered the</w:t>
      </w:r>
      <w:r w:rsidRPr="00BD212C">
        <w:rPr>
          <w:lang w:val="en-GB"/>
        </w:rPr>
        <w:t xml:space="preserve"> cons</w:t>
      </w:r>
      <w:r w:rsidRPr="00BD212C" w:rsidR="00441F90">
        <w:rPr>
          <w:lang w:val="en-GB"/>
        </w:rPr>
        <w:t>e</w:t>
      </w:r>
      <w:r w:rsidRPr="00BD212C">
        <w:rPr>
          <w:lang w:val="en-GB"/>
        </w:rPr>
        <w:t xml:space="preserve">quences </w:t>
      </w:r>
      <w:r w:rsidRPr="00BD212C" w:rsidR="00441F90">
        <w:rPr>
          <w:lang w:val="en-GB"/>
        </w:rPr>
        <w:t>of that refusal</w:t>
      </w:r>
      <w:r w:rsidRPr="00BD212C">
        <w:rPr>
          <w:lang w:val="en-GB"/>
        </w:rPr>
        <w:t xml:space="preserve"> </w:t>
      </w:r>
      <w:r w:rsidRPr="00BD212C" w:rsidR="00441F90">
        <w:rPr>
          <w:lang w:val="en-GB"/>
        </w:rPr>
        <w:t>for many year</w:t>
      </w:r>
      <w:r w:rsidRPr="00BD212C">
        <w:rPr>
          <w:lang w:val="en-GB"/>
        </w:rPr>
        <w:t>s.</w:t>
      </w:r>
    </w:p>
    <w:p w:rsidRPr="00BD212C" w:rsidR="00BF27A0" w:rsidP="00BD212C" w:rsidRDefault="00BF27A0">
      <w:pPr>
        <w:pStyle w:val="ECHRPara"/>
        <w:rPr>
          <w:lang w:val="en-GB"/>
        </w:rPr>
      </w:pPr>
      <w:r w:rsidRPr="00BD212C">
        <w:rPr>
          <w:rFonts w:eastAsiaTheme="minorHAnsi"/>
          <w:lang w:val="fr-FR"/>
        </w:rPr>
        <w:fldChar w:fldCharType="begin"/>
      </w:r>
      <w:r w:rsidRPr="00BD212C">
        <w:rPr>
          <w:rFonts w:eastAsiaTheme="minorHAnsi"/>
          <w:lang w:val="en-GB"/>
        </w:rPr>
        <w:instrText xml:space="preserve"> SEQ level0 \*arabic </w:instrText>
      </w:r>
      <w:r w:rsidRPr="00BD212C">
        <w:rPr>
          <w:rFonts w:eastAsiaTheme="minorHAnsi"/>
          <w:lang w:val="fr-FR"/>
        </w:rPr>
        <w:fldChar w:fldCharType="separate"/>
      </w:r>
      <w:r w:rsidRPr="00BD212C" w:rsidR="00BD212C">
        <w:rPr>
          <w:rFonts w:eastAsiaTheme="minorHAnsi"/>
          <w:noProof/>
          <w:lang w:val="en-GB"/>
        </w:rPr>
        <w:t>52</w:t>
      </w:r>
      <w:r w:rsidRPr="00BD212C">
        <w:rPr>
          <w:rFonts w:eastAsiaTheme="minorHAnsi"/>
          <w:lang w:val="fr-FR"/>
        </w:rPr>
        <w:fldChar w:fldCharType="end"/>
      </w:r>
      <w:r w:rsidRPr="00BD212C">
        <w:rPr>
          <w:rFonts w:eastAsiaTheme="minorHAnsi"/>
          <w:lang w:val="en-GB"/>
        </w:rPr>
        <w:t>.  </w:t>
      </w:r>
      <w:r w:rsidRPr="00BD212C" w:rsidR="00441F90">
        <w:rPr>
          <w:lang w:val="en-GB"/>
        </w:rPr>
        <w:t>The applic</w:t>
      </w:r>
      <w:r w:rsidRPr="00BD212C">
        <w:rPr>
          <w:lang w:val="en-GB"/>
        </w:rPr>
        <w:t>ants</w:t>
      </w:r>
      <w:r w:rsidRPr="00BD212C" w:rsidR="00441F90">
        <w:rPr>
          <w:lang w:val="en-GB"/>
        </w:rPr>
        <w:t xml:space="preserve"> submitted, further, that a residence permit for family reasons had been issued by the </w:t>
      </w:r>
      <w:r w:rsidRPr="00BD212C">
        <w:rPr>
          <w:lang w:val="en-GB"/>
        </w:rPr>
        <w:t>Reggio Emilia</w:t>
      </w:r>
      <w:r w:rsidRPr="00BD212C" w:rsidR="00D15E9C">
        <w:rPr>
          <w:lang w:val="en-GB"/>
        </w:rPr>
        <w:t xml:space="preserve"> Court to a</w:t>
      </w:r>
      <w:r w:rsidRPr="00BD212C" w:rsidR="00441F90">
        <w:rPr>
          <w:lang w:val="en-GB"/>
        </w:rPr>
        <w:t xml:space="preserve"> U</w:t>
      </w:r>
      <w:r w:rsidRPr="00BD212C">
        <w:rPr>
          <w:lang w:val="en-GB"/>
        </w:rPr>
        <w:t>ruguay</w:t>
      </w:r>
      <w:r w:rsidRPr="00BD212C" w:rsidR="00441F90">
        <w:rPr>
          <w:lang w:val="en-GB"/>
        </w:rPr>
        <w:t>a</w:t>
      </w:r>
      <w:r w:rsidRPr="00BD212C">
        <w:rPr>
          <w:lang w:val="en-GB"/>
        </w:rPr>
        <w:t xml:space="preserve">n </w:t>
      </w:r>
      <w:r w:rsidRPr="00BD212C" w:rsidR="00441F90">
        <w:rPr>
          <w:lang w:val="en-GB"/>
        </w:rPr>
        <w:t>national who had married an Italian citizen in Spain</w:t>
      </w:r>
      <w:r w:rsidRPr="00BD212C">
        <w:rPr>
          <w:lang w:val="en-GB"/>
        </w:rPr>
        <w:t xml:space="preserve">. </w:t>
      </w:r>
      <w:r w:rsidRPr="00BD212C" w:rsidR="0011240C">
        <w:rPr>
          <w:lang w:val="en-GB"/>
        </w:rPr>
        <w:t>They added that, since that de</w:t>
      </w:r>
      <w:r w:rsidRPr="00BD212C">
        <w:rPr>
          <w:lang w:val="en-GB"/>
        </w:rPr>
        <w:t xml:space="preserve">cision, </w:t>
      </w:r>
      <w:r w:rsidRPr="00BD212C" w:rsidR="0011240C">
        <w:rPr>
          <w:lang w:val="en-GB"/>
        </w:rPr>
        <w:t>thirty other identical residence permits had been issued to other</w:t>
      </w:r>
      <w:r w:rsidRPr="00BD212C">
        <w:rPr>
          <w:lang w:val="en-GB"/>
        </w:rPr>
        <w:t xml:space="preserve"> </w:t>
      </w:r>
      <w:r w:rsidRPr="00BD212C" w:rsidR="0011240C">
        <w:rPr>
          <w:lang w:val="en-GB"/>
        </w:rPr>
        <w:t>non-EU national</w:t>
      </w:r>
      <w:r w:rsidRPr="00BD212C">
        <w:rPr>
          <w:lang w:val="en-GB"/>
        </w:rPr>
        <w:t xml:space="preserve">s </w:t>
      </w:r>
      <w:r w:rsidRPr="00BD212C" w:rsidR="0011240C">
        <w:rPr>
          <w:lang w:val="en-GB"/>
        </w:rPr>
        <w:t>in same-sex</w:t>
      </w:r>
      <w:r w:rsidRPr="00BD212C">
        <w:rPr>
          <w:lang w:val="en-GB"/>
        </w:rPr>
        <w:t xml:space="preserve"> couples </w:t>
      </w:r>
      <w:r w:rsidRPr="00BD212C" w:rsidR="0011240C">
        <w:rPr>
          <w:lang w:val="en-GB"/>
        </w:rPr>
        <w:t>with Italian citizen</w:t>
      </w:r>
      <w:r w:rsidRPr="00BD212C">
        <w:rPr>
          <w:lang w:val="en-GB"/>
        </w:rPr>
        <w:t xml:space="preserve">s </w:t>
      </w:r>
      <w:r w:rsidRPr="00BD212C" w:rsidR="0011240C">
        <w:rPr>
          <w:lang w:val="en-GB"/>
        </w:rPr>
        <w:t xml:space="preserve">on the basis of marriage or </w:t>
      </w:r>
      <w:r w:rsidRPr="00BD212C" w:rsidR="00B20CCB">
        <w:rPr>
          <w:lang w:val="en-GB"/>
        </w:rPr>
        <w:t xml:space="preserve">a </w:t>
      </w:r>
      <w:r w:rsidRPr="00BD212C" w:rsidR="0011240C">
        <w:rPr>
          <w:lang w:val="en-GB"/>
        </w:rPr>
        <w:t>civil partnership</w:t>
      </w:r>
      <w:r w:rsidRPr="00BD212C">
        <w:rPr>
          <w:lang w:val="en-GB"/>
        </w:rPr>
        <w:t xml:space="preserve"> </w:t>
      </w:r>
      <w:r w:rsidRPr="00BD212C" w:rsidR="0011240C">
        <w:rPr>
          <w:lang w:val="en-GB"/>
        </w:rPr>
        <w:t>contracted in EU countries other than Italy</w:t>
      </w:r>
      <w:r w:rsidRPr="00BD212C">
        <w:rPr>
          <w:lang w:val="en-GB"/>
        </w:rPr>
        <w:t>.</w:t>
      </w:r>
    </w:p>
    <w:p w:rsidRPr="00BD212C" w:rsidR="00D60F11" w:rsidP="00BD212C" w:rsidRDefault="00D60F11">
      <w:pPr>
        <w:pStyle w:val="ECHRHeading4"/>
      </w:pPr>
      <w:r w:rsidRPr="00BD212C">
        <w:t>b)  The Court</w:t>
      </w:r>
      <w:r w:rsidRPr="00BD212C" w:rsidR="00BD212C">
        <w:t>’</w:t>
      </w:r>
      <w:r w:rsidRPr="00BD212C">
        <w:t>s assessment</w:t>
      </w:r>
    </w:p>
    <w:p w:rsidRPr="00BD212C" w:rsidR="00014566" w:rsidP="00BD212C" w:rsidRDefault="00BD212C">
      <w:pPr>
        <w:pStyle w:val="ECHRPara"/>
        <w:rPr>
          <w:i/>
          <w:lang w:val="es-ES"/>
        </w:rPr>
      </w:pPr>
      <w:fldSimple w:instr=" SEQ level0 \*arabic ">
        <w:r w:rsidRPr="00BD212C">
          <w:rPr>
            <w:noProof/>
          </w:rPr>
          <w:t>53</w:t>
        </w:r>
      </w:fldSimple>
      <w:r w:rsidRPr="00BD212C" w:rsidR="00014566">
        <w:t>.  </w:t>
      </w:r>
      <w:r w:rsidRPr="00BD212C" w:rsidR="00D60F11">
        <w:rPr>
          <w:lang w:val="en-GB"/>
        </w:rPr>
        <w:t xml:space="preserve">The Court reiterates that Article 14 of the Convention </w:t>
      </w:r>
      <w:r w:rsidRPr="00BD212C" w:rsidR="00D60F11">
        <w:t xml:space="preserve">complements the other substantive provisions of the Convention and </w:t>
      </w:r>
      <w:r w:rsidRPr="00BD212C" w:rsidR="004F6BEA">
        <w:t>its</w:t>
      </w:r>
      <w:r w:rsidRPr="00BD212C" w:rsidR="00D60F11">
        <w:t xml:space="preserve"> Protocols. It has no independent existence since it has effect solely in relation to “the enjoyment of the rights and freedoms” safeguarded by those provisions. Although the application of Article 14 does not presuppose a breach of those provisions – and to this extent it is autonomous – there can be no room for its application unless the facts at issue fall within the ambit of one or more of the latter </w:t>
      </w:r>
      <w:r w:rsidRPr="00BD212C" w:rsidR="00D60F11">
        <w:rPr>
          <w:lang w:val="en-GB"/>
        </w:rPr>
        <w:t xml:space="preserve">(see </w:t>
      </w:r>
      <w:r w:rsidRPr="00BD212C" w:rsidR="00D60F11">
        <w:rPr>
          <w:i/>
          <w:lang w:val="en-GB"/>
        </w:rPr>
        <w:t>E.B. v. France</w:t>
      </w:r>
      <w:r w:rsidRPr="00BD212C" w:rsidR="00D60F11">
        <w:rPr>
          <w:lang w:val="en-GB"/>
        </w:rPr>
        <w:t xml:space="preserve"> [GC], no. 43546/02, § 47, 22 January 2008; </w:t>
      </w:r>
      <w:r w:rsidRPr="00BD212C" w:rsidR="00D60F11">
        <w:rPr>
          <w:bCs/>
          <w:i/>
          <w:color w:val="000000"/>
          <w:lang w:val="en-GB"/>
        </w:rPr>
        <w:t xml:space="preserve">Vallianatos </w:t>
      </w:r>
      <w:r w:rsidRPr="00BD212C" w:rsidR="00D60F11">
        <w:rPr>
          <w:i/>
          <w:lang w:val="en-GB"/>
        </w:rPr>
        <w:t xml:space="preserve">and Others v. Greece </w:t>
      </w:r>
      <w:r w:rsidRPr="00BD212C" w:rsidR="00D60F11">
        <w:rPr>
          <w:lang w:val="en-GB"/>
        </w:rPr>
        <w:t>[GC], nos. 29381/09 and 32684/09</w:t>
      </w:r>
      <w:r w:rsidRPr="00BD212C" w:rsidR="00D60F11">
        <w:rPr>
          <w:snapToGrid w:val="0"/>
          <w:lang w:val="en-GB"/>
        </w:rPr>
        <w:t xml:space="preserve">, § 72, </w:t>
      </w:r>
      <w:r w:rsidRPr="00BD212C" w:rsidR="00D60F11">
        <w:rPr>
          <w:lang w:val="en-GB"/>
        </w:rPr>
        <w:t xml:space="preserve">ECHR 2013 (extracts); and </w:t>
      </w:r>
      <w:r w:rsidRPr="00BD212C" w:rsidR="00D60F11">
        <w:rPr>
          <w:i/>
          <w:lang w:val="es-ES"/>
        </w:rPr>
        <w:t xml:space="preserve">Hämäläinen v. Finland </w:t>
      </w:r>
      <w:r w:rsidRPr="00BD212C" w:rsidR="00D60F11">
        <w:rPr>
          <w:lang w:val="es-ES"/>
        </w:rPr>
        <w:t>[GC], no. 37359/09, § 107, ECHR 2014</w:t>
      </w:r>
      <w:r w:rsidRPr="00BD212C" w:rsidR="00D60F11">
        <w:rPr>
          <w:lang w:val="en-GB"/>
        </w:rPr>
        <w:t>).</w:t>
      </w:r>
    </w:p>
    <w:p w:rsidRPr="00BD212C" w:rsidR="00014566" w:rsidP="00BD212C" w:rsidRDefault="00BD212C">
      <w:pPr>
        <w:pStyle w:val="ECHRPara"/>
        <w:rPr>
          <w:lang w:val="en-GB"/>
        </w:rPr>
      </w:pPr>
      <w:fldSimple w:instr=" SEQ level0 \*arabic ">
        <w:r w:rsidRPr="00BD212C">
          <w:rPr>
            <w:noProof/>
          </w:rPr>
          <w:t>54</w:t>
        </w:r>
      </w:fldSimple>
      <w:r w:rsidRPr="00BD212C" w:rsidR="00014566">
        <w:t>.  </w:t>
      </w:r>
      <w:r w:rsidRPr="00BD212C" w:rsidR="00D60F11">
        <w:rPr>
          <w:lang w:val="en-GB"/>
        </w:rPr>
        <w:t xml:space="preserve">In the present case the applicants alleged that the refusal to </w:t>
      </w:r>
      <w:r w:rsidRPr="00BD212C" w:rsidR="004F6BEA">
        <w:rPr>
          <w:lang w:val="en-GB"/>
        </w:rPr>
        <w:t>grant</w:t>
      </w:r>
      <w:r w:rsidRPr="00BD212C" w:rsidR="00D60F11">
        <w:rPr>
          <w:lang w:val="en-GB"/>
        </w:rPr>
        <w:t xml:space="preserve"> the residence permit</w:t>
      </w:r>
      <w:r w:rsidRPr="00BD212C" w:rsidR="004F6BEA">
        <w:rPr>
          <w:lang w:val="en-GB"/>
        </w:rPr>
        <w:t xml:space="preserve"> sought by the second applicant </w:t>
      </w:r>
      <w:r w:rsidRPr="00BD212C" w:rsidR="00D60F11">
        <w:rPr>
          <w:lang w:val="en-GB"/>
        </w:rPr>
        <w:t>for family reasons had prevented them from continuing to live together in Italy. The Court must therefore determine whether the facts of the case fall within the scope of Article 8 of the Convention.</w:t>
      </w:r>
    </w:p>
    <w:p w:rsidRPr="00BD212C" w:rsidR="00D60F11" w:rsidP="00BD212C" w:rsidRDefault="00D60F11">
      <w:pPr>
        <w:pStyle w:val="ECHRPara"/>
        <w:rPr>
          <w:i/>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55</w:t>
      </w:r>
      <w:r w:rsidRPr="00BD212C">
        <w:rPr>
          <w:lang w:val="fr-FR"/>
        </w:rPr>
        <w:fldChar w:fldCharType="end"/>
      </w:r>
      <w:r w:rsidRPr="00BD212C">
        <w:rPr>
          <w:lang w:val="en-GB"/>
        </w:rPr>
        <w:t>.  </w:t>
      </w:r>
      <w:r w:rsidRPr="00BD212C" w:rsidR="00D37405">
        <w:rPr>
          <w:rFonts w:cstheme="minorHAnsi"/>
          <w:lang w:val="en-GB"/>
        </w:rPr>
        <w:t>In that connection it reiterates that</w:t>
      </w:r>
      <w:r w:rsidRPr="00BD212C">
        <w:rPr>
          <w:lang w:val="en-GB"/>
        </w:rPr>
        <w:t xml:space="preserve"> </w:t>
      </w:r>
      <w:r w:rsidRPr="00BD212C" w:rsidR="00D37405">
        <w:rPr>
          <w:lang w:val="en-GB"/>
        </w:rPr>
        <w:t xml:space="preserve">a State is entitled, as a matter of well-established international law and subject to its treaty obligations, to control the entry of aliens into its territory and their residence there. </w:t>
      </w:r>
      <w:r w:rsidRPr="00BD212C" w:rsidR="00D37405">
        <w:t>The Convention does not guarantee the right of a foreign national to enter or to reside in a particular country</w:t>
      </w:r>
      <w:r w:rsidRPr="00BD212C">
        <w:rPr>
          <w:lang w:val="en-GB"/>
        </w:rPr>
        <w:t xml:space="preserve"> (</w:t>
      </w:r>
      <w:r w:rsidRPr="00BD212C" w:rsidR="00D37405">
        <w:rPr>
          <w:lang w:val="en-GB"/>
        </w:rPr>
        <w:t>see</w:t>
      </w:r>
      <w:r w:rsidRPr="00BD212C">
        <w:rPr>
          <w:lang w:val="en-GB"/>
        </w:rPr>
        <w:t xml:space="preserve">, </w:t>
      </w:r>
      <w:r w:rsidRPr="00BD212C" w:rsidR="00D37405">
        <w:rPr>
          <w:lang w:val="en-GB"/>
        </w:rPr>
        <w:t>for</w:t>
      </w:r>
      <w:r w:rsidRPr="00BD212C">
        <w:rPr>
          <w:lang w:val="en-GB"/>
        </w:rPr>
        <w:t xml:space="preserve"> ex</w:t>
      </w:r>
      <w:r w:rsidRPr="00BD212C" w:rsidR="00D37405">
        <w:rPr>
          <w:lang w:val="en-GB"/>
        </w:rPr>
        <w:t>a</w:t>
      </w:r>
      <w:r w:rsidRPr="00BD212C">
        <w:rPr>
          <w:lang w:val="en-GB"/>
        </w:rPr>
        <w:t xml:space="preserve">mple, </w:t>
      </w:r>
      <w:r w:rsidRPr="00BD212C" w:rsidR="00D37405">
        <w:rPr>
          <w:i/>
          <w:lang w:val="es-ES"/>
        </w:rPr>
        <w:t>Nunez v. Norway</w:t>
      </w:r>
      <w:r w:rsidRPr="00BD212C" w:rsidR="00D37405">
        <w:rPr>
          <w:lang w:val="es-ES"/>
        </w:rPr>
        <w:t>, no. 55597/09</w:t>
      </w:r>
      <w:r w:rsidRPr="00BD212C" w:rsidR="00D37405">
        <w:rPr>
          <w:snapToGrid w:val="0"/>
          <w:szCs w:val="24"/>
          <w:lang w:val="es-ES"/>
        </w:rPr>
        <w:t>, § 66, 28 June 201</w:t>
      </w:r>
      <w:r w:rsidRPr="00BD212C">
        <w:rPr>
          <w:lang w:val="en-GB"/>
        </w:rPr>
        <w:t xml:space="preserve">1). </w:t>
      </w:r>
      <w:r w:rsidRPr="00BD212C" w:rsidR="00D37405">
        <w:t>The corollary of a State</w:t>
      </w:r>
      <w:r w:rsidRPr="00BD212C" w:rsidR="00BD212C">
        <w:t>’</w:t>
      </w:r>
      <w:r w:rsidRPr="00BD212C" w:rsidR="00D37405">
        <w:t>s right to control immigration is the duty of aliens</w:t>
      </w:r>
      <w:r w:rsidRPr="00BD212C" w:rsidR="009264FE">
        <w:t xml:space="preserve"> – and thus</w:t>
      </w:r>
      <w:r w:rsidRPr="00BD212C" w:rsidR="00D37405">
        <w:t xml:space="preserve"> the second applicant</w:t>
      </w:r>
      <w:r w:rsidRPr="00BD212C" w:rsidR="009264FE">
        <w:t xml:space="preserve"> in the present case –</w:t>
      </w:r>
      <w:r w:rsidRPr="00BD212C" w:rsidR="00D37405">
        <w:t xml:space="preserve"> to submit to immigration controls and procedures and leave the territory of the Contracting State when so ordered if they are lawfully denied entry or residence</w:t>
      </w:r>
      <w:r w:rsidRPr="00BD212C" w:rsidR="00D37405">
        <w:rPr>
          <w:lang w:val="en-GB"/>
        </w:rPr>
        <w:t xml:space="preserve"> </w:t>
      </w:r>
      <w:r w:rsidRPr="00BD212C">
        <w:rPr>
          <w:lang w:val="en-GB"/>
        </w:rPr>
        <w:t>(</w:t>
      </w:r>
      <w:r w:rsidRPr="00BD212C" w:rsidR="00D37405">
        <w:rPr>
          <w:lang w:val="en-GB"/>
        </w:rPr>
        <w:t xml:space="preserve">see </w:t>
      </w:r>
      <w:r w:rsidRPr="00BD212C" w:rsidR="00D37405">
        <w:rPr>
          <w:i/>
          <w:lang w:val="en-GB"/>
        </w:rPr>
        <w:t>Jeunesse</w:t>
      </w:r>
      <w:r w:rsidRPr="00BD212C" w:rsidR="00D37405">
        <w:rPr>
          <w:lang w:val="en-GB"/>
        </w:rPr>
        <w:t xml:space="preserve"> </w:t>
      </w:r>
      <w:r w:rsidRPr="00BD212C" w:rsidR="00D37405">
        <w:rPr>
          <w:i/>
          <w:lang w:val="en-GB"/>
        </w:rPr>
        <w:t xml:space="preserve">v. the Netherlands </w:t>
      </w:r>
      <w:r w:rsidRPr="00BD212C" w:rsidR="00D37405">
        <w:rPr>
          <w:lang w:val="en-GB"/>
        </w:rPr>
        <w:t>[GC], no. 12738/10,</w:t>
      </w:r>
      <w:r w:rsidRPr="00BD212C" w:rsidR="00D37405">
        <w:rPr>
          <w:snapToGrid w:val="0"/>
          <w:lang w:val="en-GB"/>
        </w:rPr>
        <w:t xml:space="preserve"> § 100, </w:t>
      </w:r>
      <w:r w:rsidRPr="00BD212C" w:rsidR="00D37405">
        <w:rPr>
          <w:lang w:val="en-GB"/>
        </w:rPr>
        <w:t>3</w:t>
      </w:r>
      <w:r w:rsidRPr="00BD212C" w:rsidR="00D37405">
        <w:rPr>
          <w:snapToGrid w:val="0"/>
          <w:lang w:val="en-GB"/>
        </w:rPr>
        <w:t xml:space="preserve"> October 201</w:t>
      </w:r>
      <w:r w:rsidRPr="00BD212C">
        <w:rPr>
          <w:lang w:val="en-GB"/>
        </w:rPr>
        <w:t>4).</w:t>
      </w:r>
    </w:p>
    <w:p w:rsidRPr="00BD212C" w:rsidR="00D60F11" w:rsidP="00BD212C" w:rsidRDefault="00BD212C">
      <w:pPr>
        <w:pStyle w:val="ECHRPara"/>
        <w:rPr>
          <w:i/>
          <w:lang w:val="en-GB"/>
        </w:rPr>
      </w:pPr>
      <w:fldSimple w:instr=" SEQ level0 \*arabic ">
        <w:r w:rsidRPr="00BD212C">
          <w:rPr>
            <w:noProof/>
          </w:rPr>
          <w:t>56</w:t>
        </w:r>
      </w:fldSimple>
      <w:r w:rsidRPr="00BD212C" w:rsidR="00D60F11">
        <w:t>.  </w:t>
      </w:r>
      <w:r w:rsidRPr="00BD212C" w:rsidR="00D37405">
        <w:t>The duty imposed by Article 8 cannot be considered as extending to a general obligation on the part of a Contracting State to respect the choice by a family of the country of their common residence and to accept non-national partners for settlement in that country</w:t>
      </w:r>
      <w:r w:rsidRPr="00BD212C" w:rsidR="00D60F11">
        <w:rPr>
          <w:lang w:val="en-GB"/>
        </w:rPr>
        <w:t xml:space="preserve"> (</w:t>
      </w:r>
      <w:r w:rsidRPr="00BD212C" w:rsidR="00D37405">
        <w:rPr>
          <w:lang w:val="en-GB"/>
        </w:rPr>
        <w:t xml:space="preserve">see </w:t>
      </w:r>
      <w:r w:rsidRPr="00BD212C" w:rsidR="00D37405">
        <w:rPr>
          <w:i/>
          <w:lang w:val="en-GB"/>
        </w:rPr>
        <w:t>Abdulaziz, Cabales and Balkandali v. the United Kingdom</w:t>
      </w:r>
      <w:r w:rsidRPr="00BD212C" w:rsidR="00D37405">
        <w:rPr>
          <w:lang w:val="en-GB"/>
        </w:rPr>
        <w:t>, 28 May 1985, § 68, Series A no. 94;</w:t>
      </w:r>
      <w:r w:rsidRPr="00BD212C" w:rsidR="00D60F11">
        <w:rPr>
          <w:lang w:val="en-GB"/>
        </w:rPr>
        <w:t xml:space="preserve"> </w:t>
      </w:r>
      <w:r w:rsidRPr="00BD212C" w:rsidR="009264FE">
        <w:rPr>
          <w:i/>
          <w:lang w:val="en-GB"/>
        </w:rPr>
        <w:t>Bouhadef v</w:t>
      </w:r>
      <w:r w:rsidRPr="00BD212C" w:rsidR="00D60F11">
        <w:rPr>
          <w:i/>
          <w:lang w:val="en-GB"/>
        </w:rPr>
        <w:t>. </w:t>
      </w:r>
      <w:r w:rsidRPr="00BD212C" w:rsidR="009264FE">
        <w:rPr>
          <w:i/>
          <w:lang w:val="en-GB"/>
        </w:rPr>
        <w:t>Switzerland</w:t>
      </w:r>
      <w:r w:rsidRPr="00BD212C" w:rsidR="00D60F11">
        <w:rPr>
          <w:lang w:val="en-GB"/>
        </w:rPr>
        <w:t xml:space="preserve"> (d</w:t>
      </w:r>
      <w:r w:rsidRPr="00BD212C" w:rsidR="009264FE">
        <w:rPr>
          <w:lang w:val="en-GB"/>
        </w:rPr>
        <w:t>e</w:t>
      </w:r>
      <w:r w:rsidRPr="00BD212C" w:rsidR="00D60F11">
        <w:rPr>
          <w:lang w:val="en-GB"/>
        </w:rPr>
        <w:t>c.), n</w:t>
      </w:r>
      <w:r w:rsidRPr="00BD212C" w:rsidR="009264FE">
        <w:rPr>
          <w:lang w:val="en-GB"/>
        </w:rPr>
        <w:t>o.</w:t>
      </w:r>
      <w:r w:rsidRPr="00BD212C" w:rsidR="00D60F11">
        <w:rPr>
          <w:lang w:val="en-GB"/>
        </w:rPr>
        <w:t> 14022/02, 12 </w:t>
      </w:r>
      <w:r w:rsidRPr="00BD212C" w:rsidR="009264FE">
        <w:rPr>
          <w:lang w:val="en-GB"/>
        </w:rPr>
        <w:t>November</w:t>
      </w:r>
      <w:r w:rsidRPr="00BD212C" w:rsidR="00D60F11">
        <w:rPr>
          <w:lang w:val="en-GB"/>
        </w:rPr>
        <w:t xml:space="preserve"> 2002</w:t>
      </w:r>
      <w:r w:rsidRPr="00BD212C" w:rsidR="009264FE">
        <w:rPr>
          <w:lang w:val="en-GB"/>
        </w:rPr>
        <w:t>;</w:t>
      </w:r>
      <w:r w:rsidRPr="00BD212C" w:rsidR="00D60F11">
        <w:rPr>
          <w:lang w:val="en-GB"/>
        </w:rPr>
        <w:t xml:space="preserve"> </w:t>
      </w:r>
      <w:r w:rsidRPr="00BD212C" w:rsidR="00D60F11">
        <w:rPr>
          <w:i/>
          <w:lang w:val="en-GB"/>
        </w:rPr>
        <w:t xml:space="preserve">Kumar </w:t>
      </w:r>
      <w:r w:rsidRPr="00BD212C" w:rsidR="009264FE">
        <w:rPr>
          <w:i/>
          <w:lang w:val="en-GB"/>
        </w:rPr>
        <w:t>and</w:t>
      </w:r>
      <w:r w:rsidRPr="00BD212C" w:rsidR="00D60F11">
        <w:rPr>
          <w:i/>
          <w:lang w:val="en-GB"/>
        </w:rPr>
        <w:t xml:space="preserve"> Seewoochurn </w:t>
      </w:r>
      <w:r w:rsidRPr="00BD212C" w:rsidR="009264FE">
        <w:rPr>
          <w:i/>
          <w:lang w:val="en-GB"/>
        </w:rPr>
        <w:t>v</w:t>
      </w:r>
      <w:r w:rsidRPr="00BD212C" w:rsidR="00D60F11">
        <w:rPr>
          <w:i/>
          <w:lang w:val="en-GB"/>
        </w:rPr>
        <w:t>. France</w:t>
      </w:r>
      <w:r w:rsidRPr="00BD212C" w:rsidR="009264FE">
        <w:rPr>
          <w:lang w:val="en-GB"/>
        </w:rPr>
        <w:t xml:space="preserve"> (de</w:t>
      </w:r>
      <w:r w:rsidRPr="00BD212C" w:rsidR="00D60F11">
        <w:rPr>
          <w:lang w:val="en-GB"/>
        </w:rPr>
        <w:t xml:space="preserve">c.), </w:t>
      </w:r>
      <w:r w:rsidRPr="00BD212C" w:rsidR="009264FE">
        <w:rPr>
          <w:lang w:val="en-GB"/>
        </w:rPr>
        <w:t>nos.</w:t>
      </w:r>
      <w:r w:rsidRPr="00BD212C" w:rsidR="00D60F11">
        <w:rPr>
          <w:lang w:val="en-GB"/>
        </w:rPr>
        <w:t xml:space="preserve"> 1892/06 </w:t>
      </w:r>
      <w:r w:rsidRPr="00BD212C" w:rsidR="009264FE">
        <w:rPr>
          <w:lang w:val="en-GB"/>
        </w:rPr>
        <w:t>and</w:t>
      </w:r>
      <w:r w:rsidRPr="00BD212C" w:rsidR="00D60F11">
        <w:rPr>
          <w:lang w:val="en-GB"/>
        </w:rPr>
        <w:t xml:space="preserve"> 1908/06, 17 </w:t>
      </w:r>
      <w:r w:rsidRPr="00BD212C" w:rsidR="009264FE">
        <w:rPr>
          <w:lang w:val="en-GB"/>
        </w:rPr>
        <w:t>June 2008;</w:t>
      </w:r>
      <w:r w:rsidRPr="00BD212C" w:rsidR="00D60F11">
        <w:rPr>
          <w:lang w:val="en-GB"/>
        </w:rPr>
        <w:t xml:space="preserve"> </w:t>
      </w:r>
      <w:r w:rsidRPr="00BD212C" w:rsidR="00D37405">
        <w:rPr>
          <w:lang w:val="en-GB"/>
        </w:rPr>
        <w:t>and</w:t>
      </w:r>
      <w:r w:rsidRPr="00BD212C" w:rsidR="00D60F11">
        <w:rPr>
          <w:lang w:val="en-GB"/>
        </w:rPr>
        <w:t xml:space="preserve"> </w:t>
      </w:r>
      <w:r w:rsidRPr="00BD212C" w:rsidR="00D60F11">
        <w:rPr>
          <w:i/>
          <w:lang w:val="en-GB"/>
        </w:rPr>
        <w:t xml:space="preserve">Baltaji </w:t>
      </w:r>
      <w:r w:rsidRPr="00BD212C" w:rsidR="009264FE">
        <w:rPr>
          <w:i/>
          <w:lang w:val="en-GB"/>
        </w:rPr>
        <w:t>v</w:t>
      </w:r>
      <w:r w:rsidRPr="00BD212C" w:rsidR="00D60F11">
        <w:rPr>
          <w:i/>
          <w:lang w:val="en-GB"/>
        </w:rPr>
        <w:t>. Bulgari</w:t>
      </w:r>
      <w:r w:rsidRPr="00BD212C" w:rsidR="009264FE">
        <w:rPr>
          <w:i/>
          <w:lang w:val="en-GB"/>
        </w:rPr>
        <w:t>a</w:t>
      </w:r>
      <w:r w:rsidRPr="00BD212C" w:rsidR="00D60F11">
        <w:rPr>
          <w:lang w:val="en-GB"/>
        </w:rPr>
        <w:t xml:space="preserve">, </w:t>
      </w:r>
      <w:r w:rsidRPr="00BD212C" w:rsidR="009264FE">
        <w:rPr>
          <w:lang w:val="en-GB"/>
        </w:rPr>
        <w:t>no.</w:t>
      </w:r>
      <w:r w:rsidRPr="00BD212C" w:rsidR="00D60F11">
        <w:rPr>
          <w:lang w:val="en-GB"/>
        </w:rPr>
        <w:t xml:space="preserve"> 12919/04</w:t>
      </w:r>
      <w:r w:rsidRPr="00BD212C" w:rsidR="00D60F11">
        <w:rPr>
          <w:snapToGrid w:val="0"/>
          <w:szCs w:val="24"/>
          <w:lang w:val="en-GB"/>
        </w:rPr>
        <w:t xml:space="preserve">, § 30, 12 </w:t>
      </w:r>
      <w:r w:rsidRPr="00BD212C" w:rsidR="009264FE">
        <w:rPr>
          <w:szCs w:val="24"/>
          <w:lang w:val="en-GB"/>
        </w:rPr>
        <w:t>July</w:t>
      </w:r>
      <w:r w:rsidRPr="00BD212C" w:rsidR="00D60F11">
        <w:rPr>
          <w:snapToGrid w:val="0"/>
          <w:szCs w:val="24"/>
          <w:lang w:val="en-GB"/>
        </w:rPr>
        <w:t xml:space="preserve"> 2011</w:t>
      </w:r>
      <w:r w:rsidRPr="00BD212C" w:rsidR="00D60F11">
        <w:rPr>
          <w:lang w:val="en-GB"/>
        </w:rPr>
        <w:t xml:space="preserve">). </w:t>
      </w:r>
      <w:r w:rsidRPr="00BD212C" w:rsidR="007714BF">
        <w:t xml:space="preserve">Nevertheless, the decisions taken by States in the immigration sphere can in some cases amount to interference with the right to respect for private and family life secured by Article 8 of the Convention, in particular where the persons concerned possess strong personal or family ties in the host country which are liable to be seriously affected by the measure in question </w:t>
      </w:r>
      <w:r w:rsidRPr="00BD212C" w:rsidR="00D60F11">
        <w:rPr>
          <w:lang w:val="en-GB"/>
        </w:rPr>
        <w:t>(</w:t>
      </w:r>
      <w:r w:rsidRPr="00BD212C" w:rsidR="007714BF">
        <w:rPr>
          <w:lang w:val="en-GB"/>
        </w:rPr>
        <w:t>see</w:t>
      </w:r>
      <w:r w:rsidRPr="00BD212C" w:rsidR="00D60F11">
        <w:rPr>
          <w:lang w:val="en-GB"/>
        </w:rPr>
        <w:t xml:space="preserve">, </w:t>
      </w:r>
      <w:r w:rsidRPr="00BD212C" w:rsidR="007714BF">
        <w:rPr>
          <w:lang w:val="en-GB"/>
        </w:rPr>
        <w:t>for</w:t>
      </w:r>
      <w:r w:rsidRPr="00BD212C" w:rsidR="00D60F11">
        <w:rPr>
          <w:lang w:val="en-GB"/>
        </w:rPr>
        <w:t xml:space="preserve"> ex</w:t>
      </w:r>
      <w:r w:rsidRPr="00BD212C" w:rsidR="007714BF">
        <w:rPr>
          <w:lang w:val="en-GB"/>
        </w:rPr>
        <w:t>a</w:t>
      </w:r>
      <w:r w:rsidRPr="00BD212C" w:rsidR="00D60F11">
        <w:rPr>
          <w:lang w:val="en-GB"/>
        </w:rPr>
        <w:t>mple</w:t>
      </w:r>
      <w:r w:rsidRPr="00BD212C" w:rsidR="00D60F11">
        <w:rPr>
          <w:i/>
          <w:lang w:val="en-GB"/>
        </w:rPr>
        <w:t xml:space="preserve">, </w:t>
      </w:r>
      <w:r w:rsidRPr="00BD212C" w:rsidR="000E3381">
        <w:rPr>
          <w:i/>
          <w:lang w:val="en-GB"/>
        </w:rPr>
        <w:t>Moustaquim v. Belgium</w:t>
      </w:r>
      <w:r w:rsidRPr="00BD212C" w:rsidR="000E3381">
        <w:rPr>
          <w:lang w:val="en-GB"/>
        </w:rPr>
        <w:t>, 18 February 1991, § 36, Series A no. 193;</w:t>
      </w:r>
      <w:r w:rsidRPr="00BD212C" w:rsidR="00D60F11">
        <w:rPr>
          <w:lang w:val="en-GB"/>
        </w:rPr>
        <w:t xml:space="preserve"> </w:t>
      </w:r>
      <w:r w:rsidRPr="00BD212C" w:rsidR="000E3381">
        <w:rPr>
          <w:i/>
          <w:lang w:val="en-GB"/>
        </w:rPr>
        <w:t>Dalia v. France</w:t>
      </w:r>
      <w:r w:rsidRPr="00BD212C" w:rsidR="000E3381">
        <w:rPr>
          <w:lang w:val="en-GB"/>
        </w:rPr>
        <w:t xml:space="preserve">, 19 February 1998, § 52, </w:t>
      </w:r>
      <w:r w:rsidRPr="00BD212C" w:rsidR="000E3381">
        <w:rPr>
          <w:i/>
          <w:lang w:val="en-GB"/>
        </w:rPr>
        <w:t>Reports of Judgments and Decisions</w:t>
      </w:r>
      <w:r w:rsidRPr="00BD212C" w:rsidR="000E3381">
        <w:rPr>
          <w:lang w:val="en-GB"/>
        </w:rPr>
        <w:t xml:space="preserve"> 1998</w:t>
      </w:r>
      <w:r w:rsidRPr="00BD212C" w:rsidR="000E3381">
        <w:rPr>
          <w:lang w:val="en-GB"/>
        </w:rPr>
        <w:noBreakHyphen/>
        <w:t>I;</w:t>
      </w:r>
      <w:r w:rsidRPr="00BD212C" w:rsidR="00D60F11">
        <w:rPr>
          <w:lang w:val="en-GB"/>
        </w:rPr>
        <w:t xml:space="preserve"> </w:t>
      </w:r>
      <w:r w:rsidRPr="00BD212C" w:rsidR="000E3381">
        <w:rPr>
          <w:lang w:val="en-GB"/>
        </w:rPr>
        <w:t>and</w:t>
      </w:r>
      <w:r w:rsidRPr="00BD212C" w:rsidR="00D60F11">
        <w:rPr>
          <w:lang w:val="en-GB"/>
        </w:rPr>
        <w:t xml:space="preserve"> </w:t>
      </w:r>
      <w:r w:rsidRPr="00BD212C" w:rsidR="000E3381">
        <w:rPr>
          <w:i/>
          <w:lang w:val="en-GB"/>
        </w:rPr>
        <w:t>Hamidovic v. Italy</w:t>
      </w:r>
      <w:r w:rsidRPr="00BD212C" w:rsidR="000E3381">
        <w:rPr>
          <w:lang w:val="en-GB"/>
        </w:rPr>
        <w:t>, no. 31956/05</w:t>
      </w:r>
      <w:r w:rsidRPr="00BD212C" w:rsidR="000E3381">
        <w:rPr>
          <w:snapToGrid w:val="0"/>
          <w:lang w:val="en-GB"/>
        </w:rPr>
        <w:t>, § 37, 4 December 201</w:t>
      </w:r>
      <w:r w:rsidRPr="00BD212C" w:rsidR="00D60F11">
        <w:rPr>
          <w:lang w:val="en-GB"/>
        </w:rPr>
        <w:t>2).</w:t>
      </w:r>
    </w:p>
    <w:p w:rsidRPr="00BD212C" w:rsidR="00D60F11" w:rsidP="00BD212C" w:rsidRDefault="00BD212C">
      <w:pPr>
        <w:pStyle w:val="ECHRPara"/>
      </w:pPr>
      <w:fldSimple w:instr=" SEQ level0 \*arabic ">
        <w:r w:rsidRPr="00BD212C">
          <w:rPr>
            <w:noProof/>
          </w:rPr>
          <w:t>57</w:t>
        </w:r>
      </w:fldSimple>
      <w:r w:rsidRPr="00BD212C" w:rsidR="00D60F11">
        <w:t>.  </w:t>
      </w:r>
      <w:r w:rsidRPr="00BD212C" w:rsidR="007714BF">
        <w:rPr>
          <w:lang w:val="en-GB"/>
        </w:rPr>
        <w:t>In the instant case the</w:t>
      </w:r>
      <w:r w:rsidRPr="00BD212C" w:rsidR="00D60F11">
        <w:rPr>
          <w:lang w:val="en-GB"/>
        </w:rPr>
        <w:t xml:space="preserve"> Cour</w:t>
      </w:r>
      <w:r w:rsidRPr="00BD212C" w:rsidR="007714BF">
        <w:rPr>
          <w:lang w:val="en-GB"/>
        </w:rPr>
        <w:t>t</w:t>
      </w:r>
      <w:r w:rsidRPr="00BD212C" w:rsidR="00D60F11">
        <w:rPr>
          <w:lang w:val="en-GB"/>
        </w:rPr>
        <w:t xml:space="preserve"> note</w:t>
      </w:r>
      <w:r w:rsidRPr="00BD212C" w:rsidR="007714BF">
        <w:rPr>
          <w:lang w:val="en-GB"/>
        </w:rPr>
        <w:t>s that the applic</w:t>
      </w:r>
      <w:r w:rsidRPr="00BD212C" w:rsidR="00D60F11">
        <w:rPr>
          <w:lang w:val="en-GB"/>
        </w:rPr>
        <w:t xml:space="preserve">ants, </w:t>
      </w:r>
      <w:r w:rsidRPr="00BD212C" w:rsidR="007714BF">
        <w:rPr>
          <w:lang w:val="en-GB"/>
        </w:rPr>
        <w:t>who have formed a same-sex</w:t>
      </w:r>
      <w:r w:rsidRPr="00BD212C" w:rsidR="00D60F11">
        <w:rPr>
          <w:lang w:val="en-GB"/>
        </w:rPr>
        <w:t xml:space="preserve"> couple </w:t>
      </w:r>
      <w:r w:rsidRPr="00BD212C" w:rsidR="007714BF">
        <w:rPr>
          <w:lang w:val="en-GB"/>
        </w:rPr>
        <w:t>since</w:t>
      </w:r>
      <w:r w:rsidRPr="00BD212C" w:rsidR="00D60F11">
        <w:rPr>
          <w:lang w:val="en-GB"/>
        </w:rPr>
        <w:t xml:space="preserve"> 1999, </w:t>
      </w:r>
      <w:r w:rsidRPr="00BD212C" w:rsidR="007714BF">
        <w:rPr>
          <w:lang w:val="en-GB"/>
        </w:rPr>
        <w:t>settled in Italy in De</w:t>
      </w:r>
      <w:r w:rsidRPr="00BD212C" w:rsidR="00D60F11">
        <w:rPr>
          <w:lang w:val="en-GB"/>
        </w:rPr>
        <w:t>cemb</w:t>
      </w:r>
      <w:r w:rsidRPr="00BD212C" w:rsidR="007714BF">
        <w:rPr>
          <w:lang w:val="en-GB"/>
        </w:rPr>
        <w:t>er</w:t>
      </w:r>
      <w:r w:rsidRPr="00BD212C" w:rsidR="00D60F11">
        <w:rPr>
          <w:lang w:val="en-GB"/>
        </w:rPr>
        <w:t xml:space="preserve"> 2003 (</w:t>
      </w:r>
      <w:r w:rsidRPr="00BD212C" w:rsidR="007714BF">
        <w:rPr>
          <w:lang w:val="en-GB"/>
        </w:rPr>
        <w:t>see paragraph</w:t>
      </w:r>
      <w:r w:rsidRPr="00BD212C" w:rsidR="00D60F11">
        <w:rPr>
          <w:lang w:val="en-GB"/>
        </w:rPr>
        <w:t xml:space="preserve"> 8 </w:t>
      </w:r>
      <w:r w:rsidRPr="00BD212C" w:rsidR="007714BF">
        <w:rPr>
          <w:lang w:val="en-GB"/>
        </w:rPr>
        <w:t>above</w:t>
      </w:r>
      <w:r w:rsidRPr="00BD212C" w:rsidR="00D60F11">
        <w:rPr>
          <w:lang w:val="en-GB"/>
        </w:rPr>
        <w:t xml:space="preserve">). </w:t>
      </w:r>
      <w:r w:rsidRPr="00BD212C" w:rsidR="00FC3336">
        <w:t>The second applic</w:t>
      </w:r>
      <w:r w:rsidRPr="00BD212C" w:rsidR="00D60F11">
        <w:t xml:space="preserve">ant </w:t>
      </w:r>
      <w:r w:rsidRPr="00BD212C" w:rsidR="00FC3336">
        <w:t>was initially able to reside in Italy on the basis of a student</w:t>
      </w:r>
      <w:r w:rsidRPr="00BD212C">
        <w:t>’</w:t>
      </w:r>
      <w:r w:rsidRPr="00BD212C" w:rsidR="00FC3336">
        <w:t>s temporary residence permi</w:t>
      </w:r>
      <w:r w:rsidRPr="00BD212C" w:rsidR="00D60F11">
        <w:t>t (</w:t>
      </w:r>
      <w:r w:rsidRPr="00BD212C" w:rsidR="00FC3336">
        <w:t xml:space="preserve">see </w:t>
      </w:r>
      <w:r w:rsidRPr="00BD212C" w:rsidR="00D60F11">
        <w:t>paragraph 9</w:t>
      </w:r>
      <w:r w:rsidRPr="00BD212C" w:rsidR="00FC3336">
        <w:t xml:space="preserve"> above</w:t>
      </w:r>
      <w:r w:rsidRPr="00BD212C" w:rsidR="00D60F11">
        <w:t xml:space="preserve">). </w:t>
      </w:r>
      <w:r w:rsidRPr="00BD212C" w:rsidR="00FC3336">
        <w:t>When</w:t>
      </w:r>
      <w:r w:rsidRPr="00BD212C" w:rsidR="00D60F11">
        <w:t>,</w:t>
      </w:r>
      <w:r w:rsidRPr="00BD212C" w:rsidR="00FC3336">
        <w:t xml:space="preserve"> on 18 O</w:t>
      </w:r>
      <w:r w:rsidRPr="00BD212C" w:rsidR="00D60F11">
        <w:t>ctob</w:t>
      </w:r>
      <w:r w:rsidRPr="00BD212C" w:rsidR="00FC3336">
        <w:t>er</w:t>
      </w:r>
      <w:r w:rsidRPr="00BD212C" w:rsidR="00D60F11">
        <w:t xml:space="preserve"> 2004, </w:t>
      </w:r>
      <w:r w:rsidRPr="00BD212C" w:rsidR="00FC3336">
        <w:t xml:space="preserve">the Livorno </w:t>
      </w:r>
      <w:r w:rsidRPr="00BD212C" w:rsidR="007246BC">
        <w:t>chief</w:t>
      </w:r>
      <w:r w:rsidRPr="00BD212C" w:rsidR="00FC3336">
        <w:t xml:space="preserve"> of</w:t>
      </w:r>
      <w:r w:rsidRPr="00BD212C" w:rsidR="00D60F11">
        <w:t xml:space="preserve"> police refus</w:t>
      </w:r>
      <w:r w:rsidRPr="00BD212C" w:rsidR="00FC3336">
        <w:t xml:space="preserve">ed to </w:t>
      </w:r>
      <w:r w:rsidRPr="00BD212C" w:rsidR="00CD29C3">
        <w:t xml:space="preserve">grant </w:t>
      </w:r>
      <w:r w:rsidRPr="00BD212C" w:rsidR="004F6BEA">
        <w:t>the</w:t>
      </w:r>
      <w:r w:rsidRPr="00BD212C" w:rsidR="00FC3336">
        <w:t xml:space="preserve"> residence permit</w:t>
      </w:r>
      <w:r w:rsidRPr="00BD212C" w:rsidR="004F6BEA">
        <w:t xml:space="preserve"> sought by </w:t>
      </w:r>
      <w:r w:rsidRPr="00BD212C" w:rsidR="00CD29C3">
        <w:t>him</w:t>
      </w:r>
      <w:r w:rsidRPr="00BD212C" w:rsidR="00FC3336">
        <w:t xml:space="preserve"> for family reasons</w:t>
      </w:r>
      <w:r w:rsidRPr="00BD212C" w:rsidR="00D60F11">
        <w:t xml:space="preserve"> (</w:t>
      </w:r>
      <w:r w:rsidRPr="00BD212C" w:rsidR="00FC3336">
        <w:t>see paragraph</w:t>
      </w:r>
      <w:r w:rsidRPr="00BD212C" w:rsidR="00D60F11">
        <w:t> 10</w:t>
      </w:r>
      <w:r w:rsidRPr="00BD212C" w:rsidR="00FC3336">
        <w:t xml:space="preserve"> above</w:t>
      </w:r>
      <w:r w:rsidRPr="00BD212C" w:rsidR="00D60F11">
        <w:t xml:space="preserve">), </w:t>
      </w:r>
      <w:r w:rsidRPr="00BD212C" w:rsidR="00FC3336">
        <w:t>the applicants had already been living together in Italy for approximately ten months</w:t>
      </w:r>
      <w:r w:rsidRPr="00BD212C" w:rsidR="00D60F11">
        <w:t>.</w:t>
      </w:r>
    </w:p>
    <w:p w:rsidRPr="00BD212C" w:rsidR="00B20CCB" w:rsidP="00BD212C" w:rsidRDefault="00D60F11">
      <w:pPr>
        <w:pStyle w:val="ECHRPara"/>
        <w:rPr>
          <w:i/>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58</w:t>
      </w:r>
      <w:r w:rsidRPr="00BD212C">
        <w:rPr>
          <w:lang w:val="fr-FR"/>
        </w:rPr>
        <w:fldChar w:fldCharType="end"/>
      </w:r>
      <w:r w:rsidRPr="00BD212C">
        <w:rPr>
          <w:lang w:val="en-GB"/>
        </w:rPr>
        <w:t>.  </w:t>
      </w:r>
      <w:r w:rsidRPr="00BD212C" w:rsidR="00A95392">
        <w:rPr>
          <w:lang w:val="en-GB"/>
        </w:rPr>
        <w:t>The</w:t>
      </w:r>
      <w:r w:rsidRPr="00BD212C" w:rsidR="00B20CCB">
        <w:rPr>
          <w:lang w:val="en-GB"/>
        </w:rPr>
        <w:t xml:space="preserve"> Cour</w:t>
      </w:r>
      <w:r w:rsidRPr="00BD212C" w:rsidR="00A95392">
        <w:rPr>
          <w:lang w:val="en-GB"/>
        </w:rPr>
        <w:t>t observe</w:t>
      </w:r>
      <w:r w:rsidRPr="00BD212C" w:rsidR="00655A2B">
        <w:rPr>
          <w:lang w:val="en-GB"/>
        </w:rPr>
        <w:t>s</w:t>
      </w:r>
      <w:r w:rsidRPr="00BD212C" w:rsidR="00A95392">
        <w:rPr>
          <w:lang w:val="en-GB"/>
        </w:rPr>
        <w:t xml:space="preserve"> that in</w:t>
      </w:r>
      <w:r w:rsidRPr="00BD212C" w:rsidR="00B20CCB">
        <w:rPr>
          <w:lang w:val="en-GB"/>
        </w:rPr>
        <w:t xml:space="preserve"> </w:t>
      </w:r>
      <w:r w:rsidRPr="00BD212C" w:rsidR="00B20CCB">
        <w:rPr>
          <w:i/>
          <w:lang w:val="en-GB"/>
        </w:rPr>
        <w:t xml:space="preserve">Schalk </w:t>
      </w:r>
      <w:r w:rsidRPr="00BD212C" w:rsidR="00A95392">
        <w:rPr>
          <w:i/>
          <w:lang w:val="en-GB"/>
        </w:rPr>
        <w:t>and</w:t>
      </w:r>
      <w:r w:rsidRPr="00BD212C" w:rsidR="00B20CCB">
        <w:rPr>
          <w:i/>
          <w:lang w:val="en-GB"/>
        </w:rPr>
        <w:t xml:space="preserve"> Kopf </w:t>
      </w:r>
      <w:r w:rsidRPr="00BD212C" w:rsidR="00B20CCB">
        <w:rPr>
          <w:lang w:val="en-GB"/>
        </w:rPr>
        <w:t>(</w:t>
      </w:r>
      <w:r w:rsidRPr="00BD212C" w:rsidR="00A95392">
        <w:rPr>
          <w:lang w:val="en-GB"/>
        </w:rPr>
        <w:t>cited above</w:t>
      </w:r>
      <w:r w:rsidRPr="00BD212C" w:rsidR="00B20CCB">
        <w:rPr>
          <w:lang w:val="en-GB"/>
        </w:rPr>
        <w:t xml:space="preserve">, § 94), </w:t>
      </w:r>
      <w:r w:rsidRPr="00BD212C" w:rsidR="00A95392">
        <w:rPr>
          <w:lang w:val="en-GB"/>
        </w:rPr>
        <w:t>it had held that</w:t>
      </w:r>
      <w:r w:rsidRPr="00BD212C" w:rsidR="007D0193">
        <w:rPr>
          <w:lang w:val="en-GB"/>
        </w:rPr>
        <w:t xml:space="preserve"> it was artificial</w:t>
      </w:r>
      <w:r w:rsidRPr="00BD212C" w:rsidR="00A95392">
        <w:rPr>
          <w:lang w:val="en-GB"/>
        </w:rPr>
        <w:t xml:space="preserve"> </w:t>
      </w:r>
      <w:r w:rsidRPr="00BD212C" w:rsidR="007D0193">
        <w:t xml:space="preserve">to maintain the view that, in contrast to a </w:t>
      </w:r>
      <w:r w:rsidRPr="00BD212C" w:rsidR="007246BC">
        <w:t>opposite</w:t>
      </w:r>
      <w:r w:rsidRPr="00BD212C" w:rsidR="007D0193">
        <w:t xml:space="preserve">-sex couple, a same-sex couple could not enjoy “family life” for the purposes of Article 8. </w:t>
      </w:r>
      <w:r w:rsidRPr="00BD212C" w:rsidR="007D0193">
        <w:rPr>
          <w:lang w:val="en-GB"/>
        </w:rPr>
        <w:t xml:space="preserve">Consequently, the relationship of Mr </w:t>
      </w:r>
      <w:r w:rsidRPr="00BD212C" w:rsidR="00B20CCB">
        <w:rPr>
          <w:lang w:val="en-GB"/>
        </w:rPr>
        <w:t xml:space="preserve">Schalk </w:t>
      </w:r>
      <w:r w:rsidRPr="00BD212C" w:rsidR="007D0193">
        <w:rPr>
          <w:lang w:val="en-GB"/>
        </w:rPr>
        <w:t>and Mr</w:t>
      </w:r>
      <w:r w:rsidRPr="00BD212C" w:rsidR="00B20CCB">
        <w:rPr>
          <w:lang w:val="en-GB"/>
        </w:rPr>
        <w:t xml:space="preserve"> Kopf, </w:t>
      </w:r>
      <w:r w:rsidRPr="00BD212C" w:rsidR="007D0193">
        <w:t xml:space="preserve">a cohabiting same-sex couple living in a stable </w:t>
      </w:r>
      <w:r w:rsidRPr="00BD212C" w:rsidR="007D0193">
        <w:rPr>
          <w:i/>
        </w:rPr>
        <w:t>de facto</w:t>
      </w:r>
      <w:r w:rsidRPr="00BD212C" w:rsidR="007D0193">
        <w:t xml:space="preserve"> partnership, fell within the notion of “family life”, just as the relationship of a</w:t>
      </w:r>
      <w:r w:rsidRPr="00BD212C" w:rsidR="007246BC">
        <w:t>n opposite</w:t>
      </w:r>
      <w:r w:rsidRPr="00BD212C" w:rsidR="007D0193">
        <w:t>-sex couple in the same situation would</w:t>
      </w:r>
      <w:r w:rsidRPr="00BD212C" w:rsidR="007D0193">
        <w:rPr>
          <w:lang w:val="en-GB"/>
        </w:rPr>
        <w:t xml:space="preserve"> </w:t>
      </w:r>
      <w:r w:rsidRPr="00BD212C" w:rsidR="00B20CCB">
        <w:rPr>
          <w:lang w:val="en-GB"/>
        </w:rPr>
        <w:t>(</w:t>
      </w:r>
      <w:r w:rsidRPr="00BD212C" w:rsidR="007D0193">
        <w:rPr>
          <w:lang w:val="en-GB"/>
        </w:rPr>
        <w:t>see</w:t>
      </w:r>
      <w:r w:rsidRPr="00BD212C" w:rsidR="00B20CCB">
        <w:rPr>
          <w:lang w:val="en-GB"/>
        </w:rPr>
        <w:t xml:space="preserve"> </w:t>
      </w:r>
      <w:r w:rsidRPr="00BD212C" w:rsidR="007D0193">
        <w:rPr>
          <w:lang w:val="en-GB"/>
        </w:rPr>
        <w:t>also</w:t>
      </w:r>
      <w:r w:rsidRPr="00BD212C" w:rsidR="00B20CCB">
        <w:rPr>
          <w:lang w:val="en-GB"/>
        </w:rPr>
        <w:t xml:space="preserve"> </w:t>
      </w:r>
      <w:r w:rsidRPr="00BD212C" w:rsidR="007D0193">
        <w:rPr>
          <w:i/>
          <w:lang w:val="en-GB"/>
        </w:rPr>
        <w:t xml:space="preserve">X and Others v. Austria </w:t>
      </w:r>
      <w:r w:rsidRPr="00BD212C" w:rsidR="007D0193">
        <w:rPr>
          <w:lang w:val="en-GB"/>
        </w:rPr>
        <w:t>[GC], no. 19010/07</w:t>
      </w:r>
      <w:r w:rsidRPr="00BD212C" w:rsidR="007D0193">
        <w:rPr>
          <w:snapToGrid w:val="0"/>
          <w:lang w:val="en-GB"/>
        </w:rPr>
        <w:t xml:space="preserve">, § 95, </w:t>
      </w:r>
      <w:r w:rsidRPr="00BD212C" w:rsidR="007D0193">
        <w:rPr>
          <w:lang w:val="en-GB"/>
        </w:rPr>
        <w:t>ECHR 201</w:t>
      </w:r>
      <w:r w:rsidRPr="00BD212C" w:rsidR="00B20CCB">
        <w:rPr>
          <w:lang w:val="en-GB"/>
        </w:rPr>
        <w:t xml:space="preserve">3). </w:t>
      </w:r>
      <w:r w:rsidRPr="00BD212C" w:rsidR="007D0193">
        <w:t>It sees no reason to reach different conclusions regarding the applicants in the present cas</w:t>
      </w:r>
      <w:r w:rsidRPr="00BD212C" w:rsidR="00B20CCB">
        <w:rPr>
          <w:lang w:val="en-GB"/>
        </w:rPr>
        <w:t>e.</w:t>
      </w:r>
    </w:p>
    <w:p w:rsidRPr="00BD212C" w:rsidR="00B20CCB" w:rsidP="00BD212C" w:rsidRDefault="00B20CCB">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59</w:t>
      </w:r>
      <w:r w:rsidRPr="00BD212C">
        <w:rPr>
          <w:lang w:val="fr-FR"/>
        </w:rPr>
        <w:fldChar w:fldCharType="end"/>
      </w:r>
      <w:r w:rsidRPr="00BD212C">
        <w:rPr>
          <w:lang w:val="en-GB"/>
        </w:rPr>
        <w:t>.  </w:t>
      </w:r>
      <w:r w:rsidRPr="00BD212C" w:rsidR="00655A2B">
        <w:rPr>
          <w:lang w:val="en-GB"/>
        </w:rPr>
        <w:t>It notes, further, that the Govern</w:t>
      </w:r>
      <w:r w:rsidRPr="00BD212C">
        <w:rPr>
          <w:lang w:val="en-GB"/>
        </w:rPr>
        <w:t xml:space="preserve">ment </w:t>
      </w:r>
      <w:r w:rsidRPr="00BD212C" w:rsidR="00655A2B">
        <w:rPr>
          <w:lang w:val="en-GB"/>
        </w:rPr>
        <w:t>did not dispute that the refusal to grant the second applicant a residence</w:t>
      </w:r>
      <w:r w:rsidRPr="00BD212C">
        <w:rPr>
          <w:lang w:val="en-GB"/>
        </w:rPr>
        <w:t xml:space="preserve"> permi</w:t>
      </w:r>
      <w:r w:rsidRPr="00BD212C" w:rsidR="00655A2B">
        <w:rPr>
          <w:lang w:val="en-GB"/>
        </w:rPr>
        <w:t>t</w:t>
      </w:r>
      <w:r w:rsidRPr="00BD212C">
        <w:rPr>
          <w:lang w:val="en-GB"/>
        </w:rPr>
        <w:t xml:space="preserve">, </w:t>
      </w:r>
      <w:r w:rsidRPr="00BD212C" w:rsidR="00655A2B">
        <w:rPr>
          <w:lang w:val="en-GB"/>
        </w:rPr>
        <w:t xml:space="preserve">a decision upheld by the </w:t>
      </w:r>
      <w:r w:rsidRPr="00BD212C">
        <w:rPr>
          <w:lang w:val="en-GB"/>
        </w:rPr>
        <w:t>Cour</w:t>
      </w:r>
      <w:r w:rsidRPr="00BD212C" w:rsidR="00655A2B">
        <w:rPr>
          <w:lang w:val="en-GB"/>
        </w:rPr>
        <w:t>t of C</w:t>
      </w:r>
      <w:r w:rsidRPr="00BD212C">
        <w:rPr>
          <w:lang w:val="en-GB"/>
        </w:rPr>
        <w:t xml:space="preserve">assation, </w:t>
      </w:r>
      <w:r w:rsidRPr="00BD212C" w:rsidR="00655A2B">
        <w:rPr>
          <w:lang w:val="en-GB"/>
        </w:rPr>
        <w:t xml:space="preserve">meant that he was legally </w:t>
      </w:r>
      <w:r w:rsidRPr="00BD212C">
        <w:rPr>
          <w:lang w:val="en-GB"/>
        </w:rPr>
        <w:t>oblig</w:t>
      </w:r>
      <w:r w:rsidRPr="00BD212C" w:rsidR="00655A2B">
        <w:rPr>
          <w:lang w:val="en-GB"/>
        </w:rPr>
        <w:t>ed to leave Italy</w:t>
      </w:r>
      <w:r w:rsidRPr="00BD212C">
        <w:rPr>
          <w:lang w:val="en-GB"/>
        </w:rPr>
        <w:t xml:space="preserve"> (</w:t>
      </w:r>
      <w:r w:rsidRPr="00BD212C" w:rsidR="00655A2B">
        <w:rPr>
          <w:lang w:val="en-GB"/>
        </w:rPr>
        <w:t xml:space="preserve">see </w:t>
      </w:r>
      <w:r w:rsidRPr="00BD212C">
        <w:rPr>
          <w:lang w:val="en-GB"/>
        </w:rPr>
        <w:t xml:space="preserve">paragraph 48 </w:t>
      </w:r>
      <w:r w:rsidRPr="00BD212C" w:rsidR="00CD29C3">
        <w:rPr>
          <w:lang w:val="en-GB"/>
        </w:rPr>
        <w:t>above</w:t>
      </w:r>
      <w:r w:rsidRPr="00BD212C">
        <w:rPr>
          <w:lang w:val="en-GB"/>
        </w:rPr>
        <w:t xml:space="preserve">). </w:t>
      </w:r>
      <w:r w:rsidRPr="00BD212C" w:rsidR="00655A2B">
        <w:rPr>
          <w:lang w:val="en-GB"/>
        </w:rPr>
        <w:t xml:space="preserve">That decision accordingly prevented the applicants from </w:t>
      </w:r>
      <w:r w:rsidRPr="00BD212C">
        <w:rPr>
          <w:lang w:val="en-GB"/>
        </w:rPr>
        <w:t>continu</w:t>
      </w:r>
      <w:r w:rsidRPr="00BD212C" w:rsidR="00655A2B">
        <w:rPr>
          <w:lang w:val="en-GB"/>
        </w:rPr>
        <w:t xml:space="preserve">ing to live together in that country and thus amounted to an interference with one of the essential </w:t>
      </w:r>
      <w:r w:rsidRPr="00BD212C" w:rsidR="00CD29C3">
        <w:rPr>
          <w:lang w:val="en-GB"/>
        </w:rPr>
        <w:t>aspects</w:t>
      </w:r>
      <w:r w:rsidRPr="00BD212C">
        <w:rPr>
          <w:lang w:val="en-GB"/>
        </w:rPr>
        <w:t xml:space="preserve"> </w:t>
      </w:r>
      <w:r w:rsidRPr="00BD212C" w:rsidR="00655A2B">
        <w:rPr>
          <w:lang w:val="en-GB"/>
        </w:rPr>
        <w:t xml:space="preserve">of their “family life” as they had </w:t>
      </w:r>
      <w:r w:rsidRPr="00BD212C" w:rsidR="00FC4B1B">
        <w:rPr>
          <w:lang w:val="en-GB"/>
        </w:rPr>
        <w:t xml:space="preserve">intended to </w:t>
      </w:r>
      <w:r w:rsidRPr="00BD212C">
        <w:rPr>
          <w:lang w:val="en-GB"/>
        </w:rPr>
        <w:t>organise</w:t>
      </w:r>
      <w:r w:rsidRPr="00BD212C" w:rsidR="00FC4B1B">
        <w:rPr>
          <w:lang w:val="en-GB"/>
        </w:rPr>
        <w:t xml:space="preserve"> it and thus with their righ</w:t>
      </w:r>
      <w:r w:rsidRPr="00BD212C">
        <w:rPr>
          <w:lang w:val="en-GB"/>
        </w:rPr>
        <w:t xml:space="preserve">t </w:t>
      </w:r>
      <w:r w:rsidRPr="00BD212C" w:rsidR="00516E38">
        <w:rPr>
          <w:lang w:val="en-GB"/>
        </w:rPr>
        <w:t>to</w:t>
      </w:r>
      <w:r w:rsidRPr="00BD212C">
        <w:rPr>
          <w:lang w:val="en-GB"/>
        </w:rPr>
        <w:t xml:space="preserve"> respect </w:t>
      </w:r>
      <w:r w:rsidRPr="00BD212C" w:rsidR="00516E38">
        <w:rPr>
          <w:lang w:val="en-GB"/>
        </w:rPr>
        <w:t>for family life as guaranteed by A</w:t>
      </w:r>
      <w:r w:rsidRPr="00BD212C">
        <w:rPr>
          <w:lang w:val="en-GB"/>
        </w:rPr>
        <w:t xml:space="preserve">rticle 8 </w:t>
      </w:r>
      <w:r w:rsidRPr="00BD212C" w:rsidR="00516E38">
        <w:rPr>
          <w:lang w:val="en-GB"/>
        </w:rPr>
        <w:t>of the</w:t>
      </w:r>
      <w:r w:rsidRPr="00BD212C">
        <w:rPr>
          <w:lang w:val="en-GB"/>
        </w:rPr>
        <w:t xml:space="preserve"> Convention.</w:t>
      </w:r>
    </w:p>
    <w:p w:rsidRPr="00BD212C" w:rsidR="00B20CCB" w:rsidP="00BD212C" w:rsidRDefault="00B20CCB">
      <w:pPr>
        <w:pStyle w:val="ECHRPara"/>
        <w:rPr>
          <w:lang w:val="es-ES"/>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60</w:t>
      </w:r>
      <w:r w:rsidRPr="00BD212C">
        <w:rPr>
          <w:lang w:val="fr-FR"/>
        </w:rPr>
        <w:fldChar w:fldCharType="end"/>
      </w:r>
      <w:r w:rsidRPr="00BD212C">
        <w:rPr>
          <w:lang w:val="en-GB"/>
        </w:rPr>
        <w:t>.  </w:t>
      </w:r>
      <w:r w:rsidRPr="00BD212C" w:rsidR="00516E38">
        <w:rPr>
          <w:lang w:val="en-GB"/>
        </w:rPr>
        <w:t>With regard to the</w:t>
      </w:r>
      <w:r w:rsidRPr="00BD212C">
        <w:rPr>
          <w:lang w:val="en-GB"/>
        </w:rPr>
        <w:t xml:space="preserve"> Go</w:t>
      </w:r>
      <w:r w:rsidRPr="00BD212C" w:rsidR="00516E38">
        <w:rPr>
          <w:lang w:val="en-GB"/>
        </w:rPr>
        <w:t>vernment</w:t>
      </w:r>
      <w:r w:rsidRPr="00BD212C" w:rsidR="00BD212C">
        <w:rPr>
          <w:lang w:val="en-GB"/>
        </w:rPr>
        <w:t>’</w:t>
      </w:r>
      <w:r w:rsidRPr="00BD212C" w:rsidR="00516E38">
        <w:rPr>
          <w:lang w:val="en-GB"/>
        </w:rPr>
        <w:t>s submission that A</w:t>
      </w:r>
      <w:r w:rsidRPr="00BD212C">
        <w:rPr>
          <w:lang w:val="en-GB"/>
        </w:rPr>
        <w:t xml:space="preserve">rticles 8 </w:t>
      </w:r>
      <w:r w:rsidRPr="00BD212C" w:rsidR="00516E38">
        <w:rPr>
          <w:lang w:val="en-GB"/>
        </w:rPr>
        <w:t>and</w:t>
      </w:r>
      <w:r w:rsidRPr="00BD212C">
        <w:rPr>
          <w:lang w:val="en-GB"/>
        </w:rPr>
        <w:t xml:space="preserve"> 14 </w:t>
      </w:r>
      <w:r w:rsidRPr="00BD212C" w:rsidR="00516E38">
        <w:rPr>
          <w:lang w:val="en-GB"/>
        </w:rPr>
        <w:t>of the</w:t>
      </w:r>
      <w:r w:rsidRPr="00BD212C">
        <w:rPr>
          <w:lang w:val="en-GB"/>
        </w:rPr>
        <w:t xml:space="preserve"> Convention </w:t>
      </w:r>
      <w:r w:rsidRPr="00BD212C" w:rsidR="00516E38">
        <w:rPr>
          <w:lang w:val="en-GB"/>
        </w:rPr>
        <w:t>were inapplicable</w:t>
      </w:r>
      <w:r w:rsidRPr="00BD212C">
        <w:rPr>
          <w:lang w:val="en-GB"/>
        </w:rPr>
        <w:t xml:space="preserve"> </w:t>
      </w:r>
      <w:r w:rsidRPr="00BD212C" w:rsidR="00516E38">
        <w:rPr>
          <w:lang w:val="en-GB"/>
        </w:rPr>
        <w:t>on account of non-fulfilment</w:t>
      </w:r>
      <w:r w:rsidRPr="00BD212C">
        <w:rPr>
          <w:lang w:val="en-GB"/>
        </w:rPr>
        <w:t xml:space="preserve">, </w:t>
      </w:r>
      <w:r w:rsidRPr="00BD212C" w:rsidR="00516E38">
        <w:rPr>
          <w:lang w:val="en-GB"/>
        </w:rPr>
        <w:t>both under Italian law and EU law</w:t>
      </w:r>
      <w:r w:rsidRPr="00BD212C">
        <w:rPr>
          <w:lang w:val="en-GB"/>
        </w:rPr>
        <w:t>,</w:t>
      </w:r>
      <w:r w:rsidRPr="00BD212C" w:rsidR="00516E38">
        <w:rPr>
          <w:lang w:val="en-GB"/>
        </w:rPr>
        <w:t xml:space="preserve"> of the statutory</w:t>
      </w:r>
      <w:r w:rsidRPr="00BD212C">
        <w:rPr>
          <w:lang w:val="en-GB"/>
        </w:rPr>
        <w:t xml:space="preserve"> conditions requi</w:t>
      </w:r>
      <w:r w:rsidRPr="00BD212C" w:rsidR="00516E38">
        <w:rPr>
          <w:lang w:val="en-GB"/>
        </w:rPr>
        <w:t>red for recognition of the second applic</w:t>
      </w:r>
      <w:r w:rsidRPr="00BD212C">
        <w:rPr>
          <w:lang w:val="en-GB"/>
        </w:rPr>
        <w:t xml:space="preserve">ant </w:t>
      </w:r>
      <w:r w:rsidRPr="00BD212C" w:rsidR="00516E38">
        <w:rPr>
          <w:lang w:val="en-GB"/>
        </w:rPr>
        <w:t>as a “family member”</w:t>
      </w:r>
      <w:r w:rsidRPr="00BD212C">
        <w:rPr>
          <w:lang w:val="en-GB"/>
        </w:rPr>
        <w:t xml:space="preserve"> (</w:t>
      </w:r>
      <w:r w:rsidRPr="00BD212C" w:rsidR="00516E38">
        <w:rPr>
          <w:lang w:val="en-GB"/>
        </w:rPr>
        <w:t xml:space="preserve">see </w:t>
      </w:r>
      <w:r w:rsidRPr="00BD212C">
        <w:rPr>
          <w:lang w:val="en-GB"/>
        </w:rPr>
        <w:t>paragraph</w:t>
      </w:r>
      <w:r w:rsidRPr="00BD212C" w:rsidR="00516E38">
        <w:rPr>
          <w:lang w:val="en-GB"/>
        </w:rPr>
        <w:t>s 44 to</w:t>
      </w:r>
      <w:r w:rsidRPr="00BD212C">
        <w:rPr>
          <w:lang w:val="en-GB"/>
        </w:rPr>
        <w:t xml:space="preserve"> </w:t>
      </w:r>
      <w:r w:rsidRPr="00BD212C">
        <w:rPr>
          <w:rFonts w:ascii="Times New Roman" w:hAnsi="Times New Roman" w:cs="Times New Roman"/>
          <w:szCs w:val="24"/>
          <w:lang w:val="en-GB" w:eastAsia="en-GB"/>
        </w:rPr>
        <w:t>47</w:t>
      </w:r>
      <w:r w:rsidRPr="00BD212C">
        <w:rPr>
          <w:lang w:val="en-GB"/>
        </w:rPr>
        <w:t xml:space="preserve"> </w:t>
      </w:r>
      <w:r w:rsidRPr="00BD212C" w:rsidR="00516E38">
        <w:rPr>
          <w:lang w:val="en-GB"/>
        </w:rPr>
        <w:t>above</w:t>
      </w:r>
      <w:r w:rsidRPr="00BD212C">
        <w:rPr>
          <w:lang w:val="en-GB"/>
        </w:rPr>
        <w:t>),</w:t>
      </w:r>
      <w:r w:rsidRPr="00BD212C" w:rsidR="00516E38">
        <w:rPr>
          <w:lang w:val="en-GB"/>
        </w:rPr>
        <w:t xml:space="preserve"> the</w:t>
      </w:r>
      <w:r w:rsidRPr="00BD212C">
        <w:rPr>
          <w:lang w:val="en-GB"/>
        </w:rPr>
        <w:t xml:space="preserve"> Cour</w:t>
      </w:r>
      <w:r w:rsidRPr="00BD212C" w:rsidR="00516E38">
        <w:rPr>
          <w:lang w:val="en-GB"/>
        </w:rPr>
        <w:t>t</w:t>
      </w:r>
      <w:r w:rsidRPr="00BD212C">
        <w:rPr>
          <w:lang w:val="en-GB"/>
        </w:rPr>
        <w:t xml:space="preserve"> observe</w:t>
      </w:r>
      <w:r w:rsidRPr="00BD212C" w:rsidR="00516E38">
        <w:rPr>
          <w:lang w:val="en-GB"/>
        </w:rPr>
        <w:t xml:space="preserve">s that the possible </w:t>
      </w:r>
      <w:r w:rsidRPr="00BD212C">
        <w:rPr>
          <w:lang w:val="en-GB"/>
        </w:rPr>
        <w:t xml:space="preserve">existence </w:t>
      </w:r>
      <w:r w:rsidRPr="00BD212C" w:rsidR="00516E38">
        <w:rPr>
          <w:lang w:val="en-GB"/>
        </w:rPr>
        <w:t>of a legal basis</w:t>
      </w:r>
      <w:r w:rsidRPr="00BD212C">
        <w:rPr>
          <w:lang w:val="en-GB"/>
        </w:rPr>
        <w:t xml:space="preserve"> justif</w:t>
      </w:r>
      <w:r w:rsidRPr="00BD212C" w:rsidR="00516E38">
        <w:rPr>
          <w:lang w:val="en-GB"/>
        </w:rPr>
        <w:t>ying the refusal to grant</w:t>
      </w:r>
      <w:r w:rsidRPr="00BD212C">
        <w:rPr>
          <w:lang w:val="en-GB"/>
        </w:rPr>
        <w:t xml:space="preserve"> </w:t>
      </w:r>
      <w:r w:rsidRPr="00BD212C" w:rsidR="00516E38">
        <w:rPr>
          <w:lang w:val="en-GB"/>
        </w:rPr>
        <w:t xml:space="preserve">the residence permit does not necessarily mean that there has not been an interference with the right to </w:t>
      </w:r>
      <w:r w:rsidRPr="00BD212C">
        <w:rPr>
          <w:lang w:val="en-GB"/>
        </w:rPr>
        <w:t xml:space="preserve">respect </w:t>
      </w:r>
      <w:r w:rsidRPr="00BD212C" w:rsidR="00516E38">
        <w:rPr>
          <w:lang w:val="en-GB"/>
        </w:rPr>
        <w:t>for the applicants</w:t>
      </w:r>
      <w:r w:rsidRPr="00BD212C" w:rsidR="00BD212C">
        <w:rPr>
          <w:lang w:val="en-GB"/>
        </w:rPr>
        <w:t>’</w:t>
      </w:r>
      <w:r w:rsidRPr="00BD212C" w:rsidR="00516E38">
        <w:rPr>
          <w:lang w:val="en-GB"/>
        </w:rPr>
        <w:t xml:space="preserve"> private and family life</w:t>
      </w:r>
      <w:r w:rsidRPr="00BD212C">
        <w:rPr>
          <w:lang w:val="en-GB"/>
        </w:rPr>
        <w:t xml:space="preserve">. </w:t>
      </w:r>
      <w:r w:rsidRPr="00BD212C" w:rsidR="006406C8">
        <w:rPr>
          <w:lang w:val="en-GB"/>
        </w:rPr>
        <w:t>Nor does that legal basis</w:t>
      </w:r>
      <w:r w:rsidRPr="00BD212C">
        <w:rPr>
          <w:lang w:val="en-GB"/>
        </w:rPr>
        <w:t xml:space="preserve"> </w:t>
      </w:r>
      <w:r w:rsidRPr="00BD212C" w:rsidR="006406C8">
        <w:t>absolve the respondent State from responsibility under the Convention</w:t>
      </w:r>
      <w:r w:rsidRPr="00BD212C" w:rsidR="006406C8">
        <w:rPr>
          <w:lang w:val="en-GB"/>
        </w:rPr>
        <w:t xml:space="preserve"> </w:t>
      </w:r>
      <w:r w:rsidRPr="00BD212C">
        <w:rPr>
          <w:lang w:val="en-GB"/>
        </w:rPr>
        <w:t>(</w:t>
      </w:r>
      <w:r w:rsidRPr="00BD212C" w:rsidR="006406C8">
        <w:rPr>
          <w:lang w:val="en-GB"/>
        </w:rPr>
        <w:t>see</w:t>
      </w:r>
      <w:r w:rsidRPr="00BD212C">
        <w:rPr>
          <w:lang w:val="en-GB"/>
        </w:rPr>
        <w:t xml:space="preserve">, </w:t>
      </w:r>
      <w:r w:rsidRPr="00BD212C" w:rsidR="006406C8">
        <w:rPr>
          <w:lang w:val="en-GB"/>
        </w:rPr>
        <w:t>for exa</w:t>
      </w:r>
      <w:r w:rsidRPr="00BD212C">
        <w:rPr>
          <w:lang w:val="en-GB"/>
        </w:rPr>
        <w:t xml:space="preserve">mple </w:t>
      </w:r>
      <w:r w:rsidRPr="00BD212C" w:rsidR="006406C8">
        <w:rPr>
          <w:lang w:val="en-GB"/>
        </w:rPr>
        <w:t>and</w:t>
      </w:r>
      <w:r w:rsidRPr="00BD212C">
        <w:rPr>
          <w:lang w:val="en-GB"/>
        </w:rPr>
        <w:t xml:space="preserve"> </w:t>
      </w:r>
      <w:r w:rsidRPr="00BD212C">
        <w:rPr>
          <w:i/>
          <w:lang w:val="en-GB"/>
        </w:rPr>
        <w:t>mutatis mutandis</w:t>
      </w:r>
      <w:r w:rsidRPr="00BD212C">
        <w:rPr>
          <w:lang w:val="en-GB"/>
        </w:rPr>
        <w:t xml:space="preserve">, </w:t>
      </w:r>
      <w:r w:rsidRPr="00BD212C" w:rsidR="006406C8">
        <w:rPr>
          <w:i/>
          <w:lang w:val="es-ES"/>
        </w:rPr>
        <w:t>Thlimmenos v. Greece</w:t>
      </w:r>
      <w:r w:rsidRPr="00BD212C" w:rsidR="006406C8">
        <w:rPr>
          <w:lang w:val="es-ES"/>
        </w:rPr>
        <w:t xml:space="preserve"> [GC], no. 34369/97, § </w:t>
      </w:r>
      <w:r w:rsidRPr="00BD212C" w:rsidR="00310467">
        <w:rPr>
          <w:lang w:val="es-ES"/>
        </w:rPr>
        <w:t>48</w:t>
      </w:r>
      <w:r w:rsidRPr="00BD212C" w:rsidR="006406C8">
        <w:rPr>
          <w:lang w:val="es-ES"/>
        </w:rPr>
        <w:t>, ECHR 2000</w:t>
      </w:r>
      <w:r w:rsidRPr="00BD212C" w:rsidR="006406C8">
        <w:rPr>
          <w:lang w:val="es-ES"/>
        </w:rPr>
        <w:noBreakHyphen/>
        <w:t>IV</w:t>
      </w:r>
      <w:r w:rsidRPr="00BD212C">
        <w:rPr>
          <w:lang w:val="en-GB"/>
        </w:rPr>
        <w:t>).</w:t>
      </w:r>
    </w:p>
    <w:p w:rsidRPr="00BD212C" w:rsidR="00B20CCB" w:rsidP="00BD212C" w:rsidRDefault="00BD212C">
      <w:pPr>
        <w:pStyle w:val="ECHRPara"/>
        <w:rPr>
          <w:lang w:val="en-GB"/>
        </w:rPr>
      </w:pPr>
      <w:fldSimple w:instr=" SEQ level0 \*arabic ">
        <w:r w:rsidRPr="00BD212C">
          <w:rPr>
            <w:noProof/>
          </w:rPr>
          <w:t>61</w:t>
        </w:r>
      </w:fldSimple>
      <w:r w:rsidRPr="00BD212C" w:rsidR="00B20CCB">
        <w:t>.  </w:t>
      </w:r>
      <w:r w:rsidRPr="00BD212C" w:rsidR="00F97D71">
        <w:rPr>
          <w:lang w:val="en-GB"/>
        </w:rPr>
        <w:t>With regard to the duration of the interference in question</w:t>
      </w:r>
      <w:r w:rsidRPr="00BD212C" w:rsidR="00B20CCB">
        <w:rPr>
          <w:lang w:val="en-GB"/>
        </w:rPr>
        <w:t xml:space="preserve">, </w:t>
      </w:r>
      <w:r w:rsidRPr="00BD212C" w:rsidR="00F97D71">
        <w:rPr>
          <w:lang w:val="en-GB"/>
        </w:rPr>
        <w:t>the</w:t>
      </w:r>
      <w:r w:rsidRPr="00BD212C" w:rsidR="00B20CCB">
        <w:rPr>
          <w:lang w:val="en-GB"/>
        </w:rPr>
        <w:t xml:space="preserve"> Cour</w:t>
      </w:r>
      <w:r w:rsidRPr="00BD212C" w:rsidR="00F97D71">
        <w:rPr>
          <w:lang w:val="en-GB"/>
        </w:rPr>
        <w:t>t observes that it began on</w:t>
      </w:r>
      <w:r w:rsidRPr="00BD212C" w:rsidR="00B20CCB">
        <w:rPr>
          <w:lang w:val="en-GB"/>
        </w:rPr>
        <w:t xml:space="preserve"> 18 </w:t>
      </w:r>
      <w:r w:rsidRPr="00BD212C" w:rsidR="00F97D71">
        <w:rPr>
          <w:lang w:val="en-GB"/>
        </w:rPr>
        <w:t>Octob</w:t>
      </w:r>
      <w:r w:rsidRPr="00BD212C" w:rsidR="00B20CCB">
        <w:rPr>
          <w:lang w:val="en-GB"/>
        </w:rPr>
        <w:t>e</w:t>
      </w:r>
      <w:r w:rsidRPr="00BD212C" w:rsidR="00F97D71">
        <w:rPr>
          <w:lang w:val="en-GB"/>
        </w:rPr>
        <w:t>r</w:t>
      </w:r>
      <w:r w:rsidRPr="00BD212C" w:rsidR="00B20CCB">
        <w:rPr>
          <w:lang w:val="en-GB"/>
        </w:rPr>
        <w:t xml:space="preserve"> 2004, </w:t>
      </w:r>
      <w:r w:rsidRPr="00BD212C" w:rsidR="00F97D71">
        <w:rPr>
          <w:lang w:val="en-GB"/>
        </w:rPr>
        <w:t>when the application for a residence permit was first rejected</w:t>
      </w:r>
      <w:r w:rsidRPr="00BD212C" w:rsidR="00B20CCB">
        <w:rPr>
          <w:lang w:val="en-GB"/>
        </w:rPr>
        <w:t xml:space="preserve"> (</w:t>
      </w:r>
      <w:r w:rsidRPr="00BD212C" w:rsidR="00F97D71">
        <w:rPr>
          <w:lang w:val="en-GB"/>
        </w:rPr>
        <w:t>see paragraph</w:t>
      </w:r>
      <w:r w:rsidRPr="00BD212C" w:rsidR="00B20CCB">
        <w:rPr>
          <w:lang w:val="en-GB"/>
        </w:rPr>
        <w:t xml:space="preserve"> 10</w:t>
      </w:r>
      <w:r w:rsidRPr="00BD212C" w:rsidR="00B20CCB">
        <w:rPr>
          <w:b/>
          <w:color w:val="FF0000"/>
          <w:lang w:val="en-GB"/>
        </w:rPr>
        <w:t xml:space="preserve"> </w:t>
      </w:r>
      <w:r w:rsidRPr="00BD212C" w:rsidR="00F97D71">
        <w:rPr>
          <w:lang w:val="en-GB"/>
        </w:rPr>
        <w:t>above</w:t>
      </w:r>
      <w:r w:rsidRPr="00BD212C" w:rsidR="00B20CCB">
        <w:rPr>
          <w:lang w:val="en-GB"/>
        </w:rPr>
        <w:t xml:space="preserve">), </w:t>
      </w:r>
      <w:r w:rsidRPr="00BD212C" w:rsidR="00F97D71">
        <w:rPr>
          <w:lang w:val="en-GB"/>
        </w:rPr>
        <w:t>and ended at the latest in July</w:t>
      </w:r>
      <w:r w:rsidRPr="00BD212C" w:rsidR="00B20CCB">
        <w:rPr>
          <w:lang w:val="en-GB"/>
        </w:rPr>
        <w:t xml:space="preserve"> 2009, </w:t>
      </w:r>
      <w:r w:rsidRPr="00BD212C" w:rsidR="00F97D71">
        <w:rPr>
          <w:lang w:val="en-GB"/>
        </w:rPr>
        <w:t>when</w:t>
      </w:r>
      <w:r w:rsidRPr="00BD212C" w:rsidR="00B20CCB">
        <w:rPr>
          <w:lang w:val="en-GB"/>
        </w:rPr>
        <w:t>,</w:t>
      </w:r>
      <w:r w:rsidRPr="00BD212C" w:rsidR="00F97D71">
        <w:rPr>
          <w:lang w:val="en-GB"/>
        </w:rPr>
        <w:t xml:space="preserve"> after the Court of Cassation</w:t>
      </w:r>
      <w:r w:rsidRPr="00BD212C">
        <w:rPr>
          <w:lang w:val="en-GB"/>
        </w:rPr>
        <w:t>’</w:t>
      </w:r>
      <w:r w:rsidRPr="00BD212C" w:rsidR="00F97D71">
        <w:rPr>
          <w:lang w:val="en-GB"/>
        </w:rPr>
        <w:t>s final judgment dismissing the applicants</w:t>
      </w:r>
      <w:r w:rsidRPr="00BD212C">
        <w:rPr>
          <w:lang w:val="en-GB"/>
        </w:rPr>
        <w:t>’</w:t>
      </w:r>
      <w:r w:rsidRPr="00BD212C" w:rsidR="00F97D71">
        <w:rPr>
          <w:lang w:val="en-GB"/>
        </w:rPr>
        <w:t xml:space="preserve"> appeal had been deposited with the registry</w:t>
      </w:r>
      <w:r w:rsidRPr="00BD212C" w:rsidR="00B20CCB">
        <w:rPr>
          <w:lang w:val="en-GB"/>
        </w:rPr>
        <w:t xml:space="preserve"> </w:t>
      </w:r>
      <w:r w:rsidRPr="00BD212C" w:rsidR="00F97D71">
        <w:rPr>
          <w:lang w:val="en-GB"/>
        </w:rPr>
        <w:t>on</w:t>
      </w:r>
      <w:r w:rsidRPr="00BD212C" w:rsidR="00B20CCB">
        <w:rPr>
          <w:lang w:val="en-GB"/>
        </w:rPr>
        <w:t xml:space="preserve"> 17 </w:t>
      </w:r>
      <w:r w:rsidRPr="00BD212C" w:rsidR="00F97D71">
        <w:rPr>
          <w:lang w:val="en-GB"/>
        </w:rPr>
        <w:t>March</w:t>
      </w:r>
      <w:r w:rsidRPr="00BD212C" w:rsidR="00B20CCB">
        <w:rPr>
          <w:lang w:val="en-GB"/>
        </w:rPr>
        <w:t xml:space="preserve"> 2009</w:t>
      </w:r>
      <w:r w:rsidRPr="00BD212C" w:rsidR="004F5178">
        <w:rPr>
          <w:lang w:val="en-GB"/>
        </w:rPr>
        <w:t>,</w:t>
      </w:r>
      <w:r w:rsidRPr="00BD212C" w:rsidR="00F97D71">
        <w:rPr>
          <w:lang w:val="en-GB"/>
        </w:rPr>
        <w:t xml:space="preserve"> the applicants decided to leave Italy and move to the Netherland</w:t>
      </w:r>
      <w:r w:rsidRPr="00BD212C" w:rsidR="00B20CCB">
        <w:rPr>
          <w:lang w:val="en-GB"/>
        </w:rPr>
        <w:t>s (</w:t>
      </w:r>
      <w:r w:rsidRPr="00BD212C" w:rsidR="00F97D71">
        <w:rPr>
          <w:lang w:val="en-GB"/>
        </w:rPr>
        <w:t>see paragraph</w:t>
      </w:r>
      <w:r w:rsidRPr="00BD212C" w:rsidR="00B20CCB">
        <w:rPr>
          <w:lang w:val="en-GB"/>
        </w:rPr>
        <w:t> 24</w:t>
      </w:r>
      <w:r w:rsidRPr="00BD212C" w:rsidR="00F97D71">
        <w:rPr>
          <w:lang w:val="en-GB"/>
        </w:rPr>
        <w:t xml:space="preserve"> above</w:t>
      </w:r>
      <w:r w:rsidRPr="00BD212C" w:rsidR="00B20CCB">
        <w:rPr>
          <w:lang w:val="en-GB"/>
        </w:rPr>
        <w:t xml:space="preserve">). </w:t>
      </w:r>
      <w:r w:rsidRPr="00BD212C" w:rsidR="004F5178">
        <w:rPr>
          <w:lang w:val="en-GB"/>
        </w:rPr>
        <w:t>The interference therefore lasted about four years and nine months</w:t>
      </w:r>
      <w:r w:rsidRPr="00BD212C" w:rsidR="00B20CCB">
        <w:rPr>
          <w:lang w:val="en-GB"/>
        </w:rPr>
        <w:t>.</w:t>
      </w:r>
    </w:p>
    <w:p w:rsidRPr="00BD212C" w:rsidR="00B20CCB" w:rsidP="00BD212C" w:rsidRDefault="00BD212C">
      <w:pPr>
        <w:pStyle w:val="ECHRPara"/>
      </w:pPr>
      <w:fldSimple w:instr=" SEQ level0 \*arabic ">
        <w:r w:rsidRPr="00BD212C">
          <w:rPr>
            <w:noProof/>
          </w:rPr>
          <w:t>62</w:t>
        </w:r>
      </w:fldSimple>
      <w:r w:rsidRPr="00BD212C" w:rsidR="00B20CCB">
        <w:t>.  </w:t>
      </w:r>
      <w:r w:rsidRPr="00BD212C" w:rsidR="004F5178">
        <w:rPr>
          <w:lang w:val="en-GB"/>
        </w:rPr>
        <w:t>The</w:t>
      </w:r>
      <w:r w:rsidRPr="00BD212C" w:rsidR="00B20CCB">
        <w:rPr>
          <w:lang w:val="en-GB"/>
        </w:rPr>
        <w:t xml:space="preserve"> Cour</w:t>
      </w:r>
      <w:r w:rsidRPr="00BD212C" w:rsidR="004F5178">
        <w:rPr>
          <w:lang w:val="en-GB"/>
        </w:rPr>
        <w:t>t having thus determined the pe</w:t>
      </w:r>
      <w:r w:rsidRPr="00BD212C" w:rsidR="00B20CCB">
        <w:rPr>
          <w:lang w:val="en-GB"/>
        </w:rPr>
        <w:t>riod</w:t>
      </w:r>
      <w:r w:rsidRPr="00BD212C" w:rsidR="004F5178">
        <w:rPr>
          <w:lang w:val="en-GB"/>
        </w:rPr>
        <w:t xml:space="preserve"> to be taken into </w:t>
      </w:r>
      <w:r w:rsidRPr="00BD212C" w:rsidR="00B20CCB">
        <w:rPr>
          <w:lang w:val="en-GB"/>
        </w:rPr>
        <w:t>consid</w:t>
      </w:r>
      <w:r w:rsidRPr="00BD212C" w:rsidR="004F5178">
        <w:rPr>
          <w:lang w:val="en-GB"/>
        </w:rPr>
        <w:t>e</w:t>
      </w:r>
      <w:r w:rsidRPr="00BD212C" w:rsidR="00B20CCB">
        <w:rPr>
          <w:lang w:val="en-GB"/>
        </w:rPr>
        <w:t xml:space="preserve">ration </w:t>
      </w:r>
      <w:r w:rsidRPr="00BD212C" w:rsidR="004F5178">
        <w:rPr>
          <w:lang w:val="en-GB"/>
        </w:rPr>
        <w:t>in the present cas</w:t>
      </w:r>
      <w:r w:rsidRPr="00BD212C" w:rsidR="00B20CCB">
        <w:rPr>
          <w:lang w:val="en-GB"/>
        </w:rPr>
        <w:t xml:space="preserve">e, </w:t>
      </w:r>
      <w:r w:rsidRPr="00BD212C" w:rsidR="004F5178">
        <w:rPr>
          <w:lang w:val="en-GB"/>
        </w:rPr>
        <w:t>any</w:t>
      </w:r>
      <w:r w:rsidRPr="00BD212C" w:rsidR="00B20CCB">
        <w:rPr>
          <w:lang w:val="en-GB"/>
        </w:rPr>
        <w:t xml:space="preserve"> sp</w:t>
      </w:r>
      <w:r w:rsidRPr="00BD212C" w:rsidR="004F5178">
        <w:rPr>
          <w:lang w:val="en-GB"/>
        </w:rPr>
        <w:t>e</w:t>
      </w:r>
      <w:r w:rsidRPr="00BD212C" w:rsidR="00B20CCB">
        <w:rPr>
          <w:lang w:val="en-GB"/>
        </w:rPr>
        <w:t xml:space="preserve">culation </w:t>
      </w:r>
      <w:r w:rsidRPr="00BD212C" w:rsidR="00E57A2A">
        <w:rPr>
          <w:lang w:val="en-GB"/>
        </w:rPr>
        <w:t>as to whether circumstances arising after July</w:t>
      </w:r>
      <w:r w:rsidRPr="00BD212C" w:rsidR="00B20CCB">
        <w:rPr>
          <w:lang w:val="en-GB"/>
        </w:rPr>
        <w:t xml:space="preserve"> 2009 </w:t>
      </w:r>
      <w:r w:rsidRPr="00BD212C" w:rsidR="00E57A2A">
        <w:rPr>
          <w:lang w:val="en-GB"/>
        </w:rPr>
        <w:t>would have</w:t>
      </w:r>
      <w:r w:rsidRPr="00BD212C" w:rsidR="00B20CCB">
        <w:rPr>
          <w:lang w:val="en-GB"/>
        </w:rPr>
        <w:t xml:space="preserve"> </w:t>
      </w:r>
      <w:r w:rsidRPr="00BD212C" w:rsidR="00E57A2A">
        <w:rPr>
          <w:lang w:val="en-GB"/>
        </w:rPr>
        <w:t>made it possible for the second applican</w:t>
      </w:r>
      <w:r w:rsidRPr="00BD212C" w:rsidR="00B20CCB">
        <w:rPr>
          <w:lang w:val="en-GB"/>
        </w:rPr>
        <w:t xml:space="preserve">t </w:t>
      </w:r>
      <w:r w:rsidRPr="00BD212C" w:rsidR="00E57A2A">
        <w:rPr>
          <w:lang w:val="en-GB"/>
        </w:rPr>
        <w:t>to obtain the desired residence permit</w:t>
      </w:r>
      <w:r w:rsidRPr="00BD212C" w:rsidR="00B20CCB">
        <w:rPr>
          <w:lang w:val="en-GB"/>
        </w:rPr>
        <w:t xml:space="preserve"> </w:t>
      </w:r>
      <w:r w:rsidRPr="00BD212C" w:rsidR="00E57A2A">
        <w:rPr>
          <w:lang w:val="en-GB"/>
        </w:rPr>
        <w:t>is</w:t>
      </w:r>
      <w:r w:rsidRPr="00BD212C" w:rsidR="00B20CCB">
        <w:rPr>
          <w:lang w:val="en-GB"/>
        </w:rPr>
        <w:t xml:space="preserve"> </w:t>
      </w:r>
      <w:r w:rsidRPr="00BD212C" w:rsidR="00E57A2A">
        <w:rPr>
          <w:lang w:val="en-GB"/>
        </w:rPr>
        <w:t>therefore irrelevant</w:t>
      </w:r>
      <w:r w:rsidRPr="00BD212C" w:rsidR="00B20CCB">
        <w:rPr>
          <w:lang w:val="en-GB"/>
        </w:rPr>
        <w:t xml:space="preserve">. </w:t>
      </w:r>
      <w:r w:rsidRPr="00BD212C" w:rsidR="00CD29C3">
        <w:rPr>
          <w:lang w:val="en-GB"/>
        </w:rPr>
        <w:t>Accordingly, t</w:t>
      </w:r>
      <w:r w:rsidRPr="00BD212C" w:rsidR="00222884">
        <w:rPr>
          <w:lang w:val="en-GB"/>
        </w:rPr>
        <w:t>he</w:t>
      </w:r>
      <w:r w:rsidRPr="00BD212C" w:rsidR="00B20CCB">
        <w:rPr>
          <w:lang w:val="en-GB"/>
        </w:rPr>
        <w:t xml:space="preserve"> Cour</w:t>
      </w:r>
      <w:r w:rsidRPr="00BD212C" w:rsidR="00222884">
        <w:rPr>
          <w:lang w:val="en-GB"/>
        </w:rPr>
        <w:t>t does not consider it necessary to</w:t>
      </w:r>
      <w:r w:rsidRPr="00BD212C" w:rsidR="00B20CCB">
        <w:rPr>
          <w:lang w:val="en-GB"/>
        </w:rPr>
        <w:t xml:space="preserve"> </w:t>
      </w:r>
      <w:r w:rsidRPr="00BD212C" w:rsidR="00222884">
        <w:rPr>
          <w:lang w:val="en-GB"/>
        </w:rPr>
        <w:t>address the</w:t>
      </w:r>
      <w:r w:rsidRPr="00BD212C" w:rsidR="00B20CCB">
        <w:rPr>
          <w:lang w:val="en-GB"/>
        </w:rPr>
        <w:t xml:space="preserve"> question </w:t>
      </w:r>
      <w:r w:rsidRPr="00BD212C" w:rsidR="00222884">
        <w:rPr>
          <w:lang w:val="en-GB"/>
        </w:rPr>
        <w:t>whether, by virtue of the</w:t>
      </w:r>
      <w:r w:rsidRPr="00BD212C" w:rsidR="00B20CCB">
        <w:rPr>
          <w:lang w:val="en-GB"/>
        </w:rPr>
        <w:t xml:space="preserve"> ma</w:t>
      </w:r>
      <w:r w:rsidRPr="00BD212C" w:rsidR="00222884">
        <w:rPr>
          <w:lang w:val="en-GB"/>
        </w:rPr>
        <w:t>r</w:t>
      </w:r>
      <w:r w:rsidRPr="00BD212C" w:rsidR="00B20CCB">
        <w:rPr>
          <w:lang w:val="en-GB"/>
        </w:rPr>
        <w:t>riage contract</w:t>
      </w:r>
      <w:r w:rsidRPr="00BD212C" w:rsidR="00222884">
        <w:rPr>
          <w:lang w:val="en-GB"/>
        </w:rPr>
        <w:t>ed in</w:t>
      </w:r>
      <w:r w:rsidRPr="00BD212C" w:rsidR="00B20CCB">
        <w:rPr>
          <w:lang w:val="en-GB"/>
        </w:rPr>
        <w:t xml:space="preserve"> Amsterdam </w:t>
      </w:r>
      <w:r w:rsidRPr="00BD212C" w:rsidR="00222884">
        <w:rPr>
          <w:lang w:val="en-GB"/>
        </w:rPr>
        <w:t>on</w:t>
      </w:r>
      <w:r w:rsidRPr="00BD212C" w:rsidR="00B20CCB">
        <w:rPr>
          <w:lang w:val="en-GB"/>
        </w:rPr>
        <w:t xml:space="preserve"> 8 </w:t>
      </w:r>
      <w:r w:rsidRPr="00BD212C" w:rsidR="00222884">
        <w:rPr>
          <w:lang w:val="en-GB"/>
        </w:rPr>
        <w:t>May</w:t>
      </w:r>
      <w:r w:rsidRPr="00BD212C" w:rsidR="00B20CCB">
        <w:rPr>
          <w:lang w:val="en-GB"/>
        </w:rPr>
        <w:t xml:space="preserve"> 2010 (</w:t>
      </w:r>
      <w:r w:rsidRPr="00BD212C" w:rsidR="00222884">
        <w:rPr>
          <w:lang w:val="en-GB"/>
        </w:rPr>
        <w:t xml:space="preserve">see </w:t>
      </w:r>
      <w:r w:rsidRPr="00BD212C" w:rsidR="00B20CCB">
        <w:rPr>
          <w:lang w:val="en-GB"/>
        </w:rPr>
        <w:t xml:space="preserve">paragraph 25 </w:t>
      </w:r>
      <w:r w:rsidRPr="00BD212C" w:rsidR="00222884">
        <w:rPr>
          <w:lang w:val="en-GB"/>
        </w:rPr>
        <w:t>above</w:t>
      </w:r>
      <w:r w:rsidRPr="00BD212C" w:rsidR="00B20CCB">
        <w:rPr>
          <w:lang w:val="en-GB"/>
        </w:rPr>
        <w:t>),</w:t>
      </w:r>
      <w:r w:rsidRPr="00BD212C" w:rsidR="00222884">
        <w:rPr>
          <w:lang w:val="en-GB"/>
        </w:rPr>
        <w:t xml:space="preserve"> the second applic</w:t>
      </w:r>
      <w:r w:rsidRPr="00BD212C" w:rsidR="00B20CCB">
        <w:rPr>
          <w:lang w:val="en-GB"/>
        </w:rPr>
        <w:t xml:space="preserve">ant </w:t>
      </w:r>
      <w:r w:rsidRPr="00BD212C" w:rsidR="00222884">
        <w:rPr>
          <w:lang w:val="en-GB"/>
        </w:rPr>
        <w:t>could</w:t>
      </w:r>
      <w:r w:rsidRPr="00BD212C" w:rsidR="00B20CCB">
        <w:rPr>
          <w:lang w:val="en-GB"/>
        </w:rPr>
        <w:t xml:space="preserve"> </w:t>
      </w:r>
      <w:r w:rsidRPr="00BD212C" w:rsidR="00222884">
        <w:rPr>
          <w:lang w:val="en-GB"/>
        </w:rPr>
        <w:t>benefit from the decisions of the Italian courts</w:t>
      </w:r>
      <w:r w:rsidRPr="00BD212C" w:rsidR="00B20CCB">
        <w:rPr>
          <w:lang w:val="en-GB"/>
        </w:rPr>
        <w:t xml:space="preserve">, </w:t>
      </w:r>
      <w:r w:rsidRPr="00BD212C" w:rsidR="00222884">
        <w:rPr>
          <w:lang w:val="en-GB"/>
        </w:rPr>
        <w:t>referred to in</w:t>
      </w:r>
      <w:r w:rsidRPr="00BD212C" w:rsidR="00B20CCB">
        <w:rPr>
          <w:lang w:val="en-GB"/>
        </w:rPr>
        <w:t xml:space="preserve"> par</w:t>
      </w:r>
      <w:r w:rsidRPr="00BD212C" w:rsidR="00222884">
        <w:rPr>
          <w:lang w:val="en-GB"/>
        </w:rPr>
        <w:t>agraph</w:t>
      </w:r>
      <w:r w:rsidRPr="00BD212C" w:rsidR="00B20CCB">
        <w:rPr>
          <w:lang w:val="en-GB"/>
        </w:rPr>
        <w:t xml:space="preserve"> 52 </w:t>
      </w:r>
      <w:r w:rsidRPr="00BD212C" w:rsidR="00222884">
        <w:rPr>
          <w:lang w:val="en-GB"/>
        </w:rPr>
        <w:t>above</w:t>
      </w:r>
      <w:r w:rsidRPr="00BD212C" w:rsidR="00B20CCB">
        <w:rPr>
          <w:lang w:val="en-GB"/>
        </w:rPr>
        <w:t xml:space="preserve">, </w:t>
      </w:r>
      <w:r w:rsidRPr="00BD212C" w:rsidR="00222884">
        <w:rPr>
          <w:lang w:val="en-GB"/>
        </w:rPr>
        <w:t>granting non-EU nationals in same-sex couples with Italian citizens on the basis of marriage concluded in EU countries other than Italy the right to a residence permit for family reasons</w:t>
      </w:r>
      <w:r w:rsidRPr="00BD212C" w:rsidR="00B20CCB">
        <w:rPr>
          <w:lang w:val="en-GB"/>
        </w:rPr>
        <w:t>, o</w:t>
      </w:r>
      <w:r w:rsidRPr="00BD212C" w:rsidR="00222884">
        <w:rPr>
          <w:lang w:val="en-GB"/>
        </w:rPr>
        <w:t>r whether that right could arise from the</w:t>
      </w:r>
      <w:r w:rsidRPr="00BD212C" w:rsidR="00B20CCB">
        <w:rPr>
          <w:lang w:val="en-GB"/>
        </w:rPr>
        <w:t xml:space="preserve"> transposition </w:t>
      </w:r>
      <w:r w:rsidRPr="00BD212C" w:rsidR="00222884">
        <w:rPr>
          <w:lang w:val="en-GB"/>
        </w:rPr>
        <w:t>into Italian law</w:t>
      </w:r>
      <w:r w:rsidRPr="00BD212C" w:rsidR="00B20CCB">
        <w:rPr>
          <w:lang w:val="en-GB"/>
        </w:rPr>
        <w:t xml:space="preserve">, </w:t>
      </w:r>
      <w:r w:rsidRPr="00BD212C" w:rsidR="00222884">
        <w:rPr>
          <w:lang w:val="en-GB"/>
        </w:rPr>
        <w:t>by Law no. </w:t>
      </w:r>
      <w:r w:rsidRPr="00BD212C" w:rsidR="00B20CCB">
        <w:rPr>
          <w:vertAlign w:val="superscript"/>
          <w:lang w:val="en-GB"/>
        </w:rPr>
        <w:t> </w:t>
      </w:r>
      <w:r w:rsidRPr="00BD212C" w:rsidR="00B20CCB">
        <w:rPr>
          <w:lang w:val="en-GB"/>
        </w:rPr>
        <w:t xml:space="preserve">97 </w:t>
      </w:r>
      <w:r w:rsidRPr="00BD212C" w:rsidR="00222884">
        <w:rPr>
          <w:lang w:val="en-GB"/>
        </w:rPr>
        <w:t>of</w:t>
      </w:r>
      <w:r w:rsidRPr="00BD212C" w:rsidR="00B20CCB">
        <w:rPr>
          <w:lang w:val="en-GB"/>
        </w:rPr>
        <w:t xml:space="preserve"> 6 </w:t>
      </w:r>
      <w:r w:rsidRPr="00BD212C" w:rsidR="00222884">
        <w:rPr>
          <w:lang w:val="en-GB"/>
        </w:rPr>
        <w:t>August</w:t>
      </w:r>
      <w:r w:rsidRPr="00BD212C" w:rsidR="00B20CCB">
        <w:rPr>
          <w:lang w:val="en-GB"/>
        </w:rPr>
        <w:t xml:space="preserve"> 2013, </w:t>
      </w:r>
      <w:r w:rsidRPr="00BD212C" w:rsidR="00222884">
        <w:rPr>
          <w:lang w:val="en-GB"/>
        </w:rPr>
        <w:t>of A</w:t>
      </w:r>
      <w:r w:rsidRPr="00BD212C" w:rsidR="00B20CCB">
        <w:rPr>
          <w:lang w:val="en-GB"/>
        </w:rPr>
        <w:t xml:space="preserve">rticle 3 § 1 </w:t>
      </w:r>
      <w:r w:rsidRPr="00BD212C" w:rsidR="00222884">
        <w:rPr>
          <w:lang w:val="en-GB"/>
        </w:rPr>
        <w:t>of European D</w:t>
      </w:r>
      <w:r w:rsidRPr="00BD212C" w:rsidR="00B20CCB">
        <w:rPr>
          <w:lang w:val="en-GB"/>
        </w:rPr>
        <w:t xml:space="preserve">irective </w:t>
      </w:r>
      <w:r w:rsidRPr="00BD212C" w:rsidR="00222884">
        <w:rPr>
          <w:lang w:val="en-GB"/>
        </w:rPr>
        <w:t>2004/38/</w:t>
      </w:r>
      <w:r w:rsidRPr="00BD212C" w:rsidR="00B20CCB">
        <w:rPr>
          <w:lang w:val="en-GB"/>
        </w:rPr>
        <w:t>E</w:t>
      </w:r>
      <w:r w:rsidRPr="00BD212C" w:rsidR="00222884">
        <w:rPr>
          <w:lang w:val="en-GB"/>
        </w:rPr>
        <w:t>C</w:t>
      </w:r>
      <w:r w:rsidRPr="00BD212C" w:rsidR="00B20CCB">
        <w:rPr>
          <w:lang w:val="en-GB"/>
        </w:rPr>
        <w:t xml:space="preserve"> </w:t>
      </w:r>
      <w:r w:rsidRPr="00BD212C" w:rsidR="005C727F">
        <w:rPr>
          <w:lang w:val="en-GB"/>
        </w:rPr>
        <w:t>providing that the host State must</w:t>
      </w:r>
      <w:r w:rsidRPr="00BD212C" w:rsidR="00B20CCB">
        <w:rPr>
          <w:lang w:val="en-GB"/>
        </w:rPr>
        <w:t xml:space="preserve"> </w:t>
      </w:r>
      <w:r w:rsidRPr="00BD212C" w:rsidR="00BC4EE6">
        <w:rPr>
          <w:lang w:val="en-GB"/>
        </w:rPr>
        <w:t xml:space="preserve">facilitate the residence of, </w:t>
      </w:r>
      <w:r w:rsidRPr="00BD212C" w:rsidR="00BC4EE6">
        <w:rPr>
          <w:i/>
          <w:lang w:val="en-GB"/>
        </w:rPr>
        <w:t>inter alia</w:t>
      </w:r>
      <w:r w:rsidRPr="00BD212C" w:rsidR="00BC4EE6">
        <w:rPr>
          <w:lang w:val="en-GB"/>
        </w:rPr>
        <w:t xml:space="preserve">, </w:t>
      </w:r>
      <w:r w:rsidRPr="00BD212C" w:rsidR="00BC4EE6">
        <w:rPr>
          <w:lang w:eastAsia="en-GB"/>
        </w:rPr>
        <w:t>the “partner with whom the Union citizen has a durable relationship, duly attested</w:t>
      </w:r>
      <w:r w:rsidRPr="00BD212C" w:rsidR="00BC4EE6">
        <w:rPr>
          <w:lang w:val="en-GB"/>
        </w:rPr>
        <w:t>”</w:t>
      </w:r>
      <w:r w:rsidRPr="00BD212C" w:rsidR="00B20CCB">
        <w:rPr>
          <w:lang w:val="en-GB"/>
        </w:rPr>
        <w:t xml:space="preserve"> (</w:t>
      </w:r>
      <w:r w:rsidRPr="00BD212C" w:rsidR="00BC4EE6">
        <w:rPr>
          <w:lang w:val="en-GB"/>
        </w:rPr>
        <w:t xml:space="preserve">see </w:t>
      </w:r>
      <w:r w:rsidRPr="00BD212C" w:rsidR="00B20CCB">
        <w:rPr>
          <w:lang w:val="en-GB"/>
        </w:rPr>
        <w:t>paragraph</w:t>
      </w:r>
      <w:r w:rsidRPr="00BD212C" w:rsidR="00BC4EE6">
        <w:rPr>
          <w:lang w:val="en-GB"/>
        </w:rPr>
        <w:t>s </w:t>
      </w:r>
      <w:r w:rsidRPr="00BD212C" w:rsidR="00893ABA">
        <w:rPr>
          <w:lang w:val="en-GB" w:eastAsia="en-GB"/>
        </w:rPr>
        <w:t>...</w:t>
      </w:r>
      <w:r w:rsidRPr="00BD212C" w:rsidR="00B20CCB">
        <w:rPr>
          <w:lang w:val="en-GB"/>
        </w:rPr>
        <w:t xml:space="preserve"> </w:t>
      </w:r>
      <w:r w:rsidRPr="00BD212C" w:rsidR="00B20CCB">
        <w:t xml:space="preserve">45 </w:t>
      </w:r>
      <w:r w:rsidRPr="00BD212C" w:rsidR="00BC4EE6">
        <w:t>and</w:t>
      </w:r>
      <w:r w:rsidRPr="00BD212C" w:rsidR="00B20CCB">
        <w:t xml:space="preserve"> 51 </w:t>
      </w:r>
      <w:r w:rsidRPr="00BD212C" w:rsidR="00BC4EE6">
        <w:t>above</w:t>
      </w:r>
      <w:r w:rsidRPr="00BD212C" w:rsidR="00B20CCB">
        <w:t>).</w:t>
      </w:r>
    </w:p>
    <w:p w:rsidRPr="00BD212C" w:rsidR="00B20CCB" w:rsidP="00BD212C" w:rsidRDefault="00BD212C">
      <w:pPr>
        <w:pStyle w:val="ECHRPara"/>
        <w:rPr>
          <w:lang w:val="en-GB"/>
        </w:rPr>
      </w:pPr>
      <w:fldSimple w:instr=" SEQ level0 \*arabic ">
        <w:r w:rsidRPr="00BD212C">
          <w:rPr>
            <w:noProof/>
          </w:rPr>
          <w:t>63</w:t>
        </w:r>
      </w:fldSimple>
      <w:r w:rsidRPr="00BD212C" w:rsidR="00B20CCB">
        <w:t>.  </w:t>
      </w:r>
      <w:r w:rsidRPr="00BD212C" w:rsidR="00BC4EE6">
        <w:rPr>
          <w:lang w:val="en-GB"/>
        </w:rPr>
        <w:t>It follows that the facts of the case</w:t>
      </w:r>
      <w:r w:rsidRPr="00BD212C" w:rsidR="00B20CCB">
        <w:rPr>
          <w:lang w:val="en-GB"/>
        </w:rPr>
        <w:t xml:space="preserve">, </w:t>
      </w:r>
      <w:r w:rsidRPr="00BD212C" w:rsidR="00BC4EE6">
        <w:rPr>
          <w:lang w:val="en-GB"/>
        </w:rPr>
        <w:t>as established between</w:t>
      </w:r>
      <w:r w:rsidRPr="00BD212C" w:rsidR="00B20CCB">
        <w:rPr>
          <w:lang w:val="en-GB"/>
        </w:rPr>
        <w:t xml:space="preserve"> 18 </w:t>
      </w:r>
      <w:r w:rsidRPr="00BD212C" w:rsidR="00BC4EE6">
        <w:rPr>
          <w:lang w:val="en-GB"/>
        </w:rPr>
        <w:t>October</w:t>
      </w:r>
      <w:r w:rsidRPr="00BD212C" w:rsidR="00B20CCB">
        <w:rPr>
          <w:lang w:val="en-GB"/>
        </w:rPr>
        <w:t xml:space="preserve"> 2004 </w:t>
      </w:r>
      <w:r w:rsidRPr="00BD212C" w:rsidR="00BC4EE6">
        <w:rPr>
          <w:lang w:val="en-GB"/>
        </w:rPr>
        <w:t>and July</w:t>
      </w:r>
      <w:r w:rsidRPr="00BD212C" w:rsidR="00B20CCB">
        <w:rPr>
          <w:lang w:val="en-GB"/>
        </w:rPr>
        <w:t xml:space="preserve"> 2009, </w:t>
      </w:r>
      <w:r w:rsidRPr="00BD212C" w:rsidR="00BC4EE6">
        <w:rPr>
          <w:lang w:val="en-GB"/>
        </w:rPr>
        <w:t>fall within the scope of A</w:t>
      </w:r>
      <w:r w:rsidRPr="00BD212C" w:rsidR="00B20CCB">
        <w:rPr>
          <w:lang w:val="en-GB"/>
        </w:rPr>
        <w:t xml:space="preserve">rticle 8 </w:t>
      </w:r>
      <w:r w:rsidRPr="00BD212C" w:rsidR="00BC4EE6">
        <w:rPr>
          <w:lang w:val="en-GB"/>
        </w:rPr>
        <w:t>of the</w:t>
      </w:r>
      <w:r w:rsidRPr="00BD212C" w:rsidR="00B20CCB">
        <w:rPr>
          <w:lang w:val="en-GB"/>
        </w:rPr>
        <w:t xml:space="preserve"> Convention </w:t>
      </w:r>
      <w:r w:rsidRPr="00BD212C" w:rsidR="00BC4EE6">
        <w:rPr>
          <w:lang w:val="en-GB"/>
        </w:rPr>
        <w:t>and that A</w:t>
      </w:r>
      <w:r w:rsidRPr="00BD212C" w:rsidR="00B20CCB">
        <w:rPr>
          <w:lang w:val="en-GB"/>
        </w:rPr>
        <w:t xml:space="preserve">rticle 14, </w:t>
      </w:r>
      <w:r w:rsidRPr="00BD212C" w:rsidR="00BC4EE6">
        <w:rPr>
          <w:lang w:val="en-GB"/>
        </w:rPr>
        <w:t>taken together with Article 8</w:t>
      </w:r>
      <w:r w:rsidRPr="00BD212C" w:rsidR="00B20CCB">
        <w:rPr>
          <w:lang w:val="en-GB"/>
        </w:rPr>
        <w:t xml:space="preserve">, </w:t>
      </w:r>
      <w:r w:rsidRPr="00BD212C" w:rsidR="00BC4EE6">
        <w:rPr>
          <w:lang w:val="en-GB"/>
        </w:rPr>
        <w:t>is applicable</w:t>
      </w:r>
      <w:r w:rsidRPr="00BD212C" w:rsidR="00B20CCB">
        <w:rPr>
          <w:lang w:val="en-GB"/>
        </w:rPr>
        <w:t>.</w:t>
      </w:r>
    </w:p>
    <w:p w:rsidRPr="00BD212C" w:rsidR="00B20CCB" w:rsidP="00BD212C" w:rsidRDefault="00B20CCB">
      <w:pPr>
        <w:pStyle w:val="ECHRHeading3"/>
        <w:rPr>
          <w:lang w:val="en-GB"/>
        </w:rPr>
      </w:pPr>
      <w:r w:rsidRPr="00BD212C">
        <w:t>2.  </w:t>
      </w:r>
      <w:r w:rsidRPr="00BD212C" w:rsidR="00BC4EE6">
        <w:rPr>
          <w:lang w:val="en-GB"/>
        </w:rPr>
        <w:t>Compliance with A</w:t>
      </w:r>
      <w:r w:rsidRPr="00BD212C">
        <w:rPr>
          <w:lang w:val="en-GB"/>
        </w:rPr>
        <w:t xml:space="preserve">rticle 14 </w:t>
      </w:r>
      <w:r w:rsidRPr="00BD212C" w:rsidR="00BC4EE6">
        <w:rPr>
          <w:lang w:val="en-GB"/>
        </w:rPr>
        <w:t>taken in conjunction with A</w:t>
      </w:r>
      <w:r w:rsidRPr="00BD212C">
        <w:rPr>
          <w:lang w:val="en-GB"/>
        </w:rPr>
        <w:t>rticle 8</w:t>
      </w:r>
    </w:p>
    <w:p w:rsidRPr="00BD212C" w:rsidR="00B20CCB" w:rsidP="00BD212C" w:rsidRDefault="00B20CCB">
      <w:pPr>
        <w:pStyle w:val="ECHRHeading4"/>
      </w:pPr>
      <w:r w:rsidRPr="00BD212C">
        <w:t>a)  </w:t>
      </w:r>
      <w:r w:rsidRPr="00BD212C" w:rsidR="00BC4EE6">
        <w:t>The</w:t>
      </w:r>
      <w:r w:rsidRPr="00BD212C">
        <w:t xml:space="preserve"> parties</w:t>
      </w:r>
      <w:r w:rsidRPr="00BD212C" w:rsidR="00BD212C">
        <w:t>’</w:t>
      </w:r>
      <w:r w:rsidRPr="00BD212C" w:rsidR="00BC4EE6">
        <w:t xml:space="preserve"> arguments</w:t>
      </w:r>
    </w:p>
    <w:p w:rsidRPr="00BD212C" w:rsidR="00B20CCB" w:rsidP="00BD212C" w:rsidRDefault="00B20CCB">
      <w:pPr>
        <w:pStyle w:val="ECHRHeading5"/>
      </w:pPr>
      <w:r w:rsidRPr="00BD212C">
        <w:t>i.  </w:t>
      </w:r>
      <w:r w:rsidRPr="00BD212C" w:rsidR="00BC4EE6">
        <w:t>The Govern</w:t>
      </w:r>
      <w:r w:rsidRPr="00BD212C">
        <w:t>ment</w:t>
      </w:r>
    </w:p>
    <w:p w:rsidRPr="00BD212C" w:rsidR="00A95392" w:rsidP="00BD212C" w:rsidRDefault="00BD212C">
      <w:pPr>
        <w:pStyle w:val="ECHRPara"/>
        <w:rPr>
          <w:i/>
          <w:lang w:val="en-GB"/>
        </w:rPr>
      </w:pPr>
      <w:fldSimple w:instr=" SEQ level0 \*arabic ">
        <w:r w:rsidRPr="00BD212C">
          <w:rPr>
            <w:noProof/>
          </w:rPr>
          <w:t>64</w:t>
        </w:r>
      </w:fldSimple>
      <w:r w:rsidRPr="00BD212C" w:rsidR="00A95392">
        <w:t>.  </w:t>
      </w:r>
      <w:r w:rsidRPr="00BD212C" w:rsidR="00BC4EE6">
        <w:rPr>
          <w:rFonts w:ascii="Times New Roman" w:hAnsi="Times New Roman" w:cs="Times New Roman"/>
          <w:szCs w:val="24"/>
          <w:lang w:val="en-GB" w:eastAsia="en-GB"/>
        </w:rPr>
        <w:t>The Govern</w:t>
      </w:r>
      <w:r w:rsidRPr="00BD212C" w:rsidR="00A95392">
        <w:rPr>
          <w:rFonts w:ascii="Times New Roman" w:hAnsi="Times New Roman" w:cs="Times New Roman"/>
          <w:szCs w:val="24"/>
          <w:lang w:val="en-GB" w:eastAsia="en-GB"/>
        </w:rPr>
        <w:t xml:space="preserve">ment </w:t>
      </w:r>
      <w:r w:rsidRPr="00BD212C" w:rsidR="00BC4EE6">
        <w:rPr>
          <w:rFonts w:ascii="Times New Roman" w:hAnsi="Times New Roman" w:cs="Times New Roman"/>
          <w:szCs w:val="24"/>
          <w:lang w:val="en-GB" w:eastAsia="en-GB"/>
        </w:rPr>
        <w:t>submitted that the applicants had not been the subject of</w:t>
      </w:r>
      <w:r w:rsidRPr="00BD212C" w:rsidR="00A95392">
        <w:rPr>
          <w:rFonts w:ascii="Times New Roman" w:hAnsi="Times New Roman" w:cs="Times New Roman"/>
          <w:szCs w:val="24"/>
          <w:lang w:val="en-GB" w:eastAsia="en-GB"/>
        </w:rPr>
        <w:t xml:space="preserve"> discrimination </w:t>
      </w:r>
      <w:r w:rsidRPr="00BD212C" w:rsidR="00BC4EE6">
        <w:rPr>
          <w:rFonts w:ascii="Times New Roman" w:hAnsi="Times New Roman" w:cs="Times New Roman"/>
          <w:szCs w:val="24"/>
          <w:lang w:val="en-GB" w:eastAsia="en-GB"/>
        </w:rPr>
        <w:t>prohibited by the</w:t>
      </w:r>
      <w:r w:rsidRPr="00BD212C" w:rsidR="00A95392">
        <w:rPr>
          <w:rFonts w:ascii="Times New Roman" w:hAnsi="Times New Roman" w:cs="Times New Roman"/>
          <w:szCs w:val="24"/>
          <w:lang w:val="en-GB" w:eastAsia="en-GB"/>
        </w:rPr>
        <w:t xml:space="preserve"> Convention. </w:t>
      </w:r>
      <w:r w:rsidRPr="00BD212C" w:rsidR="00BC4EE6">
        <w:rPr>
          <w:rFonts w:ascii="Times New Roman" w:hAnsi="Times New Roman" w:cs="Times New Roman"/>
          <w:szCs w:val="24"/>
          <w:lang w:val="en-GB" w:eastAsia="en-GB"/>
        </w:rPr>
        <w:t>They referred first to</w:t>
      </w:r>
      <w:r w:rsidRPr="00BD212C" w:rsidR="00A95392">
        <w:rPr>
          <w:rFonts w:ascii="Times New Roman" w:hAnsi="Times New Roman" w:cs="Times New Roman"/>
          <w:szCs w:val="24"/>
          <w:lang w:val="en-GB" w:eastAsia="en-GB"/>
        </w:rPr>
        <w:t xml:space="preserve"> </w:t>
      </w:r>
      <w:r w:rsidRPr="00BD212C" w:rsidR="00BC4EE6">
        <w:rPr>
          <w:rFonts w:ascii="Times New Roman" w:hAnsi="Times New Roman" w:cs="Times New Roman"/>
          <w:szCs w:val="24"/>
          <w:lang w:val="en-GB" w:eastAsia="en-GB"/>
        </w:rPr>
        <w:t>judgment no. </w:t>
      </w:r>
      <w:r w:rsidRPr="00BD212C" w:rsidR="00A95392">
        <w:rPr>
          <w:rFonts w:ascii="Times New Roman" w:hAnsi="Times New Roman" w:cs="Times New Roman"/>
          <w:szCs w:val="24"/>
          <w:lang w:val="en-GB" w:eastAsia="en-GB"/>
        </w:rPr>
        <w:t xml:space="preserve">138 </w:t>
      </w:r>
      <w:r w:rsidRPr="00BD212C" w:rsidR="00BC4EE6">
        <w:rPr>
          <w:rFonts w:ascii="Times New Roman" w:hAnsi="Times New Roman" w:cs="Times New Roman"/>
          <w:szCs w:val="24"/>
          <w:lang w:val="en-GB" w:eastAsia="en-GB"/>
        </w:rPr>
        <w:t>of</w:t>
      </w:r>
      <w:r w:rsidRPr="00BD212C" w:rsidR="00A95392">
        <w:rPr>
          <w:rFonts w:ascii="Times New Roman" w:hAnsi="Times New Roman" w:cs="Times New Roman"/>
          <w:szCs w:val="24"/>
          <w:lang w:val="en-GB" w:eastAsia="en-GB"/>
        </w:rPr>
        <w:t xml:space="preserve"> 15 </w:t>
      </w:r>
      <w:r w:rsidRPr="00BD212C" w:rsidR="00BC4EE6">
        <w:rPr>
          <w:rFonts w:ascii="Times New Roman" w:hAnsi="Times New Roman" w:cs="Times New Roman"/>
          <w:szCs w:val="24"/>
          <w:lang w:val="en-GB" w:eastAsia="en-GB"/>
        </w:rPr>
        <w:t>April</w:t>
      </w:r>
      <w:r w:rsidRPr="00BD212C" w:rsidR="00A95392">
        <w:rPr>
          <w:rFonts w:ascii="Times New Roman" w:hAnsi="Times New Roman" w:cs="Times New Roman"/>
          <w:szCs w:val="24"/>
          <w:lang w:val="en-GB" w:eastAsia="en-GB"/>
        </w:rPr>
        <w:t xml:space="preserve"> 2010, </w:t>
      </w:r>
      <w:r w:rsidRPr="00BD212C" w:rsidR="00BC4EE6">
        <w:rPr>
          <w:rFonts w:ascii="Times New Roman" w:hAnsi="Times New Roman" w:cs="Times New Roman"/>
          <w:szCs w:val="24"/>
          <w:lang w:val="en-GB" w:eastAsia="en-GB"/>
        </w:rPr>
        <w:t>in which the C</w:t>
      </w:r>
      <w:r w:rsidRPr="00BD212C" w:rsidR="00A95392">
        <w:rPr>
          <w:rFonts w:ascii="Times New Roman" w:hAnsi="Times New Roman" w:cs="Times New Roman"/>
          <w:szCs w:val="24"/>
          <w:lang w:val="en-GB" w:eastAsia="en-GB"/>
        </w:rPr>
        <w:t>onstitution</w:t>
      </w:r>
      <w:r w:rsidRPr="00BD212C" w:rsidR="00BC4EE6">
        <w:rPr>
          <w:rFonts w:ascii="Times New Roman" w:hAnsi="Times New Roman" w:cs="Times New Roman"/>
          <w:szCs w:val="24"/>
          <w:lang w:val="en-GB" w:eastAsia="en-GB"/>
        </w:rPr>
        <w:t>al Court</w:t>
      </w:r>
      <w:r w:rsidRPr="00BD212C" w:rsidR="00A20B54">
        <w:rPr>
          <w:rFonts w:ascii="Times New Roman" w:hAnsi="Times New Roman" w:cs="Times New Roman"/>
          <w:szCs w:val="24"/>
          <w:lang w:val="en-GB" w:eastAsia="en-GB"/>
        </w:rPr>
        <w:t xml:space="preserve"> had stated that </w:t>
      </w:r>
      <w:r w:rsidRPr="00BD212C" w:rsidR="00CD29C3">
        <w:rPr>
          <w:rFonts w:ascii="Times New Roman" w:hAnsi="Times New Roman" w:cs="Times New Roman"/>
          <w:szCs w:val="24"/>
          <w:lang w:val="en-GB" w:eastAsia="en-GB"/>
        </w:rPr>
        <w:t>homosexual</w:t>
      </w:r>
      <w:r w:rsidRPr="00BD212C" w:rsidR="00A20B54">
        <w:rPr>
          <w:rFonts w:ascii="Times New Roman" w:hAnsi="Times New Roman" w:cs="Times New Roman"/>
          <w:szCs w:val="24"/>
          <w:lang w:val="en-GB" w:eastAsia="en-GB"/>
        </w:rPr>
        <w:t xml:space="preserve"> </w:t>
      </w:r>
      <w:r w:rsidRPr="00BD212C" w:rsidR="00CD29C3">
        <w:rPr>
          <w:rFonts w:ascii="Times New Roman" w:hAnsi="Times New Roman" w:cs="Times New Roman"/>
          <w:szCs w:val="24"/>
          <w:lang w:val="en-GB" w:eastAsia="en-GB"/>
        </w:rPr>
        <w:t>unions</w:t>
      </w:r>
      <w:r w:rsidRPr="00BD212C" w:rsidR="00A20B54">
        <w:rPr>
          <w:rFonts w:ascii="Times New Roman" w:hAnsi="Times New Roman" w:cs="Times New Roman"/>
          <w:szCs w:val="24"/>
          <w:lang w:val="en-GB" w:eastAsia="en-GB"/>
        </w:rPr>
        <w:t xml:space="preserve">, </w:t>
      </w:r>
      <w:r w:rsidRPr="00BD212C" w:rsidR="00CD29C3">
        <w:rPr>
          <w:rFonts w:ascii="Times New Roman" w:hAnsi="Times New Roman" w:cs="Times New Roman"/>
          <w:szCs w:val="24"/>
          <w:lang w:val="en-GB" w:eastAsia="en-GB"/>
        </w:rPr>
        <w:t>namely</w:t>
      </w:r>
      <w:r w:rsidRPr="00BD212C" w:rsidR="00A20B54">
        <w:rPr>
          <w:rFonts w:ascii="Times New Roman" w:hAnsi="Times New Roman" w:cs="Times New Roman"/>
          <w:szCs w:val="24"/>
          <w:lang w:val="en-GB" w:eastAsia="en-GB"/>
        </w:rPr>
        <w:t xml:space="preserve">, </w:t>
      </w:r>
      <w:r w:rsidRPr="00BD212C" w:rsidR="00CD29C3">
        <w:rPr>
          <w:rFonts w:ascii="Times New Roman" w:hAnsi="Times New Roman" w:cs="Times New Roman"/>
          <w:szCs w:val="24"/>
          <w:lang w:val="en-GB" w:eastAsia="en-GB"/>
        </w:rPr>
        <w:t>those in which</w:t>
      </w:r>
      <w:r w:rsidRPr="00BD212C" w:rsidR="00A20B54">
        <w:rPr>
          <w:rFonts w:ascii="Times New Roman" w:hAnsi="Times New Roman" w:cs="Times New Roman"/>
          <w:szCs w:val="24"/>
          <w:lang w:val="en-GB" w:eastAsia="en-GB"/>
        </w:rPr>
        <w:t xml:space="preserve"> persons of the same sex lived together as a couple</w:t>
      </w:r>
      <w:r w:rsidRPr="00BD212C" w:rsidR="00A95392">
        <w:rPr>
          <w:rFonts w:ascii="Times New Roman" w:hAnsi="Times New Roman" w:cs="Times New Roman"/>
          <w:szCs w:val="24"/>
          <w:lang w:val="en-GB" w:eastAsia="en-GB"/>
        </w:rPr>
        <w:t>,</w:t>
      </w:r>
      <w:r w:rsidRPr="00BD212C" w:rsidR="00A20B54">
        <w:rPr>
          <w:rFonts w:ascii="Times New Roman" w:hAnsi="Times New Roman" w:cs="Times New Roman"/>
          <w:szCs w:val="24"/>
          <w:lang w:val="en-GB" w:eastAsia="en-GB"/>
        </w:rPr>
        <w:t xml:space="preserve"> had to be regarded as</w:t>
      </w:r>
      <w:r w:rsidRPr="00BD212C" w:rsidR="00893ABA">
        <w:rPr>
          <w:rFonts w:ascii="Times New Roman" w:hAnsi="Times New Roman" w:cs="Times New Roman"/>
          <w:szCs w:val="24"/>
          <w:lang w:val="en-GB" w:eastAsia="en-GB"/>
        </w:rPr>
        <w:t xml:space="preserve"> </w:t>
      </w:r>
      <w:r w:rsidRPr="00BD212C" w:rsidR="00A20B54">
        <w:rPr>
          <w:rFonts w:ascii="Times New Roman" w:hAnsi="Times New Roman" w:cs="Times New Roman"/>
          <w:szCs w:val="24"/>
          <w:lang w:val="en-GB" w:eastAsia="en-GB"/>
        </w:rPr>
        <w:t>a “</w:t>
      </w:r>
      <w:r w:rsidRPr="00BD212C" w:rsidR="00A95392">
        <w:rPr>
          <w:rFonts w:ascii="Times New Roman" w:hAnsi="Times New Roman" w:cs="Times New Roman"/>
          <w:szCs w:val="24"/>
          <w:lang w:val="en-GB" w:eastAsia="en-GB"/>
        </w:rPr>
        <w:t>social</w:t>
      </w:r>
      <w:r w:rsidRPr="00BD212C" w:rsidR="00A20B54">
        <w:rPr>
          <w:rFonts w:ascii="Times New Roman" w:hAnsi="Times New Roman" w:cs="Times New Roman"/>
          <w:szCs w:val="24"/>
          <w:lang w:val="en-GB" w:eastAsia="en-GB"/>
        </w:rPr>
        <w:t xml:space="preserve"> </w:t>
      </w:r>
      <w:r w:rsidRPr="00BD212C" w:rsidR="00AA3494">
        <w:rPr>
          <w:rFonts w:ascii="Times New Roman" w:hAnsi="Times New Roman" w:cs="Times New Roman"/>
          <w:szCs w:val="24"/>
          <w:lang w:val="en-GB" w:eastAsia="en-GB"/>
        </w:rPr>
        <w:t>group</w:t>
      </w:r>
      <w:r w:rsidRPr="00BD212C" w:rsidR="00A20B54">
        <w:rPr>
          <w:rFonts w:ascii="Times New Roman" w:hAnsi="Times New Roman" w:cs="Times New Roman"/>
          <w:szCs w:val="24"/>
          <w:lang w:val="en-GB" w:eastAsia="en-GB"/>
        </w:rPr>
        <w:t>”</w:t>
      </w:r>
      <w:r w:rsidRPr="00BD212C" w:rsidR="00A95392">
        <w:rPr>
          <w:rFonts w:ascii="Times New Roman" w:hAnsi="Times New Roman" w:cs="Times New Roman"/>
          <w:szCs w:val="24"/>
          <w:lang w:val="en-GB" w:eastAsia="en-GB"/>
        </w:rPr>
        <w:t xml:space="preserve"> </w:t>
      </w:r>
      <w:r w:rsidRPr="00BD212C" w:rsidR="00A20B54">
        <w:rPr>
          <w:rFonts w:ascii="Times New Roman" w:hAnsi="Times New Roman" w:cs="Times New Roman"/>
          <w:szCs w:val="24"/>
          <w:lang w:val="en-GB" w:eastAsia="en-GB"/>
        </w:rPr>
        <w:t>within the meaning of Ar</w:t>
      </w:r>
      <w:r w:rsidRPr="00BD212C" w:rsidR="00A95392">
        <w:rPr>
          <w:rFonts w:ascii="Times New Roman" w:hAnsi="Times New Roman" w:cs="Times New Roman"/>
          <w:szCs w:val="24"/>
          <w:lang w:val="en-GB" w:eastAsia="en-GB"/>
        </w:rPr>
        <w:t xml:space="preserve">ticle 2 </w:t>
      </w:r>
      <w:r w:rsidRPr="00BD212C" w:rsidR="00A20B54">
        <w:rPr>
          <w:rFonts w:ascii="Times New Roman" w:hAnsi="Times New Roman" w:cs="Times New Roman"/>
          <w:szCs w:val="24"/>
          <w:lang w:val="en-GB" w:eastAsia="en-GB"/>
        </w:rPr>
        <w:t>of the</w:t>
      </w:r>
      <w:r w:rsidRPr="00BD212C" w:rsidR="00A95392">
        <w:rPr>
          <w:rFonts w:ascii="Times New Roman" w:hAnsi="Times New Roman" w:cs="Times New Roman"/>
          <w:szCs w:val="24"/>
          <w:lang w:val="en-GB" w:eastAsia="en-GB"/>
        </w:rPr>
        <w:t xml:space="preserve"> Constitution. </w:t>
      </w:r>
      <w:r w:rsidRPr="00BD212C" w:rsidR="00A20B54">
        <w:rPr>
          <w:rFonts w:ascii="Times New Roman" w:hAnsi="Times New Roman" w:cs="Times New Roman"/>
          <w:szCs w:val="24"/>
          <w:lang w:val="en-GB" w:eastAsia="en-GB"/>
        </w:rPr>
        <w:t>Accordingly</w:t>
      </w:r>
      <w:r w:rsidRPr="00BD212C" w:rsidR="00A95392">
        <w:rPr>
          <w:rFonts w:ascii="Times New Roman" w:hAnsi="Times New Roman" w:cs="Times New Roman"/>
          <w:szCs w:val="24"/>
          <w:lang w:val="en-GB" w:eastAsia="en-GB"/>
        </w:rPr>
        <w:t xml:space="preserve">, </w:t>
      </w:r>
      <w:r w:rsidRPr="00BD212C" w:rsidR="00A20B54">
        <w:rPr>
          <w:rFonts w:ascii="Times New Roman" w:hAnsi="Times New Roman" w:cs="Times New Roman"/>
          <w:szCs w:val="24"/>
          <w:lang w:val="en-GB" w:eastAsia="en-GB"/>
        </w:rPr>
        <w:t>in the Government</w:t>
      </w:r>
      <w:r w:rsidRPr="00BD212C">
        <w:rPr>
          <w:rFonts w:ascii="Times New Roman" w:hAnsi="Times New Roman" w:cs="Times New Roman"/>
          <w:szCs w:val="24"/>
          <w:lang w:val="en-GB" w:eastAsia="en-GB"/>
        </w:rPr>
        <w:t>’</w:t>
      </w:r>
      <w:r w:rsidRPr="00BD212C" w:rsidR="00A20B54">
        <w:rPr>
          <w:rFonts w:ascii="Times New Roman" w:hAnsi="Times New Roman" w:cs="Times New Roman"/>
          <w:szCs w:val="24"/>
          <w:lang w:val="en-GB" w:eastAsia="en-GB"/>
        </w:rPr>
        <w:t>s submission</w:t>
      </w:r>
      <w:r w:rsidRPr="00BD212C" w:rsidR="00A95392">
        <w:rPr>
          <w:rFonts w:ascii="Times New Roman" w:hAnsi="Times New Roman" w:cs="Times New Roman"/>
          <w:szCs w:val="24"/>
          <w:lang w:val="en-GB" w:eastAsia="en-GB"/>
        </w:rPr>
        <w:t xml:space="preserve">, </w:t>
      </w:r>
      <w:r w:rsidRPr="00BD212C" w:rsidR="00A20B54">
        <w:rPr>
          <w:rFonts w:ascii="Times New Roman" w:hAnsi="Times New Roman" w:cs="Times New Roman"/>
          <w:szCs w:val="24"/>
          <w:lang w:val="en-GB" w:eastAsia="en-GB"/>
        </w:rPr>
        <w:t>in order to protect specific</w:t>
      </w:r>
      <w:r w:rsidRPr="00BD212C" w:rsidR="00A95392">
        <w:rPr>
          <w:rFonts w:ascii="Times New Roman" w:hAnsi="Times New Roman" w:cs="Times New Roman"/>
          <w:szCs w:val="24"/>
          <w:lang w:val="en-GB" w:eastAsia="en-GB"/>
        </w:rPr>
        <w:t xml:space="preserve"> situations, </w:t>
      </w:r>
      <w:r w:rsidRPr="00BD212C" w:rsidR="00CD29C3">
        <w:rPr>
          <w:rFonts w:ascii="Times New Roman" w:hAnsi="Times New Roman" w:cs="Times New Roman"/>
          <w:szCs w:val="24"/>
          <w:lang w:val="en-GB" w:eastAsia="en-GB"/>
        </w:rPr>
        <w:t>homosexual</w:t>
      </w:r>
      <w:r w:rsidRPr="00BD212C" w:rsidR="00A95392">
        <w:rPr>
          <w:rFonts w:ascii="Times New Roman" w:hAnsi="Times New Roman" w:cs="Times New Roman"/>
          <w:szCs w:val="24"/>
          <w:lang w:val="en-GB" w:eastAsia="en-GB"/>
        </w:rPr>
        <w:t xml:space="preserve"> couples </w:t>
      </w:r>
      <w:r w:rsidRPr="00BD212C" w:rsidR="00A20B54">
        <w:rPr>
          <w:rFonts w:ascii="Times New Roman" w:hAnsi="Times New Roman" w:cs="Times New Roman"/>
          <w:szCs w:val="24"/>
          <w:lang w:val="en-GB" w:eastAsia="en-GB"/>
        </w:rPr>
        <w:t>had the right to request “equal treatment”</w:t>
      </w:r>
      <w:r w:rsidRPr="00BD212C" w:rsidR="00A95392">
        <w:rPr>
          <w:rFonts w:ascii="Times New Roman" w:hAnsi="Times New Roman" w:cs="Times New Roman"/>
          <w:szCs w:val="24"/>
          <w:lang w:val="en-GB" w:eastAsia="en-GB"/>
        </w:rPr>
        <w:t xml:space="preserve">, </w:t>
      </w:r>
      <w:r w:rsidRPr="00BD212C" w:rsidR="00A20B54">
        <w:rPr>
          <w:rFonts w:ascii="Times New Roman" w:hAnsi="Times New Roman" w:cs="Times New Roman"/>
          <w:szCs w:val="24"/>
          <w:lang w:val="en-GB" w:eastAsia="en-GB"/>
        </w:rPr>
        <w:t xml:space="preserve">that is, </w:t>
      </w:r>
      <w:r w:rsidRPr="00BD212C" w:rsidR="00CD29C3">
        <w:rPr>
          <w:rFonts w:ascii="Times New Roman" w:hAnsi="Times New Roman" w:cs="Times New Roman"/>
          <w:szCs w:val="24"/>
          <w:lang w:val="en-GB" w:eastAsia="en-GB"/>
        </w:rPr>
        <w:t xml:space="preserve">treatment </w:t>
      </w:r>
      <w:r w:rsidRPr="00BD212C" w:rsidR="00A95392">
        <w:rPr>
          <w:rFonts w:ascii="Times New Roman" w:hAnsi="Times New Roman" w:cs="Times New Roman"/>
          <w:szCs w:val="24"/>
          <w:lang w:val="en-GB" w:eastAsia="en-GB"/>
        </w:rPr>
        <w:t xml:space="preserve">comparable </w:t>
      </w:r>
      <w:r w:rsidRPr="00BD212C" w:rsidR="00A20B54">
        <w:rPr>
          <w:rFonts w:ascii="Times New Roman" w:hAnsi="Times New Roman" w:cs="Times New Roman"/>
          <w:szCs w:val="24"/>
          <w:lang w:val="en-GB" w:eastAsia="en-GB"/>
        </w:rPr>
        <w:t xml:space="preserve">to </w:t>
      </w:r>
      <w:r w:rsidRPr="00BD212C" w:rsidR="00AA3494">
        <w:rPr>
          <w:rFonts w:ascii="Times New Roman" w:hAnsi="Times New Roman" w:cs="Times New Roman"/>
          <w:szCs w:val="24"/>
          <w:lang w:val="en-GB" w:eastAsia="en-GB"/>
        </w:rPr>
        <w:t>that</w:t>
      </w:r>
      <w:r w:rsidRPr="00BD212C" w:rsidR="00A20B54">
        <w:rPr>
          <w:rFonts w:ascii="Times New Roman" w:hAnsi="Times New Roman" w:cs="Times New Roman"/>
          <w:szCs w:val="24"/>
          <w:lang w:val="en-GB" w:eastAsia="en-GB"/>
        </w:rPr>
        <w:t xml:space="preserve"> of married </w:t>
      </w:r>
      <w:r w:rsidRPr="00BD212C" w:rsidR="00A95392">
        <w:rPr>
          <w:rFonts w:ascii="Times New Roman" w:hAnsi="Times New Roman" w:cs="Times New Roman"/>
          <w:szCs w:val="24"/>
          <w:lang w:val="en-GB" w:eastAsia="en-GB"/>
        </w:rPr>
        <w:t>couple</w:t>
      </w:r>
      <w:r w:rsidRPr="00BD212C" w:rsidR="00A20B54">
        <w:rPr>
          <w:rFonts w:ascii="Times New Roman" w:hAnsi="Times New Roman" w:cs="Times New Roman"/>
          <w:szCs w:val="24"/>
          <w:lang w:val="en-GB" w:eastAsia="en-GB"/>
        </w:rPr>
        <w:t>s</w:t>
      </w:r>
      <w:r w:rsidRPr="00BD212C" w:rsidR="00A95392">
        <w:rPr>
          <w:rFonts w:ascii="Times New Roman" w:hAnsi="Times New Roman" w:cs="Times New Roman"/>
          <w:szCs w:val="24"/>
          <w:lang w:val="en-GB" w:eastAsia="en-GB"/>
        </w:rPr>
        <w:t xml:space="preserve"> (</w:t>
      </w:r>
      <w:r w:rsidRPr="00BD212C" w:rsidR="00AA3494">
        <w:rPr>
          <w:rFonts w:ascii="Times New Roman" w:hAnsi="Times New Roman" w:cs="Times New Roman"/>
          <w:szCs w:val="24"/>
          <w:lang w:val="en-GB" w:eastAsia="en-GB"/>
        </w:rPr>
        <w:t xml:space="preserve">judgment no. </w:t>
      </w:r>
      <w:r w:rsidRPr="00BD212C" w:rsidR="00A95392">
        <w:rPr>
          <w:rFonts w:ascii="Times New Roman" w:hAnsi="Times New Roman" w:cs="Times New Roman"/>
          <w:szCs w:val="24"/>
          <w:lang w:val="en-GB" w:eastAsia="en-GB"/>
        </w:rPr>
        <w:t xml:space="preserve">138 </w:t>
      </w:r>
      <w:r w:rsidRPr="00BD212C" w:rsidR="00AA3494">
        <w:rPr>
          <w:rFonts w:ascii="Times New Roman" w:hAnsi="Times New Roman" w:cs="Times New Roman"/>
          <w:szCs w:val="24"/>
          <w:lang w:val="en-GB" w:eastAsia="en-GB"/>
        </w:rPr>
        <w:t>of</w:t>
      </w:r>
      <w:r w:rsidRPr="00BD212C" w:rsidR="00A95392">
        <w:rPr>
          <w:rFonts w:ascii="Times New Roman" w:hAnsi="Times New Roman" w:cs="Times New Roman"/>
          <w:szCs w:val="24"/>
          <w:lang w:val="en-GB" w:eastAsia="en-GB"/>
        </w:rPr>
        <w:t xml:space="preserve"> 2010 </w:t>
      </w:r>
      <w:r w:rsidRPr="00BD212C" w:rsidR="00AA3494">
        <w:rPr>
          <w:rFonts w:ascii="Times New Roman" w:hAnsi="Times New Roman" w:cs="Times New Roman"/>
          <w:szCs w:val="24"/>
          <w:lang w:val="en-GB" w:eastAsia="en-GB"/>
        </w:rPr>
        <w:t>is described in</w:t>
      </w:r>
      <w:r w:rsidRPr="00BD212C" w:rsidR="00A95392">
        <w:rPr>
          <w:rFonts w:ascii="Times New Roman" w:hAnsi="Times New Roman" w:cs="Times New Roman"/>
          <w:szCs w:val="24"/>
          <w:lang w:val="en-GB" w:eastAsia="en-GB"/>
        </w:rPr>
        <w:t xml:space="preserve"> </w:t>
      </w:r>
      <w:r w:rsidRPr="00BD212C" w:rsidR="00AA3494">
        <w:rPr>
          <w:i/>
          <w:lang w:val="en-GB"/>
        </w:rPr>
        <w:t>Oliari and Others v. Italy</w:t>
      </w:r>
      <w:r w:rsidRPr="00BD212C" w:rsidR="00AA3494">
        <w:rPr>
          <w:lang w:val="en-GB"/>
        </w:rPr>
        <w:t>, nos. 18766/11 and 36030/11</w:t>
      </w:r>
      <w:r w:rsidRPr="00BD212C" w:rsidR="00AA3494">
        <w:rPr>
          <w:snapToGrid w:val="0"/>
          <w:lang w:val="en-GB"/>
        </w:rPr>
        <w:t>, §§ 15 to 18, 21 July 201</w:t>
      </w:r>
      <w:r w:rsidRPr="00BD212C" w:rsidR="00A95392">
        <w:rPr>
          <w:rFonts w:ascii="Times New Roman" w:hAnsi="Times New Roman" w:cs="Times New Roman"/>
          <w:szCs w:val="24"/>
          <w:lang w:val="en-GB" w:eastAsia="en-GB"/>
        </w:rPr>
        <w:t xml:space="preserve">5). </w:t>
      </w:r>
      <w:r w:rsidRPr="00BD212C" w:rsidR="00205D08">
        <w:rPr>
          <w:rFonts w:ascii="Times New Roman" w:hAnsi="Times New Roman" w:cs="Times New Roman"/>
          <w:szCs w:val="24"/>
          <w:lang w:val="en-GB" w:eastAsia="en-GB"/>
        </w:rPr>
        <w:t>Moreover, t</w:t>
      </w:r>
      <w:r w:rsidRPr="00BD212C" w:rsidR="00AA3494">
        <w:rPr>
          <w:rFonts w:ascii="Times New Roman" w:hAnsi="Times New Roman" w:cs="Times New Roman"/>
          <w:szCs w:val="24"/>
          <w:lang w:val="en-GB" w:eastAsia="en-GB"/>
        </w:rPr>
        <w:t xml:space="preserve">he civil rights of </w:t>
      </w:r>
      <w:r w:rsidRPr="00BD212C" w:rsidR="00205D08">
        <w:rPr>
          <w:rFonts w:ascii="Times New Roman" w:hAnsi="Times New Roman" w:cs="Times New Roman"/>
          <w:szCs w:val="24"/>
          <w:lang w:val="en-GB" w:eastAsia="en-GB"/>
        </w:rPr>
        <w:t xml:space="preserve">unmarried </w:t>
      </w:r>
      <w:r w:rsidRPr="00BD212C" w:rsidR="00A95392">
        <w:rPr>
          <w:rFonts w:ascii="Times New Roman" w:hAnsi="Times New Roman" w:cs="Times New Roman"/>
          <w:szCs w:val="24"/>
          <w:lang w:val="en-GB" w:eastAsia="en-GB"/>
        </w:rPr>
        <w:t>homosexu</w:t>
      </w:r>
      <w:r w:rsidRPr="00BD212C" w:rsidR="00205D08">
        <w:rPr>
          <w:rFonts w:ascii="Times New Roman" w:hAnsi="Times New Roman" w:cs="Times New Roman"/>
          <w:szCs w:val="24"/>
          <w:lang w:val="en-GB" w:eastAsia="en-GB"/>
        </w:rPr>
        <w:t>a</w:t>
      </w:r>
      <w:r w:rsidRPr="00BD212C" w:rsidR="00A95392">
        <w:rPr>
          <w:rFonts w:ascii="Times New Roman" w:hAnsi="Times New Roman" w:cs="Times New Roman"/>
          <w:szCs w:val="24"/>
          <w:lang w:val="en-GB" w:eastAsia="en-GB"/>
        </w:rPr>
        <w:t>l</w:t>
      </w:r>
      <w:r w:rsidRPr="00BD212C" w:rsidR="00205D08">
        <w:rPr>
          <w:rFonts w:ascii="Times New Roman" w:hAnsi="Times New Roman" w:cs="Times New Roman"/>
          <w:szCs w:val="24"/>
          <w:lang w:val="en-GB" w:eastAsia="en-GB"/>
        </w:rPr>
        <w:t xml:space="preserve"> and </w:t>
      </w:r>
      <w:r w:rsidRPr="00BD212C" w:rsidR="00A95392">
        <w:rPr>
          <w:rFonts w:ascii="Times New Roman" w:hAnsi="Times New Roman" w:cs="Times New Roman"/>
          <w:szCs w:val="24"/>
          <w:lang w:val="en-GB" w:eastAsia="en-GB"/>
        </w:rPr>
        <w:t>h</w:t>
      </w:r>
      <w:r w:rsidRPr="00BD212C" w:rsidR="00205D08">
        <w:rPr>
          <w:rFonts w:ascii="Times New Roman" w:hAnsi="Times New Roman" w:cs="Times New Roman"/>
          <w:szCs w:val="24"/>
          <w:lang w:val="en-GB" w:eastAsia="en-GB"/>
        </w:rPr>
        <w:t>e</w:t>
      </w:r>
      <w:r w:rsidRPr="00BD212C" w:rsidR="00A95392">
        <w:rPr>
          <w:rFonts w:ascii="Times New Roman" w:hAnsi="Times New Roman" w:cs="Times New Roman"/>
          <w:szCs w:val="24"/>
          <w:lang w:val="en-GB" w:eastAsia="en-GB"/>
        </w:rPr>
        <w:t>t</w:t>
      </w:r>
      <w:r w:rsidRPr="00BD212C" w:rsidR="00205D08">
        <w:rPr>
          <w:rFonts w:ascii="Times New Roman" w:hAnsi="Times New Roman" w:cs="Times New Roman"/>
          <w:szCs w:val="24"/>
          <w:lang w:val="en-GB" w:eastAsia="en-GB"/>
        </w:rPr>
        <w:t>e</w:t>
      </w:r>
      <w:r w:rsidRPr="00BD212C" w:rsidR="00A95392">
        <w:rPr>
          <w:rFonts w:ascii="Times New Roman" w:hAnsi="Times New Roman" w:cs="Times New Roman"/>
          <w:szCs w:val="24"/>
          <w:lang w:val="en-GB" w:eastAsia="en-GB"/>
        </w:rPr>
        <w:t>rosexu</w:t>
      </w:r>
      <w:r w:rsidRPr="00BD212C" w:rsidR="00205D08">
        <w:rPr>
          <w:rFonts w:ascii="Times New Roman" w:hAnsi="Times New Roman" w:cs="Times New Roman"/>
          <w:szCs w:val="24"/>
          <w:lang w:val="en-GB" w:eastAsia="en-GB"/>
        </w:rPr>
        <w:t>a</w:t>
      </w:r>
      <w:r w:rsidRPr="00BD212C" w:rsidR="00A95392">
        <w:rPr>
          <w:rFonts w:ascii="Times New Roman" w:hAnsi="Times New Roman" w:cs="Times New Roman"/>
          <w:szCs w:val="24"/>
          <w:lang w:val="en-GB" w:eastAsia="en-GB"/>
        </w:rPr>
        <w:t>l</w:t>
      </w:r>
      <w:r w:rsidRPr="00BD212C" w:rsidR="00205D08">
        <w:rPr>
          <w:rFonts w:ascii="Times New Roman" w:hAnsi="Times New Roman" w:cs="Times New Roman"/>
          <w:szCs w:val="24"/>
          <w:lang w:val="en-GB" w:eastAsia="en-GB"/>
        </w:rPr>
        <w:t xml:space="preserve"> couples were the subject of debate in several European States and in the Italian P</w:t>
      </w:r>
      <w:r w:rsidRPr="00BD212C" w:rsidR="00A95392">
        <w:rPr>
          <w:rFonts w:ascii="Times New Roman" w:hAnsi="Times New Roman" w:cs="Times New Roman"/>
          <w:szCs w:val="24"/>
          <w:lang w:val="en-GB" w:eastAsia="en-GB"/>
        </w:rPr>
        <w:t>arl</w:t>
      </w:r>
      <w:r w:rsidRPr="00BD212C" w:rsidR="00205D08">
        <w:rPr>
          <w:rFonts w:ascii="Times New Roman" w:hAnsi="Times New Roman" w:cs="Times New Roman"/>
          <w:szCs w:val="24"/>
          <w:lang w:val="en-GB" w:eastAsia="en-GB"/>
        </w:rPr>
        <w:t>ia</w:t>
      </w:r>
      <w:r w:rsidRPr="00BD212C" w:rsidR="00A95392">
        <w:rPr>
          <w:rFonts w:ascii="Times New Roman" w:hAnsi="Times New Roman" w:cs="Times New Roman"/>
          <w:szCs w:val="24"/>
          <w:lang w:val="en-GB" w:eastAsia="en-GB"/>
        </w:rPr>
        <w:t xml:space="preserve">ment, </w:t>
      </w:r>
      <w:r w:rsidRPr="00BD212C" w:rsidR="00205D08">
        <w:rPr>
          <w:rFonts w:ascii="Times New Roman" w:hAnsi="Times New Roman" w:cs="Times New Roman"/>
          <w:szCs w:val="24"/>
          <w:lang w:val="en-GB" w:eastAsia="en-GB"/>
        </w:rPr>
        <w:t xml:space="preserve">in the light, </w:t>
      </w:r>
      <w:r w:rsidRPr="00BD212C" w:rsidR="00205D08">
        <w:rPr>
          <w:rFonts w:ascii="Times New Roman" w:hAnsi="Times New Roman" w:cs="Times New Roman"/>
          <w:i/>
          <w:szCs w:val="24"/>
          <w:lang w:val="en-GB" w:eastAsia="en-GB"/>
        </w:rPr>
        <w:t>inter alia</w:t>
      </w:r>
      <w:r w:rsidRPr="00BD212C" w:rsidR="00205D08">
        <w:rPr>
          <w:rFonts w:ascii="Times New Roman" w:hAnsi="Times New Roman" w:cs="Times New Roman"/>
          <w:szCs w:val="24"/>
          <w:lang w:val="en-GB" w:eastAsia="en-GB"/>
        </w:rPr>
        <w:t>, of the Court</w:t>
      </w:r>
      <w:r w:rsidRPr="00BD212C">
        <w:rPr>
          <w:rFonts w:ascii="Times New Roman" w:hAnsi="Times New Roman" w:cs="Times New Roman"/>
          <w:szCs w:val="24"/>
          <w:lang w:val="en-GB" w:eastAsia="en-GB"/>
        </w:rPr>
        <w:t>’</w:t>
      </w:r>
      <w:r w:rsidRPr="00BD212C" w:rsidR="00205D08">
        <w:rPr>
          <w:rFonts w:ascii="Times New Roman" w:hAnsi="Times New Roman" w:cs="Times New Roman"/>
          <w:szCs w:val="24"/>
          <w:lang w:val="en-GB" w:eastAsia="en-GB"/>
        </w:rPr>
        <w:t>s case-law</w:t>
      </w:r>
      <w:r w:rsidRPr="00BD212C" w:rsidR="00A95392">
        <w:rPr>
          <w:rFonts w:ascii="Times New Roman" w:hAnsi="Times New Roman" w:cs="Times New Roman"/>
          <w:szCs w:val="24"/>
          <w:lang w:val="en-GB" w:eastAsia="en-GB"/>
        </w:rPr>
        <w:t xml:space="preserve"> </w:t>
      </w:r>
      <w:r w:rsidRPr="00BD212C" w:rsidR="00205D08">
        <w:rPr>
          <w:rFonts w:ascii="Times New Roman" w:hAnsi="Times New Roman" w:cs="Times New Roman"/>
          <w:szCs w:val="24"/>
          <w:lang w:val="en-GB" w:eastAsia="en-GB"/>
        </w:rPr>
        <w:t>and of Council of Europe</w:t>
      </w:r>
      <w:r w:rsidRPr="00BD212C" w:rsidR="00A95392">
        <w:rPr>
          <w:rFonts w:ascii="Times New Roman" w:hAnsi="Times New Roman" w:cs="Times New Roman"/>
          <w:szCs w:val="24"/>
          <w:lang w:val="en-GB" w:eastAsia="en-GB"/>
        </w:rPr>
        <w:t xml:space="preserve"> documents.</w:t>
      </w:r>
    </w:p>
    <w:p w:rsidRPr="00BD212C" w:rsidR="00A95392" w:rsidP="00BD212C" w:rsidRDefault="00BD212C">
      <w:pPr>
        <w:pStyle w:val="ECHRPara"/>
        <w:rPr>
          <w:rFonts w:ascii="Times New Roman" w:hAnsi="Times New Roman" w:cs="Times New Roman"/>
          <w:szCs w:val="24"/>
          <w:lang w:val="en-GB" w:eastAsia="en-GB"/>
        </w:rPr>
      </w:pPr>
      <w:fldSimple w:instr=" SEQ level0 \*arabic ">
        <w:r w:rsidRPr="00BD212C">
          <w:rPr>
            <w:noProof/>
          </w:rPr>
          <w:t>65</w:t>
        </w:r>
      </w:fldSimple>
      <w:r w:rsidRPr="00BD212C" w:rsidR="00A95392">
        <w:t>.  </w:t>
      </w:r>
      <w:r w:rsidRPr="00BD212C" w:rsidR="00205D08">
        <w:rPr>
          <w:rFonts w:ascii="Times New Roman" w:hAnsi="Times New Roman" w:cs="Times New Roman"/>
          <w:szCs w:val="24"/>
          <w:lang w:val="en-GB" w:eastAsia="en-GB"/>
        </w:rPr>
        <w:t>However</w:t>
      </w:r>
      <w:r w:rsidRPr="00BD212C" w:rsidR="00A95392">
        <w:rPr>
          <w:rFonts w:ascii="Times New Roman" w:hAnsi="Times New Roman" w:cs="Times New Roman"/>
          <w:szCs w:val="24"/>
          <w:lang w:val="en-GB" w:eastAsia="en-GB"/>
        </w:rPr>
        <w:t>,</w:t>
      </w:r>
      <w:r w:rsidRPr="00BD212C" w:rsidR="00205D08">
        <w:rPr>
          <w:rFonts w:ascii="Times New Roman" w:hAnsi="Times New Roman" w:cs="Times New Roman"/>
          <w:szCs w:val="24"/>
          <w:lang w:val="en-GB" w:eastAsia="en-GB"/>
        </w:rPr>
        <w:t xml:space="preserve"> in the Government</w:t>
      </w:r>
      <w:r w:rsidRPr="00BD212C">
        <w:rPr>
          <w:rFonts w:ascii="Times New Roman" w:hAnsi="Times New Roman" w:cs="Times New Roman"/>
          <w:szCs w:val="24"/>
          <w:lang w:val="en-GB" w:eastAsia="en-GB"/>
        </w:rPr>
        <w:t>’</w:t>
      </w:r>
      <w:r w:rsidRPr="00BD212C" w:rsidR="00205D08">
        <w:rPr>
          <w:rFonts w:ascii="Times New Roman" w:hAnsi="Times New Roman" w:cs="Times New Roman"/>
          <w:szCs w:val="24"/>
          <w:lang w:val="en-GB" w:eastAsia="en-GB"/>
        </w:rPr>
        <w:t>s submission</w:t>
      </w:r>
      <w:r w:rsidRPr="00BD212C" w:rsidR="00A95392">
        <w:rPr>
          <w:rFonts w:ascii="Times New Roman" w:hAnsi="Times New Roman" w:cs="Times New Roman"/>
          <w:szCs w:val="24"/>
          <w:lang w:val="en-GB" w:eastAsia="en-GB"/>
        </w:rPr>
        <w:t>,</w:t>
      </w:r>
      <w:r w:rsidRPr="00BD212C" w:rsidR="00205D08">
        <w:rPr>
          <w:rFonts w:ascii="Times New Roman" w:hAnsi="Times New Roman" w:cs="Times New Roman"/>
          <w:szCs w:val="24"/>
          <w:lang w:val="en-GB" w:eastAsia="en-GB"/>
        </w:rPr>
        <w:t xml:space="preserve"> the fact that a c</w:t>
      </w:r>
      <w:r w:rsidRPr="00BD212C" w:rsidR="00A95392">
        <w:rPr>
          <w:rFonts w:ascii="Times New Roman" w:hAnsi="Times New Roman" w:cs="Times New Roman"/>
          <w:szCs w:val="24"/>
          <w:lang w:val="en-GB" w:eastAsia="en-GB"/>
        </w:rPr>
        <w:t xml:space="preserve">ertain </w:t>
      </w:r>
      <w:r w:rsidRPr="00BD212C" w:rsidR="00205D08">
        <w:rPr>
          <w:rFonts w:ascii="Times New Roman" w:hAnsi="Times New Roman" w:cs="Times New Roman"/>
          <w:szCs w:val="24"/>
          <w:lang w:val="en-GB" w:eastAsia="en-GB"/>
        </w:rPr>
        <w:t>number of other States had enacted laws</w:t>
      </w:r>
      <w:r w:rsidRPr="00BD212C" w:rsidR="00A95392">
        <w:rPr>
          <w:rFonts w:ascii="Times New Roman" w:hAnsi="Times New Roman" w:cs="Times New Roman"/>
          <w:szCs w:val="24"/>
          <w:lang w:val="en-GB" w:eastAsia="en-GB"/>
        </w:rPr>
        <w:t xml:space="preserve"> </w:t>
      </w:r>
      <w:r w:rsidRPr="00BD212C" w:rsidR="00205D08">
        <w:rPr>
          <w:rFonts w:ascii="Times New Roman" w:hAnsi="Times New Roman" w:cs="Times New Roman"/>
          <w:szCs w:val="24"/>
          <w:lang w:val="en-GB" w:eastAsia="en-GB"/>
        </w:rPr>
        <w:t>on civil partnerships did not in any way o</w:t>
      </w:r>
      <w:r w:rsidRPr="00BD212C" w:rsidR="00A95392">
        <w:rPr>
          <w:rFonts w:ascii="Times New Roman" w:hAnsi="Times New Roman" w:cs="Times New Roman"/>
          <w:szCs w:val="24"/>
          <w:lang w:val="en-GB" w:eastAsia="en-GB"/>
        </w:rPr>
        <w:t xml:space="preserve">blige </w:t>
      </w:r>
      <w:r w:rsidRPr="00BD212C" w:rsidR="00205D08">
        <w:rPr>
          <w:rFonts w:ascii="Times New Roman" w:hAnsi="Times New Roman" w:cs="Times New Roman"/>
          <w:szCs w:val="24"/>
          <w:lang w:val="en-GB" w:eastAsia="en-GB"/>
        </w:rPr>
        <w:t>Italy to do likewise</w:t>
      </w:r>
      <w:r w:rsidRPr="00BD212C" w:rsidR="00A95392">
        <w:rPr>
          <w:rFonts w:ascii="Times New Roman" w:hAnsi="Times New Roman" w:cs="Times New Roman"/>
          <w:szCs w:val="24"/>
          <w:lang w:val="en-GB" w:eastAsia="en-GB"/>
        </w:rPr>
        <w:t xml:space="preserve">, </w:t>
      </w:r>
      <w:r w:rsidRPr="00BD212C" w:rsidR="00205D08">
        <w:rPr>
          <w:rFonts w:ascii="Times New Roman" w:hAnsi="Times New Roman" w:cs="Times New Roman"/>
          <w:szCs w:val="24"/>
          <w:lang w:val="en-GB" w:eastAsia="en-GB"/>
        </w:rPr>
        <w:t>since the</w:t>
      </w:r>
      <w:r w:rsidRPr="00BD212C" w:rsidR="00A95392">
        <w:rPr>
          <w:rFonts w:ascii="Times New Roman" w:hAnsi="Times New Roman" w:cs="Times New Roman"/>
          <w:szCs w:val="24"/>
          <w:lang w:val="en-GB" w:eastAsia="en-GB"/>
        </w:rPr>
        <w:t xml:space="preserve"> national</w:t>
      </w:r>
      <w:r w:rsidRPr="00BD212C" w:rsidR="00205D08">
        <w:rPr>
          <w:rFonts w:ascii="Times New Roman" w:hAnsi="Times New Roman" w:cs="Times New Roman"/>
          <w:szCs w:val="24"/>
          <w:lang w:val="en-GB" w:eastAsia="en-GB"/>
        </w:rPr>
        <w:t xml:space="preserve"> parliament could always</w:t>
      </w:r>
      <w:r w:rsidRPr="00BD212C" w:rsidR="00A95392">
        <w:rPr>
          <w:rFonts w:ascii="Times New Roman" w:hAnsi="Times New Roman" w:cs="Times New Roman"/>
          <w:szCs w:val="24"/>
          <w:lang w:val="en-GB" w:eastAsia="en-GB"/>
        </w:rPr>
        <w:t xml:space="preserve"> </w:t>
      </w:r>
      <w:r w:rsidRPr="00BD212C" w:rsidR="00CD29C3">
        <w:rPr>
          <w:rFonts w:ascii="Times New Roman" w:hAnsi="Times New Roman" w:cs="Times New Roman"/>
          <w:szCs w:val="24"/>
          <w:lang w:val="en-GB" w:eastAsia="en-GB"/>
        </w:rPr>
        <w:t>exercise</w:t>
      </w:r>
      <w:r w:rsidRPr="00BD212C" w:rsidR="00205D08">
        <w:rPr>
          <w:rFonts w:ascii="Times New Roman" w:hAnsi="Times New Roman" w:cs="Times New Roman"/>
          <w:szCs w:val="24"/>
          <w:lang w:val="en-GB" w:eastAsia="en-GB"/>
        </w:rPr>
        <w:t xml:space="preserve"> its margin of appre</w:t>
      </w:r>
      <w:r w:rsidRPr="00BD212C" w:rsidR="00A95392">
        <w:rPr>
          <w:rFonts w:ascii="Times New Roman" w:hAnsi="Times New Roman" w:cs="Times New Roman"/>
          <w:szCs w:val="24"/>
          <w:lang w:val="en-GB" w:eastAsia="en-GB"/>
        </w:rPr>
        <w:t xml:space="preserve">ciation. </w:t>
      </w:r>
      <w:r w:rsidRPr="00BD212C" w:rsidR="00205D08">
        <w:rPr>
          <w:rFonts w:ascii="Times New Roman" w:hAnsi="Times New Roman" w:cs="Times New Roman"/>
          <w:szCs w:val="24"/>
          <w:lang w:val="en-GB" w:eastAsia="en-GB"/>
        </w:rPr>
        <w:t>The Govern</w:t>
      </w:r>
      <w:r w:rsidRPr="00BD212C" w:rsidR="00A95392">
        <w:rPr>
          <w:rFonts w:ascii="Times New Roman" w:hAnsi="Times New Roman" w:cs="Times New Roman"/>
          <w:szCs w:val="24"/>
          <w:lang w:val="en-GB" w:eastAsia="en-GB"/>
        </w:rPr>
        <w:t xml:space="preserve">ment </w:t>
      </w:r>
      <w:r w:rsidRPr="00BD212C" w:rsidR="00205D08">
        <w:rPr>
          <w:rFonts w:ascii="Times New Roman" w:hAnsi="Times New Roman" w:cs="Times New Roman"/>
          <w:szCs w:val="24"/>
          <w:lang w:val="en-GB" w:eastAsia="en-GB"/>
        </w:rPr>
        <w:t>pointed out that the Constitutional Court had</w:t>
      </w:r>
      <w:r w:rsidRPr="00BD212C" w:rsidR="00A95392">
        <w:rPr>
          <w:rFonts w:ascii="Times New Roman" w:hAnsi="Times New Roman" w:cs="Times New Roman"/>
          <w:szCs w:val="24"/>
          <w:lang w:val="en-GB" w:eastAsia="en-GB"/>
        </w:rPr>
        <w:t xml:space="preserve"> </w:t>
      </w:r>
      <w:r w:rsidRPr="00BD212C" w:rsidR="00205D08">
        <w:rPr>
          <w:rFonts w:ascii="Times New Roman" w:hAnsi="Times New Roman" w:cs="Times New Roman"/>
          <w:szCs w:val="24"/>
          <w:lang w:val="en-GB" w:eastAsia="en-GB"/>
        </w:rPr>
        <w:t>recognised as much in its judgment no. </w:t>
      </w:r>
      <w:r w:rsidRPr="00BD212C" w:rsidR="00A95392">
        <w:rPr>
          <w:rFonts w:ascii="Times New Roman" w:hAnsi="Times New Roman" w:cs="Times New Roman"/>
          <w:szCs w:val="24"/>
          <w:lang w:val="en-GB" w:eastAsia="en-GB"/>
        </w:rPr>
        <w:t xml:space="preserve">138 </w:t>
      </w:r>
      <w:r w:rsidRPr="00BD212C" w:rsidR="00205D08">
        <w:rPr>
          <w:rFonts w:ascii="Times New Roman" w:hAnsi="Times New Roman" w:cs="Times New Roman"/>
          <w:szCs w:val="24"/>
          <w:lang w:val="en-GB" w:eastAsia="en-GB"/>
        </w:rPr>
        <w:t>of</w:t>
      </w:r>
      <w:r w:rsidRPr="00BD212C" w:rsidR="00A95392">
        <w:rPr>
          <w:rFonts w:ascii="Times New Roman" w:hAnsi="Times New Roman" w:cs="Times New Roman"/>
          <w:szCs w:val="24"/>
          <w:lang w:val="en-GB" w:eastAsia="en-GB"/>
        </w:rPr>
        <w:t xml:space="preserve"> 2010, </w:t>
      </w:r>
      <w:r w:rsidRPr="00BD212C" w:rsidR="00205D08">
        <w:rPr>
          <w:rFonts w:ascii="Times New Roman" w:hAnsi="Times New Roman" w:cs="Times New Roman"/>
          <w:szCs w:val="24"/>
          <w:lang w:val="en-GB" w:eastAsia="en-GB"/>
        </w:rPr>
        <w:t>delivered after the second applicant had submitted his application for a residence permit for family reasons</w:t>
      </w:r>
      <w:r w:rsidRPr="00BD212C" w:rsidR="00A95392">
        <w:rPr>
          <w:rFonts w:ascii="Times New Roman" w:hAnsi="Times New Roman" w:cs="Times New Roman"/>
          <w:szCs w:val="24"/>
          <w:lang w:val="en-GB" w:eastAsia="en-GB"/>
        </w:rPr>
        <w:t>.</w:t>
      </w:r>
    </w:p>
    <w:p w:rsidRPr="00BD212C" w:rsidR="00B20CCB" w:rsidP="00BD212C" w:rsidRDefault="00BD212C">
      <w:pPr>
        <w:pStyle w:val="ECHRPara"/>
        <w:rPr>
          <w:rFonts w:ascii="Times New Roman" w:hAnsi="Times New Roman" w:cs="Times New Roman"/>
          <w:szCs w:val="24"/>
          <w:lang w:val="en-GB" w:eastAsia="en-GB"/>
        </w:rPr>
      </w:pPr>
      <w:fldSimple w:instr=" SEQ level0 \*arabic ">
        <w:r w:rsidRPr="00BD212C">
          <w:rPr>
            <w:noProof/>
          </w:rPr>
          <w:t>66</w:t>
        </w:r>
      </w:fldSimple>
      <w:r w:rsidRPr="00BD212C" w:rsidR="00A95392">
        <w:t>.  </w:t>
      </w:r>
      <w:r w:rsidRPr="00BD212C" w:rsidR="00722994">
        <w:rPr>
          <w:rFonts w:ascii="Times New Roman" w:hAnsi="Times New Roman" w:cs="Times New Roman"/>
          <w:szCs w:val="24"/>
          <w:lang w:val="en-GB" w:eastAsia="en-GB"/>
        </w:rPr>
        <w:t>The Govern</w:t>
      </w:r>
      <w:r w:rsidRPr="00BD212C" w:rsidR="00A95392">
        <w:rPr>
          <w:rFonts w:ascii="Times New Roman" w:hAnsi="Times New Roman" w:cs="Times New Roman"/>
          <w:szCs w:val="24"/>
          <w:lang w:val="en-GB" w:eastAsia="en-GB"/>
        </w:rPr>
        <w:t xml:space="preserve">ment </w:t>
      </w:r>
      <w:r w:rsidRPr="00BD212C" w:rsidR="00722994">
        <w:rPr>
          <w:rFonts w:ascii="Times New Roman" w:hAnsi="Times New Roman" w:cs="Times New Roman"/>
          <w:szCs w:val="24"/>
          <w:lang w:val="en-GB" w:eastAsia="en-GB"/>
        </w:rPr>
        <w:t>observed, further, that in judgment no.</w:t>
      </w:r>
      <w:r w:rsidRPr="00BD212C" w:rsidR="00A95392">
        <w:rPr>
          <w:rFonts w:ascii="Times New Roman" w:hAnsi="Times New Roman" w:cs="Times New Roman"/>
          <w:szCs w:val="24"/>
          <w:lang w:val="en-GB" w:eastAsia="en-GB"/>
        </w:rPr>
        <w:t xml:space="preserve"> 4184 </w:t>
      </w:r>
      <w:r w:rsidRPr="00BD212C" w:rsidR="00722994">
        <w:rPr>
          <w:rFonts w:ascii="Times New Roman" w:hAnsi="Times New Roman" w:cs="Times New Roman"/>
          <w:szCs w:val="24"/>
          <w:lang w:val="en-GB" w:eastAsia="en-GB"/>
        </w:rPr>
        <w:t>of</w:t>
      </w:r>
      <w:r w:rsidRPr="00BD212C" w:rsidR="00A95392">
        <w:rPr>
          <w:rFonts w:ascii="Times New Roman" w:hAnsi="Times New Roman" w:cs="Times New Roman"/>
          <w:szCs w:val="24"/>
          <w:lang w:val="en-GB" w:eastAsia="en-GB"/>
        </w:rPr>
        <w:t xml:space="preserve"> 15 </w:t>
      </w:r>
      <w:r w:rsidRPr="00BD212C" w:rsidR="00722994">
        <w:rPr>
          <w:rFonts w:ascii="Times New Roman" w:hAnsi="Times New Roman" w:cs="Times New Roman"/>
          <w:szCs w:val="24"/>
          <w:lang w:val="en-GB" w:eastAsia="en-GB"/>
        </w:rPr>
        <w:t>March</w:t>
      </w:r>
      <w:r w:rsidRPr="00BD212C" w:rsidR="00A95392">
        <w:rPr>
          <w:rFonts w:ascii="Times New Roman" w:hAnsi="Times New Roman" w:cs="Times New Roman"/>
          <w:szCs w:val="24"/>
          <w:lang w:val="en-GB" w:eastAsia="en-GB"/>
        </w:rPr>
        <w:t xml:space="preserve"> 2012</w:t>
      </w:r>
      <w:r w:rsidRPr="00BD212C" w:rsidR="00722994">
        <w:rPr>
          <w:rFonts w:ascii="Times New Roman" w:hAnsi="Times New Roman" w:cs="Times New Roman"/>
          <w:szCs w:val="24"/>
          <w:lang w:val="en-GB" w:eastAsia="en-GB"/>
        </w:rPr>
        <w:t xml:space="preserve"> the Court of C</w:t>
      </w:r>
      <w:r w:rsidRPr="00BD212C" w:rsidR="00A95392">
        <w:rPr>
          <w:rFonts w:ascii="Times New Roman" w:hAnsi="Times New Roman" w:cs="Times New Roman"/>
          <w:szCs w:val="24"/>
          <w:lang w:val="en-GB" w:eastAsia="en-GB"/>
        </w:rPr>
        <w:t xml:space="preserve">assation </w:t>
      </w:r>
      <w:r w:rsidRPr="00BD212C" w:rsidR="00722994">
        <w:rPr>
          <w:rFonts w:ascii="Times New Roman" w:hAnsi="Times New Roman" w:cs="Times New Roman"/>
          <w:szCs w:val="24"/>
          <w:lang w:val="en-GB" w:eastAsia="en-GB"/>
        </w:rPr>
        <w:t xml:space="preserve">had stated that </w:t>
      </w:r>
      <w:r w:rsidRPr="00BD212C" w:rsidR="00CD29C3">
        <w:rPr>
          <w:rFonts w:ascii="Times New Roman" w:hAnsi="Times New Roman" w:cs="Times New Roman"/>
          <w:szCs w:val="24"/>
          <w:lang w:val="en-GB" w:eastAsia="en-GB"/>
        </w:rPr>
        <w:t>homo</w:t>
      </w:r>
      <w:r w:rsidRPr="00BD212C" w:rsidR="00722994">
        <w:rPr>
          <w:rFonts w:ascii="Times New Roman" w:hAnsi="Times New Roman" w:cs="Times New Roman"/>
          <w:szCs w:val="24"/>
          <w:lang w:val="en-GB" w:eastAsia="en-GB"/>
        </w:rPr>
        <w:t>sex</w:t>
      </w:r>
      <w:r w:rsidRPr="00BD212C" w:rsidR="00CD29C3">
        <w:rPr>
          <w:rFonts w:ascii="Times New Roman" w:hAnsi="Times New Roman" w:cs="Times New Roman"/>
          <w:szCs w:val="24"/>
          <w:lang w:val="en-GB" w:eastAsia="en-GB"/>
        </w:rPr>
        <w:t>ual</w:t>
      </w:r>
      <w:r w:rsidRPr="00BD212C" w:rsidR="00A95392">
        <w:rPr>
          <w:rFonts w:ascii="Times New Roman" w:hAnsi="Times New Roman" w:cs="Times New Roman"/>
          <w:szCs w:val="24"/>
          <w:lang w:val="en-GB" w:eastAsia="en-GB"/>
        </w:rPr>
        <w:t xml:space="preserve"> couples </w:t>
      </w:r>
      <w:r w:rsidRPr="00BD212C" w:rsidR="00722994">
        <w:rPr>
          <w:rFonts w:ascii="Times New Roman" w:hAnsi="Times New Roman" w:cs="Times New Roman"/>
          <w:szCs w:val="24"/>
          <w:lang w:val="en-GB" w:eastAsia="en-GB"/>
        </w:rPr>
        <w:t>could</w:t>
      </w:r>
      <w:r w:rsidRPr="00BD212C" w:rsidR="00A95392">
        <w:rPr>
          <w:rFonts w:ascii="Times New Roman" w:hAnsi="Times New Roman" w:cs="Times New Roman"/>
          <w:szCs w:val="24"/>
          <w:lang w:val="en-GB" w:eastAsia="en-GB"/>
        </w:rPr>
        <w:t xml:space="preserve"> </w:t>
      </w:r>
      <w:r w:rsidRPr="00BD212C" w:rsidR="00E67220">
        <w:rPr>
          <w:rFonts w:ascii="Times New Roman" w:hAnsi="Times New Roman" w:cs="Times New Roman"/>
          <w:szCs w:val="24"/>
          <w:lang w:val="en-GB" w:eastAsia="en-GB"/>
        </w:rPr>
        <w:t>assert</w:t>
      </w:r>
      <w:r w:rsidRPr="00BD212C" w:rsidR="00722994">
        <w:rPr>
          <w:rFonts w:ascii="Times New Roman" w:hAnsi="Times New Roman" w:cs="Times New Roman"/>
          <w:szCs w:val="24"/>
          <w:lang w:val="en-GB" w:eastAsia="en-GB"/>
        </w:rPr>
        <w:t xml:space="preserve"> before the domestic court</w:t>
      </w:r>
      <w:r w:rsidRPr="00BD212C" w:rsidR="00A95392">
        <w:rPr>
          <w:rFonts w:ascii="Times New Roman" w:hAnsi="Times New Roman" w:cs="Times New Roman"/>
          <w:szCs w:val="24"/>
          <w:lang w:val="en-GB" w:eastAsia="en-GB"/>
        </w:rPr>
        <w:t xml:space="preserve">s </w:t>
      </w:r>
      <w:r w:rsidRPr="00BD212C" w:rsidR="00722994">
        <w:rPr>
          <w:rFonts w:ascii="Times New Roman" w:hAnsi="Times New Roman" w:cs="Times New Roman"/>
          <w:szCs w:val="24"/>
          <w:lang w:val="en-GB" w:eastAsia="en-GB"/>
        </w:rPr>
        <w:t>rights recognised</w:t>
      </w:r>
      <w:r w:rsidRPr="00BD212C" w:rsidR="00CD29C3">
        <w:rPr>
          <w:rFonts w:ascii="Times New Roman" w:hAnsi="Times New Roman" w:cs="Times New Roman"/>
          <w:szCs w:val="24"/>
          <w:lang w:val="en-GB" w:eastAsia="en-GB"/>
        </w:rPr>
        <w:t xml:space="preserve"> as belonging</w:t>
      </w:r>
      <w:r w:rsidRPr="00BD212C" w:rsidR="00722994">
        <w:rPr>
          <w:rFonts w:ascii="Times New Roman" w:hAnsi="Times New Roman" w:cs="Times New Roman"/>
          <w:szCs w:val="24"/>
          <w:lang w:val="en-GB" w:eastAsia="en-GB"/>
        </w:rPr>
        <w:t xml:space="preserve"> to heterosexual</w:t>
      </w:r>
      <w:r w:rsidRPr="00BD212C" w:rsidR="00A95392">
        <w:rPr>
          <w:rFonts w:ascii="Times New Roman" w:hAnsi="Times New Roman" w:cs="Times New Roman"/>
          <w:szCs w:val="24"/>
          <w:lang w:val="en-GB" w:eastAsia="en-GB"/>
        </w:rPr>
        <w:t xml:space="preserve"> couples </w:t>
      </w:r>
      <w:r w:rsidRPr="00BD212C" w:rsidR="00722994">
        <w:rPr>
          <w:rFonts w:ascii="Times New Roman" w:hAnsi="Times New Roman" w:cs="Times New Roman"/>
          <w:szCs w:val="24"/>
          <w:lang w:val="en-GB" w:eastAsia="en-GB"/>
        </w:rPr>
        <w:t>and, where applicable</w:t>
      </w:r>
      <w:r w:rsidRPr="00BD212C" w:rsidR="00A95392">
        <w:rPr>
          <w:rFonts w:ascii="Times New Roman" w:hAnsi="Times New Roman" w:cs="Times New Roman"/>
          <w:szCs w:val="24"/>
          <w:lang w:val="en-GB" w:eastAsia="en-GB"/>
        </w:rPr>
        <w:t xml:space="preserve">, </w:t>
      </w:r>
      <w:r w:rsidRPr="00BD212C" w:rsidR="00137733">
        <w:rPr>
          <w:rFonts w:ascii="Times New Roman" w:hAnsi="Times New Roman" w:cs="Times New Roman"/>
          <w:szCs w:val="24"/>
          <w:lang w:val="en-GB" w:eastAsia="en-GB"/>
        </w:rPr>
        <w:t>plead un</w:t>
      </w:r>
      <w:r w:rsidRPr="00BD212C" w:rsidR="00A95392">
        <w:rPr>
          <w:rFonts w:ascii="Times New Roman" w:hAnsi="Times New Roman" w:cs="Times New Roman"/>
          <w:szCs w:val="24"/>
          <w:lang w:val="en-GB" w:eastAsia="en-GB"/>
        </w:rPr>
        <w:t>constitutionalit</w:t>
      </w:r>
      <w:r w:rsidRPr="00BD212C" w:rsidR="00137733">
        <w:rPr>
          <w:rFonts w:ascii="Times New Roman" w:hAnsi="Times New Roman" w:cs="Times New Roman"/>
          <w:szCs w:val="24"/>
          <w:lang w:val="en-GB" w:eastAsia="en-GB"/>
        </w:rPr>
        <w:t>y of the relevant law</w:t>
      </w:r>
      <w:r w:rsidRPr="00BD212C" w:rsidR="00A95392">
        <w:rPr>
          <w:rFonts w:ascii="Times New Roman" w:hAnsi="Times New Roman" w:cs="Times New Roman"/>
          <w:szCs w:val="24"/>
          <w:lang w:val="en-GB" w:eastAsia="en-GB"/>
        </w:rPr>
        <w:t xml:space="preserve">s. </w:t>
      </w:r>
      <w:r w:rsidRPr="00BD212C" w:rsidR="00137733">
        <w:rPr>
          <w:rFonts w:ascii="Times New Roman" w:hAnsi="Times New Roman" w:cs="Times New Roman"/>
          <w:szCs w:val="24"/>
          <w:lang w:val="en-GB" w:eastAsia="en-GB"/>
        </w:rPr>
        <w:t>They added that</w:t>
      </w:r>
      <w:r w:rsidRPr="00BD212C" w:rsidR="00A95392">
        <w:rPr>
          <w:rFonts w:ascii="Times New Roman" w:hAnsi="Times New Roman" w:cs="Times New Roman"/>
          <w:szCs w:val="24"/>
          <w:lang w:val="en-GB" w:eastAsia="en-GB"/>
        </w:rPr>
        <w:t>,</w:t>
      </w:r>
      <w:r w:rsidRPr="00BD212C" w:rsidR="00137733">
        <w:rPr>
          <w:rFonts w:ascii="Times New Roman" w:hAnsi="Times New Roman" w:cs="Times New Roman"/>
          <w:szCs w:val="24"/>
          <w:lang w:val="en-GB" w:eastAsia="en-GB"/>
        </w:rPr>
        <w:t xml:space="preserve"> in the applicants</w:t>
      </w:r>
      <w:r w:rsidRPr="00BD212C">
        <w:rPr>
          <w:rFonts w:ascii="Times New Roman" w:hAnsi="Times New Roman" w:cs="Times New Roman"/>
          <w:szCs w:val="24"/>
          <w:lang w:val="en-GB" w:eastAsia="en-GB"/>
        </w:rPr>
        <w:t>’</w:t>
      </w:r>
      <w:r w:rsidRPr="00BD212C" w:rsidR="00137733">
        <w:rPr>
          <w:rFonts w:ascii="Times New Roman" w:hAnsi="Times New Roman" w:cs="Times New Roman"/>
          <w:szCs w:val="24"/>
          <w:lang w:val="en-GB" w:eastAsia="en-GB"/>
        </w:rPr>
        <w:t xml:space="preserve"> case</w:t>
      </w:r>
      <w:r w:rsidRPr="00BD212C" w:rsidR="00A95392">
        <w:rPr>
          <w:rFonts w:ascii="Times New Roman" w:hAnsi="Times New Roman" w:cs="Times New Roman"/>
          <w:szCs w:val="24"/>
          <w:lang w:val="en-GB" w:eastAsia="en-GB"/>
        </w:rPr>
        <w:t>,</w:t>
      </w:r>
      <w:r w:rsidRPr="00BD212C" w:rsidR="00137733">
        <w:rPr>
          <w:rFonts w:ascii="Times New Roman" w:hAnsi="Times New Roman" w:cs="Times New Roman"/>
          <w:szCs w:val="24"/>
          <w:lang w:val="en-GB" w:eastAsia="en-GB"/>
        </w:rPr>
        <w:t xml:space="preserve"> the Court of Ca</w:t>
      </w:r>
      <w:r w:rsidRPr="00BD212C" w:rsidR="00A95392">
        <w:rPr>
          <w:rFonts w:ascii="Times New Roman" w:hAnsi="Times New Roman" w:cs="Times New Roman"/>
          <w:szCs w:val="24"/>
          <w:lang w:val="en-GB" w:eastAsia="en-GB"/>
        </w:rPr>
        <w:t xml:space="preserve">ssation </w:t>
      </w:r>
      <w:r w:rsidRPr="00BD212C" w:rsidR="00137733">
        <w:rPr>
          <w:rFonts w:ascii="Times New Roman" w:hAnsi="Times New Roman" w:cs="Times New Roman"/>
          <w:szCs w:val="24"/>
          <w:lang w:val="en-GB" w:eastAsia="en-GB"/>
        </w:rPr>
        <w:t>had not based its decision on the applicant</w:t>
      </w:r>
      <w:r w:rsidRPr="00BD212C">
        <w:rPr>
          <w:rFonts w:ascii="Times New Roman" w:hAnsi="Times New Roman" w:cs="Times New Roman"/>
          <w:szCs w:val="24"/>
          <w:lang w:val="en-GB" w:eastAsia="en-GB"/>
        </w:rPr>
        <w:t>’</w:t>
      </w:r>
      <w:r w:rsidRPr="00BD212C" w:rsidR="00137733">
        <w:rPr>
          <w:rFonts w:ascii="Times New Roman" w:hAnsi="Times New Roman" w:cs="Times New Roman"/>
          <w:szCs w:val="24"/>
          <w:lang w:val="en-GB" w:eastAsia="en-GB"/>
        </w:rPr>
        <w:t>s sexual orientation</w:t>
      </w:r>
      <w:r w:rsidRPr="00BD212C" w:rsidR="00A95392">
        <w:rPr>
          <w:rFonts w:ascii="Times New Roman" w:hAnsi="Times New Roman" w:cs="Times New Roman"/>
          <w:szCs w:val="24"/>
          <w:lang w:val="en-GB" w:eastAsia="en-GB"/>
        </w:rPr>
        <w:t>,</w:t>
      </w:r>
      <w:r w:rsidRPr="00BD212C" w:rsidR="00137733">
        <w:rPr>
          <w:rFonts w:ascii="Times New Roman" w:hAnsi="Times New Roman" w:cs="Times New Roman"/>
          <w:szCs w:val="24"/>
          <w:lang w:val="en-GB" w:eastAsia="en-GB"/>
        </w:rPr>
        <w:t xml:space="preserve"> but had only had regard to Italian immigration law as amended by the relevant European provision</w:t>
      </w:r>
      <w:r w:rsidRPr="00BD212C" w:rsidR="00A95392">
        <w:rPr>
          <w:rFonts w:ascii="Times New Roman" w:hAnsi="Times New Roman" w:cs="Times New Roman"/>
          <w:szCs w:val="24"/>
          <w:lang w:val="en-GB" w:eastAsia="en-GB"/>
        </w:rPr>
        <w:t>s.</w:t>
      </w:r>
    </w:p>
    <w:p w:rsidRPr="00BD212C" w:rsidR="00A95392" w:rsidP="00BD212C" w:rsidRDefault="00A95392">
      <w:pPr>
        <w:pStyle w:val="ECHRPara"/>
        <w:rPr>
          <w:rFonts w:ascii="Times New Roman" w:hAnsi="Times New Roman" w:cs="Times New Roman"/>
          <w:szCs w:val="24"/>
          <w:lang w:val="en-GB"/>
        </w:rPr>
      </w:pPr>
      <w:r w:rsidRPr="00BD212C">
        <w:rPr>
          <w:rFonts w:ascii="Times New Roman" w:hAnsi="Times New Roman" w:cs="Times New Roman"/>
          <w:szCs w:val="24"/>
          <w:lang w:val="fr-FR" w:eastAsia="en-GB"/>
        </w:rPr>
        <w:fldChar w:fldCharType="begin"/>
      </w:r>
      <w:r w:rsidRPr="00BD212C">
        <w:rPr>
          <w:rFonts w:ascii="Times New Roman" w:hAnsi="Times New Roman" w:cs="Times New Roman"/>
          <w:szCs w:val="24"/>
          <w:lang w:eastAsia="en-GB"/>
        </w:rPr>
        <w:instrText xml:space="preserve"> SEQ level0 \*arabic </w:instrText>
      </w:r>
      <w:r w:rsidRPr="00BD212C">
        <w:rPr>
          <w:rFonts w:ascii="Times New Roman" w:hAnsi="Times New Roman" w:cs="Times New Roman"/>
          <w:szCs w:val="24"/>
          <w:lang w:val="fr-FR" w:eastAsia="en-GB"/>
        </w:rPr>
        <w:fldChar w:fldCharType="separate"/>
      </w:r>
      <w:r w:rsidRPr="00BD212C" w:rsidR="00BD212C">
        <w:rPr>
          <w:rFonts w:ascii="Times New Roman" w:hAnsi="Times New Roman" w:cs="Times New Roman"/>
          <w:noProof/>
          <w:szCs w:val="24"/>
          <w:lang w:eastAsia="en-GB"/>
        </w:rPr>
        <w:t>67</w:t>
      </w:r>
      <w:r w:rsidRPr="00BD212C">
        <w:rPr>
          <w:rFonts w:ascii="Times New Roman" w:hAnsi="Times New Roman" w:cs="Times New Roman"/>
          <w:szCs w:val="24"/>
          <w:lang w:val="fr-FR" w:eastAsia="en-GB"/>
        </w:rPr>
        <w:fldChar w:fldCharType="end"/>
      </w:r>
      <w:r w:rsidRPr="00BD212C">
        <w:rPr>
          <w:rFonts w:ascii="Times New Roman" w:hAnsi="Times New Roman" w:cs="Times New Roman"/>
          <w:szCs w:val="24"/>
          <w:lang w:eastAsia="en-GB"/>
        </w:rPr>
        <w:t>.  </w:t>
      </w:r>
      <w:r w:rsidRPr="00BD212C" w:rsidR="00AD2389">
        <w:rPr>
          <w:rFonts w:ascii="Times New Roman" w:hAnsi="Times New Roman" w:cs="Times New Roman"/>
          <w:szCs w:val="24"/>
          <w:lang w:val="en-GB"/>
        </w:rPr>
        <w:t>Lastly</w:t>
      </w:r>
      <w:r w:rsidRPr="00BD212C">
        <w:rPr>
          <w:rFonts w:ascii="Times New Roman" w:hAnsi="Times New Roman" w:cs="Times New Roman"/>
          <w:szCs w:val="24"/>
          <w:lang w:val="en-GB"/>
        </w:rPr>
        <w:t>,</w:t>
      </w:r>
      <w:r w:rsidRPr="00BD212C" w:rsidR="00AD2389">
        <w:rPr>
          <w:rFonts w:ascii="Times New Roman" w:hAnsi="Times New Roman" w:cs="Times New Roman"/>
          <w:szCs w:val="24"/>
          <w:lang w:val="en-GB"/>
        </w:rPr>
        <w:t xml:space="preserve"> the</w:t>
      </w:r>
      <w:r w:rsidRPr="00BD212C">
        <w:rPr>
          <w:rFonts w:ascii="Times New Roman" w:hAnsi="Times New Roman" w:cs="Times New Roman"/>
          <w:szCs w:val="24"/>
          <w:lang w:val="en-GB"/>
        </w:rPr>
        <w:t xml:space="preserve"> Go</w:t>
      </w:r>
      <w:r w:rsidRPr="00BD212C" w:rsidR="00AD2389">
        <w:rPr>
          <w:rFonts w:ascii="Times New Roman" w:hAnsi="Times New Roman" w:cs="Times New Roman"/>
          <w:szCs w:val="24"/>
          <w:lang w:val="en-GB"/>
        </w:rPr>
        <w:t>vern</w:t>
      </w:r>
      <w:r w:rsidRPr="00BD212C">
        <w:rPr>
          <w:rFonts w:ascii="Times New Roman" w:hAnsi="Times New Roman" w:cs="Times New Roman"/>
          <w:szCs w:val="24"/>
          <w:lang w:val="en-GB"/>
        </w:rPr>
        <w:t xml:space="preserve">ment </w:t>
      </w:r>
      <w:r w:rsidRPr="00BD212C" w:rsidR="00AD2389">
        <w:rPr>
          <w:rFonts w:ascii="Times New Roman" w:hAnsi="Times New Roman" w:cs="Times New Roman"/>
          <w:szCs w:val="24"/>
          <w:lang w:val="en-GB"/>
        </w:rPr>
        <w:t xml:space="preserve">sought to </w:t>
      </w:r>
      <w:r w:rsidRPr="00BD212C">
        <w:rPr>
          <w:rFonts w:ascii="Times New Roman" w:hAnsi="Times New Roman" w:cs="Times New Roman"/>
          <w:szCs w:val="24"/>
          <w:lang w:val="en-GB"/>
        </w:rPr>
        <w:t>confirm</w:t>
      </w:r>
      <w:r w:rsidRPr="00BD212C" w:rsidR="00AD2389">
        <w:rPr>
          <w:rFonts w:ascii="Times New Roman" w:hAnsi="Times New Roman" w:cs="Times New Roman"/>
          <w:szCs w:val="24"/>
          <w:lang w:val="en-GB"/>
        </w:rPr>
        <w:t xml:space="preserve"> their commitment to the pro</w:t>
      </w:r>
      <w:r w:rsidRPr="00BD212C">
        <w:rPr>
          <w:rFonts w:ascii="Times New Roman" w:hAnsi="Times New Roman" w:cs="Times New Roman"/>
          <w:szCs w:val="24"/>
          <w:lang w:val="en-GB"/>
        </w:rPr>
        <w:t xml:space="preserve">tection </w:t>
      </w:r>
      <w:r w:rsidRPr="00BD212C" w:rsidR="00AD2389">
        <w:rPr>
          <w:rFonts w:ascii="Times New Roman" w:hAnsi="Times New Roman" w:cs="Times New Roman"/>
          <w:szCs w:val="24"/>
          <w:lang w:val="en-GB"/>
        </w:rPr>
        <w:t>of</w:t>
      </w:r>
      <w:r w:rsidRPr="00BD212C">
        <w:rPr>
          <w:rFonts w:ascii="Times New Roman" w:hAnsi="Times New Roman" w:cs="Times New Roman"/>
          <w:szCs w:val="24"/>
          <w:lang w:val="en-GB"/>
        </w:rPr>
        <w:t xml:space="preserve"> </w:t>
      </w:r>
      <w:r w:rsidRPr="00BD212C" w:rsidR="00AD2389">
        <w:rPr>
          <w:rFonts w:ascii="Times New Roman" w:hAnsi="Times New Roman" w:cs="Times New Roman"/>
          <w:szCs w:val="24"/>
          <w:lang w:val="en-GB"/>
        </w:rPr>
        <w:t xml:space="preserve">lesbian, gay, bisexual and transgender persons </w:t>
      </w:r>
      <w:r w:rsidRPr="00BD212C">
        <w:rPr>
          <w:rFonts w:ascii="Times New Roman" w:hAnsi="Times New Roman" w:cs="Times New Roman"/>
          <w:szCs w:val="24"/>
          <w:lang w:val="en-GB"/>
        </w:rPr>
        <w:t xml:space="preserve">(LGBT) </w:t>
      </w:r>
      <w:r w:rsidRPr="00BD212C" w:rsidR="00AD2389">
        <w:rPr>
          <w:rFonts w:ascii="Times New Roman" w:hAnsi="Times New Roman" w:cs="Times New Roman"/>
          <w:szCs w:val="24"/>
          <w:lang w:val="en-GB"/>
        </w:rPr>
        <w:t xml:space="preserve">and against </w:t>
      </w:r>
      <w:r w:rsidRPr="00BD212C">
        <w:rPr>
          <w:rFonts w:ascii="Times New Roman" w:hAnsi="Times New Roman" w:cs="Times New Roman"/>
          <w:szCs w:val="24"/>
          <w:lang w:val="en-GB"/>
        </w:rPr>
        <w:t>homophobi</w:t>
      </w:r>
      <w:r w:rsidRPr="00BD212C" w:rsidR="00AD2389">
        <w:rPr>
          <w:rFonts w:ascii="Times New Roman" w:hAnsi="Times New Roman" w:cs="Times New Roman"/>
          <w:szCs w:val="24"/>
          <w:lang w:val="en-GB"/>
        </w:rPr>
        <w:t>a</w:t>
      </w:r>
      <w:r w:rsidRPr="00BD212C">
        <w:rPr>
          <w:rFonts w:ascii="Times New Roman" w:hAnsi="Times New Roman" w:cs="Times New Roman"/>
          <w:szCs w:val="24"/>
          <w:lang w:val="en-GB"/>
        </w:rPr>
        <w:t xml:space="preserve">, </w:t>
      </w:r>
      <w:r w:rsidRPr="00BD212C" w:rsidR="00AD2389">
        <w:rPr>
          <w:rFonts w:ascii="Times New Roman" w:hAnsi="Times New Roman" w:cs="Times New Roman"/>
          <w:szCs w:val="24"/>
          <w:lang w:val="en-GB"/>
        </w:rPr>
        <w:t>which had led to the cre</w:t>
      </w:r>
      <w:r w:rsidRPr="00BD212C">
        <w:rPr>
          <w:rFonts w:ascii="Times New Roman" w:hAnsi="Times New Roman" w:cs="Times New Roman"/>
          <w:szCs w:val="24"/>
          <w:lang w:val="en-GB"/>
        </w:rPr>
        <w:t xml:space="preserve">ation </w:t>
      </w:r>
      <w:r w:rsidRPr="00BD212C" w:rsidR="00AD2389">
        <w:rPr>
          <w:rFonts w:ascii="Times New Roman" w:hAnsi="Times New Roman" w:cs="Times New Roman"/>
          <w:szCs w:val="24"/>
          <w:lang w:val="en-GB"/>
        </w:rPr>
        <w:t>of the</w:t>
      </w:r>
      <w:r w:rsidRPr="00BD212C">
        <w:rPr>
          <w:rFonts w:ascii="Times New Roman" w:hAnsi="Times New Roman" w:cs="Times New Roman"/>
          <w:szCs w:val="24"/>
          <w:lang w:val="en-GB"/>
        </w:rPr>
        <w:t xml:space="preserve"> </w:t>
      </w:r>
      <w:r w:rsidRPr="00BD212C" w:rsidR="00AD2389">
        <w:rPr>
          <w:rFonts w:ascii="Times New Roman" w:hAnsi="Times New Roman" w:cs="Times New Roman"/>
          <w:szCs w:val="24"/>
          <w:lang w:val="en-GB"/>
        </w:rPr>
        <w:t>N</w:t>
      </w:r>
      <w:r w:rsidRPr="00BD212C">
        <w:rPr>
          <w:rFonts w:ascii="Times New Roman" w:hAnsi="Times New Roman" w:cs="Times New Roman"/>
          <w:szCs w:val="24"/>
          <w:lang w:val="en-GB"/>
        </w:rPr>
        <w:t xml:space="preserve">ational </w:t>
      </w:r>
      <w:r w:rsidRPr="00BD212C" w:rsidR="00BA649E">
        <w:rPr>
          <w:rFonts w:ascii="Times New Roman" w:hAnsi="Times New Roman" w:cs="Times New Roman"/>
          <w:szCs w:val="24"/>
          <w:lang w:val="en-GB"/>
        </w:rPr>
        <w:t>Office</w:t>
      </w:r>
      <w:r w:rsidRPr="00BD212C" w:rsidR="00AD2389">
        <w:rPr>
          <w:rFonts w:ascii="Times New Roman" w:hAnsi="Times New Roman" w:cs="Times New Roman"/>
          <w:szCs w:val="24"/>
          <w:lang w:val="en-GB"/>
        </w:rPr>
        <w:t xml:space="preserve"> against Racial Di</w:t>
      </w:r>
      <w:r w:rsidRPr="00BD212C">
        <w:rPr>
          <w:rFonts w:ascii="Times New Roman" w:hAnsi="Times New Roman" w:cs="Times New Roman"/>
          <w:szCs w:val="24"/>
          <w:lang w:val="en-GB"/>
        </w:rPr>
        <w:t>scrimination (</w:t>
      </w:r>
      <w:r w:rsidRPr="00BD212C">
        <w:rPr>
          <w:rFonts w:ascii="Times New Roman" w:hAnsi="Times New Roman" w:cs="Times New Roman"/>
          <w:i/>
          <w:szCs w:val="24"/>
          <w:lang w:val="en-GB"/>
        </w:rPr>
        <w:t>Ufficio Nazionale Antidiscriminazioni Razziali</w:t>
      </w:r>
      <w:r w:rsidRPr="00BD212C" w:rsidR="00AD1DA9">
        <w:rPr>
          <w:rFonts w:ascii="Times New Roman" w:hAnsi="Times New Roman" w:cs="Times New Roman"/>
          <w:i/>
          <w:szCs w:val="24"/>
          <w:lang w:val="en-GB"/>
        </w:rPr>
        <w:t xml:space="preserve"> –</w:t>
      </w:r>
      <w:r w:rsidRPr="00BD212C" w:rsidR="00AD1DA9">
        <w:rPr>
          <w:rFonts w:ascii="Times New Roman" w:hAnsi="Times New Roman" w:cs="Times New Roman"/>
          <w:szCs w:val="24"/>
          <w:lang w:val="en-GB"/>
        </w:rPr>
        <w:t xml:space="preserve"> “</w:t>
      </w:r>
      <w:r w:rsidRPr="00BD212C" w:rsidR="00CD29C3">
        <w:rPr>
          <w:rFonts w:ascii="Times New Roman" w:hAnsi="Times New Roman" w:cs="Times New Roman"/>
          <w:szCs w:val="24"/>
          <w:lang w:val="en-GB"/>
        </w:rPr>
        <w:t xml:space="preserve">the </w:t>
      </w:r>
      <w:r w:rsidRPr="00BD212C" w:rsidR="00AD1DA9">
        <w:rPr>
          <w:rFonts w:ascii="Times New Roman" w:hAnsi="Times New Roman" w:cs="Times New Roman"/>
          <w:szCs w:val="24"/>
          <w:lang w:val="en-GB"/>
        </w:rPr>
        <w:t>UNAR”</w:t>
      </w:r>
      <w:r w:rsidRPr="00BD212C">
        <w:rPr>
          <w:rFonts w:ascii="Times New Roman" w:hAnsi="Times New Roman" w:cs="Times New Roman"/>
          <w:szCs w:val="24"/>
          <w:lang w:val="en-GB"/>
        </w:rPr>
        <w:t xml:space="preserve">). </w:t>
      </w:r>
      <w:r w:rsidRPr="00BD212C" w:rsidR="00AD1DA9">
        <w:rPr>
          <w:rFonts w:ascii="Times New Roman" w:hAnsi="Times New Roman" w:cs="Times New Roman"/>
          <w:szCs w:val="24"/>
          <w:lang w:val="en-GB"/>
        </w:rPr>
        <w:t>They added that the</w:t>
      </w:r>
      <w:r w:rsidRPr="00BD212C" w:rsidR="00757122">
        <w:rPr>
          <w:rFonts w:ascii="Times New Roman" w:hAnsi="Times New Roman" w:cs="Times New Roman"/>
          <w:szCs w:val="24"/>
          <w:lang w:val="en-GB"/>
        </w:rPr>
        <w:t xml:space="preserve"> creation of the</w:t>
      </w:r>
      <w:r w:rsidRPr="00BD212C" w:rsidR="00AD1DA9">
        <w:rPr>
          <w:rFonts w:ascii="Times New Roman" w:hAnsi="Times New Roman" w:cs="Times New Roman"/>
          <w:szCs w:val="24"/>
          <w:lang w:val="en-GB"/>
        </w:rPr>
        <w:t xml:space="preserve"> UNAR had </w:t>
      </w:r>
      <w:r w:rsidRPr="00BD212C" w:rsidR="00757122">
        <w:rPr>
          <w:rFonts w:ascii="Times New Roman" w:hAnsi="Times New Roman" w:cs="Times New Roman"/>
          <w:szCs w:val="24"/>
          <w:lang w:val="en-GB"/>
        </w:rPr>
        <w:t>been strongly w</w:t>
      </w:r>
      <w:r w:rsidRPr="00BD212C" w:rsidR="00AD1DA9">
        <w:rPr>
          <w:rFonts w:ascii="Times New Roman" w:hAnsi="Times New Roman" w:cs="Times New Roman"/>
          <w:szCs w:val="24"/>
          <w:lang w:val="en-GB"/>
        </w:rPr>
        <w:t>elcome</w:t>
      </w:r>
      <w:r w:rsidRPr="00BD212C" w:rsidR="00757122">
        <w:rPr>
          <w:rFonts w:ascii="Times New Roman" w:hAnsi="Times New Roman" w:cs="Times New Roman"/>
          <w:szCs w:val="24"/>
          <w:lang w:val="en-GB"/>
        </w:rPr>
        <w:t>d by</w:t>
      </w:r>
      <w:r w:rsidRPr="00BD212C" w:rsidR="00AD1DA9">
        <w:rPr>
          <w:rFonts w:ascii="Times New Roman" w:hAnsi="Times New Roman" w:cs="Times New Roman"/>
          <w:szCs w:val="24"/>
          <w:lang w:val="en-GB"/>
        </w:rPr>
        <w:t xml:space="preserve"> the European</w:t>
      </w:r>
      <w:r w:rsidRPr="00BD212C">
        <w:rPr>
          <w:rFonts w:ascii="Times New Roman" w:hAnsi="Times New Roman" w:cs="Times New Roman"/>
          <w:szCs w:val="24"/>
          <w:lang w:val="en-GB"/>
        </w:rPr>
        <w:t xml:space="preserve"> Commission </w:t>
      </w:r>
      <w:r w:rsidRPr="00BD212C" w:rsidR="00717C6C">
        <w:rPr>
          <w:rFonts w:ascii="Times New Roman" w:hAnsi="Times New Roman" w:cs="Times New Roman"/>
          <w:szCs w:val="24"/>
          <w:lang w:val="en-GB"/>
        </w:rPr>
        <w:t>against R</w:t>
      </w:r>
      <w:r w:rsidRPr="00BD212C">
        <w:rPr>
          <w:rFonts w:ascii="Times New Roman" w:hAnsi="Times New Roman" w:cs="Times New Roman"/>
          <w:szCs w:val="24"/>
          <w:lang w:val="en-GB"/>
        </w:rPr>
        <w:t>acism</w:t>
      </w:r>
      <w:r w:rsidRPr="00BD212C" w:rsidR="00717C6C">
        <w:rPr>
          <w:rFonts w:ascii="Times New Roman" w:hAnsi="Times New Roman" w:cs="Times New Roman"/>
          <w:szCs w:val="24"/>
          <w:lang w:val="en-GB"/>
        </w:rPr>
        <w:t xml:space="preserve"> and I</w:t>
      </w:r>
      <w:r w:rsidRPr="00BD212C">
        <w:rPr>
          <w:rFonts w:ascii="Times New Roman" w:hAnsi="Times New Roman" w:cs="Times New Roman"/>
          <w:szCs w:val="24"/>
          <w:lang w:val="en-GB"/>
        </w:rPr>
        <w:t>ntol</w:t>
      </w:r>
      <w:r w:rsidRPr="00BD212C" w:rsidR="00717C6C">
        <w:rPr>
          <w:rFonts w:ascii="Times New Roman" w:hAnsi="Times New Roman" w:cs="Times New Roman"/>
          <w:szCs w:val="24"/>
          <w:lang w:val="en-GB"/>
        </w:rPr>
        <w:t>e</w:t>
      </w:r>
      <w:r w:rsidRPr="00BD212C">
        <w:rPr>
          <w:rFonts w:ascii="Times New Roman" w:hAnsi="Times New Roman" w:cs="Times New Roman"/>
          <w:szCs w:val="24"/>
          <w:lang w:val="en-GB"/>
        </w:rPr>
        <w:t xml:space="preserve">rance (ECRI) – </w:t>
      </w:r>
      <w:r w:rsidRPr="00BD212C" w:rsidR="00717C6C">
        <w:rPr>
          <w:rFonts w:ascii="Times New Roman" w:hAnsi="Times New Roman" w:cs="Times New Roman"/>
          <w:szCs w:val="24"/>
          <w:lang w:val="en-GB"/>
        </w:rPr>
        <w:t xml:space="preserve">see the report on </w:t>
      </w:r>
      <w:r w:rsidRPr="00BD212C">
        <w:rPr>
          <w:rFonts w:ascii="Times New Roman" w:hAnsi="Times New Roman" w:cs="Times New Roman"/>
          <w:szCs w:val="24"/>
          <w:lang w:val="en-GB"/>
        </w:rPr>
        <w:t>Ital</w:t>
      </w:r>
      <w:r w:rsidRPr="00BD212C" w:rsidR="00717C6C">
        <w:rPr>
          <w:rFonts w:ascii="Times New Roman" w:hAnsi="Times New Roman" w:cs="Times New Roman"/>
          <w:szCs w:val="24"/>
          <w:lang w:val="en-GB"/>
        </w:rPr>
        <w:t>y published on</w:t>
      </w:r>
      <w:r w:rsidRPr="00BD212C">
        <w:rPr>
          <w:rFonts w:ascii="Times New Roman" w:hAnsi="Times New Roman" w:cs="Times New Roman"/>
          <w:szCs w:val="24"/>
          <w:lang w:val="en-GB"/>
        </w:rPr>
        <w:t xml:space="preserve"> 21 </w:t>
      </w:r>
      <w:r w:rsidRPr="00BD212C" w:rsidR="00717C6C">
        <w:rPr>
          <w:rFonts w:ascii="Times New Roman" w:hAnsi="Times New Roman" w:cs="Times New Roman"/>
          <w:szCs w:val="24"/>
          <w:lang w:val="en-GB"/>
        </w:rPr>
        <w:t>April</w:t>
      </w:r>
      <w:r w:rsidRPr="00BD212C">
        <w:rPr>
          <w:rFonts w:ascii="Times New Roman" w:hAnsi="Times New Roman" w:cs="Times New Roman"/>
          <w:szCs w:val="24"/>
          <w:lang w:val="en-GB"/>
        </w:rPr>
        <w:t xml:space="preserve"> 2012 (</w:t>
      </w:r>
      <w:r w:rsidRPr="00BD212C">
        <w:rPr>
          <w:rFonts w:ascii="Times New Roman" w:hAnsi="Times New Roman" w:cs="Times New Roman" w:eastAsiaTheme="minorHAnsi"/>
          <w:szCs w:val="24"/>
          <w:lang w:val="en-GB"/>
        </w:rPr>
        <w:t>CRI(2012)2)</w:t>
      </w:r>
      <w:r w:rsidRPr="00BD212C">
        <w:rPr>
          <w:rFonts w:ascii="Times New Roman" w:hAnsi="Times New Roman" w:cs="Times New Roman"/>
          <w:szCs w:val="24"/>
          <w:lang w:val="en-GB"/>
        </w:rPr>
        <w:t xml:space="preserve"> – </w:t>
      </w:r>
      <w:r w:rsidRPr="00BD212C" w:rsidR="00717C6C">
        <w:rPr>
          <w:rFonts w:ascii="Times New Roman" w:hAnsi="Times New Roman" w:cs="Times New Roman"/>
          <w:szCs w:val="24"/>
          <w:lang w:val="en-GB"/>
        </w:rPr>
        <w:t>and by the Commissioner for Human Rights</w:t>
      </w:r>
      <w:r w:rsidRPr="00BD212C">
        <w:rPr>
          <w:rFonts w:ascii="Times New Roman" w:hAnsi="Times New Roman" w:cs="Times New Roman"/>
          <w:szCs w:val="24"/>
          <w:lang w:val="en-GB"/>
        </w:rPr>
        <w:t xml:space="preserve"> (</w:t>
      </w:r>
      <w:r w:rsidRPr="00BD212C" w:rsidR="00717C6C">
        <w:rPr>
          <w:rFonts w:ascii="Times New Roman" w:hAnsi="Times New Roman" w:cs="Times New Roman"/>
          <w:szCs w:val="24"/>
          <w:lang w:val="en-GB"/>
        </w:rPr>
        <w:t>see the report of</w:t>
      </w:r>
      <w:r w:rsidRPr="00BD212C">
        <w:rPr>
          <w:rFonts w:ascii="Times New Roman" w:hAnsi="Times New Roman" w:cs="Times New Roman"/>
          <w:szCs w:val="24"/>
          <w:lang w:val="en-GB"/>
        </w:rPr>
        <w:t xml:space="preserve"> 18 </w:t>
      </w:r>
      <w:r w:rsidRPr="00BD212C" w:rsidR="00717C6C">
        <w:rPr>
          <w:rFonts w:ascii="Times New Roman" w:hAnsi="Times New Roman" w:cs="Times New Roman"/>
          <w:szCs w:val="24"/>
          <w:lang w:val="en-GB"/>
        </w:rPr>
        <w:t>September</w:t>
      </w:r>
      <w:r w:rsidRPr="00BD212C">
        <w:rPr>
          <w:rFonts w:ascii="Times New Roman" w:hAnsi="Times New Roman" w:cs="Times New Roman"/>
          <w:szCs w:val="24"/>
          <w:lang w:val="en-GB"/>
        </w:rPr>
        <w:t xml:space="preserve"> 2012, </w:t>
      </w:r>
      <w:r w:rsidRPr="00BD212C">
        <w:rPr>
          <w:rFonts w:ascii="Times New Roman" w:hAnsi="Times New Roman" w:cs="Times New Roman" w:eastAsiaTheme="minorHAnsi"/>
          <w:szCs w:val="24"/>
          <w:lang w:val="en-GB"/>
        </w:rPr>
        <w:t xml:space="preserve">CommDH(2012)26, </w:t>
      </w:r>
      <w:r w:rsidRPr="00BD212C" w:rsidR="00757122">
        <w:rPr>
          <w:rFonts w:ascii="Times New Roman" w:hAnsi="Times New Roman" w:cs="Times New Roman"/>
          <w:szCs w:val="24"/>
          <w:lang w:val="en-GB"/>
        </w:rPr>
        <w:t>following the Commissioner</w:t>
      </w:r>
      <w:r w:rsidRPr="00BD212C" w:rsidR="00BD212C">
        <w:rPr>
          <w:rFonts w:ascii="Times New Roman" w:hAnsi="Times New Roman" w:cs="Times New Roman"/>
          <w:szCs w:val="24"/>
          <w:lang w:val="en-GB"/>
        </w:rPr>
        <w:t>’</w:t>
      </w:r>
      <w:r w:rsidRPr="00BD212C" w:rsidR="00757122">
        <w:rPr>
          <w:rFonts w:ascii="Times New Roman" w:hAnsi="Times New Roman" w:cs="Times New Roman"/>
          <w:szCs w:val="24"/>
          <w:lang w:val="en-GB"/>
        </w:rPr>
        <w:t>s visit to Italy from 3 to</w:t>
      </w:r>
      <w:r w:rsidRPr="00BD212C">
        <w:rPr>
          <w:rFonts w:ascii="Times New Roman" w:hAnsi="Times New Roman" w:cs="Times New Roman"/>
          <w:szCs w:val="24"/>
          <w:lang w:val="en-GB"/>
        </w:rPr>
        <w:t xml:space="preserve"> 6 </w:t>
      </w:r>
      <w:r w:rsidRPr="00BD212C" w:rsidR="00757122">
        <w:rPr>
          <w:rFonts w:ascii="Times New Roman" w:hAnsi="Times New Roman" w:cs="Times New Roman"/>
          <w:szCs w:val="24"/>
          <w:lang w:val="en-GB"/>
        </w:rPr>
        <w:t>July</w:t>
      </w:r>
      <w:r w:rsidRPr="00BD212C">
        <w:rPr>
          <w:rFonts w:ascii="Times New Roman" w:hAnsi="Times New Roman" w:cs="Times New Roman"/>
          <w:szCs w:val="24"/>
          <w:lang w:val="en-GB"/>
        </w:rPr>
        <w:t xml:space="preserve"> 2012).</w:t>
      </w:r>
    </w:p>
    <w:p w:rsidRPr="00BD212C" w:rsidR="00A95392" w:rsidP="00BD212C" w:rsidRDefault="00A95392">
      <w:pPr>
        <w:pStyle w:val="ECHRHeading5"/>
      </w:pPr>
      <w:r w:rsidRPr="00BD212C">
        <w:t>ii.  </w:t>
      </w:r>
      <w:r w:rsidRPr="00BD212C" w:rsidR="00BA649E">
        <w:t>The applic</w:t>
      </w:r>
      <w:r w:rsidRPr="00BD212C">
        <w:t>ants</w:t>
      </w:r>
    </w:p>
    <w:p w:rsidRPr="00BD212C" w:rsidR="00A95392" w:rsidP="00BD212C" w:rsidRDefault="00BD212C">
      <w:pPr>
        <w:pStyle w:val="ECHRPara"/>
      </w:pPr>
      <w:fldSimple w:instr=" SEQ level0 \*arabic ">
        <w:r w:rsidRPr="00BD212C">
          <w:rPr>
            <w:noProof/>
          </w:rPr>
          <w:t>68</w:t>
        </w:r>
      </w:fldSimple>
      <w:r w:rsidRPr="00BD212C" w:rsidR="00A95392">
        <w:t>.  </w:t>
      </w:r>
      <w:r w:rsidRPr="00BD212C" w:rsidR="00BA649E">
        <w:rPr>
          <w:rStyle w:val="Strong"/>
          <w:b w:val="0"/>
          <w:bCs w:val="0"/>
          <w:lang w:val="en-GB"/>
        </w:rPr>
        <w:t>The applic</w:t>
      </w:r>
      <w:r w:rsidRPr="00BD212C" w:rsidR="00A95392">
        <w:rPr>
          <w:rStyle w:val="Strong"/>
          <w:b w:val="0"/>
          <w:bCs w:val="0"/>
          <w:lang w:val="en-GB"/>
        </w:rPr>
        <w:t xml:space="preserve">ants </w:t>
      </w:r>
      <w:r w:rsidRPr="00BD212C" w:rsidR="00BA649E">
        <w:rPr>
          <w:rStyle w:val="Strong"/>
          <w:b w:val="0"/>
          <w:bCs w:val="0"/>
          <w:lang w:val="en-GB"/>
        </w:rPr>
        <w:t xml:space="preserve">submitted that they had </w:t>
      </w:r>
      <w:r w:rsidRPr="00BD212C" w:rsidR="00A24D72">
        <w:rPr>
          <w:rStyle w:val="Strong"/>
          <w:b w:val="0"/>
          <w:bCs w:val="0"/>
          <w:lang w:val="en-GB"/>
        </w:rPr>
        <w:t xml:space="preserve">been </w:t>
      </w:r>
      <w:r w:rsidRPr="00BD212C" w:rsidR="00A95392">
        <w:rPr>
          <w:rStyle w:val="Strong"/>
          <w:b w:val="0"/>
          <w:bCs w:val="0"/>
          <w:lang w:val="en-GB"/>
        </w:rPr>
        <w:t>discriminat</w:t>
      </w:r>
      <w:r w:rsidRPr="00BD212C" w:rsidR="00BA649E">
        <w:rPr>
          <w:rStyle w:val="Strong"/>
          <w:b w:val="0"/>
          <w:bCs w:val="0"/>
          <w:lang w:val="en-GB"/>
        </w:rPr>
        <w:t>ed against on the basis of their sexual</w:t>
      </w:r>
      <w:r w:rsidRPr="00BD212C" w:rsidR="00A95392">
        <w:rPr>
          <w:rStyle w:val="Strong"/>
          <w:b w:val="0"/>
          <w:bCs w:val="0"/>
          <w:lang w:val="en-GB"/>
        </w:rPr>
        <w:t xml:space="preserve"> orientation. </w:t>
      </w:r>
      <w:r w:rsidRPr="00BD212C" w:rsidR="00BA649E">
        <w:rPr>
          <w:rStyle w:val="Strong"/>
          <w:b w:val="0"/>
          <w:bCs w:val="0"/>
        </w:rPr>
        <w:t>Referring to</w:t>
      </w:r>
      <w:r w:rsidRPr="00BD212C" w:rsidR="00A95392">
        <w:t xml:space="preserve"> </w:t>
      </w:r>
      <w:r w:rsidRPr="00BD212C" w:rsidR="00A95392">
        <w:rPr>
          <w:i/>
        </w:rPr>
        <w:t xml:space="preserve">Schalk </w:t>
      </w:r>
      <w:r w:rsidRPr="00BD212C" w:rsidR="00BA649E">
        <w:rPr>
          <w:i/>
        </w:rPr>
        <w:t>and</w:t>
      </w:r>
      <w:r w:rsidRPr="00BD212C" w:rsidR="00A95392">
        <w:rPr>
          <w:i/>
        </w:rPr>
        <w:t xml:space="preserve"> Kopf</w:t>
      </w:r>
      <w:r w:rsidRPr="00BD212C" w:rsidR="00A95392">
        <w:t xml:space="preserve"> (</w:t>
      </w:r>
      <w:r w:rsidRPr="00BD212C" w:rsidR="00BA649E">
        <w:t>cited above</w:t>
      </w:r>
      <w:r w:rsidRPr="00BD212C" w:rsidR="00C45EB0">
        <w:t>, § 103)</w:t>
      </w:r>
      <w:r w:rsidRPr="00BD212C" w:rsidR="00CD29C3">
        <w:t>,</w:t>
      </w:r>
      <w:r w:rsidRPr="00BD212C" w:rsidR="00A95392">
        <w:t xml:space="preserve"> </w:t>
      </w:r>
      <w:r w:rsidRPr="00BD212C" w:rsidR="00BA649E">
        <w:t xml:space="preserve">in which the </w:t>
      </w:r>
      <w:r w:rsidRPr="00BD212C" w:rsidR="00A95392">
        <w:t>Cour</w:t>
      </w:r>
      <w:r w:rsidRPr="00BD212C" w:rsidR="00BA649E">
        <w:t xml:space="preserve">t had considered it unnecessary to </w:t>
      </w:r>
      <w:r w:rsidRPr="00BD212C" w:rsidR="00A95392">
        <w:t>examine</w:t>
      </w:r>
      <w:r w:rsidRPr="00BD212C" w:rsidR="00BA649E">
        <w:t xml:space="preserve"> </w:t>
      </w:r>
      <w:r w:rsidRPr="00BD212C" w:rsidR="00A24D72">
        <w:t>whether the lack of any means of legal recognition for same-sex couples in Austria prior to 1 January 2010 constitute</w:t>
      </w:r>
      <w:r w:rsidRPr="00BD212C" w:rsidR="00C45EB0">
        <w:t>d</w:t>
      </w:r>
      <w:r w:rsidRPr="00BD212C" w:rsidR="00A24D72">
        <w:t xml:space="preserve"> a violation of Article 14 taken in conjunction with Article 8</w:t>
      </w:r>
      <w:r w:rsidRPr="00BD212C" w:rsidR="00A95392">
        <w:t xml:space="preserve">, </w:t>
      </w:r>
      <w:r w:rsidRPr="00BD212C" w:rsidR="00A24D72">
        <w:t>they observed that in their joint dissenting opinion J</w:t>
      </w:r>
      <w:r w:rsidRPr="00BD212C" w:rsidR="00A95392">
        <w:t>u</w:t>
      </w:r>
      <w:r w:rsidRPr="00BD212C" w:rsidR="00A24D72">
        <w:t>d</w:t>
      </w:r>
      <w:r w:rsidRPr="00BD212C" w:rsidR="00A95392">
        <w:t xml:space="preserve">ges Rozakis, Spielmann </w:t>
      </w:r>
      <w:r w:rsidRPr="00BD212C" w:rsidR="00A24D72">
        <w:t>and</w:t>
      </w:r>
      <w:r w:rsidRPr="00BD212C" w:rsidR="00A95392">
        <w:t xml:space="preserve"> Jebens </w:t>
      </w:r>
      <w:r w:rsidRPr="00BD212C" w:rsidR="00A24D72">
        <w:t>had found that there had been such a violation</w:t>
      </w:r>
      <w:r w:rsidRPr="00BD212C" w:rsidR="00A95392">
        <w:t xml:space="preserve">. </w:t>
      </w:r>
      <w:r w:rsidRPr="00BD212C" w:rsidR="00A24D72">
        <w:t>In the applicants</w:t>
      </w:r>
      <w:r w:rsidRPr="00BD212C">
        <w:t>’</w:t>
      </w:r>
      <w:r w:rsidRPr="00BD212C" w:rsidR="00A24D72">
        <w:t xml:space="preserve"> submission</w:t>
      </w:r>
      <w:r w:rsidRPr="00BD212C" w:rsidR="00A95392">
        <w:t xml:space="preserve">, </w:t>
      </w:r>
      <w:r w:rsidRPr="00BD212C" w:rsidR="00A24D72">
        <w:t>that opinion</w:t>
      </w:r>
      <w:r w:rsidRPr="00BD212C" w:rsidR="00A95392">
        <w:t xml:space="preserve"> </w:t>
      </w:r>
      <w:r w:rsidRPr="00BD212C" w:rsidR="00C45EB0">
        <w:t>applied by definition to one of the right</w:t>
      </w:r>
      <w:r w:rsidRPr="00BD212C" w:rsidR="00A95392">
        <w:t xml:space="preserve">s </w:t>
      </w:r>
      <w:r w:rsidRPr="00BD212C" w:rsidR="00C45EB0">
        <w:t>deriving from a mar</w:t>
      </w:r>
      <w:r w:rsidRPr="00BD212C" w:rsidR="00A95392">
        <w:t>riage,</w:t>
      </w:r>
      <w:r w:rsidRPr="00BD212C" w:rsidR="00C45EB0">
        <w:t xml:space="preserve"> namely, the possibility for</w:t>
      </w:r>
      <w:r w:rsidRPr="00BD212C" w:rsidR="00A95392">
        <w:t xml:space="preserve"> </w:t>
      </w:r>
      <w:r w:rsidRPr="00BD212C" w:rsidR="00C45EB0">
        <w:t xml:space="preserve">the </w:t>
      </w:r>
      <w:r w:rsidRPr="00BD212C" w:rsidR="00CD29C3">
        <w:t xml:space="preserve">cohabiting </w:t>
      </w:r>
      <w:r w:rsidRPr="00BD212C" w:rsidR="00C45EB0">
        <w:t>partner who was a national of a non-EU State to obtain a residence permit for family reasons</w:t>
      </w:r>
      <w:r w:rsidRPr="00BD212C" w:rsidR="00A95392">
        <w:t>.</w:t>
      </w:r>
    </w:p>
    <w:p w:rsidRPr="00BD212C" w:rsidR="00A95392" w:rsidP="00BD212C" w:rsidRDefault="00BD212C">
      <w:pPr>
        <w:pStyle w:val="ECHRPara"/>
        <w:rPr>
          <w:rStyle w:val="Strong"/>
          <w:b w:val="0"/>
          <w:bCs w:val="0"/>
        </w:rPr>
      </w:pPr>
      <w:fldSimple w:instr=" SEQ level0 \*arabic ">
        <w:r w:rsidRPr="00BD212C">
          <w:rPr>
            <w:noProof/>
          </w:rPr>
          <w:t>69</w:t>
        </w:r>
      </w:fldSimple>
      <w:r w:rsidRPr="00BD212C" w:rsidR="00A95392">
        <w:t>.  </w:t>
      </w:r>
      <w:r w:rsidRPr="00BD212C" w:rsidR="00581F4F">
        <w:t xml:space="preserve">The applicants observed, secondly, that the </w:t>
      </w:r>
      <w:r w:rsidRPr="00BD212C" w:rsidR="00581F4F">
        <w:rPr>
          <w:rStyle w:val="Strong"/>
          <w:b w:val="0"/>
          <w:bCs w:val="0"/>
        </w:rPr>
        <w:t>Constitutional Court</w:t>
      </w:r>
      <w:r w:rsidRPr="00BD212C">
        <w:rPr>
          <w:rStyle w:val="Strong"/>
          <w:b w:val="0"/>
          <w:bCs w:val="0"/>
        </w:rPr>
        <w:t>’</w:t>
      </w:r>
      <w:r w:rsidRPr="00BD212C" w:rsidR="00581F4F">
        <w:rPr>
          <w:rStyle w:val="Strong"/>
          <w:b w:val="0"/>
          <w:bCs w:val="0"/>
        </w:rPr>
        <w:t xml:space="preserve">s </w:t>
      </w:r>
      <w:r w:rsidRPr="00BD212C" w:rsidR="00581F4F">
        <w:t>judgment no.</w:t>
      </w:r>
      <w:r w:rsidRPr="00BD212C" w:rsidR="00A95392">
        <w:rPr>
          <w:rStyle w:val="Strong"/>
          <w:b w:val="0"/>
          <w:bCs w:val="0"/>
        </w:rPr>
        <w:t xml:space="preserve"> 138 </w:t>
      </w:r>
      <w:r w:rsidRPr="00BD212C" w:rsidR="00581F4F">
        <w:rPr>
          <w:rStyle w:val="Strong"/>
          <w:b w:val="0"/>
          <w:bCs w:val="0"/>
        </w:rPr>
        <w:t>of</w:t>
      </w:r>
      <w:r w:rsidRPr="00BD212C" w:rsidR="00A95392">
        <w:rPr>
          <w:rStyle w:val="Strong"/>
          <w:b w:val="0"/>
          <w:bCs w:val="0"/>
        </w:rPr>
        <w:t xml:space="preserve"> 2010 (</w:t>
      </w:r>
      <w:r w:rsidRPr="00BD212C" w:rsidR="00581F4F">
        <w:rPr>
          <w:rStyle w:val="Strong"/>
          <w:b w:val="0"/>
          <w:bCs w:val="0"/>
        </w:rPr>
        <w:t xml:space="preserve">see </w:t>
      </w:r>
      <w:r w:rsidRPr="00BD212C" w:rsidR="00A95392">
        <w:rPr>
          <w:rStyle w:val="Strong"/>
          <w:b w:val="0"/>
          <w:bCs w:val="0"/>
        </w:rPr>
        <w:t xml:space="preserve">paragraph </w:t>
      </w:r>
      <w:r w:rsidRPr="00BD212C" w:rsidR="00A95392">
        <w:t>64</w:t>
      </w:r>
      <w:r w:rsidRPr="00BD212C" w:rsidR="00A95392">
        <w:rPr>
          <w:rStyle w:val="Strong"/>
          <w:b w:val="0"/>
          <w:bCs w:val="0"/>
        </w:rPr>
        <w:t xml:space="preserve"> </w:t>
      </w:r>
      <w:r w:rsidRPr="00BD212C" w:rsidR="00CD29C3">
        <w:rPr>
          <w:rStyle w:val="Strong"/>
          <w:b w:val="0"/>
          <w:bCs w:val="0"/>
        </w:rPr>
        <w:t>above</w:t>
      </w:r>
      <w:r w:rsidRPr="00BD212C" w:rsidR="00A95392">
        <w:rPr>
          <w:rStyle w:val="Strong"/>
          <w:b w:val="0"/>
          <w:bCs w:val="0"/>
        </w:rPr>
        <w:t xml:space="preserve">) </w:t>
      </w:r>
      <w:r w:rsidRPr="00BD212C" w:rsidR="00581F4F">
        <w:rPr>
          <w:rStyle w:val="Strong"/>
          <w:b w:val="0"/>
          <w:bCs w:val="0"/>
        </w:rPr>
        <w:t>and the Court of Cassation</w:t>
      </w:r>
      <w:r w:rsidRPr="00BD212C">
        <w:rPr>
          <w:rStyle w:val="Strong"/>
          <w:b w:val="0"/>
          <w:bCs w:val="0"/>
        </w:rPr>
        <w:t>’</w:t>
      </w:r>
      <w:r w:rsidRPr="00BD212C" w:rsidR="00581F4F">
        <w:rPr>
          <w:rStyle w:val="Strong"/>
          <w:b w:val="0"/>
          <w:bCs w:val="0"/>
        </w:rPr>
        <w:t>s judgment no.</w:t>
      </w:r>
      <w:r w:rsidRPr="00BD212C" w:rsidR="00A95392">
        <w:rPr>
          <w:rStyle w:val="Strong"/>
          <w:b w:val="0"/>
          <w:bCs w:val="0"/>
        </w:rPr>
        <w:t xml:space="preserve"> </w:t>
      </w:r>
      <w:r w:rsidRPr="00BD212C" w:rsidR="00A95392">
        <w:t xml:space="preserve">4184 </w:t>
      </w:r>
      <w:r w:rsidRPr="00BD212C" w:rsidR="00581F4F">
        <w:t>of</w:t>
      </w:r>
      <w:r w:rsidRPr="00BD212C" w:rsidR="00A95392">
        <w:t xml:space="preserve"> 2012</w:t>
      </w:r>
      <w:r w:rsidRPr="00BD212C" w:rsidR="00A95392">
        <w:rPr>
          <w:rStyle w:val="Strong"/>
          <w:b w:val="0"/>
          <w:bCs w:val="0"/>
        </w:rPr>
        <w:t xml:space="preserve"> (</w:t>
      </w:r>
      <w:r w:rsidRPr="00BD212C" w:rsidR="00581F4F">
        <w:rPr>
          <w:rStyle w:val="Strong"/>
          <w:b w:val="0"/>
          <w:bCs w:val="0"/>
        </w:rPr>
        <w:t>see paragraph</w:t>
      </w:r>
      <w:r w:rsidRPr="00BD212C" w:rsidR="00A95392">
        <w:rPr>
          <w:rStyle w:val="Strong"/>
          <w:b w:val="0"/>
          <w:bCs w:val="0"/>
        </w:rPr>
        <w:t xml:space="preserve"> </w:t>
      </w:r>
      <w:r w:rsidRPr="00BD212C" w:rsidR="00A95392">
        <w:t>66</w:t>
      </w:r>
      <w:r w:rsidRPr="00BD212C" w:rsidR="00A95392">
        <w:rPr>
          <w:rStyle w:val="Strong"/>
          <w:b w:val="0"/>
          <w:bCs w:val="0"/>
        </w:rPr>
        <w:t xml:space="preserve"> </w:t>
      </w:r>
      <w:r w:rsidRPr="00BD212C" w:rsidR="00CD29C3">
        <w:rPr>
          <w:rStyle w:val="Strong"/>
          <w:b w:val="0"/>
          <w:bCs w:val="0"/>
        </w:rPr>
        <w:t>above</w:t>
      </w:r>
      <w:r w:rsidRPr="00BD212C" w:rsidR="00A95392">
        <w:rPr>
          <w:rStyle w:val="Strong"/>
          <w:b w:val="0"/>
          <w:bCs w:val="0"/>
        </w:rPr>
        <w:t xml:space="preserve">) </w:t>
      </w:r>
      <w:r w:rsidRPr="00BD212C" w:rsidR="00581F4F">
        <w:rPr>
          <w:rStyle w:val="Strong"/>
          <w:b w:val="0"/>
          <w:bCs w:val="0"/>
        </w:rPr>
        <w:t>had established a right in favour of</w:t>
      </w:r>
      <w:r w:rsidRPr="00BD212C" w:rsidR="00A95392">
        <w:rPr>
          <w:rStyle w:val="Strong"/>
          <w:b w:val="0"/>
          <w:bCs w:val="0"/>
        </w:rPr>
        <w:t xml:space="preserve"> </w:t>
      </w:r>
      <w:r w:rsidRPr="00BD212C" w:rsidR="00CD29C3">
        <w:rPr>
          <w:rStyle w:val="Strong"/>
          <w:b w:val="0"/>
          <w:bCs w:val="0"/>
        </w:rPr>
        <w:t>stable homo</w:t>
      </w:r>
      <w:r w:rsidRPr="00BD212C" w:rsidR="00581F4F">
        <w:rPr>
          <w:rStyle w:val="Strong"/>
          <w:b w:val="0"/>
          <w:bCs w:val="0"/>
        </w:rPr>
        <w:t>sex</w:t>
      </w:r>
      <w:r w:rsidRPr="00BD212C" w:rsidR="00CD29C3">
        <w:rPr>
          <w:rStyle w:val="Strong"/>
          <w:b w:val="0"/>
          <w:bCs w:val="0"/>
        </w:rPr>
        <w:t>ual</w:t>
      </w:r>
      <w:r w:rsidRPr="00BD212C" w:rsidR="00A95392">
        <w:rPr>
          <w:rStyle w:val="Strong"/>
          <w:b w:val="0"/>
          <w:bCs w:val="0"/>
        </w:rPr>
        <w:t xml:space="preserve"> couples</w:t>
      </w:r>
      <w:r w:rsidRPr="00BD212C" w:rsidR="00581F4F">
        <w:rPr>
          <w:rStyle w:val="Strong"/>
          <w:b w:val="0"/>
          <w:bCs w:val="0"/>
        </w:rPr>
        <w:t xml:space="preserve"> that was</w:t>
      </w:r>
      <w:r w:rsidRPr="00BD212C" w:rsidR="00A95392">
        <w:rPr>
          <w:rStyle w:val="Strong"/>
          <w:b w:val="0"/>
          <w:bCs w:val="0"/>
        </w:rPr>
        <w:t xml:space="preserve"> comparable </w:t>
      </w:r>
      <w:r w:rsidRPr="00BD212C" w:rsidR="00581F4F">
        <w:rPr>
          <w:rStyle w:val="Strong"/>
          <w:b w:val="0"/>
          <w:bCs w:val="0"/>
        </w:rPr>
        <w:t>to that of married</w:t>
      </w:r>
      <w:r w:rsidRPr="00BD212C" w:rsidR="00A95392">
        <w:rPr>
          <w:rStyle w:val="Strong"/>
          <w:b w:val="0"/>
          <w:bCs w:val="0"/>
        </w:rPr>
        <w:t xml:space="preserve"> couples. </w:t>
      </w:r>
      <w:r w:rsidRPr="00BD212C" w:rsidR="00BB552D">
        <w:rPr>
          <w:rStyle w:val="Strong"/>
          <w:b w:val="0"/>
          <w:bCs w:val="0"/>
        </w:rPr>
        <w:t>They complained that, despite those positive developments in the case-law</w:t>
      </w:r>
      <w:r w:rsidRPr="00BD212C" w:rsidR="00A95392">
        <w:rPr>
          <w:rStyle w:val="Strong"/>
          <w:b w:val="0"/>
          <w:bCs w:val="0"/>
        </w:rPr>
        <w:t>,</w:t>
      </w:r>
      <w:r w:rsidRPr="00BD212C" w:rsidR="00BB552D">
        <w:rPr>
          <w:rStyle w:val="Strong"/>
          <w:b w:val="0"/>
          <w:bCs w:val="0"/>
        </w:rPr>
        <w:t xml:space="preserve"> the Italian le</w:t>
      </w:r>
      <w:r w:rsidRPr="00BD212C" w:rsidR="00A95392">
        <w:rPr>
          <w:rStyle w:val="Strong"/>
          <w:b w:val="0"/>
          <w:bCs w:val="0"/>
        </w:rPr>
        <w:t>gislatur</w:t>
      </w:r>
      <w:r w:rsidRPr="00BD212C" w:rsidR="00BB552D">
        <w:rPr>
          <w:rStyle w:val="Strong"/>
          <w:b w:val="0"/>
          <w:bCs w:val="0"/>
        </w:rPr>
        <w:t>e had not intervened to make provision for</w:t>
      </w:r>
      <w:r w:rsidRPr="00BD212C" w:rsidR="00A95392">
        <w:rPr>
          <w:rStyle w:val="Strong"/>
          <w:b w:val="0"/>
          <w:bCs w:val="0"/>
        </w:rPr>
        <w:t xml:space="preserve"> </w:t>
      </w:r>
      <w:r w:rsidRPr="00BD212C" w:rsidR="00BB552D">
        <w:rPr>
          <w:rStyle w:val="Strong"/>
          <w:b w:val="0"/>
          <w:bCs w:val="0"/>
        </w:rPr>
        <w:t>that right</w:t>
      </w:r>
      <w:r w:rsidRPr="00BD212C" w:rsidR="00A95392">
        <w:rPr>
          <w:rStyle w:val="Strong"/>
          <w:b w:val="0"/>
          <w:bCs w:val="0"/>
        </w:rPr>
        <w:t xml:space="preserve"> </w:t>
      </w:r>
      <w:r w:rsidRPr="00BD212C" w:rsidR="00BB552D">
        <w:rPr>
          <w:rStyle w:val="Strong"/>
          <w:b w:val="0"/>
          <w:bCs w:val="0"/>
        </w:rPr>
        <w:t xml:space="preserve">in the context of “domestic </w:t>
      </w:r>
      <w:r w:rsidRPr="00BD212C" w:rsidR="00A95392">
        <w:rPr>
          <w:rStyle w:val="Strong"/>
          <w:b w:val="0"/>
          <w:bCs w:val="0"/>
        </w:rPr>
        <w:t>situations</w:t>
      </w:r>
      <w:r w:rsidRPr="00BD212C" w:rsidR="00BB552D">
        <w:rPr>
          <w:rStyle w:val="Strong"/>
          <w:b w:val="0"/>
          <w:bCs w:val="0"/>
        </w:rPr>
        <w:t>” such as theirs</w:t>
      </w:r>
      <w:r w:rsidRPr="00BD212C" w:rsidR="00A95392">
        <w:rPr>
          <w:rStyle w:val="Strong"/>
          <w:b w:val="0"/>
          <w:bCs w:val="0"/>
        </w:rPr>
        <w:t>.</w:t>
      </w:r>
    </w:p>
    <w:p w:rsidRPr="00BD212C" w:rsidR="00A95392" w:rsidP="00BD212C" w:rsidRDefault="00BD212C">
      <w:pPr>
        <w:pStyle w:val="ECHRPara"/>
      </w:pPr>
      <w:fldSimple w:instr=" SEQ level0 \*arabic ">
        <w:r w:rsidRPr="00BD212C">
          <w:rPr>
            <w:noProof/>
          </w:rPr>
          <w:t>70</w:t>
        </w:r>
      </w:fldSimple>
      <w:r w:rsidRPr="00BD212C" w:rsidR="00A95392">
        <w:t>.  </w:t>
      </w:r>
      <w:r w:rsidRPr="00BD212C" w:rsidR="00BB552D">
        <w:t>Like the third-party</w:t>
      </w:r>
      <w:r w:rsidRPr="00BD212C" w:rsidR="00A95392">
        <w:t xml:space="preserve"> interven</w:t>
      </w:r>
      <w:r w:rsidRPr="00BD212C" w:rsidR="00BB552D">
        <w:t>er</w:t>
      </w:r>
      <w:r w:rsidRPr="00BD212C" w:rsidR="00A95392">
        <w:t>s (</w:t>
      </w:r>
      <w:r w:rsidRPr="00BD212C" w:rsidR="00BB552D">
        <w:t>see paragraph</w:t>
      </w:r>
      <w:r w:rsidRPr="00BD212C" w:rsidR="00A95392">
        <w:t xml:space="preserve">s 74-80 </w:t>
      </w:r>
      <w:r w:rsidRPr="00BD212C" w:rsidR="00BB552D">
        <w:t>above</w:t>
      </w:r>
      <w:r w:rsidRPr="00BD212C" w:rsidR="00A95392">
        <w:t xml:space="preserve">), </w:t>
      </w:r>
      <w:r w:rsidRPr="00BD212C" w:rsidR="00BB552D">
        <w:t>the applic</w:t>
      </w:r>
      <w:r w:rsidRPr="00BD212C" w:rsidR="00A95392">
        <w:t xml:space="preserve">ants </w:t>
      </w:r>
      <w:r w:rsidRPr="00BD212C" w:rsidR="00441ED7">
        <w:t>submitted</w:t>
      </w:r>
      <w:r w:rsidRPr="00BD212C" w:rsidR="00BB552D">
        <w:t xml:space="preserve"> that</w:t>
      </w:r>
      <w:r w:rsidRPr="00BD212C" w:rsidR="00A95392">
        <w:t xml:space="preserve"> </w:t>
      </w:r>
      <w:r w:rsidRPr="00BD212C" w:rsidR="00BB552D">
        <w:t>reserving certain rights</w:t>
      </w:r>
      <w:r w:rsidRPr="00BD212C" w:rsidR="00A95392">
        <w:t xml:space="preserve">, </w:t>
      </w:r>
      <w:r w:rsidRPr="00BD212C" w:rsidR="00BB552D">
        <w:t>in countries where marriage was not available to</w:t>
      </w:r>
      <w:r w:rsidRPr="00BD212C" w:rsidR="00A95392">
        <w:t xml:space="preserve"> </w:t>
      </w:r>
      <w:r w:rsidRPr="00BD212C" w:rsidR="00CD29C3">
        <w:t>homo</w:t>
      </w:r>
      <w:r w:rsidRPr="00BD212C" w:rsidR="00BB552D">
        <w:t>sex</w:t>
      </w:r>
      <w:r w:rsidRPr="00BD212C" w:rsidR="00CD29C3">
        <w:t>ual</w:t>
      </w:r>
      <w:r w:rsidRPr="00BD212C" w:rsidR="00BB552D">
        <w:t xml:space="preserve"> c</w:t>
      </w:r>
      <w:r w:rsidRPr="00BD212C" w:rsidR="00441ED7">
        <w:t>ouples, to married heterosexual couple</w:t>
      </w:r>
      <w:r w:rsidRPr="00BD212C" w:rsidR="00A95392">
        <w:t xml:space="preserve">s </w:t>
      </w:r>
      <w:r w:rsidRPr="00BD212C" w:rsidR="00441ED7">
        <w:t xml:space="preserve">amounted in principle to indirect </w:t>
      </w:r>
      <w:r w:rsidRPr="00BD212C" w:rsidR="00A95392">
        <w:t xml:space="preserve">discrimination </w:t>
      </w:r>
      <w:r w:rsidRPr="00BD212C" w:rsidR="00441ED7">
        <w:t xml:space="preserve">on grounds of sexual </w:t>
      </w:r>
      <w:r w:rsidRPr="00BD212C" w:rsidR="00A95392">
        <w:t xml:space="preserve">orientation. </w:t>
      </w:r>
      <w:r w:rsidRPr="00BD212C" w:rsidR="00441ED7">
        <w:t>In their submission, that</w:t>
      </w:r>
      <w:r w:rsidRPr="00BD212C" w:rsidR="00A95392">
        <w:t xml:space="preserve"> conclusion</w:t>
      </w:r>
      <w:r w:rsidRPr="00BD212C" w:rsidR="00441ED7">
        <w:t xml:space="preserve"> had been</w:t>
      </w:r>
      <w:r w:rsidRPr="00BD212C" w:rsidR="00A95392">
        <w:t xml:space="preserve"> confirm</w:t>
      </w:r>
      <w:r w:rsidRPr="00BD212C" w:rsidR="00441ED7">
        <w:t>ed by the report</w:t>
      </w:r>
      <w:r w:rsidRPr="00BD212C" w:rsidR="008B4B44">
        <w:t xml:space="preserve"> “</w:t>
      </w:r>
      <w:r w:rsidRPr="00BD212C" w:rsidR="00A95392">
        <w:t>Homophobi</w:t>
      </w:r>
      <w:r w:rsidRPr="00BD212C" w:rsidR="00441ED7">
        <w:t>a and D</w:t>
      </w:r>
      <w:r w:rsidRPr="00BD212C" w:rsidR="00A95392">
        <w:t xml:space="preserve">iscrimination </w:t>
      </w:r>
      <w:r w:rsidRPr="00BD212C" w:rsidR="00441ED7">
        <w:t>on Grounds of Sexual O</w:t>
      </w:r>
      <w:r w:rsidRPr="00BD212C" w:rsidR="00A95392">
        <w:t xml:space="preserve">rientation </w:t>
      </w:r>
      <w:r w:rsidRPr="00BD212C" w:rsidR="00441ED7">
        <w:t>in the EU Member States</w:t>
      </w:r>
      <w:r w:rsidRPr="00BD212C" w:rsidR="00A95392">
        <w:t xml:space="preserve">, Part I – </w:t>
      </w:r>
      <w:r w:rsidRPr="00BD212C" w:rsidR="00441ED7">
        <w:t>Legal Analysis</w:t>
      </w:r>
      <w:r w:rsidRPr="00BD212C" w:rsidR="008B4B44">
        <w:t>”</w:t>
      </w:r>
      <w:r w:rsidRPr="00BD212C" w:rsidR="00A95392">
        <w:t xml:space="preserve">, </w:t>
      </w:r>
      <w:r w:rsidRPr="00BD212C" w:rsidR="00441ED7">
        <w:t>published in June</w:t>
      </w:r>
      <w:r w:rsidRPr="00BD212C" w:rsidR="00A95392">
        <w:t xml:space="preserve"> 2008 </w:t>
      </w:r>
      <w:r w:rsidRPr="00BD212C" w:rsidR="00441ED7">
        <w:t xml:space="preserve">by the </w:t>
      </w:r>
      <w:r w:rsidRPr="00BD212C" w:rsidR="00C121FE">
        <w:t xml:space="preserve">EU </w:t>
      </w:r>
      <w:r w:rsidRPr="00BD212C" w:rsidR="00A95392">
        <w:t>Agenc</w:t>
      </w:r>
      <w:r w:rsidRPr="00BD212C" w:rsidR="00441ED7">
        <w:t>y for Fundamental Rights (FRA)</w:t>
      </w:r>
      <w:r w:rsidRPr="00BD212C" w:rsidR="00A95392">
        <w:t xml:space="preserve">; </w:t>
      </w:r>
      <w:r w:rsidRPr="00BD212C" w:rsidR="00441ED7">
        <w:t>according to that Agency</w:t>
      </w:r>
      <w:r w:rsidRPr="00BD212C" w:rsidR="00A95392">
        <w:t>, international</w:t>
      </w:r>
      <w:r w:rsidRPr="00BD212C" w:rsidR="008B4B44">
        <w:t xml:space="preserve"> human rights</w:t>
      </w:r>
      <w:r w:rsidRPr="00BD212C" w:rsidR="00441ED7">
        <w:t xml:space="preserve"> </w:t>
      </w:r>
      <w:r w:rsidRPr="00BD212C" w:rsidR="00893ABA">
        <w:t>law</w:t>
      </w:r>
      <w:r w:rsidRPr="00BD212C" w:rsidR="00A95392">
        <w:t xml:space="preserve"> recomm</w:t>
      </w:r>
      <w:r w:rsidRPr="00BD212C" w:rsidR="008B4B44">
        <w:t xml:space="preserve">ended </w:t>
      </w:r>
      <w:r w:rsidRPr="00BD212C" w:rsidR="00893ABA">
        <w:t xml:space="preserve">that same-sex couples either have access to an institution such as registered partnership which provided them with the same advantages as those that would be recognised if they had access to marriage or that the </w:t>
      </w:r>
      <w:r w:rsidRPr="00BD212C" w:rsidR="00893ABA">
        <w:rPr>
          <w:i/>
          <w:iCs/>
        </w:rPr>
        <w:t xml:space="preserve">de facto </w:t>
      </w:r>
      <w:r w:rsidRPr="00BD212C" w:rsidR="00893ABA">
        <w:t>durable relationships they entered into led to extending to them such advantages</w:t>
      </w:r>
      <w:r w:rsidRPr="00BD212C" w:rsidR="00A95392">
        <w:t>.</w:t>
      </w:r>
    </w:p>
    <w:p w:rsidRPr="00BD212C" w:rsidR="00A95392" w:rsidP="00BD212C" w:rsidRDefault="00BD212C">
      <w:pPr>
        <w:pStyle w:val="ECHRPara"/>
        <w:rPr>
          <w:bCs/>
        </w:rPr>
      </w:pPr>
      <w:fldSimple w:instr=" SEQ level0 \*arabic ">
        <w:r w:rsidRPr="00BD212C">
          <w:rPr>
            <w:noProof/>
          </w:rPr>
          <w:t>71</w:t>
        </w:r>
      </w:fldSimple>
      <w:r w:rsidRPr="00BD212C" w:rsidR="00A95392">
        <w:t>.  </w:t>
      </w:r>
      <w:r w:rsidRPr="00BD212C" w:rsidR="00C121FE">
        <w:t>The applicant</w:t>
      </w:r>
      <w:r w:rsidRPr="00BD212C" w:rsidR="00A95392">
        <w:t xml:space="preserve">s </w:t>
      </w:r>
      <w:r w:rsidRPr="00BD212C" w:rsidR="00C121FE">
        <w:t>also referred to the judgment delivered on 14 December 2009 by the United Kingdom</w:t>
      </w:r>
      <w:r w:rsidRPr="00BD212C" w:rsidR="00A95392">
        <w:t xml:space="preserve"> Judicial Committee of the Privy Council</w:t>
      </w:r>
      <w:r w:rsidRPr="00BD212C" w:rsidR="00A95392">
        <w:rPr>
          <w:i/>
        </w:rPr>
        <w:t xml:space="preserve"> </w:t>
      </w:r>
      <w:r w:rsidRPr="00BD212C" w:rsidR="00C121FE">
        <w:t>in the case of</w:t>
      </w:r>
      <w:r w:rsidRPr="00BD212C" w:rsidR="00A95392">
        <w:t xml:space="preserve"> </w:t>
      </w:r>
      <w:r w:rsidRPr="00BD212C" w:rsidR="00A95392">
        <w:rPr>
          <w:i/>
        </w:rPr>
        <w:t xml:space="preserve">Rodriguez v. Minister of Housing </w:t>
      </w:r>
      <w:r w:rsidRPr="00BD212C" w:rsidR="00A95392">
        <w:t xml:space="preserve">([2009] UKPC 52 – </w:t>
      </w:r>
      <w:r w:rsidRPr="00BD212C" w:rsidR="00A95392">
        <w:rPr>
          <w:bCs/>
        </w:rPr>
        <w:t xml:space="preserve">Privy Council Appeal </w:t>
      </w:r>
      <w:r w:rsidRPr="00BD212C" w:rsidR="00893ABA">
        <w:rPr>
          <w:bCs/>
        </w:rPr>
        <w:t>No</w:t>
      </w:r>
      <w:r w:rsidRPr="00BD212C" w:rsidR="00A95392">
        <w:rPr>
          <w:bCs/>
        </w:rPr>
        <w:t xml:space="preserve"> 0028 </w:t>
      </w:r>
      <w:r w:rsidRPr="00BD212C" w:rsidR="00C121FE">
        <w:rPr>
          <w:bCs/>
        </w:rPr>
        <w:t>of</w:t>
      </w:r>
      <w:r w:rsidRPr="00BD212C" w:rsidR="00A95392">
        <w:rPr>
          <w:bCs/>
        </w:rPr>
        <w:t xml:space="preserve"> 2009) </w:t>
      </w:r>
      <w:r w:rsidRPr="00BD212C" w:rsidR="000C0454">
        <w:rPr>
          <w:bCs/>
        </w:rPr>
        <w:t xml:space="preserve">finding that a policy excluding same-sex couples in a </w:t>
      </w:r>
      <w:r w:rsidRPr="00BD212C" w:rsidR="00A95392">
        <w:rPr>
          <w:bCs/>
        </w:rPr>
        <w:t xml:space="preserve">stable </w:t>
      </w:r>
      <w:r w:rsidRPr="00BD212C" w:rsidR="000C0454">
        <w:rPr>
          <w:bCs/>
        </w:rPr>
        <w:t>and long-term relationship</w:t>
      </w:r>
      <w:r w:rsidRPr="00BD212C" w:rsidDel="001E192E" w:rsidR="00A95392">
        <w:rPr>
          <w:bCs/>
        </w:rPr>
        <w:t xml:space="preserve"> </w:t>
      </w:r>
      <w:r w:rsidRPr="00BD212C" w:rsidR="000C0454">
        <w:rPr>
          <w:bCs/>
        </w:rPr>
        <w:t xml:space="preserve">from access to </w:t>
      </w:r>
      <w:r w:rsidRPr="00BD212C" w:rsidR="00A95392">
        <w:rPr>
          <w:bCs/>
        </w:rPr>
        <w:t>joint tenancies</w:t>
      </w:r>
      <w:r w:rsidRPr="00BD212C" w:rsidR="000C0454">
        <w:rPr>
          <w:bCs/>
        </w:rPr>
        <w:t xml:space="preserve"> was discriminatory</w:t>
      </w:r>
      <w:r w:rsidRPr="00BD212C" w:rsidR="00A95392">
        <w:rPr>
          <w:bCs/>
        </w:rPr>
        <w:t xml:space="preserve">. </w:t>
      </w:r>
      <w:r w:rsidRPr="00BD212C" w:rsidR="000C0454">
        <w:rPr>
          <w:bCs/>
        </w:rPr>
        <w:t>They pointed out, further, that, in his</w:t>
      </w:r>
      <w:r w:rsidRPr="00BD212C" w:rsidR="00A95392">
        <w:rPr>
          <w:bCs/>
        </w:rPr>
        <w:t xml:space="preserve"> opinion </w:t>
      </w:r>
      <w:r w:rsidRPr="00BD212C" w:rsidR="000C0454">
        <w:rPr>
          <w:bCs/>
        </w:rPr>
        <w:t>of</w:t>
      </w:r>
      <w:r w:rsidRPr="00BD212C" w:rsidR="00A95392">
        <w:rPr>
          <w:bCs/>
        </w:rPr>
        <w:t xml:space="preserve"> 15 </w:t>
      </w:r>
      <w:r w:rsidRPr="00BD212C" w:rsidR="000C0454">
        <w:rPr>
          <w:bCs/>
        </w:rPr>
        <w:t>July</w:t>
      </w:r>
      <w:r w:rsidRPr="00BD212C" w:rsidR="00A95392">
        <w:rPr>
          <w:bCs/>
        </w:rPr>
        <w:t xml:space="preserve"> 2010 </w:t>
      </w:r>
      <w:r w:rsidRPr="00BD212C" w:rsidR="000C0454">
        <w:rPr>
          <w:bCs/>
        </w:rPr>
        <w:t>in the case of</w:t>
      </w:r>
      <w:r w:rsidRPr="00BD212C" w:rsidR="00A95392">
        <w:rPr>
          <w:bCs/>
        </w:rPr>
        <w:t xml:space="preserve"> </w:t>
      </w:r>
      <w:r w:rsidRPr="00BD212C" w:rsidR="00A95392">
        <w:rPr>
          <w:bCs/>
          <w:i/>
        </w:rPr>
        <w:t xml:space="preserve">Römer </w:t>
      </w:r>
      <w:r w:rsidRPr="00BD212C" w:rsidR="00C121FE">
        <w:rPr>
          <w:bCs/>
          <w:i/>
        </w:rPr>
        <w:t>v</w:t>
      </w:r>
      <w:r w:rsidRPr="00BD212C" w:rsidR="00A95392">
        <w:rPr>
          <w:bCs/>
          <w:i/>
        </w:rPr>
        <w:t>. Freie und Hansestadt Hamburg</w:t>
      </w:r>
      <w:r w:rsidRPr="00BD212C" w:rsidR="00A95392">
        <w:rPr>
          <w:bCs/>
        </w:rPr>
        <w:t xml:space="preserve"> (</w:t>
      </w:r>
      <w:r w:rsidRPr="00BD212C" w:rsidR="00C121FE">
        <w:rPr>
          <w:bCs/>
        </w:rPr>
        <w:t>case</w:t>
      </w:r>
      <w:r w:rsidRPr="00BD212C" w:rsidR="00A95392">
        <w:rPr>
          <w:bCs/>
        </w:rPr>
        <w:t xml:space="preserve"> C-147/08), </w:t>
      </w:r>
      <w:r w:rsidRPr="00BD212C" w:rsidR="000C0454">
        <w:rPr>
          <w:bCs/>
        </w:rPr>
        <w:t xml:space="preserve">the </w:t>
      </w:r>
      <w:r w:rsidRPr="00BD212C" w:rsidR="002D5211">
        <w:rPr>
          <w:bCs/>
        </w:rPr>
        <w:t>Advocate General of the CJ</w:t>
      </w:r>
      <w:r w:rsidRPr="00BD212C" w:rsidR="00A95392">
        <w:rPr>
          <w:bCs/>
        </w:rPr>
        <w:t>E</w:t>
      </w:r>
      <w:r w:rsidRPr="00BD212C" w:rsidR="002D5211">
        <w:rPr>
          <w:bCs/>
        </w:rPr>
        <w:t>U had considered that disallowing any form of legally recognised union available to persons of the same sex could be regarded as practising discrimination on the basis of sexual orientation</w:t>
      </w:r>
      <w:r w:rsidRPr="00BD212C" w:rsidR="00A95392">
        <w:rPr>
          <w:bCs/>
        </w:rPr>
        <w:t xml:space="preserve">. </w:t>
      </w:r>
      <w:r w:rsidRPr="00BD212C" w:rsidR="002D5211">
        <w:rPr>
          <w:bCs/>
        </w:rPr>
        <w:t>They submitted that a</w:t>
      </w:r>
      <w:r w:rsidRPr="00BD212C" w:rsidR="00A95392">
        <w:rPr>
          <w:bCs/>
        </w:rPr>
        <w:t xml:space="preserve"> consensus </w:t>
      </w:r>
      <w:r w:rsidRPr="00BD212C" w:rsidR="002D5211">
        <w:rPr>
          <w:bCs/>
        </w:rPr>
        <w:t>was emerging in democratic</w:t>
      </w:r>
      <w:r w:rsidRPr="00BD212C" w:rsidR="00A95392">
        <w:rPr>
          <w:bCs/>
        </w:rPr>
        <w:t xml:space="preserve"> soci</w:t>
      </w:r>
      <w:r w:rsidRPr="00BD212C" w:rsidR="002D5211">
        <w:rPr>
          <w:bCs/>
        </w:rPr>
        <w:t>e</w:t>
      </w:r>
      <w:r w:rsidRPr="00BD212C" w:rsidR="00A95392">
        <w:rPr>
          <w:bCs/>
        </w:rPr>
        <w:t>t</w:t>
      </w:r>
      <w:r w:rsidRPr="00BD212C" w:rsidR="002D5211">
        <w:rPr>
          <w:bCs/>
        </w:rPr>
        <w:t>ie</w:t>
      </w:r>
      <w:r w:rsidRPr="00BD212C" w:rsidR="00A95392">
        <w:rPr>
          <w:bCs/>
        </w:rPr>
        <w:t>s</w:t>
      </w:r>
      <w:r w:rsidRPr="00BD212C" w:rsidR="00CD29C3">
        <w:rPr>
          <w:bCs/>
        </w:rPr>
        <w:t>,</w:t>
      </w:r>
      <w:r w:rsidRPr="00BD212C" w:rsidR="002D5211">
        <w:rPr>
          <w:bCs/>
        </w:rPr>
        <w:t xml:space="preserve"> which, in their view</w:t>
      </w:r>
      <w:r w:rsidRPr="00BD212C" w:rsidR="00A95392">
        <w:rPr>
          <w:bCs/>
        </w:rPr>
        <w:t>,</w:t>
      </w:r>
      <w:r w:rsidRPr="00BD212C" w:rsidR="002D5211">
        <w:rPr>
          <w:bCs/>
        </w:rPr>
        <w:t xml:space="preserve"> was </w:t>
      </w:r>
      <w:r w:rsidRPr="00BD212C" w:rsidR="00A37AF7">
        <w:rPr>
          <w:bCs/>
        </w:rPr>
        <w:t>against</w:t>
      </w:r>
      <w:r w:rsidRPr="00BD212C" w:rsidR="002D5211">
        <w:rPr>
          <w:bCs/>
        </w:rPr>
        <w:t xml:space="preserve"> a govern</w:t>
      </w:r>
      <w:r w:rsidRPr="00BD212C" w:rsidR="00A95392">
        <w:rPr>
          <w:bCs/>
        </w:rPr>
        <w:t xml:space="preserve">ment </w:t>
      </w:r>
      <w:r w:rsidRPr="00BD212C" w:rsidR="002D5211">
        <w:rPr>
          <w:bCs/>
        </w:rPr>
        <w:t>being able to re</w:t>
      </w:r>
      <w:r w:rsidRPr="00BD212C" w:rsidR="00A95392">
        <w:rPr>
          <w:bCs/>
        </w:rPr>
        <w:t>serve</w:t>
      </w:r>
      <w:r w:rsidRPr="00BD212C" w:rsidR="002D5211">
        <w:rPr>
          <w:bCs/>
        </w:rPr>
        <w:t xml:space="preserve"> a </w:t>
      </w:r>
      <w:r w:rsidRPr="00BD212C" w:rsidR="00A95392">
        <w:rPr>
          <w:bCs/>
        </w:rPr>
        <w:t xml:space="preserve">certain </w:t>
      </w:r>
      <w:r w:rsidRPr="00BD212C" w:rsidR="002D5211">
        <w:rPr>
          <w:bCs/>
        </w:rPr>
        <w:t>righ</w:t>
      </w:r>
      <w:r w:rsidRPr="00BD212C" w:rsidR="00A95392">
        <w:rPr>
          <w:bCs/>
        </w:rPr>
        <w:t>t o</w:t>
      </w:r>
      <w:r w:rsidRPr="00BD212C" w:rsidR="002D5211">
        <w:rPr>
          <w:bCs/>
        </w:rPr>
        <w:t>r</w:t>
      </w:r>
      <w:r w:rsidRPr="00BD212C" w:rsidR="00A95392">
        <w:rPr>
          <w:bCs/>
        </w:rPr>
        <w:t xml:space="preserve"> a</w:t>
      </w:r>
      <w:r w:rsidRPr="00BD212C" w:rsidR="002D5211">
        <w:rPr>
          <w:bCs/>
        </w:rPr>
        <w:t>d</w:t>
      </w:r>
      <w:r w:rsidRPr="00BD212C" w:rsidR="00A95392">
        <w:rPr>
          <w:bCs/>
        </w:rPr>
        <w:t>vantage</w:t>
      </w:r>
      <w:r w:rsidRPr="00BD212C" w:rsidR="002D5211">
        <w:rPr>
          <w:bCs/>
        </w:rPr>
        <w:t xml:space="preserve"> to married </w:t>
      </w:r>
      <w:r w:rsidRPr="00BD212C" w:rsidR="00A95392">
        <w:rPr>
          <w:bCs/>
        </w:rPr>
        <w:t xml:space="preserve">couples </w:t>
      </w:r>
      <w:r w:rsidRPr="00BD212C" w:rsidR="00A37AF7">
        <w:rPr>
          <w:bCs/>
        </w:rPr>
        <w:t xml:space="preserve">while denying it to same-sex </w:t>
      </w:r>
      <w:r w:rsidRPr="00BD212C" w:rsidR="00A95392">
        <w:rPr>
          <w:bCs/>
        </w:rPr>
        <w:t xml:space="preserve">couples </w:t>
      </w:r>
      <w:r w:rsidRPr="00BD212C" w:rsidR="00A37AF7">
        <w:rPr>
          <w:bCs/>
        </w:rPr>
        <w:t>on the pretext that the persons in q</w:t>
      </w:r>
      <w:r w:rsidRPr="00BD212C" w:rsidR="00A95392">
        <w:rPr>
          <w:bCs/>
        </w:rPr>
        <w:t xml:space="preserve">uestion </w:t>
      </w:r>
      <w:r w:rsidRPr="00BD212C" w:rsidR="00A37AF7">
        <w:rPr>
          <w:bCs/>
        </w:rPr>
        <w:t>were not married</w:t>
      </w:r>
      <w:r w:rsidRPr="00BD212C" w:rsidR="00A95392">
        <w:rPr>
          <w:bCs/>
        </w:rPr>
        <w:t>.</w:t>
      </w:r>
    </w:p>
    <w:p w:rsidRPr="00BD212C" w:rsidR="00A95392" w:rsidP="00BD212C" w:rsidRDefault="00A95392">
      <w:pPr>
        <w:pStyle w:val="ECHRPara"/>
      </w:pPr>
      <w:r w:rsidRPr="00BD212C">
        <w:rPr>
          <w:bCs/>
          <w:lang w:val="fr-FR"/>
        </w:rPr>
        <w:fldChar w:fldCharType="begin"/>
      </w:r>
      <w:r w:rsidRPr="00BD212C">
        <w:rPr>
          <w:bCs/>
        </w:rPr>
        <w:instrText xml:space="preserve"> SEQ level0 \*arabic </w:instrText>
      </w:r>
      <w:r w:rsidRPr="00BD212C">
        <w:rPr>
          <w:bCs/>
          <w:lang w:val="fr-FR"/>
        </w:rPr>
        <w:fldChar w:fldCharType="separate"/>
      </w:r>
      <w:r w:rsidRPr="00BD212C" w:rsidR="00BD212C">
        <w:rPr>
          <w:bCs/>
          <w:noProof/>
        </w:rPr>
        <w:t>72</w:t>
      </w:r>
      <w:r w:rsidRPr="00BD212C">
        <w:rPr>
          <w:bCs/>
          <w:lang w:val="fr-FR"/>
        </w:rPr>
        <w:fldChar w:fldCharType="end"/>
      </w:r>
      <w:r w:rsidRPr="00BD212C">
        <w:rPr>
          <w:bCs/>
        </w:rPr>
        <w:t>.  </w:t>
      </w:r>
      <w:r w:rsidRPr="00BD212C" w:rsidR="00A37AF7">
        <w:t>The applicant</w:t>
      </w:r>
      <w:r w:rsidRPr="00BD212C">
        <w:t xml:space="preserve">s </w:t>
      </w:r>
      <w:r w:rsidRPr="00BD212C" w:rsidR="00A37AF7">
        <w:t>also stated that</w:t>
      </w:r>
      <w:r w:rsidRPr="00BD212C">
        <w:t xml:space="preserve"> 24 </w:t>
      </w:r>
      <w:r w:rsidRPr="00BD212C" w:rsidR="00A37AF7">
        <w:t xml:space="preserve">member States of the Council of </w:t>
      </w:r>
      <w:r w:rsidRPr="00BD212C">
        <w:t xml:space="preserve">Europe </w:t>
      </w:r>
      <w:r w:rsidRPr="00BD212C" w:rsidR="00A37AF7">
        <w:t>had enacted laws allowing same-sex</w:t>
      </w:r>
      <w:r w:rsidRPr="00BD212C">
        <w:t xml:space="preserve"> couples</w:t>
      </w:r>
      <w:r w:rsidRPr="00BD212C" w:rsidR="00A37AF7">
        <w:t xml:space="preserve"> to register thei</w:t>
      </w:r>
      <w:r w:rsidRPr="00BD212C">
        <w:t xml:space="preserve">r </w:t>
      </w:r>
      <w:r w:rsidRPr="00BD212C" w:rsidR="007B62C5">
        <w:t>partnership</w:t>
      </w:r>
      <w:r w:rsidRPr="00BD212C">
        <w:t xml:space="preserve"> (</w:t>
      </w:r>
      <w:r w:rsidRPr="00BD212C" w:rsidR="007B62C5">
        <w:t xml:space="preserve">a </w:t>
      </w:r>
      <w:r w:rsidRPr="00BD212C" w:rsidR="00CD29C3">
        <w:t>survey</w:t>
      </w:r>
      <w:r w:rsidRPr="00BD212C" w:rsidR="007B62C5">
        <w:t xml:space="preserve"> on this subject, which had been updated </w:t>
      </w:r>
      <w:r w:rsidRPr="00BD212C" w:rsidR="00CD29C3">
        <w:t>to</w:t>
      </w:r>
      <w:r w:rsidRPr="00BD212C">
        <w:t xml:space="preserve"> 30 </w:t>
      </w:r>
      <w:r w:rsidRPr="00BD212C" w:rsidR="007B62C5">
        <w:t>June</w:t>
      </w:r>
      <w:r w:rsidRPr="00BD212C">
        <w:t xml:space="preserve"> 2015, </w:t>
      </w:r>
      <w:r w:rsidRPr="00BD212C" w:rsidR="007B62C5">
        <w:t>appeared in</w:t>
      </w:r>
      <w:r w:rsidRPr="00BD212C">
        <w:t xml:space="preserve"> </w:t>
      </w:r>
      <w:r w:rsidRPr="00BD212C">
        <w:rPr>
          <w:i/>
        </w:rPr>
        <w:t xml:space="preserve">Oliari </w:t>
      </w:r>
      <w:r w:rsidRPr="00BD212C" w:rsidR="007B62C5">
        <w:rPr>
          <w:i/>
        </w:rPr>
        <w:t>and Other</w:t>
      </w:r>
      <w:r w:rsidRPr="00BD212C">
        <w:rPr>
          <w:i/>
        </w:rPr>
        <w:t>s</w:t>
      </w:r>
      <w:r w:rsidRPr="00BD212C">
        <w:t xml:space="preserve">, </w:t>
      </w:r>
      <w:r w:rsidRPr="00BD212C" w:rsidR="007B62C5">
        <w:t>cited above, §§ 53 to</w:t>
      </w:r>
      <w:r w:rsidRPr="00BD212C">
        <w:t xml:space="preserve"> </w:t>
      </w:r>
      <w:r w:rsidRPr="00BD212C" w:rsidR="00CF6D74">
        <w:t xml:space="preserve">55), and that the </w:t>
      </w:r>
      <w:r w:rsidRPr="00BD212C" w:rsidR="00CD29C3">
        <w:t>possibility of</w:t>
      </w:r>
      <w:r w:rsidRPr="00BD212C" w:rsidR="00CF6D74">
        <w:t xml:space="preserve"> obtain</w:t>
      </w:r>
      <w:r w:rsidRPr="00BD212C" w:rsidR="00CD29C3">
        <w:t>ing</w:t>
      </w:r>
      <w:r w:rsidRPr="00BD212C" w:rsidR="00CF6D74">
        <w:t xml:space="preserve"> a residence permi</w:t>
      </w:r>
      <w:r w:rsidRPr="00BD212C">
        <w:t xml:space="preserve">t, </w:t>
      </w:r>
      <w:r w:rsidRPr="00BD212C" w:rsidR="00CF6D74">
        <w:t xml:space="preserve">for a </w:t>
      </w:r>
      <w:r w:rsidRPr="00BD212C" w:rsidR="00CD29C3">
        <w:t>homo</w:t>
      </w:r>
      <w:r w:rsidRPr="00BD212C" w:rsidR="00CF6D74">
        <w:t>sex</w:t>
      </w:r>
      <w:r w:rsidRPr="00BD212C" w:rsidR="00CD29C3">
        <w:t>ual</w:t>
      </w:r>
      <w:r w:rsidRPr="00BD212C" w:rsidR="00CF6D74">
        <w:t xml:space="preserve"> partner who was not an EU national</w:t>
      </w:r>
      <w:r w:rsidRPr="00BD212C">
        <w:t>, existe</w:t>
      </w:r>
      <w:r w:rsidRPr="00BD212C" w:rsidR="00CF6D74">
        <w:t>d in</w:t>
      </w:r>
      <w:r w:rsidRPr="00BD212C">
        <w:t xml:space="preserve"> </w:t>
      </w:r>
      <w:r w:rsidRPr="00BD212C" w:rsidR="00CF6D74">
        <w:t>at least</w:t>
      </w:r>
      <w:r w:rsidRPr="00BD212C" w:rsidR="00CD29C3">
        <w:t>31 States</w:t>
      </w:r>
      <w:r w:rsidRPr="00BD212C">
        <w:t xml:space="preserve">. </w:t>
      </w:r>
      <w:r w:rsidRPr="00BD212C" w:rsidR="00CF6D74">
        <w:t>They considered that the European</w:t>
      </w:r>
      <w:r w:rsidRPr="00BD212C">
        <w:t xml:space="preserve"> consensus </w:t>
      </w:r>
      <w:r w:rsidRPr="00BD212C" w:rsidR="00CF6D74">
        <w:t>on that</w:t>
      </w:r>
      <w:r w:rsidRPr="00BD212C">
        <w:t xml:space="preserve"> point </w:t>
      </w:r>
      <w:r w:rsidRPr="00BD212C" w:rsidR="00CF6D74">
        <w:t>was therefore greater today than that which had been observed at the time of a</w:t>
      </w:r>
      <w:r w:rsidRPr="00BD212C">
        <w:t xml:space="preserve">doption </w:t>
      </w:r>
      <w:r w:rsidRPr="00BD212C" w:rsidR="00CF6D74">
        <w:t>of</w:t>
      </w:r>
      <w:r w:rsidRPr="00BD212C">
        <w:t xml:space="preserve"> </w:t>
      </w:r>
      <w:r w:rsidRPr="00BD212C" w:rsidR="00CF6D74">
        <w:t>the judgments</w:t>
      </w:r>
      <w:r w:rsidRPr="00BD212C" w:rsidR="0037278D">
        <w:t xml:space="preserve"> in</w:t>
      </w:r>
      <w:r w:rsidRPr="00BD212C">
        <w:t xml:space="preserve"> </w:t>
      </w:r>
      <w:r w:rsidRPr="00BD212C">
        <w:rPr>
          <w:i/>
        </w:rPr>
        <w:t xml:space="preserve">Schalk </w:t>
      </w:r>
      <w:r w:rsidRPr="00BD212C" w:rsidR="00CF6D74">
        <w:rPr>
          <w:i/>
        </w:rPr>
        <w:t>and</w:t>
      </w:r>
      <w:r w:rsidRPr="00BD212C">
        <w:rPr>
          <w:i/>
        </w:rPr>
        <w:t xml:space="preserve"> Kopf</w:t>
      </w:r>
      <w:r w:rsidRPr="00BD212C">
        <w:t xml:space="preserve"> </w:t>
      </w:r>
      <w:r w:rsidRPr="00BD212C" w:rsidR="00CF6D74">
        <w:t>and</w:t>
      </w:r>
      <w:r w:rsidRPr="00BD212C">
        <w:t xml:space="preserve"> </w:t>
      </w:r>
      <w:r w:rsidRPr="00BD212C">
        <w:rPr>
          <w:i/>
        </w:rPr>
        <w:t xml:space="preserve">Gas </w:t>
      </w:r>
      <w:r w:rsidRPr="00BD212C" w:rsidR="00CF6D74">
        <w:rPr>
          <w:i/>
        </w:rPr>
        <w:t>and</w:t>
      </w:r>
      <w:r w:rsidRPr="00BD212C">
        <w:rPr>
          <w:i/>
        </w:rPr>
        <w:t xml:space="preserve"> Dubois </w:t>
      </w:r>
      <w:r w:rsidRPr="00BD212C">
        <w:t>(</w:t>
      </w:r>
      <w:r w:rsidRPr="00BD212C" w:rsidR="00CF6D74">
        <w:t>cited above</w:t>
      </w:r>
      <w:r w:rsidRPr="00BD212C">
        <w:t>).</w:t>
      </w:r>
    </w:p>
    <w:p w:rsidRPr="00BD212C" w:rsidR="00A95392" w:rsidP="00BD212C" w:rsidRDefault="00BD212C">
      <w:pPr>
        <w:pStyle w:val="ECHRPara"/>
      </w:pPr>
      <w:fldSimple w:instr=" SEQ level0 \*arabic ">
        <w:r w:rsidRPr="00BD212C">
          <w:rPr>
            <w:noProof/>
          </w:rPr>
          <w:t>73</w:t>
        </w:r>
      </w:fldSimple>
      <w:r w:rsidRPr="00BD212C" w:rsidR="00A95392">
        <w:t>.  </w:t>
      </w:r>
      <w:r w:rsidRPr="00BD212C" w:rsidR="0037278D">
        <w:t>The applic</w:t>
      </w:r>
      <w:r w:rsidRPr="00BD212C" w:rsidR="00A95392">
        <w:t xml:space="preserve">ants </w:t>
      </w:r>
      <w:r w:rsidRPr="00BD212C" w:rsidR="0037278D">
        <w:t>pointed out, lastly, that the aim of their application</w:t>
      </w:r>
      <w:r w:rsidRPr="00BD212C" w:rsidR="00A95392">
        <w:t xml:space="preserve"> </w:t>
      </w:r>
      <w:r w:rsidRPr="00BD212C" w:rsidR="0037278D">
        <w:t>was not to obtain a right to marry or access to a</w:t>
      </w:r>
      <w:r w:rsidRPr="00BD212C" w:rsidR="00A95392">
        <w:t xml:space="preserve"> form</w:t>
      </w:r>
      <w:r w:rsidRPr="00BD212C" w:rsidR="0037278D">
        <w:t xml:space="preserve"> of registered partnership</w:t>
      </w:r>
      <w:r w:rsidRPr="00BD212C" w:rsidR="00A95392">
        <w:t xml:space="preserve">. </w:t>
      </w:r>
      <w:r w:rsidRPr="00BD212C" w:rsidR="0037278D">
        <w:t>They explained that they were merely asking the</w:t>
      </w:r>
      <w:r w:rsidRPr="00BD212C" w:rsidR="00A95392">
        <w:t xml:space="preserve"> Cour</w:t>
      </w:r>
      <w:r w:rsidRPr="00BD212C" w:rsidR="0037278D">
        <w:t>t to develop its decision in</w:t>
      </w:r>
      <w:r w:rsidRPr="00BD212C" w:rsidR="00A95392">
        <w:t xml:space="preserve"> </w:t>
      </w:r>
      <w:r w:rsidRPr="00BD212C" w:rsidR="00A95392">
        <w:rPr>
          <w:i/>
        </w:rPr>
        <w:t xml:space="preserve">Karner </w:t>
      </w:r>
      <w:r w:rsidRPr="00BD212C" w:rsidR="0037278D">
        <w:rPr>
          <w:i/>
        </w:rPr>
        <w:t>v</w:t>
      </w:r>
      <w:r w:rsidRPr="00BD212C" w:rsidR="00A95392">
        <w:rPr>
          <w:i/>
        </w:rPr>
        <w:t xml:space="preserve">. </w:t>
      </w:r>
      <w:r w:rsidRPr="00BD212C" w:rsidR="0037278D">
        <w:rPr>
          <w:i/>
        </w:rPr>
        <w:t>Austria</w:t>
      </w:r>
      <w:r w:rsidRPr="00BD212C" w:rsidR="00A95392">
        <w:rPr>
          <w:i/>
        </w:rPr>
        <w:t xml:space="preserve"> </w:t>
      </w:r>
      <w:r w:rsidRPr="00BD212C" w:rsidR="00A95392">
        <w:t>(</w:t>
      </w:r>
      <w:r w:rsidRPr="00BD212C" w:rsidR="0037278D">
        <w:t xml:space="preserve">no. </w:t>
      </w:r>
      <w:r w:rsidRPr="00BD212C" w:rsidR="00A95392">
        <w:t xml:space="preserve">40016/98, </w:t>
      </w:r>
      <w:r w:rsidRPr="00BD212C" w:rsidR="0037278D">
        <w:t>ECHR</w:t>
      </w:r>
      <w:r w:rsidRPr="00BD212C" w:rsidR="00A95392">
        <w:t> 2003</w:t>
      </w:r>
      <w:r w:rsidRPr="00BD212C" w:rsidR="00A95392">
        <w:noBreakHyphen/>
        <w:t xml:space="preserve">IX) </w:t>
      </w:r>
      <w:r w:rsidRPr="00BD212C" w:rsidR="0037278D">
        <w:t>and</w:t>
      </w:r>
      <w:r w:rsidRPr="00BD212C" w:rsidR="00A95392">
        <w:t xml:space="preserve"> </w:t>
      </w:r>
      <w:r w:rsidRPr="00BD212C" w:rsidR="0037278D">
        <w:t>state that excluding same-sex</w:t>
      </w:r>
      <w:r w:rsidRPr="00BD212C" w:rsidR="00A95392">
        <w:t xml:space="preserve"> couples</w:t>
      </w:r>
      <w:r w:rsidRPr="00BD212C" w:rsidR="0037278D">
        <w:t xml:space="preserve"> from the right to a residence permit for family reasons was discriminato</w:t>
      </w:r>
      <w:r w:rsidRPr="00BD212C" w:rsidR="00A95392">
        <w:t>r</w:t>
      </w:r>
      <w:r w:rsidRPr="00BD212C" w:rsidR="0037278D">
        <w:t>y</w:t>
      </w:r>
      <w:r w:rsidRPr="00BD212C" w:rsidR="00A95392">
        <w:t xml:space="preserve">. </w:t>
      </w:r>
      <w:r w:rsidRPr="00BD212C" w:rsidR="0037278D">
        <w:t xml:space="preserve">They submitted that, with regard to other rights recognised </w:t>
      </w:r>
      <w:r w:rsidRPr="00BD212C" w:rsidR="00CD29C3">
        <w:t xml:space="preserve">as belonging </w:t>
      </w:r>
      <w:r w:rsidRPr="00BD212C" w:rsidR="0037278D">
        <w:t>to married</w:t>
      </w:r>
      <w:r w:rsidRPr="00BD212C" w:rsidR="00A95392">
        <w:t xml:space="preserve"> couples, </w:t>
      </w:r>
      <w:r w:rsidRPr="00BD212C" w:rsidR="0037278D">
        <w:t>the</w:t>
      </w:r>
      <w:r w:rsidRPr="00BD212C" w:rsidR="00A95392">
        <w:t xml:space="preserve"> Cour</w:t>
      </w:r>
      <w:r w:rsidRPr="00BD212C" w:rsidR="0037278D">
        <w:t>t could decide on a case-by-case basi</w:t>
      </w:r>
      <w:r w:rsidRPr="00BD212C" w:rsidR="00A95392">
        <w:t>s, distingu</w:t>
      </w:r>
      <w:r w:rsidRPr="00BD212C" w:rsidR="0037278D">
        <w:t>ishing</w:t>
      </w:r>
      <w:r w:rsidRPr="00BD212C" w:rsidR="00A95392">
        <w:t xml:space="preserve">, </w:t>
      </w:r>
      <w:r w:rsidRPr="00BD212C" w:rsidR="0037278D">
        <w:t>for exa</w:t>
      </w:r>
      <w:r w:rsidRPr="00BD212C" w:rsidR="00A95392">
        <w:t xml:space="preserve">mple, </w:t>
      </w:r>
      <w:r w:rsidRPr="00BD212C" w:rsidR="0037278D">
        <w:t xml:space="preserve">the right to obtain a residence permit from the right to </w:t>
      </w:r>
      <w:r w:rsidRPr="00BD212C" w:rsidR="00A95392">
        <w:t xml:space="preserve">adopt. </w:t>
      </w:r>
      <w:r w:rsidRPr="00BD212C" w:rsidR="0037278D">
        <w:t>Accordingly</w:t>
      </w:r>
      <w:r w:rsidRPr="00BD212C" w:rsidR="00A95392">
        <w:t>,</w:t>
      </w:r>
      <w:r w:rsidRPr="00BD212C" w:rsidR="0037278D">
        <w:t xml:space="preserve"> in their view</w:t>
      </w:r>
      <w:r w:rsidRPr="00BD212C" w:rsidR="00A95392">
        <w:t xml:space="preserve">, </w:t>
      </w:r>
      <w:r w:rsidRPr="00BD212C" w:rsidR="00292A06">
        <w:t>concluding that there had been a</w:t>
      </w:r>
      <w:r w:rsidRPr="00BD212C" w:rsidR="00A95392">
        <w:t xml:space="preserve"> violation </w:t>
      </w:r>
      <w:r w:rsidRPr="00BD212C" w:rsidR="00292A06">
        <w:t>of A</w:t>
      </w:r>
      <w:r w:rsidRPr="00BD212C" w:rsidR="00A95392">
        <w:t xml:space="preserve">rticle 14 </w:t>
      </w:r>
      <w:r w:rsidRPr="00BD212C" w:rsidR="00292A06">
        <w:t>of the</w:t>
      </w:r>
      <w:r w:rsidRPr="00BD212C" w:rsidR="00A95392">
        <w:t xml:space="preserve"> Convention </w:t>
      </w:r>
      <w:r w:rsidRPr="00BD212C" w:rsidR="00292A06">
        <w:t>in the present case was not</w:t>
      </w:r>
      <w:r w:rsidRPr="00BD212C" w:rsidR="00A95392">
        <w:t xml:space="preserve"> incompatible </w:t>
      </w:r>
      <w:r w:rsidRPr="00BD212C" w:rsidR="00292A06">
        <w:t>with the</w:t>
      </w:r>
      <w:r w:rsidRPr="00BD212C" w:rsidR="00A95392">
        <w:t xml:space="preserve"> conclusions </w:t>
      </w:r>
      <w:r w:rsidRPr="00BD212C" w:rsidR="00292A06">
        <w:t>reached by the</w:t>
      </w:r>
      <w:r w:rsidRPr="00BD212C" w:rsidR="00A95392">
        <w:t xml:space="preserve"> Cour</w:t>
      </w:r>
      <w:r w:rsidRPr="00BD212C" w:rsidR="00292A06">
        <w:t>t in its judgment in</w:t>
      </w:r>
      <w:r w:rsidRPr="00BD212C" w:rsidR="00A95392">
        <w:t xml:space="preserve"> </w:t>
      </w:r>
      <w:r w:rsidRPr="00BD212C" w:rsidR="00A95392">
        <w:rPr>
          <w:i/>
        </w:rPr>
        <w:t xml:space="preserve">Gas </w:t>
      </w:r>
      <w:r w:rsidRPr="00BD212C" w:rsidR="00292A06">
        <w:rPr>
          <w:i/>
        </w:rPr>
        <w:t>and</w:t>
      </w:r>
      <w:r w:rsidRPr="00BD212C" w:rsidR="00A95392">
        <w:rPr>
          <w:i/>
        </w:rPr>
        <w:t xml:space="preserve"> Dubois</w:t>
      </w:r>
      <w:r w:rsidRPr="00BD212C" w:rsidR="00A95392">
        <w:t xml:space="preserve"> (</w:t>
      </w:r>
      <w:r w:rsidRPr="00BD212C" w:rsidR="00292A06">
        <w:t>cited above</w:t>
      </w:r>
      <w:r w:rsidRPr="00BD212C" w:rsidR="00A95392">
        <w:t>).</w:t>
      </w:r>
    </w:p>
    <w:p w:rsidRPr="00BD212C" w:rsidR="00CD24EA" w:rsidP="00BD212C" w:rsidRDefault="00CD24EA">
      <w:pPr>
        <w:pStyle w:val="ECHRHeading5"/>
      </w:pPr>
      <w:r w:rsidRPr="00BD212C">
        <w:t>iii.  The third-party interveners</w:t>
      </w:r>
    </w:p>
    <w:p w:rsidRPr="00BD212C" w:rsidR="00CD24EA" w:rsidP="00BD212C" w:rsidRDefault="00CD24EA">
      <w:pPr>
        <w:pStyle w:val="ECHRHeading6"/>
        <w:rPr>
          <w:i w:val="0"/>
        </w:rPr>
      </w:pPr>
      <w:r w:rsidRPr="00BD212C">
        <w:rPr>
          <w:rFonts w:cstheme="majorHAnsi"/>
          <w:i w:val="0"/>
          <w:lang w:val="fr-FR"/>
        </w:rPr>
        <w:t>α</w:t>
      </w:r>
      <w:r w:rsidRPr="00BD212C">
        <w:rPr>
          <w:i w:val="0"/>
        </w:rPr>
        <w:t>)  International Commission of Jurists (ICJ), International Lesbian, Gay, Bisexual Trans and Intersex Association (ILGA) Europe</w:t>
      </w:r>
      <w:r w:rsidRPr="00BD212C" w:rsidR="005B2B45">
        <w:rPr>
          <w:i w:val="0"/>
        </w:rPr>
        <w:t>,</w:t>
      </w:r>
      <w:r w:rsidRPr="00BD212C">
        <w:rPr>
          <w:i w:val="0"/>
        </w:rPr>
        <w:t xml:space="preserve"> and Network of European LGBT Families (NELFA)</w:t>
      </w:r>
    </w:p>
    <w:p w:rsidRPr="00BD212C" w:rsidR="00893ABA" w:rsidP="00BD212C" w:rsidRDefault="00A95392">
      <w:pPr>
        <w:pStyle w:val="ECHRPara"/>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74</w:t>
      </w:r>
      <w:r w:rsidRPr="00BD212C">
        <w:rPr>
          <w:lang w:val="fr-FR"/>
        </w:rPr>
        <w:fldChar w:fldCharType="end"/>
      </w:r>
      <w:r w:rsidRPr="00BD212C">
        <w:rPr>
          <w:lang w:val="en-GB"/>
        </w:rPr>
        <w:t>. </w:t>
      </w:r>
      <w:r w:rsidRPr="00BD212C" w:rsidR="00CD24EA">
        <w:t xml:space="preserve">The ICJ, ILGA-Europe and NELFA produced </w:t>
      </w:r>
      <w:r w:rsidRPr="00BD212C" w:rsidR="00580887">
        <w:t>material</w:t>
      </w:r>
      <w:r w:rsidRPr="00BD212C" w:rsidR="00CD24EA">
        <w:t xml:space="preserve"> </w:t>
      </w:r>
      <w:r w:rsidRPr="00BD212C" w:rsidR="00580887">
        <w:t xml:space="preserve">showing that </w:t>
      </w:r>
      <w:r w:rsidRPr="00BD212C" w:rsidR="00442695">
        <w:t>a number of jurisdictions aro</w:t>
      </w:r>
      <w:r w:rsidRPr="00BD212C" w:rsidR="00DE1D5A">
        <w:t>und</w:t>
      </w:r>
      <w:r w:rsidRPr="00BD212C" w:rsidR="00580887">
        <w:t xml:space="preserve"> the world</w:t>
      </w:r>
      <w:r w:rsidRPr="00BD212C" w:rsidR="00CD24EA">
        <w:t xml:space="preserve"> </w:t>
      </w:r>
      <w:r w:rsidRPr="00BD212C" w:rsidR="005B2B45">
        <w:t>recognis</w:t>
      </w:r>
      <w:r w:rsidRPr="00BD212C" w:rsidR="00442695">
        <w:t>ed that</w:t>
      </w:r>
      <w:r w:rsidRPr="00BD212C" w:rsidR="00580887">
        <w:t xml:space="preserve"> a same-sex</w:t>
      </w:r>
      <w:r w:rsidRPr="00BD212C" w:rsidR="00CD24EA">
        <w:t xml:space="preserve"> couple</w:t>
      </w:r>
      <w:r w:rsidRPr="00BD212C" w:rsidR="00580887">
        <w:t xml:space="preserve"> </w:t>
      </w:r>
      <w:r w:rsidRPr="00BD212C" w:rsidR="00442695">
        <w:t>in a long-term, committed and established relationship was in fact</w:t>
      </w:r>
      <w:r w:rsidRPr="00BD212C" w:rsidR="00580887">
        <w:t xml:space="preserve"> a “family member</w:t>
      </w:r>
      <w:r w:rsidRPr="00BD212C" w:rsidR="005B2B45">
        <w:t>”</w:t>
      </w:r>
      <w:r w:rsidRPr="00BD212C" w:rsidR="00442695">
        <w:t xml:space="preserve"> regardless of whether the couple had been able to marry or otherwise obtain formal legal recognition</w:t>
      </w:r>
      <w:r w:rsidRPr="00BD212C" w:rsidR="003666E3">
        <w:t xml:space="preserve"> for their relationship</w:t>
      </w:r>
      <w:r w:rsidRPr="00BD212C" w:rsidR="00CD24EA">
        <w:t>.</w:t>
      </w:r>
    </w:p>
    <w:p w:rsidRPr="00BD212C" w:rsidR="00CD24EA" w:rsidP="00BD212C" w:rsidRDefault="00CD24EA">
      <w:pPr>
        <w:pStyle w:val="ECHRPara"/>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75</w:t>
      </w:r>
      <w:r w:rsidRPr="00BD212C">
        <w:rPr>
          <w:lang w:val="fr-FR"/>
        </w:rPr>
        <w:fldChar w:fldCharType="end"/>
      </w:r>
      <w:r w:rsidRPr="00BD212C">
        <w:rPr>
          <w:lang w:val="en-GB"/>
        </w:rPr>
        <w:t>.  </w:t>
      </w:r>
      <w:r w:rsidRPr="00BD212C" w:rsidR="00580887">
        <w:t xml:space="preserve">The third-party interveners stated that they had first </w:t>
      </w:r>
      <w:r w:rsidRPr="00BD212C">
        <w:t>examin</w:t>
      </w:r>
      <w:r w:rsidRPr="00BD212C" w:rsidR="00580887">
        <w:t>ed</w:t>
      </w:r>
      <w:r w:rsidRPr="00BD212C">
        <w:t xml:space="preserve"> </w:t>
      </w:r>
      <w:r w:rsidRPr="00BD212C" w:rsidR="00580887">
        <w:t>the le</w:t>
      </w:r>
      <w:r w:rsidRPr="00BD212C">
        <w:t xml:space="preserve">gislation </w:t>
      </w:r>
      <w:r w:rsidRPr="00BD212C" w:rsidR="00580887">
        <w:t>and practic</w:t>
      </w:r>
      <w:r w:rsidRPr="00BD212C">
        <w:t>e</w:t>
      </w:r>
      <w:r w:rsidRPr="00BD212C" w:rsidR="00580887">
        <w:t xml:space="preserve"> of a number of non-European States</w:t>
      </w:r>
      <w:r w:rsidRPr="00BD212C">
        <w:t xml:space="preserve"> (</w:t>
      </w:r>
      <w:r w:rsidRPr="00BD212C" w:rsidR="00580887">
        <w:t xml:space="preserve">South </w:t>
      </w:r>
      <w:r w:rsidRPr="00BD212C">
        <w:t>A</w:t>
      </w:r>
      <w:r w:rsidRPr="00BD212C" w:rsidR="00580887">
        <w:t>frica</w:t>
      </w:r>
      <w:r w:rsidRPr="00BD212C">
        <w:t>, Australi</w:t>
      </w:r>
      <w:r w:rsidRPr="00BD212C" w:rsidR="00580887">
        <w:t>a</w:t>
      </w:r>
      <w:r w:rsidRPr="00BD212C">
        <w:t>, Br</w:t>
      </w:r>
      <w:r w:rsidRPr="00BD212C" w:rsidR="00580887">
        <w:t>az</w:t>
      </w:r>
      <w:r w:rsidRPr="00BD212C">
        <w:t>il, Canada, Colombi</w:t>
      </w:r>
      <w:r w:rsidRPr="00BD212C" w:rsidR="00580887">
        <w:t>a</w:t>
      </w:r>
      <w:r w:rsidRPr="00BD212C">
        <w:t>, Isra</w:t>
      </w:r>
      <w:r w:rsidRPr="00BD212C" w:rsidR="00580887">
        <w:t>e</w:t>
      </w:r>
      <w:r w:rsidRPr="00BD212C">
        <w:t xml:space="preserve">l </w:t>
      </w:r>
      <w:r w:rsidRPr="00BD212C" w:rsidR="00580887">
        <w:t>and</w:t>
      </w:r>
      <w:r w:rsidRPr="00BD212C">
        <w:t xml:space="preserve"> N</w:t>
      </w:r>
      <w:r w:rsidRPr="00BD212C" w:rsidR="00580887">
        <w:t xml:space="preserve">ew </w:t>
      </w:r>
      <w:r w:rsidRPr="00BD212C">
        <w:t>Z</w:t>
      </w:r>
      <w:r w:rsidRPr="00BD212C" w:rsidR="00580887">
        <w:t>ea</w:t>
      </w:r>
      <w:r w:rsidRPr="00BD212C">
        <w:t xml:space="preserve">land) </w:t>
      </w:r>
      <w:r w:rsidRPr="00BD212C" w:rsidR="00580887">
        <w:t>which allowed same-</w:t>
      </w:r>
      <w:r w:rsidRPr="00BD212C">
        <w:t>sex</w:t>
      </w:r>
      <w:r w:rsidRPr="00BD212C" w:rsidR="00580887">
        <w:t xml:space="preserve"> partners to emigrate to and reside in </w:t>
      </w:r>
      <w:r w:rsidRPr="00BD212C" w:rsidR="003666E3">
        <w:t>each other</w:t>
      </w:r>
      <w:r w:rsidRPr="00BD212C" w:rsidR="00BD212C">
        <w:t>’</w:t>
      </w:r>
      <w:r w:rsidRPr="00BD212C" w:rsidR="003666E3">
        <w:t>s</w:t>
      </w:r>
      <w:r w:rsidRPr="00BD212C" w:rsidR="00580887">
        <w:t xml:space="preserve"> countries of origin</w:t>
      </w:r>
      <w:r w:rsidRPr="00BD212C">
        <w:t xml:space="preserve">, </w:t>
      </w:r>
      <w:r w:rsidRPr="00BD212C" w:rsidR="00580887">
        <w:t>before addressing the</w:t>
      </w:r>
      <w:r w:rsidRPr="00BD212C">
        <w:t xml:space="preserve"> concept</w:t>
      </w:r>
      <w:r w:rsidRPr="00BD212C" w:rsidR="00580887">
        <w:t xml:space="preserve"> of “</w:t>
      </w:r>
      <w:r w:rsidRPr="00BD212C">
        <w:t>functional families</w:t>
      </w:r>
      <w:r w:rsidRPr="00BD212C" w:rsidR="00580887">
        <w:t>”</w:t>
      </w:r>
      <w:r w:rsidRPr="00BD212C">
        <w:t xml:space="preserve">. </w:t>
      </w:r>
      <w:r w:rsidRPr="00BD212C" w:rsidR="00580887">
        <w:t>That</w:t>
      </w:r>
      <w:r w:rsidRPr="00BD212C">
        <w:t xml:space="preserve"> concept, </w:t>
      </w:r>
      <w:r w:rsidRPr="00BD212C" w:rsidR="00580887">
        <w:t xml:space="preserve">instead of focusing on the identity and </w:t>
      </w:r>
      <w:r w:rsidRPr="00BD212C" w:rsidR="00ED5578">
        <w:t>attributes</w:t>
      </w:r>
      <w:r w:rsidRPr="00BD212C" w:rsidR="00580887">
        <w:t xml:space="preserve"> of</w:t>
      </w:r>
      <w:r w:rsidRPr="00BD212C">
        <w:t xml:space="preserve"> </w:t>
      </w:r>
      <w:r w:rsidRPr="00BD212C" w:rsidR="00ED5578">
        <w:t xml:space="preserve">the </w:t>
      </w:r>
      <w:r w:rsidRPr="00BD212C">
        <w:t>individu</w:t>
      </w:r>
      <w:r w:rsidRPr="00BD212C" w:rsidR="00580887">
        <w:t>al</w:t>
      </w:r>
      <w:r w:rsidRPr="00BD212C">
        <w:t xml:space="preserve">s </w:t>
      </w:r>
      <w:r w:rsidRPr="00BD212C" w:rsidR="00ED5578">
        <w:t>with</w:t>
      </w:r>
      <w:r w:rsidRPr="00BD212C" w:rsidR="00580887">
        <w:t xml:space="preserve">in a </w:t>
      </w:r>
      <w:r w:rsidRPr="00BD212C">
        <w:t>relation</w:t>
      </w:r>
      <w:r w:rsidRPr="00BD212C" w:rsidR="00580887">
        <w:t>ship</w:t>
      </w:r>
      <w:r w:rsidRPr="00BD212C">
        <w:t xml:space="preserve">, </w:t>
      </w:r>
      <w:r w:rsidRPr="00BD212C" w:rsidR="00ED5578">
        <w:t>sought</w:t>
      </w:r>
      <w:r w:rsidRPr="00BD212C" w:rsidR="00580887">
        <w:t xml:space="preserve"> to establish whether</w:t>
      </w:r>
      <w:r w:rsidRPr="00BD212C" w:rsidR="00ED5578">
        <w:t xml:space="preserve"> or not</w:t>
      </w:r>
      <w:r w:rsidRPr="00BD212C" w:rsidR="00580887">
        <w:t xml:space="preserve"> </w:t>
      </w:r>
      <w:r w:rsidRPr="00BD212C" w:rsidR="00ED5578">
        <w:t>that</w:t>
      </w:r>
      <w:r w:rsidRPr="00BD212C" w:rsidR="00580887">
        <w:t xml:space="preserve"> relationship </w:t>
      </w:r>
      <w:r w:rsidRPr="00BD212C" w:rsidR="00ED5578">
        <w:t>displayed certain</w:t>
      </w:r>
      <w:r w:rsidRPr="00BD212C" w:rsidR="00DE1D5A">
        <w:t xml:space="preserve"> essential characteristics </w:t>
      </w:r>
      <w:r w:rsidRPr="00BD212C">
        <w:t>(</w:t>
      </w:r>
      <w:r w:rsidRPr="00BD212C" w:rsidR="00DE1D5A">
        <w:t>e</w:t>
      </w:r>
      <w:r w:rsidRPr="00BD212C">
        <w:t>conomi</w:t>
      </w:r>
      <w:r w:rsidRPr="00BD212C" w:rsidR="00ED5578">
        <w:t>c co</w:t>
      </w:r>
      <w:r w:rsidRPr="00BD212C" w:rsidR="00DE1D5A">
        <w:t>operation</w:t>
      </w:r>
      <w:r w:rsidRPr="00BD212C">
        <w:t xml:space="preserve">, participation </w:t>
      </w:r>
      <w:r w:rsidRPr="00BD212C" w:rsidR="00DE1D5A">
        <w:t>in</w:t>
      </w:r>
      <w:r w:rsidRPr="00BD212C">
        <w:t xml:space="preserve"> domesti</w:t>
      </w:r>
      <w:r w:rsidRPr="00BD212C" w:rsidR="00DE1D5A">
        <w:t xml:space="preserve">c </w:t>
      </w:r>
      <w:r w:rsidRPr="00BD212C" w:rsidR="00ED5578">
        <w:t>responsibilities</w:t>
      </w:r>
      <w:r w:rsidRPr="00BD212C">
        <w:t xml:space="preserve">, </w:t>
      </w:r>
      <w:r w:rsidRPr="00BD212C" w:rsidR="00ED5578">
        <w:t>affection between the partie</w:t>
      </w:r>
      <w:r w:rsidRPr="00BD212C">
        <w:t>s).</w:t>
      </w:r>
      <w:r w:rsidRPr="00BD212C" w:rsidR="00DE1D5A">
        <w:t xml:space="preserve"> In their submission, on the basis of that</w:t>
      </w:r>
      <w:r w:rsidRPr="00BD212C">
        <w:t xml:space="preserve"> concept</w:t>
      </w:r>
      <w:r w:rsidRPr="00BD212C" w:rsidR="00DE1D5A">
        <w:t xml:space="preserve"> the </w:t>
      </w:r>
      <w:r w:rsidRPr="00BD212C" w:rsidR="00ED5578">
        <w:t>jurisdictions</w:t>
      </w:r>
      <w:r w:rsidRPr="00BD212C" w:rsidR="00DE1D5A">
        <w:t xml:space="preserve"> of a number of countries </w:t>
      </w:r>
      <w:r w:rsidRPr="00BD212C">
        <w:t>(</w:t>
      </w:r>
      <w:r w:rsidRPr="00BD212C" w:rsidR="00DE1D5A">
        <w:t xml:space="preserve">South </w:t>
      </w:r>
      <w:r w:rsidRPr="00BD212C">
        <w:t>Afri</w:t>
      </w:r>
      <w:r w:rsidRPr="00BD212C" w:rsidR="00DE1D5A">
        <w:t>ca, Australia, Canada, Colombia</w:t>
      </w:r>
      <w:r w:rsidRPr="00BD212C">
        <w:t xml:space="preserve">, </w:t>
      </w:r>
      <w:r w:rsidRPr="00BD212C" w:rsidR="00DE1D5A">
        <w:t>United States</w:t>
      </w:r>
      <w:r w:rsidRPr="00BD212C">
        <w:t>, Isra</w:t>
      </w:r>
      <w:r w:rsidRPr="00BD212C" w:rsidR="00DE1D5A">
        <w:t>e</w:t>
      </w:r>
      <w:r w:rsidRPr="00BD212C">
        <w:t xml:space="preserve">l </w:t>
      </w:r>
      <w:r w:rsidRPr="00BD212C" w:rsidR="00DE1D5A">
        <w:t>and the United Kingdom</w:t>
      </w:r>
      <w:r w:rsidRPr="00BD212C">
        <w:t xml:space="preserve">) </w:t>
      </w:r>
      <w:r w:rsidRPr="00BD212C" w:rsidR="00DE1D5A">
        <w:t xml:space="preserve">had recognised unmarried same-sex </w:t>
      </w:r>
      <w:r w:rsidRPr="00BD212C">
        <w:t xml:space="preserve">couples </w:t>
      </w:r>
      <w:r w:rsidRPr="00BD212C" w:rsidR="00DE1D5A">
        <w:t>as “families”</w:t>
      </w:r>
      <w:r w:rsidRPr="00BD212C">
        <w:t xml:space="preserve"> o</w:t>
      </w:r>
      <w:r w:rsidRPr="00BD212C" w:rsidR="00DE1D5A">
        <w:t>r</w:t>
      </w:r>
      <w:r w:rsidRPr="00BD212C">
        <w:t xml:space="preserve"> </w:t>
      </w:r>
      <w:r w:rsidRPr="00BD212C" w:rsidR="00DE1D5A">
        <w:t>“</w:t>
      </w:r>
      <w:r w:rsidRPr="00BD212C">
        <w:rPr>
          <w:i/>
        </w:rPr>
        <w:t>de facto</w:t>
      </w:r>
      <w:r w:rsidRPr="00BD212C" w:rsidR="00DE1D5A">
        <w:t> spouses”</w:t>
      </w:r>
      <w:r w:rsidRPr="00BD212C">
        <w:t xml:space="preserve"> </w:t>
      </w:r>
      <w:r w:rsidRPr="00BD212C" w:rsidR="00ED5578">
        <w:t>for the purposes of</w:t>
      </w:r>
      <w:r w:rsidRPr="00BD212C">
        <w:t xml:space="preserve"> certain</w:t>
      </w:r>
      <w:r w:rsidRPr="00BD212C" w:rsidR="00DE1D5A">
        <w:t xml:space="preserve"> </w:t>
      </w:r>
      <w:r w:rsidRPr="00BD212C">
        <w:t>(</w:t>
      </w:r>
      <w:r w:rsidRPr="00BD212C" w:rsidR="00DE1D5A">
        <w:t>economic or other</w:t>
      </w:r>
      <w:r w:rsidRPr="00BD212C">
        <w:t>)</w:t>
      </w:r>
      <w:r w:rsidRPr="00BD212C" w:rsidR="00ED5578">
        <w:t xml:space="preserve"> benefits</w:t>
      </w:r>
      <w:r w:rsidRPr="00BD212C">
        <w:t>.</w:t>
      </w:r>
    </w:p>
    <w:p w:rsidRPr="00BD212C" w:rsidR="00CD24EA" w:rsidP="00BD212C" w:rsidRDefault="00CD24EA">
      <w:pPr>
        <w:pStyle w:val="ECHRPara"/>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76</w:t>
      </w:r>
      <w:r w:rsidRPr="00BD212C">
        <w:rPr>
          <w:lang w:val="fr-FR"/>
        </w:rPr>
        <w:fldChar w:fldCharType="end"/>
      </w:r>
      <w:r w:rsidRPr="00BD212C">
        <w:rPr>
          <w:lang w:val="en-GB"/>
        </w:rPr>
        <w:t>.  </w:t>
      </w:r>
      <w:r w:rsidRPr="00BD212C" w:rsidR="00DE1D5A">
        <w:t>Lastly</w:t>
      </w:r>
      <w:r w:rsidRPr="00BD212C">
        <w:t>,</w:t>
      </w:r>
      <w:r w:rsidRPr="00BD212C" w:rsidR="00DE1D5A">
        <w:t xml:space="preserve"> the </w:t>
      </w:r>
      <w:r w:rsidRPr="00BD212C">
        <w:t xml:space="preserve">ICJ, ILGA-Europe </w:t>
      </w:r>
      <w:r w:rsidRPr="00BD212C" w:rsidR="00DE1D5A">
        <w:t>and</w:t>
      </w:r>
      <w:r w:rsidRPr="00BD212C">
        <w:t xml:space="preserve"> NELFA </w:t>
      </w:r>
      <w:r w:rsidRPr="00BD212C" w:rsidR="00DE1D5A">
        <w:t xml:space="preserve">indicated that the </w:t>
      </w:r>
      <w:r w:rsidRPr="00BD212C">
        <w:t>diff</w:t>
      </w:r>
      <w:r w:rsidRPr="00BD212C" w:rsidR="00DE1D5A">
        <w:t>e</w:t>
      </w:r>
      <w:r w:rsidRPr="00BD212C">
        <w:t xml:space="preserve">rence </w:t>
      </w:r>
      <w:r w:rsidRPr="00BD212C" w:rsidR="00DE1D5A">
        <w:t>in treatment between same-sex</w:t>
      </w:r>
      <w:r w:rsidRPr="00BD212C">
        <w:t xml:space="preserve"> couples</w:t>
      </w:r>
      <w:r w:rsidRPr="00BD212C" w:rsidR="00DE1D5A">
        <w:t xml:space="preserve"> not having access to marriage and married c</w:t>
      </w:r>
      <w:r w:rsidRPr="00BD212C">
        <w:t xml:space="preserve">ouples </w:t>
      </w:r>
      <w:r w:rsidRPr="00BD212C" w:rsidR="00DE1D5A">
        <w:t>had been considered by the South-African</w:t>
      </w:r>
      <w:r w:rsidRPr="00BD212C">
        <w:t xml:space="preserve">, </w:t>
      </w:r>
      <w:r w:rsidRPr="00BD212C" w:rsidR="00DE1D5A">
        <w:t xml:space="preserve">Canadian and US </w:t>
      </w:r>
      <w:r w:rsidRPr="00BD212C" w:rsidR="00A50F50">
        <w:t>courts</w:t>
      </w:r>
      <w:r w:rsidRPr="00BD212C" w:rsidR="00DE1D5A">
        <w:t xml:space="preserve"> as a form of indirect</w:t>
      </w:r>
      <w:r w:rsidRPr="00BD212C">
        <w:t xml:space="preserve"> discrimination (</w:t>
      </w:r>
      <w:r w:rsidRPr="00BD212C" w:rsidR="009C0D22">
        <w:t>that is,</w:t>
      </w:r>
      <w:r w:rsidRPr="00BD212C">
        <w:t xml:space="preserve"> discrimination </w:t>
      </w:r>
      <w:r w:rsidRPr="00BD212C" w:rsidR="00842F62">
        <w:t xml:space="preserve">as a result of the negative </w:t>
      </w:r>
      <w:r w:rsidRPr="00BD212C" w:rsidR="00A50F50">
        <w:t>effects of</w:t>
      </w:r>
      <w:r w:rsidRPr="00BD212C" w:rsidR="00842F62">
        <w:t xml:space="preserve"> apparently neutral laws </w:t>
      </w:r>
      <w:r w:rsidRPr="00BD212C" w:rsidR="00A50F50">
        <w:t>on</w:t>
      </w:r>
      <w:r w:rsidRPr="00BD212C" w:rsidR="00842F62">
        <w:t xml:space="preserve"> a particular</w:t>
      </w:r>
      <w:r w:rsidRPr="00BD212C" w:rsidR="00A50F50">
        <w:t xml:space="preserve"> protected</w:t>
      </w:r>
      <w:r w:rsidRPr="00BD212C" w:rsidR="00842F62">
        <w:t xml:space="preserve"> group</w:t>
      </w:r>
      <w:r w:rsidRPr="00BD212C">
        <w:t xml:space="preserve">). </w:t>
      </w:r>
      <w:r w:rsidRPr="00BD212C" w:rsidR="00842F62">
        <w:t>They pointed out that, in particular where same-sex</w:t>
      </w:r>
      <w:r w:rsidRPr="00BD212C">
        <w:t xml:space="preserve"> couples</w:t>
      </w:r>
      <w:r w:rsidRPr="00BD212C" w:rsidR="00842F62">
        <w:t xml:space="preserve"> could not marry</w:t>
      </w:r>
      <w:r w:rsidRPr="00BD212C">
        <w:t xml:space="preserve">, </w:t>
      </w:r>
      <w:r w:rsidRPr="00BD212C" w:rsidR="00842F62">
        <w:t>their</w:t>
      </w:r>
      <w:r w:rsidRPr="00BD212C">
        <w:t xml:space="preserve"> situation </w:t>
      </w:r>
      <w:r w:rsidRPr="00BD212C" w:rsidR="00842F62">
        <w:t>should not be c</w:t>
      </w:r>
      <w:r w:rsidRPr="00BD212C">
        <w:t>ompar</w:t>
      </w:r>
      <w:r w:rsidRPr="00BD212C" w:rsidR="00842F62">
        <w:t xml:space="preserve">ed with that of unmarried </w:t>
      </w:r>
      <w:r w:rsidRPr="00BD212C" w:rsidR="00A50F50">
        <w:t>opposite-sex</w:t>
      </w:r>
      <w:r w:rsidRPr="00BD212C" w:rsidR="00842F62">
        <w:t xml:space="preserve"> couples but with that of married </w:t>
      </w:r>
      <w:r w:rsidRPr="00BD212C" w:rsidR="00A50F50">
        <w:t>opposite-sex</w:t>
      </w:r>
      <w:r w:rsidRPr="00BD212C" w:rsidR="00842F62">
        <w:t xml:space="preserve"> couples</w:t>
      </w:r>
      <w:r w:rsidRPr="00BD212C">
        <w:t xml:space="preserve">. </w:t>
      </w:r>
      <w:r w:rsidRPr="00BD212C" w:rsidR="00842F62">
        <w:t>That could also be seen in the practice of the United Nations Human Rights Committee</w:t>
      </w:r>
      <w:r w:rsidRPr="00BD212C">
        <w:t xml:space="preserve">, </w:t>
      </w:r>
      <w:r w:rsidRPr="00BD212C" w:rsidR="00842F62">
        <w:t>which had emphasized</w:t>
      </w:r>
      <w:r w:rsidRPr="00BD212C" w:rsidR="009C0D22">
        <w:t xml:space="preserve"> the point</w:t>
      </w:r>
      <w:r w:rsidRPr="00BD212C" w:rsidR="00842F62">
        <w:t xml:space="preserve"> that heterosexual </w:t>
      </w:r>
      <w:r w:rsidRPr="00BD212C">
        <w:t xml:space="preserve">couples </w:t>
      </w:r>
      <w:r w:rsidRPr="00BD212C" w:rsidR="00842F62">
        <w:t>could freely decide to marry</w:t>
      </w:r>
      <w:r w:rsidRPr="00BD212C">
        <w:t>.</w:t>
      </w:r>
    </w:p>
    <w:p w:rsidRPr="00BD212C" w:rsidR="00CD24EA" w:rsidP="00BD212C" w:rsidRDefault="00CD24EA">
      <w:pPr>
        <w:pStyle w:val="ECHRPara"/>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77</w:t>
      </w:r>
      <w:r w:rsidRPr="00BD212C">
        <w:rPr>
          <w:lang w:val="fr-FR"/>
        </w:rPr>
        <w:fldChar w:fldCharType="end"/>
      </w:r>
      <w:r w:rsidRPr="00BD212C">
        <w:rPr>
          <w:lang w:val="en-GB"/>
        </w:rPr>
        <w:t>.  </w:t>
      </w:r>
      <w:r w:rsidRPr="00BD212C" w:rsidR="00DE1D5A">
        <w:rPr>
          <w:rFonts w:cstheme="minorHAnsi"/>
        </w:rPr>
        <w:t>In the light of the foregoing</w:t>
      </w:r>
      <w:r w:rsidRPr="00BD212C" w:rsidR="00DE1D5A">
        <w:t xml:space="preserve">, the ICJ, </w:t>
      </w:r>
      <w:r w:rsidRPr="00BD212C">
        <w:t xml:space="preserve">ILGA-Europe </w:t>
      </w:r>
      <w:r w:rsidRPr="00BD212C" w:rsidR="00DE1D5A">
        <w:t>and</w:t>
      </w:r>
      <w:r w:rsidRPr="00BD212C">
        <w:t xml:space="preserve"> NELFA </w:t>
      </w:r>
      <w:r w:rsidRPr="00BD212C" w:rsidR="00DE1D5A">
        <w:t xml:space="preserve">considered that there was a </w:t>
      </w:r>
      <w:r w:rsidRPr="00BD212C" w:rsidR="005B2B45">
        <w:t>“</w:t>
      </w:r>
      <w:r w:rsidRPr="00BD212C">
        <w:t>s</w:t>
      </w:r>
      <w:r w:rsidRPr="00BD212C" w:rsidR="00DE1D5A">
        <w:t>ignificant trend</w:t>
      </w:r>
      <w:r w:rsidRPr="00BD212C" w:rsidR="005B2B45">
        <w:t>”</w:t>
      </w:r>
      <w:r w:rsidRPr="00BD212C" w:rsidR="00DE1D5A">
        <w:rPr>
          <w:i/>
        </w:rPr>
        <w:t> </w:t>
      </w:r>
      <w:r w:rsidRPr="00BD212C" w:rsidR="00DE1D5A">
        <w:t>a</w:t>
      </w:r>
      <w:r w:rsidRPr="00BD212C" w:rsidR="00A50F50">
        <w:t>round the</w:t>
      </w:r>
      <w:r w:rsidRPr="00BD212C" w:rsidR="00DE1D5A">
        <w:t xml:space="preserve"> world</w:t>
      </w:r>
      <w:r w:rsidRPr="00BD212C" w:rsidR="00A50F50">
        <w:t xml:space="preserve"> towards</w:t>
      </w:r>
      <w:r w:rsidRPr="00BD212C" w:rsidR="00DA7345">
        <w:t xml:space="preserve"> recognising</w:t>
      </w:r>
      <w:r w:rsidRPr="00BD212C" w:rsidR="009C0D22">
        <w:t xml:space="preserve"> the status of</w:t>
      </w:r>
      <w:r w:rsidRPr="00BD212C" w:rsidR="00DA7345">
        <w:t xml:space="preserve"> same-sex partners as</w:t>
      </w:r>
      <w:r w:rsidRPr="00BD212C" w:rsidR="009C0D22">
        <w:t xml:space="preserve"> “</w:t>
      </w:r>
      <w:r w:rsidRPr="00BD212C" w:rsidR="00DA7345">
        <w:t>family members</w:t>
      </w:r>
      <w:r w:rsidRPr="00BD212C" w:rsidR="009C0D22">
        <w:t>”</w:t>
      </w:r>
      <w:r w:rsidRPr="00BD212C">
        <w:t xml:space="preserve">, </w:t>
      </w:r>
      <w:r w:rsidRPr="00BD212C" w:rsidR="009C0D22">
        <w:t>their right to live together and the other rights and benefits</w:t>
      </w:r>
      <w:r w:rsidRPr="00BD212C">
        <w:t xml:space="preserve"> </w:t>
      </w:r>
      <w:r w:rsidRPr="00BD212C" w:rsidR="009C0D22">
        <w:t>enjoyed by heterosexual</w:t>
      </w:r>
      <w:r w:rsidRPr="00BD212C">
        <w:t xml:space="preserve"> couples.</w:t>
      </w:r>
    </w:p>
    <w:p w:rsidRPr="00BD212C" w:rsidR="00CD24EA" w:rsidP="00BD212C" w:rsidRDefault="00CD24EA">
      <w:pPr>
        <w:pStyle w:val="ECHRHeading6"/>
        <w:rPr>
          <w:i w:val="0"/>
          <w:lang w:val="en-GB"/>
        </w:rPr>
      </w:pPr>
      <w:r w:rsidRPr="00BD212C">
        <w:rPr>
          <w:rFonts w:cstheme="majorHAnsi"/>
          <w:i w:val="0"/>
          <w:lang w:val="fr-FR"/>
        </w:rPr>
        <w:t>β</w:t>
      </w:r>
      <w:r w:rsidRPr="00BD212C">
        <w:rPr>
          <w:i w:val="0"/>
          <w:lang w:val="en-GB"/>
        </w:rPr>
        <w:t>)  European Commission on Sexual Orientation Law (ECSOL)</w:t>
      </w:r>
    </w:p>
    <w:p w:rsidRPr="00BD212C" w:rsidR="00CD24EA" w:rsidP="00BD212C" w:rsidRDefault="00CD24EA">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78</w:t>
      </w:r>
      <w:r w:rsidRPr="00BD212C">
        <w:rPr>
          <w:lang w:val="fr-FR"/>
        </w:rPr>
        <w:fldChar w:fldCharType="end"/>
      </w:r>
      <w:r w:rsidRPr="00BD212C">
        <w:rPr>
          <w:lang w:val="en-GB"/>
        </w:rPr>
        <w:t>.  </w:t>
      </w:r>
      <w:r w:rsidRPr="00BD212C" w:rsidR="009C0D22">
        <w:rPr>
          <w:lang w:val="en-GB"/>
        </w:rPr>
        <w:t xml:space="preserve"> </w:t>
      </w:r>
      <w:r w:rsidRPr="00BD212C">
        <w:rPr>
          <w:lang w:val="en-GB"/>
        </w:rPr>
        <w:t xml:space="preserve">ECSOL </w:t>
      </w:r>
      <w:r w:rsidRPr="00BD212C" w:rsidR="009C0D22">
        <w:rPr>
          <w:lang w:val="en-GB"/>
        </w:rPr>
        <w:t xml:space="preserve">pointed out </w:t>
      </w:r>
      <w:r w:rsidRPr="00BD212C" w:rsidR="001175A8">
        <w:rPr>
          <w:lang w:val="en-GB"/>
        </w:rPr>
        <w:t>from</w:t>
      </w:r>
      <w:r w:rsidRPr="00BD212C" w:rsidR="009C0D22">
        <w:rPr>
          <w:lang w:val="en-GB"/>
        </w:rPr>
        <w:t xml:space="preserve"> the outset that</w:t>
      </w:r>
      <w:r w:rsidRPr="00BD212C">
        <w:rPr>
          <w:lang w:val="en-GB"/>
        </w:rPr>
        <w:t xml:space="preserve"> </w:t>
      </w:r>
      <w:r w:rsidRPr="00BD212C" w:rsidR="001175A8">
        <w:rPr>
          <w:lang w:val="en-GB"/>
        </w:rPr>
        <w:t xml:space="preserve">an analysis of EU law showed </w:t>
      </w:r>
      <w:r w:rsidRPr="00BD212C" w:rsidR="007A7C9C">
        <w:rPr>
          <w:lang w:val="en-GB"/>
        </w:rPr>
        <w:t>how</w:t>
      </w:r>
      <w:r w:rsidRPr="00BD212C" w:rsidR="001175A8">
        <w:rPr>
          <w:lang w:val="en-GB"/>
        </w:rPr>
        <w:t xml:space="preserve"> </w:t>
      </w:r>
      <w:r w:rsidRPr="00BD212C">
        <w:rPr>
          <w:lang w:val="en-GB"/>
        </w:rPr>
        <w:t>importan</w:t>
      </w:r>
      <w:r w:rsidRPr="00BD212C" w:rsidR="007A7C9C">
        <w:rPr>
          <w:lang w:val="en-GB"/>
        </w:rPr>
        <w:t>t it was to</w:t>
      </w:r>
      <w:r w:rsidRPr="00BD212C" w:rsidR="001175A8">
        <w:rPr>
          <w:lang w:val="en-GB"/>
        </w:rPr>
        <w:t xml:space="preserve"> </w:t>
      </w:r>
      <w:r w:rsidRPr="00BD212C">
        <w:rPr>
          <w:lang w:val="en-GB"/>
        </w:rPr>
        <w:t>priorit</w:t>
      </w:r>
      <w:r w:rsidRPr="00BD212C" w:rsidR="007A7C9C">
        <w:rPr>
          <w:lang w:val="en-GB"/>
        </w:rPr>
        <w:t>ise</w:t>
      </w:r>
      <w:r w:rsidRPr="00BD212C" w:rsidR="001175A8">
        <w:rPr>
          <w:lang w:val="en-GB"/>
        </w:rPr>
        <w:t xml:space="preserve"> family</w:t>
      </w:r>
      <w:r w:rsidRPr="00BD212C">
        <w:rPr>
          <w:lang w:val="en-GB"/>
        </w:rPr>
        <w:t xml:space="preserve"> relations</w:t>
      </w:r>
      <w:r w:rsidRPr="00BD212C" w:rsidR="001175A8">
        <w:rPr>
          <w:lang w:val="en-GB"/>
        </w:rPr>
        <w:t>hips and</w:t>
      </w:r>
      <w:r w:rsidRPr="00BD212C">
        <w:rPr>
          <w:lang w:val="en-GB"/>
        </w:rPr>
        <w:t xml:space="preserve"> r</w:t>
      </w:r>
      <w:r w:rsidRPr="00BD212C" w:rsidR="001175A8">
        <w:rPr>
          <w:lang w:val="en-GB"/>
        </w:rPr>
        <w:t>e</w:t>
      </w:r>
      <w:r w:rsidRPr="00BD212C">
        <w:rPr>
          <w:lang w:val="en-GB"/>
        </w:rPr>
        <w:t xml:space="preserve">unification </w:t>
      </w:r>
      <w:r w:rsidRPr="00BD212C" w:rsidR="007A7C9C">
        <w:rPr>
          <w:lang w:val="en-GB"/>
        </w:rPr>
        <w:t>because</w:t>
      </w:r>
      <w:r w:rsidRPr="00BD212C" w:rsidR="001175A8">
        <w:rPr>
          <w:lang w:val="en-GB"/>
        </w:rPr>
        <w:t xml:space="preserve"> freedom of mo</w:t>
      </w:r>
      <w:r w:rsidRPr="00BD212C">
        <w:rPr>
          <w:lang w:val="en-GB"/>
        </w:rPr>
        <w:t xml:space="preserve">vement </w:t>
      </w:r>
      <w:r w:rsidRPr="00BD212C" w:rsidR="007A7C9C">
        <w:rPr>
          <w:lang w:val="en-GB"/>
        </w:rPr>
        <w:t>was</w:t>
      </w:r>
      <w:r w:rsidRPr="00BD212C" w:rsidR="001175A8">
        <w:rPr>
          <w:lang w:val="en-GB"/>
        </w:rPr>
        <w:t xml:space="preserve"> to be exercised </w:t>
      </w:r>
      <w:r w:rsidRPr="00BD212C" w:rsidR="007A7C9C">
        <w:rPr>
          <w:lang w:val="en-GB"/>
        </w:rPr>
        <w:t>under</w:t>
      </w:r>
      <w:r w:rsidRPr="00BD212C" w:rsidR="001175A8">
        <w:rPr>
          <w:lang w:val="en-GB"/>
        </w:rPr>
        <w:t xml:space="preserve"> objective</w:t>
      </w:r>
      <w:r w:rsidRPr="00BD212C">
        <w:rPr>
          <w:lang w:val="en-GB"/>
        </w:rPr>
        <w:t xml:space="preserve"> </w:t>
      </w:r>
      <w:r w:rsidRPr="00BD212C" w:rsidR="001175A8">
        <w:rPr>
          <w:lang w:val="en-GB"/>
        </w:rPr>
        <w:t>conditions of freedom and</w:t>
      </w:r>
      <w:r w:rsidRPr="00BD212C">
        <w:rPr>
          <w:lang w:val="en-GB"/>
        </w:rPr>
        <w:t xml:space="preserve"> dignit</w:t>
      </w:r>
      <w:r w:rsidRPr="00BD212C" w:rsidR="001175A8">
        <w:rPr>
          <w:lang w:val="en-GB"/>
        </w:rPr>
        <w:t>y</w:t>
      </w:r>
      <w:r w:rsidRPr="00BD212C">
        <w:rPr>
          <w:lang w:val="en-GB"/>
        </w:rPr>
        <w:t xml:space="preserve">. </w:t>
      </w:r>
      <w:r w:rsidRPr="00BD212C" w:rsidR="001175A8">
        <w:rPr>
          <w:lang w:val="en-GB"/>
        </w:rPr>
        <w:t>Accordingly</w:t>
      </w:r>
      <w:r w:rsidRPr="00BD212C">
        <w:rPr>
          <w:lang w:val="en-GB"/>
        </w:rPr>
        <w:t xml:space="preserve">, </w:t>
      </w:r>
      <w:r w:rsidRPr="00BD212C" w:rsidR="007A7C9C">
        <w:rPr>
          <w:lang w:val="en-GB"/>
        </w:rPr>
        <w:t>in</w:t>
      </w:r>
      <w:r w:rsidRPr="00BD212C">
        <w:rPr>
          <w:lang w:val="en-GB"/>
        </w:rPr>
        <w:t xml:space="preserve"> ESCOL</w:t>
      </w:r>
      <w:r w:rsidRPr="00BD212C" w:rsidR="00BD212C">
        <w:rPr>
          <w:lang w:val="en-GB"/>
        </w:rPr>
        <w:t>’</w:t>
      </w:r>
      <w:r w:rsidRPr="00BD212C" w:rsidR="007A7C9C">
        <w:rPr>
          <w:lang w:val="en-GB"/>
        </w:rPr>
        <w:t>s view</w:t>
      </w:r>
      <w:r w:rsidRPr="00BD212C">
        <w:rPr>
          <w:lang w:val="en-GB"/>
        </w:rPr>
        <w:t xml:space="preserve">, </w:t>
      </w:r>
      <w:r w:rsidRPr="00BD212C" w:rsidR="001175A8">
        <w:rPr>
          <w:lang w:val="en-GB"/>
        </w:rPr>
        <w:t xml:space="preserve">the Member States </w:t>
      </w:r>
      <w:r w:rsidRPr="00BD212C" w:rsidR="007A7C9C">
        <w:rPr>
          <w:lang w:val="en-GB"/>
        </w:rPr>
        <w:t xml:space="preserve">must at least </w:t>
      </w:r>
      <w:r w:rsidRPr="00BD212C" w:rsidR="001175A8">
        <w:rPr>
          <w:lang w:val="en-GB"/>
        </w:rPr>
        <w:t>facilitate the</w:t>
      </w:r>
      <w:r w:rsidRPr="00BD212C">
        <w:rPr>
          <w:lang w:val="en-GB"/>
        </w:rPr>
        <w:t xml:space="preserve"> </w:t>
      </w:r>
      <w:r w:rsidRPr="00BD212C" w:rsidR="007A7C9C">
        <w:rPr>
          <w:lang w:val="en-GB"/>
        </w:rPr>
        <w:t>right to enter and reside in the host country</w:t>
      </w:r>
      <w:r w:rsidRPr="00BD212C">
        <w:rPr>
          <w:lang w:val="en-GB"/>
        </w:rPr>
        <w:t xml:space="preserve"> </w:t>
      </w:r>
      <w:r w:rsidRPr="00BD212C" w:rsidR="007A7C9C">
        <w:rPr>
          <w:lang w:val="en-GB"/>
        </w:rPr>
        <w:t>of the same-sex</w:t>
      </w:r>
      <w:r w:rsidRPr="00BD212C">
        <w:rPr>
          <w:lang w:val="en-GB"/>
        </w:rPr>
        <w:t xml:space="preserve"> part</w:t>
      </w:r>
      <w:r w:rsidRPr="00BD212C" w:rsidR="007A7C9C">
        <w:rPr>
          <w:lang w:val="en-GB"/>
        </w:rPr>
        <w:t>ner</w:t>
      </w:r>
      <w:r w:rsidRPr="00BD212C">
        <w:rPr>
          <w:lang w:val="en-GB"/>
        </w:rPr>
        <w:t xml:space="preserve">, </w:t>
      </w:r>
      <w:r w:rsidRPr="00BD212C" w:rsidR="007A7C9C">
        <w:rPr>
          <w:lang w:val="en-GB"/>
        </w:rPr>
        <w:t xml:space="preserve">while endeavouring to assess </w:t>
      </w:r>
      <w:r w:rsidRPr="00BD212C" w:rsidR="007A7C9C">
        <w:rPr>
          <w:i/>
          <w:lang w:val="en-GB"/>
        </w:rPr>
        <w:t>in concreto</w:t>
      </w:r>
      <w:r w:rsidRPr="00BD212C" w:rsidR="007A7C9C">
        <w:rPr>
          <w:lang w:val="en-GB"/>
        </w:rPr>
        <w:t xml:space="preserve"> the impact of denying a residence permit on the private and family life of the individuals</w:t>
      </w:r>
      <w:r w:rsidRPr="00BD212C">
        <w:rPr>
          <w:lang w:val="en-GB"/>
        </w:rPr>
        <w:t xml:space="preserve"> concern</w:t>
      </w:r>
      <w:r w:rsidRPr="00BD212C" w:rsidR="007A7C9C">
        <w:rPr>
          <w:lang w:val="en-GB"/>
        </w:rPr>
        <w:t>ed</w:t>
      </w:r>
      <w:r w:rsidRPr="00BD212C">
        <w:rPr>
          <w:lang w:val="en-GB"/>
        </w:rPr>
        <w:t>.</w:t>
      </w:r>
    </w:p>
    <w:p w:rsidRPr="00BD212C" w:rsidR="00CD24EA" w:rsidP="00BD212C" w:rsidRDefault="00CD24EA">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79</w:t>
      </w:r>
      <w:r w:rsidRPr="00BD212C">
        <w:rPr>
          <w:lang w:val="fr-FR"/>
        </w:rPr>
        <w:fldChar w:fldCharType="end"/>
      </w:r>
      <w:r w:rsidRPr="00BD212C">
        <w:rPr>
          <w:lang w:val="en-GB"/>
        </w:rPr>
        <w:t xml:space="preserve">.  ECSOL </w:t>
      </w:r>
      <w:r w:rsidRPr="00BD212C" w:rsidR="00800E8F">
        <w:rPr>
          <w:lang w:val="en-GB"/>
        </w:rPr>
        <w:t>then presented a comparative</w:t>
      </w:r>
      <w:r w:rsidRPr="00BD212C" w:rsidR="00A00337">
        <w:rPr>
          <w:lang w:val="en-GB"/>
        </w:rPr>
        <w:t>-</w:t>
      </w:r>
      <w:r w:rsidRPr="00BD212C" w:rsidR="00800E8F">
        <w:rPr>
          <w:lang w:val="en-GB"/>
        </w:rPr>
        <w:t xml:space="preserve">law </w:t>
      </w:r>
      <w:r w:rsidRPr="00BD212C" w:rsidR="00A00337">
        <w:rPr>
          <w:lang w:val="en-GB"/>
        </w:rPr>
        <w:t>survey of</w:t>
      </w:r>
      <w:r w:rsidRPr="00BD212C" w:rsidR="000810A5">
        <w:rPr>
          <w:lang w:val="en-GB"/>
        </w:rPr>
        <w:t xml:space="preserve"> the</w:t>
      </w:r>
      <w:r w:rsidRPr="00BD212C">
        <w:rPr>
          <w:lang w:val="en-GB"/>
        </w:rPr>
        <w:t xml:space="preserve"> possibilit</w:t>
      </w:r>
      <w:r w:rsidRPr="00BD212C" w:rsidR="00A00337">
        <w:rPr>
          <w:lang w:val="en-GB"/>
        </w:rPr>
        <w:t xml:space="preserve">y </w:t>
      </w:r>
      <w:r w:rsidRPr="00BD212C" w:rsidR="00665FBC">
        <w:rPr>
          <w:lang w:val="en-GB"/>
        </w:rPr>
        <w:t>for</w:t>
      </w:r>
      <w:r w:rsidRPr="00BD212C" w:rsidR="00A00337">
        <w:rPr>
          <w:lang w:val="en-GB"/>
        </w:rPr>
        <w:t xml:space="preserve"> same-</w:t>
      </w:r>
      <w:r w:rsidRPr="00BD212C" w:rsidR="00106001">
        <w:rPr>
          <w:lang w:val="en-GB"/>
        </w:rPr>
        <w:t>gender</w:t>
      </w:r>
      <w:r w:rsidRPr="00BD212C" w:rsidR="00A00337">
        <w:rPr>
          <w:lang w:val="en-GB"/>
        </w:rPr>
        <w:t xml:space="preserve"> partners to obtain a residence permit in the host country</w:t>
      </w:r>
      <w:r w:rsidRPr="00BD212C">
        <w:rPr>
          <w:lang w:val="en-GB"/>
        </w:rPr>
        <w:t xml:space="preserve">. </w:t>
      </w:r>
      <w:r w:rsidRPr="00BD212C" w:rsidR="00A00337">
        <w:rPr>
          <w:lang w:val="en-GB"/>
        </w:rPr>
        <w:t>The survey covered the le</w:t>
      </w:r>
      <w:r w:rsidRPr="00BD212C">
        <w:rPr>
          <w:lang w:val="en-GB"/>
        </w:rPr>
        <w:t xml:space="preserve">gislation </w:t>
      </w:r>
      <w:r w:rsidRPr="00BD212C" w:rsidR="00A00337">
        <w:rPr>
          <w:lang w:val="en-GB"/>
        </w:rPr>
        <w:t>of</w:t>
      </w:r>
      <w:r w:rsidRPr="00BD212C">
        <w:rPr>
          <w:lang w:val="en-GB"/>
        </w:rPr>
        <w:t xml:space="preserve"> 32 </w:t>
      </w:r>
      <w:r w:rsidRPr="00BD212C" w:rsidR="00800E8F">
        <w:rPr>
          <w:lang w:val="en-GB"/>
        </w:rPr>
        <w:t>member States of the</w:t>
      </w:r>
      <w:r w:rsidRPr="00BD212C">
        <w:rPr>
          <w:lang w:val="en-GB"/>
        </w:rPr>
        <w:t xml:space="preserve"> Co</w:t>
      </w:r>
      <w:r w:rsidRPr="00BD212C" w:rsidR="00800E8F">
        <w:rPr>
          <w:lang w:val="en-GB"/>
        </w:rPr>
        <w:t xml:space="preserve">uncil of </w:t>
      </w:r>
      <w:r w:rsidRPr="00BD212C">
        <w:rPr>
          <w:lang w:val="en-GB"/>
        </w:rPr>
        <w:t>Europe (</w:t>
      </w:r>
      <w:r w:rsidRPr="00BD212C" w:rsidR="00800E8F">
        <w:rPr>
          <w:lang w:val="en-GB"/>
        </w:rPr>
        <w:t>Germany</w:t>
      </w:r>
      <w:r w:rsidRPr="00BD212C">
        <w:rPr>
          <w:lang w:val="en-GB"/>
        </w:rPr>
        <w:t xml:space="preserve">, </w:t>
      </w:r>
      <w:r w:rsidRPr="00BD212C" w:rsidR="00800E8F">
        <w:rPr>
          <w:lang w:val="en-GB"/>
        </w:rPr>
        <w:t>Austria</w:t>
      </w:r>
      <w:r w:rsidRPr="00BD212C">
        <w:rPr>
          <w:lang w:val="en-GB"/>
        </w:rPr>
        <w:t>, Belgi</w:t>
      </w:r>
      <w:r w:rsidRPr="00BD212C" w:rsidR="00800E8F">
        <w:rPr>
          <w:lang w:val="en-GB"/>
        </w:rPr>
        <w:t>um</w:t>
      </w:r>
      <w:r w:rsidRPr="00BD212C">
        <w:rPr>
          <w:lang w:val="en-GB"/>
        </w:rPr>
        <w:t>, Bosni</w:t>
      </w:r>
      <w:r w:rsidRPr="00BD212C" w:rsidR="00800E8F">
        <w:rPr>
          <w:lang w:val="en-GB"/>
        </w:rPr>
        <w:t>a</w:t>
      </w:r>
      <w:r w:rsidRPr="00BD212C">
        <w:rPr>
          <w:lang w:val="en-GB"/>
        </w:rPr>
        <w:t>-Herz</w:t>
      </w:r>
      <w:r w:rsidRPr="00BD212C" w:rsidR="00800E8F">
        <w:rPr>
          <w:lang w:val="en-GB"/>
        </w:rPr>
        <w:t>e</w:t>
      </w:r>
      <w:r w:rsidRPr="00BD212C">
        <w:rPr>
          <w:lang w:val="en-GB"/>
        </w:rPr>
        <w:t>govin</w:t>
      </w:r>
      <w:r w:rsidRPr="00BD212C" w:rsidR="00800E8F">
        <w:rPr>
          <w:lang w:val="en-GB"/>
        </w:rPr>
        <w:t>a, Bulgaria, Cyprus, Den</w:t>
      </w:r>
      <w:r w:rsidRPr="00BD212C">
        <w:rPr>
          <w:lang w:val="en-GB"/>
        </w:rPr>
        <w:t xml:space="preserve">mark, </w:t>
      </w:r>
      <w:r w:rsidRPr="00BD212C" w:rsidR="00800E8F">
        <w:rPr>
          <w:lang w:val="en-GB"/>
        </w:rPr>
        <w:t>Spain</w:t>
      </w:r>
      <w:r w:rsidRPr="00BD212C">
        <w:rPr>
          <w:lang w:val="en-GB"/>
        </w:rPr>
        <w:t>, Estoni</w:t>
      </w:r>
      <w:r w:rsidRPr="00BD212C" w:rsidR="00800E8F">
        <w:rPr>
          <w:lang w:val="en-GB"/>
        </w:rPr>
        <w:t>a</w:t>
      </w:r>
      <w:r w:rsidRPr="00BD212C">
        <w:rPr>
          <w:lang w:val="en-GB"/>
        </w:rPr>
        <w:t>, Finland, France, G</w:t>
      </w:r>
      <w:r w:rsidRPr="00BD212C" w:rsidR="00800E8F">
        <w:rPr>
          <w:lang w:val="en-GB"/>
        </w:rPr>
        <w:t>e</w:t>
      </w:r>
      <w:r w:rsidRPr="00BD212C">
        <w:rPr>
          <w:lang w:val="en-GB"/>
        </w:rPr>
        <w:t>orgi</w:t>
      </w:r>
      <w:r w:rsidRPr="00BD212C" w:rsidR="00800E8F">
        <w:rPr>
          <w:lang w:val="en-GB"/>
        </w:rPr>
        <w:t>a</w:t>
      </w:r>
      <w:r w:rsidRPr="00BD212C">
        <w:rPr>
          <w:lang w:val="en-GB"/>
        </w:rPr>
        <w:t xml:space="preserve">, </w:t>
      </w:r>
      <w:r w:rsidRPr="00BD212C" w:rsidR="00800E8F">
        <w:rPr>
          <w:lang w:val="en-GB"/>
        </w:rPr>
        <w:t>Gree</w:t>
      </w:r>
      <w:r w:rsidRPr="00BD212C">
        <w:rPr>
          <w:lang w:val="en-GB"/>
        </w:rPr>
        <w:t xml:space="preserve">ce, </w:t>
      </w:r>
      <w:r w:rsidRPr="00BD212C" w:rsidR="00800E8F">
        <w:rPr>
          <w:lang w:val="en-GB"/>
        </w:rPr>
        <w:t>Hungary</w:t>
      </w:r>
      <w:r w:rsidRPr="00BD212C">
        <w:rPr>
          <w:lang w:val="en-GB"/>
        </w:rPr>
        <w:t xml:space="preserve">, </w:t>
      </w:r>
      <w:r w:rsidRPr="00BD212C" w:rsidR="00800E8F">
        <w:rPr>
          <w:lang w:val="en-GB"/>
        </w:rPr>
        <w:t>Iceland</w:t>
      </w:r>
      <w:r w:rsidRPr="00BD212C">
        <w:rPr>
          <w:lang w:val="en-GB"/>
        </w:rPr>
        <w:t>, Ir</w:t>
      </w:r>
      <w:r w:rsidRPr="00BD212C" w:rsidR="00800E8F">
        <w:rPr>
          <w:lang w:val="en-GB"/>
        </w:rPr>
        <w:t>eland</w:t>
      </w:r>
      <w:r w:rsidRPr="00BD212C">
        <w:rPr>
          <w:lang w:val="en-GB"/>
        </w:rPr>
        <w:t>, Ital</w:t>
      </w:r>
      <w:r w:rsidRPr="00BD212C" w:rsidR="00800E8F">
        <w:rPr>
          <w:lang w:val="en-GB"/>
        </w:rPr>
        <w:t>y</w:t>
      </w:r>
      <w:r w:rsidRPr="00BD212C">
        <w:rPr>
          <w:lang w:val="en-GB"/>
        </w:rPr>
        <w:t xml:space="preserve">, </w:t>
      </w:r>
      <w:r w:rsidRPr="00BD212C" w:rsidR="000810A5">
        <w:rPr>
          <w:lang w:val="en-GB"/>
        </w:rPr>
        <w:t>Latvia</w:t>
      </w:r>
      <w:r w:rsidRPr="00BD212C">
        <w:rPr>
          <w:lang w:val="en-GB"/>
        </w:rPr>
        <w:t>, Liechtenstein, Luxembourg, Malt</w:t>
      </w:r>
      <w:r w:rsidRPr="00BD212C" w:rsidR="000810A5">
        <w:rPr>
          <w:lang w:val="en-GB"/>
        </w:rPr>
        <w:t>a</w:t>
      </w:r>
      <w:r w:rsidRPr="00BD212C">
        <w:rPr>
          <w:lang w:val="en-GB"/>
        </w:rPr>
        <w:t>, Nor</w:t>
      </w:r>
      <w:r w:rsidRPr="00BD212C" w:rsidR="000810A5">
        <w:rPr>
          <w:lang w:val="en-GB"/>
        </w:rPr>
        <w:t>way</w:t>
      </w:r>
      <w:r w:rsidRPr="00BD212C">
        <w:rPr>
          <w:lang w:val="en-GB"/>
        </w:rPr>
        <w:t xml:space="preserve">, </w:t>
      </w:r>
      <w:r w:rsidRPr="00BD212C" w:rsidR="000810A5">
        <w:rPr>
          <w:lang w:val="en-GB"/>
        </w:rPr>
        <w:t>the Netherland</w:t>
      </w:r>
      <w:r w:rsidRPr="00BD212C">
        <w:rPr>
          <w:lang w:val="en-GB"/>
        </w:rPr>
        <w:t xml:space="preserve">s, </w:t>
      </w:r>
      <w:r w:rsidRPr="00BD212C" w:rsidR="000810A5">
        <w:rPr>
          <w:lang w:val="en-GB"/>
        </w:rPr>
        <w:t>Poland</w:t>
      </w:r>
      <w:r w:rsidRPr="00BD212C">
        <w:rPr>
          <w:lang w:val="en-GB"/>
        </w:rPr>
        <w:t xml:space="preserve">, Portugal, </w:t>
      </w:r>
      <w:r w:rsidRPr="00BD212C" w:rsidR="000810A5">
        <w:rPr>
          <w:lang w:val="en-GB"/>
        </w:rPr>
        <w:t>Czech Republic</w:t>
      </w:r>
      <w:r w:rsidRPr="00BD212C">
        <w:rPr>
          <w:lang w:val="en-GB"/>
        </w:rPr>
        <w:t>, Uni</w:t>
      </w:r>
      <w:r w:rsidRPr="00BD212C" w:rsidR="000810A5">
        <w:rPr>
          <w:lang w:val="en-GB"/>
        </w:rPr>
        <w:t>ted Kingdom, Ro</w:t>
      </w:r>
      <w:r w:rsidRPr="00BD212C">
        <w:rPr>
          <w:lang w:val="en-GB"/>
        </w:rPr>
        <w:t>mani</w:t>
      </w:r>
      <w:r w:rsidRPr="00BD212C" w:rsidR="000810A5">
        <w:rPr>
          <w:lang w:val="en-GB"/>
        </w:rPr>
        <w:t>a, Russia</w:t>
      </w:r>
      <w:r w:rsidRPr="00BD212C">
        <w:rPr>
          <w:lang w:val="en-GB"/>
        </w:rPr>
        <w:t>, Serbi</w:t>
      </w:r>
      <w:r w:rsidRPr="00BD212C" w:rsidR="000810A5">
        <w:rPr>
          <w:lang w:val="en-GB"/>
        </w:rPr>
        <w:t>a</w:t>
      </w:r>
      <w:r w:rsidRPr="00BD212C">
        <w:rPr>
          <w:lang w:val="en-GB"/>
        </w:rPr>
        <w:t xml:space="preserve">, </w:t>
      </w:r>
      <w:r w:rsidRPr="00BD212C" w:rsidR="000810A5">
        <w:rPr>
          <w:lang w:val="en-GB"/>
        </w:rPr>
        <w:t>Sweden and</w:t>
      </w:r>
      <w:r w:rsidRPr="00BD212C">
        <w:rPr>
          <w:lang w:val="en-GB"/>
        </w:rPr>
        <w:t xml:space="preserve"> S</w:t>
      </w:r>
      <w:r w:rsidRPr="00BD212C" w:rsidR="000810A5">
        <w:rPr>
          <w:lang w:val="en-GB"/>
        </w:rPr>
        <w:t>witzerland</w:t>
      </w:r>
      <w:r w:rsidRPr="00BD212C">
        <w:rPr>
          <w:lang w:val="en-GB"/>
        </w:rPr>
        <w:t xml:space="preserve">). </w:t>
      </w:r>
      <w:r w:rsidRPr="00BD212C" w:rsidR="00A00337">
        <w:rPr>
          <w:lang w:val="en-GB"/>
        </w:rPr>
        <w:t>The following findings were made</w:t>
      </w:r>
      <w:r w:rsidRPr="00BD212C">
        <w:rPr>
          <w:lang w:val="en-GB"/>
        </w:rPr>
        <w:t>:</w:t>
      </w:r>
      <w:r w:rsidRPr="00BD212C" w:rsidR="00A00337">
        <w:rPr>
          <w:lang w:val="en-GB"/>
        </w:rPr>
        <w:t>-</w:t>
      </w:r>
    </w:p>
    <w:p w:rsidRPr="00BD212C" w:rsidR="00CD24EA" w:rsidP="00BD212C" w:rsidRDefault="00A00337">
      <w:pPr>
        <w:pStyle w:val="ECHRPara"/>
        <w:rPr>
          <w:lang w:val="en-GB"/>
        </w:rPr>
      </w:pPr>
      <w:r w:rsidRPr="00BD212C">
        <w:rPr>
          <w:lang w:val="en-GB"/>
        </w:rPr>
        <w:t>i)</w:t>
      </w:r>
      <w:r w:rsidRPr="00BD212C" w:rsidR="00CD24EA">
        <w:rPr>
          <w:lang w:val="en-GB"/>
        </w:rPr>
        <w:t>  </w:t>
      </w:r>
      <w:r w:rsidRPr="00BD212C">
        <w:rPr>
          <w:lang w:val="en-GB"/>
        </w:rPr>
        <w:t xml:space="preserve"> at least</w:t>
      </w:r>
      <w:r w:rsidRPr="00BD212C" w:rsidR="00CD24EA">
        <w:rPr>
          <w:lang w:val="en-GB"/>
        </w:rPr>
        <w:t xml:space="preserve"> 24 </w:t>
      </w:r>
      <w:r w:rsidRPr="00BD212C">
        <w:rPr>
          <w:lang w:val="en-GB"/>
        </w:rPr>
        <w:t>States did not</w:t>
      </w:r>
      <w:r w:rsidRPr="00BD212C" w:rsidR="00CD24EA">
        <w:rPr>
          <w:lang w:val="en-GB"/>
        </w:rPr>
        <w:t xml:space="preserve"> discriminat</w:t>
      </w:r>
      <w:r w:rsidRPr="00BD212C">
        <w:rPr>
          <w:lang w:val="en-GB"/>
        </w:rPr>
        <w:t>e</w:t>
      </w:r>
      <w:r w:rsidRPr="00BD212C" w:rsidR="00CD24EA">
        <w:rPr>
          <w:lang w:val="en-GB"/>
        </w:rPr>
        <w:t xml:space="preserve"> </w:t>
      </w:r>
      <w:r w:rsidRPr="00BD212C">
        <w:rPr>
          <w:lang w:val="en-GB"/>
        </w:rPr>
        <w:t xml:space="preserve">on the </w:t>
      </w:r>
      <w:r w:rsidRPr="00BD212C" w:rsidR="00106001">
        <w:rPr>
          <w:lang w:val="en-GB"/>
        </w:rPr>
        <w:t>ground</w:t>
      </w:r>
      <w:r w:rsidRPr="00BD212C">
        <w:rPr>
          <w:lang w:val="en-GB"/>
        </w:rPr>
        <w:t xml:space="preserve"> of sexual or</w:t>
      </w:r>
      <w:r w:rsidRPr="00BD212C" w:rsidR="00CD24EA">
        <w:rPr>
          <w:lang w:val="en-GB"/>
        </w:rPr>
        <w:t xml:space="preserve">ientation </w:t>
      </w:r>
      <w:r w:rsidRPr="00BD212C" w:rsidR="00106001">
        <w:rPr>
          <w:lang w:val="en-GB"/>
        </w:rPr>
        <w:t>with regard to r</w:t>
      </w:r>
      <w:r w:rsidRPr="00BD212C">
        <w:rPr>
          <w:lang w:val="en-GB"/>
        </w:rPr>
        <w:t>esidenc</w:t>
      </w:r>
      <w:r w:rsidRPr="00BD212C" w:rsidR="00106001">
        <w:rPr>
          <w:lang w:val="en-GB"/>
        </w:rPr>
        <w:t>y right</w:t>
      </w:r>
      <w:r w:rsidRPr="00BD212C">
        <w:rPr>
          <w:lang w:val="en-GB"/>
        </w:rPr>
        <w:t>s and</w:t>
      </w:r>
      <w:r w:rsidRPr="00BD212C" w:rsidR="00CD24EA">
        <w:rPr>
          <w:lang w:val="en-GB"/>
        </w:rPr>
        <w:t xml:space="preserve"> </w:t>
      </w:r>
      <w:r w:rsidRPr="00BD212C">
        <w:rPr>
          <w:lang w:val="en-GB"/>
        </w:rPr>
        <w:t xml:space="preserve">provided </w:t>
      </w:r>
      <w:r w:rsidRPr="00BD212C" w:rsidR="00106001">
        <w:rPr>
          <w:lang w:val="en-GB"/>
        </w:rPr>
        <w:t>some</w:t>
      </w:r>
      <w:r w:rsidRPr="00BD212C">
        <w:rPr>
          <w:lang w:val="en-GB"/>
        </w:rPr>
        <w:t xml:space="preserve"> mechanism</w:t>
      </w:r>
      <w:r w:rsidRPr="00BD212C" w:rsidR="00106001">
        <w:rPr>
          <w:lang w:val="en-GB"/>
        </w:rPr>
        <w:t xml:space="preserve"> permitting the grant of a residence permit to a same-gender partner</w:t>
      </w:r>
      <w:r w:rsidRPr="00BD212C" w:rsidR="00CD24EA">
        <w:rPr>
          <w:lang w:val="en-GB"/>
        </w:rPr>
        <w:t xml:space="preserve"> (</w:t>
      </w:r>
      <w:r w:rsidRPr="00BD212C" w:rsidR="00106001">
        <w:rPr>
          <w:lang w:val="en-GB"/>
        </w:rPr>
        <w:t>with some room for discretion on the part of</w:t>
      </w:r>
      <w:r w:rsidRPr="00BD212C">
        <w:rPr>
          <w:lang w:val="en-GB"/>
        </w:rPr>
        <w:t xml:space="preserve"> the </w:t>
      </w:r>
      <w:r w:rsidRPr="00BD212C" w:rsidR="00E02DAD">
        <w:rPr>
          <w:lang w:val="en-GB"/>
        </w:rPr>
        <w:t>relevant</w:t>
      </w:r>
      <w:r w:rsidRPr="00BD212C">
        <w:rPr>
          <w:lang w:val="en-GB"/>
        </w:rPr>
        <w:t xml:space="preserve"> domestic authorit</w:t>
      </w:r>
      <w:r w:rsidRPr="00BD212C" w:rsidR="00E02DAD">
        <w:rPr>
          <w:lang w:val="en-GB"/>
        </w:rPr>
        <w:t>y in some cases</w:t>
      </w:r>
      <w:r w:rsidRPr="00BD212C" w:rsidR="00CD24EA">
        <w:rPr>
          <w:lang w:val="en-GB"/>
        </w:rPr>
        <w:t>);</w:t>
      </w:r>
    </w:p>
    <w:p w:rsidRPr="00BD212C" w:rsidR="00CD24EA" w:rsidP="00BD212C" w:rsidRDefault="00A122E2">
      <w:pPr>
        <w:pStyle w:val="ECHRPara"/>
        <w:rPr>
          <w:lang w:val="en-GB"/>
        </w:rPr>
      </w:pPr>
      <w:r w:rsidRPr="00BD212C">
        <w:rPr>
          <w:lang w:val="en-GB"/>
        </w:rPr>
        <w:t>ii)</w:t>
      </w:r>
      <w:r w:rsidRPr="00BD212C" w:rsidR="00CD24EA">
        <w:rPr>
          <w:lang w:val="en-GB"/>
        </w:rPr>
        <w:t xml:space="preserve">  22 </w:t>
      </w:r>
      <w:r w:rsidRPr="00BD212C" w:rsidR="00137300">
        <w:rPr>
          <w:lang w:val="en-GB"/>
        </w:rPr>
        <w:t>States</w:t>
      </w:r>
      <w:r w:rsidRPr="00BD212C" w:rsidR="00CD24EA">
        <w:rPr>
          <w:lang w:val="en-GB"/>
        </w:rPr>
        <w:t xml:space="preserve"> </w:t>
      </w:r>
      <w:r w:rsidRPr="00BD212C" w:rsidR="00137300">
        <w:rPr>
          <w:lang w:val="en-GB"/>
        </w:rPr>
        <w:t>extended</w:t>
      </w:r>
      <w:r w:rsidRPr="00BD212C" w:rsidR="00CD24EA">
        <w:rPr>
          <w:lang w:val="en-GB"/>
        </w:rPr>
        <w:t>, a</w:t>
      </w:r>
      <w:r w:rsidRPr="00BD212C" w:rsidR="00137300">
        <w:rPr>
          <w:lang w:val="en-GB"/>
        </w:rPr>
        <w:t>t least to a certain extent</w:t>
      </w:r>
      <w:r w:rsidRPr="00BD212C" w:rsidR="00CD24EA">
        <w:rPr>
          <w:lang w:val="en-GB"/>
        </w:rPr>
        <w:t xml:space="preserve">, </w:t>
      </w:r>
      <w:r w:rsidRPr="00BD212C" w:rsidR="00137300">
        <w:rPr>
          <w:lang w:val="en-GB"/>
        </w:rPr>
        <w:t>the right to a residence permit to an unmarried and unregistered same-</w:t>
      </w:r>
      <w:r w:rsidRPr="00BD212C" w:rsidR="00837E16">
        <w:rPr>
          <w:lang w:val="en-GB"/>
        </w:rPr>
        <w:t>gender</w:t>
      </w:r>
      <w:r w:rsidRPr="00BD212C" w:rsidR="00CD24EA">
        <w:rPr>
          <w:lang w:val="en-GB"/>
        </w:rPr>
        <w:t xml:space="preserve"> part</w:t>
      </w:r>
      <w:r w:rsidRPr="00BD212C" w:rsidR="00137300">
        <w:rPr>
          <w:lang w:val="en-GB"/>
        </w:rPr>
        <w:t>ner</w:t>
      </w:r>
      <w:r w:rsidRPr="00BD212C" w:rsidR="00CD24EA">
        <w:rPr>
          <w:lang w:val="en-GB"/>
        </w:rPr>
        <w:t>;</w:t>
      </w:r>
    </w:p>
    <w:p w:rsidRPr="00BD212C" w:rsidR="00CD24EA" w:rsidP="00BD212C" w:rsidRDefault="00A122E2">
      <w:pPr>
        <w:pStyle w:val="ECHRPara"/>
        <w:rPr>
          <w:lang w:val="en-GB"/>
        </w:rPr>
      </w:pPr>
      <w:r w:rsidRPr="00BD212C">
        <w:rPr>
          <w:lang w:val="en-GB"/>
        </w:rPr>
        <w:t>iii)</w:t>
      </w:r>
      <w:r w:rsidRPr="00BD212C" w:rsidR="00CD24EA">
        <w:rPr>
          <w:lang w:val="en-GB"/>
        </w:rPr>
        <w:t>  </w:t>
      </w:r>
      <w:r w:rsidRPr="00BD212C" w:rsidR="00E02DAD">
        <w:rPr>
          <w:lang w:val="en-GB"/>
        </w:rPr>
        <w:t>certain</w:t>
      </w:r>
      <w:r w:rsidRPr="00BD212C" w:rsidR="00CD24EA">
        <w:rPr>
          <w:lang w:val="en-GB"/>
        </w:rPr>
        <w:t xml:space="preserve"> juri</w:t>
      </w:r>
      <w:r w:rsidRPr="00BD212C" w:rsidR="00E02DAD">
        <w:rPr>
          <w:lang w:val="en-GB"/>
        </w:rPr>
        <w:t>s</w:t>
      </w:r>
      <w:r w:rsidRPr="00BD212C" w:rsidR="00CD24EA">
        <w:rPr>
          <w:lang w:val="en-GB"/>
        </w:rPr>
        <w:t xml:space="preserve">dictions </w:t>
      </w:r>
      <w:r w:rsidRPr="00BD212C" w:rsidR="00E02DAD">
        <w:rPr>
          <w:lang w:val="en-GB"/>
        </w:rPr>
        <w:t>acknowledged that</w:t>
      </w:r>
      <w:r w:rsidRPr="00BD212C" w:rsidR="00CD24EA">
        <w:rPr>
          <w:lang w:val="en-GB"/>
        </w:rPr>
        <w:t xml:space="preserve">, </w:t>
      </w:r>
      <w:r w:rsidRPr="00BD212C" w:rsidR="00E02DAD">
        <w:rPr>
          <w:lang w:val="en-GB"/>
        </w:rPr>
        <w:t>where a formalised</w:t>
      </w:r>
      <w:r w:rsidRPr="00BD212C" w:rsidR="00CD24EA">
        <w:rPr>
          <w:lang w:val="en-GB"/>
        </w:rPr>
        <w:t xml:space="preserve"> union, </w:t>
      </w:r>
      <w:r w:rsidRPr="00BD212C" w:rsidR="00E02DAD">
        <w:rPr>
          <w:lang w:val="en-GB"/>
        </w:rPr>
        <w:t>especially</w:t>
      </w:r>
      <w:r w:rsidRPr="00BD212C" w:rsidR="00CD24EA">
        <w:rPr>
          <w:lang w:val="en-GB"/>
        </w:rPr>
        <w:t xml:space="preserve"> ma</w:t>
      </w:r>
      <w:r w:rsidRPr="00BD212C" w:rsidR="00E02DAD">
        <w:rPr>
          <w:lang w:val="en-GB"/>
        </w:rPr>
        <w:t>r</w:t>
      </w:r>
      <w:r w:rsidRPr="00BD212C" w:rsidR="00CD24EA">
        <w:rPr>
          <w:lang w:val="en-GB"/>
        </w:rPr>
        <w:t xml:space="preserve">riage, </w:t>
      </w:r>
      <w:r w:rsidRPr="00BD212C" w:rsidR="00E02DAD">
        <w:rPr>
          <w:lang w:val="en-GB"/>
        </w:rPr>
        <w:t>could not be registered in the country of o</w:t>
      </w:r>
      <w:r w:rsidRPr="00BD212C" w:rsidR="00CD24EA">
        <w:rPr>
          <w:lang w:val="en-GB"/>
        </w:rPr>
        <w:t xml:space="preserve">rigin, </w:t>
      </w:r>
      <w:r w:rsidRPr="00BD212C" w:rsidR="00E02DAD">
        <w:rPr>
          <w:lang w:val="en-GB"/>
        </w:rPr>
        <w:t>an enduring relation</w:t>
      </w:r>
      <w:r w:rsidRPr="00BD212C" w:rsidR="00CD24EA">
        <w:rPr>
          <w:lang w:val="en-GB"/>
        </w:rPr>
        <w:t>s</w:t>
      </w:r>
      <w:r w:rsidRPr="00BD212C" w:rsidR="00E02DAD">
        <w:rPr>
          <w:lang w:val="en-GB"/>
        </w:rPr>
        <w:t>hip duly proven could</w:t>
      </w:r>
      <w:r w:rsidRPr="00BD212C" w:rsidR="00CD24EA">
        <w:rPr>
          <w:lang w:val="en-GB"/>
        </w:rPr>
        <w:t xml:space="preserve"> </w:t>
      </w:r>
      <w:r w:rsidRPr="00BD212C" w:rsidR="00E02DAD">
        <w:rPr>
          <w:lang w:val="en-GB"/>
        </w:rPr>
        <w:t>lead to the award of a residence permit by the authorities</w:t>
      </w:r>
      <w:r w:rsidRPr="00BD212C" w:rsidR="00CD24EA">
        <w:rPr>
          <w:lang w:val="en-GB"/>
        </w:rPr>
        <w:t>;</w:t>
      </w:r>
    </w:p>
    <w:p w:rsidRPr="00BD212C" w:rsidR="00CD24EA" w:rsidP="00BD212C" w:rsidRDefault="00A122E2">
      <w:pPr>
        <w:pStyle w:val="ECHRPara"/>
        <w:rPr>
          <w:lang w:val="en-GB"/>
        </w:rPr>
      </w:pPr>
      <w:r w:rsidRPr="00BD212C">
        <w:rPr>
          <w:lang w:val="en-GB"/>
        </w:rPr>
        <w:t>iv)</w:t>
      </w:r>
      <w:r w:rsidRPr="00BD212C" w:rsidR="00CD24EA">
        <w:rPr>
          <w:lang w:val="en-GB"/>
        </w:rPr>
        <w:t>  </w:t>
      </w:r>
      <w:r w:rsidRPr="00BD212C" w:rsidR="00137300">
        <w:rPr>
          <w:lang w:val="en-GB"/>
        </w:rPr>
        <w:t xml:space="preserve">indirect </w:t>
      </w:r>
      <w:r w:rsidRPr="00BD212C" w:rsidR="00CD24EA">
        <w:rPr>
          <w:lang w:val="en-GB"/>
        </w:rPr>
        <w:t xml:space="preserve">discrimination </w:t>
      </w:r>
      <w:r w:rsidRPr="00BD212C" w:rsidR="00137300">
        <w:rPr>
          <w:lang w:val="en-GB"/>
        </w:rPr>
        <w:t>could re</w:t>
      </w:r>
      <w:r w:rsidRPr="00BD212C" w:rsidR="00CD24EA">
        <w:rPr>
          <w:lang w:val="en-GB"/>
        </w:rPr>
        <w:t>sult</w:t>
      </w:r>
      <w:r w:rsidRPr="00BD212C" w:rsidR="00137300">
        <w:rPr>
          <w:lang w:val="en-GB"/>
        </w:rPr>
        <w:t xml:space="preserve"> from not treating different </w:t>
      </w:r>
      <w:r w:rsidRPr="00BD212C" w:rsidR="00CD24EA">
        <w:rPr>
          <w:lang w:val="en-GB"/>
        </w:rPr>
        <w:t xml:space="preserve">situations </w:t>
      </w:r>
      <w:r w:rsidRPr="00BD212C" w:rsidR="00137300">
        <w:rPr>
          <w:lang w:val="en-GB"/>
        </w:rPr>
        <w:t>differently</w:t>
      </w:r>
      <w:r w:rsidRPr="00BD212C" w:rsidR="00CD24EA">
        <w:rPr>
          <w:lang w:val="en-GB"/>
        </w:rPr>
        <w:t xml:space="preserve"> (</w:t>
      </w:r>
      <w:r w:rsidRPr="00BD212C" w:rsidR="00137300">
        <w:rPr>
          <w:lang w:val="en-GB"/>
        </w:rPr>
        <w:t>for</w:t>
      </w:r>
      <w:r w:rsidRPr="00BD212C" w:rsidR="00CD24EA">
        <w:rPr>
          <w:lang w:val="en-GB"/>
        </w:rPr>
        <w:t xml:space="preserve"> ex</w:t>
      </w:r>
      <w:r w:rsidRPr="00BD212C" w:rsidR="00137300">
        <w:rPr>
          <w:lang w:val="en-GB"/>
        </w:rPr>
        <w:t>a</w:t>
      </w:r>
      <w:r w:rsidRPr="00BD212C" w:rsidR="00CD24EA">
        <w:rPr>
          <w:lang w:val="en-GB"/>
        </w:rPr>
        <w:t xml:space="preserve">mple, </w:t>
      </w:r>
      <w:r w:rsidRPr="00BD212C" w:rsidR="00137300">
        <w:rPr>
          <w:lang w:val="en-GB"/>
        </w:rPr>
        <w:t xml:space="preserve">by not acknowledging that there were legal </w:t>
      </w:r>
      <w:r w:rsidRPr="00BD212C" w:rsidR="00CD24EA">
        <w:rPr>
          <w:lang w:val="en-GB"/>
        </w:rPr>
        <w:t xml:space="preserve">obstacles </w:t>
      </w:r>
      <w:r w:rsidRPr="00BD212C" w:rsidR="00137300">
        <w:rPr>
          <w:lang w:val="en-GB"/>
        </w:rPr>
        <w:t>to</w:t>
      </w:r>
      <w:r w:rsidRPr="00BD212C" w:rsidR="00CD24EA">
        <w:rPr>
          <w:lang w:val="en-GB"/>
        </w:rPr>
        <w:t xml:space="preserve"> ma</w:t>
      </w:r>
      <w:r w:rsidRPr="00BD212C" w:rsidR="00137300">
        <w:rPr>
          <w:lang w:val="en-GB"/>
        </w:rPr>
        <w:t>r</w:t>
      </w:r>
      <w:r w:rsidRPr="00BD212C" w:rsidR="00CD24EA">
        <w:rPr>
          <w:lang w:val="en-GB"/>
        </w:rPr>
        <w:t xml:space="preserve">riage </w:t>
      </w:r>
      <w:r w:rsidRPr="00BD212C" w:rsidR="00137300">
        <w:rPr>
          <w:lang w:val="en-GB"/>
        </w:rPr>
        <w:t>for same-</w:t>
      </w:r>
      <w:r w:rsidRPr="00BD212C" w:rsidR="00837E16">
        <w:rPr>
          <w:lang w:val="en-GB"/>
        </w:rPr>
        <w:t>gender</w:t>
      </w:r>
      <w:r w:rsidRPr="00BD212C" w:rsidR="00CD24EA">
        <w:rPr>
          <w:lang w:val="en-GB"/>
        </w:rPr>
        <w:t xml:space="preserve"> couples);</w:t>
      </w:r>
    </w:p>
    <w:p w:rsidRPr="00BD212C" w:rsidR="00CD24EA" w:rsidP="00BD212C" w:rsidRDefault="00A122E2">
      <w:pPr>
        <w:pStyle w:val="ECHRPara"/>
        <w:rPr>
          <w:lang w:val="en-GB"/>
        </w:rPr>
      </w:pPr>
      <w:r w:rsidRPr="00BD212C">
        <w:rPr>
          <w:lang w:val="en-GB"/>
        </w:rPr>
        <w:t>v)</w:t>
      </w:r>
      <w:r w:rsidRPr="00BD212C" w:rsidR="00CD24EA">
        <w:rPr>
          <w:lang w:val="en-GB"/>
        </w:rPr>
        <w:t>  </w:t>
      </w:r>
      <w:r w:rsidRPr="00BD212C" w:rsidR="00837E16">
        <w:rPr>
          <w:lang w:val="en-GB"/>
        </w:rPr>
        <w:t>the courts</w:t>
      </w:r>
      <w:r w:rsidRPr="00BD212C" w:rsidR="00CD24EA">
        <w:rPr>
          <w:lang w:val="en-GB"/>
        </w:rPr>
        <w:t xml:space="preserve"> </w:t>
      </w:r>
      <w:r w:rsidRPr="00BD212C" w:rsidR="00837E16">
        <w:rPr>
          <w:lang w:val="en-GB"/>
        </w:rPr>
        <w:t>of</w:t>
      </w:r>
      <w:r w:rsidRPr="00BD212C" w:rsidR="00CD24EA">
        <w:rPr>
          <w:lang w:val="en-GB"/>
        </w:rPr>
        <w:t xml:space="preserve"> certain</w:t>
      </w:r>
      <w:r w:rsidRPr="00BD212C" w:rsidR="00837E16">
        <w:rPr>
          <w:lang w:val="en-GB"/>
        </w:rPr>
        <w:t xml:space="preserve"> State</w:t>
      </w:r>
      <w:r w:rsidRPr="00BD212C" w:rsidR="00CD24EA">
        <w:rPr>
          <w:lang w:val="en-GB"/>
        </w:rPr>
        <w:t xml:space="preserve">s </w:t>
      </w:r>
      <w:r w:rsidRPr="00BD212C" w:rsidR="00837E16">
        <w:rPr>
          <w:lang w:val="en-GB"/>
        </w:rPr>
        <w:t>had found that</w:t>
      </w:r>
      <w:r w:rsidRPr="00BD212C" w:rsidR="00CD24EA">
        <w:rPr>
          <w:lang w:val="en-GB"/>
        </w:rPr>
        <w:t xml:space="preserve">, </w:t>
      </w:r>
      <w:r w:rsidRPr="00BD212C" w:rsidR="00837E16">
        <w:rPr>
          <w:lang w:val="en-GB"/>
        </w:rPr>
        <w:t xml:space="preserve">in the field of </w:t>
      </w:r>
      <w:r w:rsidRPr="00BD212C" w:rsidR="00CD24EA">
        <w:rPr>
          <w:lang w:val="en-GB"/>
        </w:rPr>
        <w:t xml:space="preserve">immigration </w:t>
      </w:r>
      <w:r w:rsidRPr="00BD212C" w:rsidR="00837E16">
        <w:rPr>
          <w:lang w:val="en-GB"/>
        </w:rPr>
        <w:t>rights to be granted to a</w:t>
      </w:r>
      <w:r w:rsidRPr="00BD212C" w:rsidR="00CD24EA">
        <w:rPr>
          <w:lang w:val="en-GB"/>
        </w:rPr>
        <w:t xml:space="preserve"> </w:t>
      </w:r>
      <w:r w:rsidRPr="00BD212C" w:rsidR="00CD24EA">
        <w:rPr>
          <w:i/>
          <w:lang w:val="en-GB"/>
        </w:rPr>
        <w:t>de facto</w:t>
      </w:r>
      <w:r w:rsidRPr="00BD212C" w:rsidR="00CD24EA">
        <w:rPr>
          <w:lang w:val="en-GB"/>
        </w:rPr>
        <w:t xml:space="preserve"> </w:t>
      </w:r>
      <w:r w:rsidRPr="00BD212C" w:rsidR="00837E16">
        <w:rPr>
          <w:lang w:val="en-GB"/>
        </w:rPr>
        <w:t>partner of the same gender</w:t>
      </w:r>
      <w:r w:rsidRPr="00BD212C" w:rsidR="00CD24EA">
        <w:rPr>
          <w:lang w:val="en-GB"/>
        </w:rPr>
        <w:t>,</w:t>
      </w:r>
      <w:r w:rsidRPr="00BD212C" w:rsidR="00837E16">
        <w:rPr>
          <w:lang w:val="en-GB"/>
        </w:rPr>
        <w:t xml:space="preserve"> the</w:t>
      </w:r>
      <w:r w:rsidRPr="00BD212C" w:rsidR="00CD24EA">
        <w:rPr>
          <w:lang w:val="en-GB"/>
        </w:rPr>
        <w:t xml:space="preserve"> Convention </w:t>
      </w:r>
      <w:r w:rsidRPr="00BD212C" w:rsidR="00837E16">
        <w:rPr>
          <w:lang w:val="en-GB"/>
        </w:rPr>
        <w:t>played a</w:t>
      </w:r>
      <w:r w:rsidRPr="00BD212C" w:rsidR="00CD24EA">
        <w:rPr>
          <w:lang w:val="en-GB"/>
        </w:rPr>
        <w:t xml:space="preserve"> r</w:t>
      </w:r>
      <w:r w:rsidRPr="00BD212C" w:rsidR="00837E16">
        <w:rPr>
          <w:lang w:val="en-GB"/>
        </w:rPr>
        <w:t>o</w:t>
      </w:r>
      <w:r w:rsidRPr="00BD212C" w:rsidR="00CD24EA">
        <w:rPr>
          <w:lang w:val="en-GB"/>
        </w:rPr>
        <w:t xml:space="preserve">le </w:t>
      </w:r>
      <w:r w:rsidRPr="00BD212C" w:rsidR="00837E16">
        <w:rPr>
          <w:lang w:val="en-GB"/>
        </w:rPr>
        <w:t>in</w:t>
      </w:r>
      <w:r w:rsidRPr="00BD212C" w:rsidR="00CD24EA">
        <w:rPr>
          <w:lang w:val="en-GB"/>
        </w:rPr>
        <w:t xml:space="preserve"> protecti</w:t>
      </w:r>
      <w:r w:rsidRPr="00BD212C" w:rsidR="00837E16">
        <w:rPr>
          <w:lang w:val="en-GB"/>
        </w:rPr>
        <w:t>ng the private and family life of the persons concerned</w:t>
      </w:r>
      <w:r w:rsidRPr="00BD212C" w:rsidR="00CD24EA">
        <w:rPr>
          <w:lang w:val="en-GB"/>
        </w:rPr>
        <w:t>;</w:t>
      </w:r>
    </w:p>
    <w:p w:rsidRPr="00BD212C" w:rsidR="00CD24EA" w:rsidP="00BD212C" w:rsidRDefault="00A122E2">
      <w:pPr>
        <w:pStyle w:val="ECHRPara"/>
        <w:rPr>
          <w:lang w:val="en-GB"/>
        </w:rPr>
      </w:pPr>
      <w:r w:rsidRPr="00BD212C">
        <w:rPr>
          <w:lang w:val="en-GB"/>
        </w:rPr>
        <w:t>vi)</w:t>
      </w:r>
      <w:r w:rsidRPr="00BD212C" w:rsidR="00CD24EA">
        <w:rPr>
          <w:lang w:val="en-GB"/>
        </w:rPr>
        <w:t>  </w:t>
      </w:r>
      <w:r w:rsidRPr="00BD212C">
        <w:rPr>
          <w:lang w:val="en-GB"/>
        </w:rPr>
        <w:t>there was an emerging European</w:t>
      </w:r>
      <w:r w:rsidRPr="00BD212C" w:rsidR="00CD24EA">
        <w:rPr>
          <w:lang w:val="en-GB"/>
        </w:rPr>
        <w:t xml:space="preserve"> consensus </w:t>
      </w:r>
      <w:r w:rsidRPr="00BD212C">
        <w:rPr>
          <w:lang w:val="en-GB"/>
        </w:rPr>
        <w:t>to recognise for the purpose of i</w:t>
      </w:r>
      <w:r w:rsidRPr="00BD212C" w:rsidR="00CD24EA">
        <w:rPr>
          <w:lang w:val="en-GB"/>
        </w:rPr>
        <w:t>mmigration</w:t>
      </w:r>
      <w:r w:rsidRPr="00BD212C">
        <w:rPr>
          <w:lang w:val="en-GB"/>
        </w:rPr>
        <w:t xml:space="preserve"> rights same-gender relations as</w:t>
      </w:r>
      <w:r w:rsidRPr="00BD212C" w:rsidR="00CD24EA">
        <w:rPr>
          <w:lang w:val="en-GB"/>
        </w:rPr>
        <w:t xml:space="preserve"> </w:t>
      </w:r>
      <w:r w:rsidRPr="00BD212C">
        <w:rPr>
          <w:lang w:val="en-GB"/>
        </w:rPr>
        <w:t>“family life”</w:t>
      </w:r>
      <w:r w:rsidRPr="00BD212C" w:rsidR="00CD24EA">
        <w:rPr>
          <w:lang w:val="en-GB"/>
        </w:rPr>
        <w:t>.</w:t>
      </w:r>
    </w:p>
    <w:p w:rsidRPr="00BD212C" w:rsidR="00CD24EA" w:rsidP="00BD212C" w:rsidRDefault="00CD24EA">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80</w:t>
      </w:r>
      <w:r w:rsidRPr="00BD212C">
        <w:rPr>
          <w:lang w:val="fr-FR"/>
        </w:rPr>
        <w:fldChar w:fldCharType="end"/>
      </w:r>
      <w:r w:rsidRPr="00BD212C">
        <w:rPr>
          <w:lang w:val="en-GB"/>
        </w:rPr>
        <w:t>.  </w:t>
      </w:r>
      <w:r w:rsidRPr="00BD212C" w:rsidR="00A122E2">
        <w:rPr>
          <w:lang w:val="en-GB"/>
        </w:rPr>
        <w:t xml:space="preserve">In </w:t>
      </w:r>
      <w:r w:rsidRPr="00BD212C">
        <w:rPr>
          <w:lang w:val="en-GB"/>
        </w:rPr>
        <w:t>ECSOL</w:t>
      </w:r>
      <w:r w:rsidRPr="00BD212C" w:rsidR="00BD212C">
        <w:rPr>
          <w:lang w:val="en-GB"/>
        </w:rPr>
        <w:t>’</w:t>
      </w:r>
      <w:r w:rsidRPr="00BD212C" w:rsidR="00A122E2">
        <w:rPr>
          <w:lang w:val="en-GB"/>
        </w:rPr>
        <w:t>s view</w:t>
      </w:r>
      <w:r w:rsidRPr="00BD212C">
        <w:rPr>
          <w:lang w:val="en-GB"/>
        </w:rPr>
        <w:t xml:space="preserve">, </w:t>
      </w:r>
      <w:r w:rsidRPr="00BD212C" w:rsidR="0021742C">
        <w:rPr>
          <w:lang w:val="en-GB"/>
        </w:rPr>
        <w:t xml:space="preserve">denying </w:t>
      </w:r>
      <w:r w:rsidRPr="00BD212C" w:rsidR="0021742C">
        <w:rPr>
          <w:i/>
          <w:lang w:val="en-GB"/>
        </w:rPr>
        <w:t>ex ante</w:t>
      </w:r>
      <w:r w:rsidRPr="00BD212C" w:rsidR="0021742C">
        <w:rPr>
          <w:lang w:val="en-GB"/>
        </w:rPr>
        <w:t xml:space="preserve"> to a</w:t>
      </w:r>
      <w:r w:rsidRPr="00BD212C">
        <w:rPr>
          <w:lang w:val="en-GB"/>
        </w:rPr>
        <w:t xml:space="preserve"> </w:t>
      </w:r>
      <w:r w:rsidRPr="00BD212C" w:rsidR="0021742C">
        <w:rPr>
          <w:lang w:val="en-GB"/>
        </w:rPr>
        <w:t xml:space="preserve">binational same-gender </w:t>
      </w:r>
      <w:r w:rsidRPr="00BD212C">
        <w:rPr>
          <w:lang w:val="en-GB"/>
        </w:rPr>
        <w:t xml:space="preserve">couple </w:t>
      </w:r>
      <w:r w:rsidRPr="00BD212C" w:rsidR="0021742C">
        <w:rPr>
          <w:lang w:val="en-GB"/>
        </w:rPr>
        <w:t>the right to</w:t>
      </w:r>
      <w:r w:rsidRPr="00BD212C">
        <w:rPr>
          <w:lang w:val="en-GB"/>
        </w:rPr>
        <w:t xml:space="preserve"> </w:t>
      </w:r>
      <w:r w:rsidRPr="00BD212C" w:rsidR="0021742C">
        <w:rPr>
          <w:lang w:val="en-GB"/>
        </w:rPr>
        <w:t>live in the host country</w:t>
      </w:r>
      <w:r w:rsidRPr="00BD212C" w:rsidR="00A122E2">
        <w:rPr>
          <w:lang w:val="en-GB"/>
        </w:rPr>
        <w:t xml:space="preserve"> </w:t>
      </w:r>
      <w:r w:rsidRPr="00BD212C" w:rsidR="0021742C">
        <w:rPr>
          <w:lang w:val="en-GB"/>
        </w:rPr>
        <w:t>violated</w:t>
      </w:r>
      <w:r w:rsidRPr="00BD212C" w:rsidR="00A122E2">
        <w:rPr>
          <w:lang w:val="en-GB"/>
        </w:rPr>
        <w:t xml:space="preserve"> A</w:t>
      </w:r>
      <w:r w:rsidRPr="00BD212C">
        <w:rPr>
          <w:lang w:val="en-GB"/>
        </w:rPr>
        <w:t xml:space="preserve">rticle 8 </w:t>
      </w:r>
      <w:r w:rsidRPr="00BD212C" w:rsidR="0021742C">
        <w:rPr>
          <w:lang w:val="en-GB"/>
        </w:rPr>
        <w:t>of the</w:t>
      </w:r>
      <w:r w:rsidRPr="00BD212C">
        <w:rPr>
          <w:lang w:val="en-GB"/>
        </w:rPr>
        <w:t xml:space="preserve"> Convention </w:t>
      </w:r>
      <w:r w:rsidRPr="00BD212C" w:rsidR="0021742C">
        <w:rPr>
          <w:lang w:val="en-GB"/>
        </w:rPr>
        <w:t>taken alone and in conjunction with A</w:t>
      </w:r>
      <w:r w:rsidRPr="00BD212C" w:rsidR="00A122E2">
        <w:rPr>
          <w:lang w:val="en-GB"/>
        </w:rPr>
        <w:t xml:space="preserve">rticle 14. </w:t>
      </w:r>
      <w:r w:rsidRPr="00BD212C" w:rsidR="0021742C">
        <w:rPr>
          <w:lang w:val="en-GB"/>
        </w:rPr>
        <w:t>Moreover</w:t>
      </w:r>
      <w:r w:rsidRPr="00BD212C" w:rsidR="00A122E2">
        <w:rPr>
          <w:lang w:val="en-GB"/>
        </w:rPr>
        <w:t xml:space="preserve">, </w:t>
      </w:r>
      <w:r w:rsidRPr="00BD212C" w:rsidR="0021742C">
        <w:rPr>
          <w:lang w:val="en-GB"/>
        </w:rPr>
        <w:t>in</w:t>
      </w:r>
      <w:r w:rsidRPr="00BD212C" w:rsidR="00A122E2">
        <w:rPr>
          <w:lang w:val="en-GB"/>
        </w:rPr>
        <w:t xml:space="preserve"> </w:t>
      </w:r>
      <w:r w:rsidRPr="00BD212C">
        <w:rPr>
          <w:lang w:val="en-GB"/>
        </w:rPr>
        <w:t>ESCOL</w:t>
      </w:r>
      <w:r w:rsidRPr="00BD212C" w:rsidR="00BD212C">
        <w:rPr>
          <w:lang w:val="en-GB"/>
        </w:rPr>
        <w:t>’</w:t>
      </w:r>
      <w:r w:rsidRPr="00BD212C" w:rsidR="0021742C">
        <w:rPr>
          <w:lang w:val="en-GB"/>
        </w:rPr>
        <w:t>s view</w:t>
      </w:r>
      <w:r w:rsidRPr="00BD212C">
        <w:rPr>
          <w:lang w:val="en-GB"/>
        </w:rPr>
        <w:t xml:space="preserve">, </w:t>
      </w:r>
      <w:r w:rsidRPr="00BD212C" w:rsidR="0021742C">
        <w:rPr>
          <w:lang w:val="en-GB"/>
        </w:rPr>
        <w:t>same-gender</w:t>
      </w:r>
      <w:r w:rsidRPr="00BD212C">
        <w:rPr>
          <w:lang w:val="en-GB"/>
        </w:rPr>
        <w:t xml:space="preserve"> couples </w:t>
      </w:r>
      <w:r w:rsidRPr="00BD212C" w:rsidR="0021742C">
        <w:rPr>
          <w:lang w:val="en-GB"/>
        </w:rPr>
        <w:t>were</w:t>
      </w:r>
      <w:r w:rsidRPr="00BD212C">
        <w:rPr>
          <w:lang w:val="en-GB"/>
        </w:rPr>
        <w:t xml:space="preserve"> discriminat</w:t>
      </w:r>
      <w:r w:rsidRPr="00BD212C" w:rsidR="0021742C">
        <w:rPr>
          <w:lang w:val="en-GB"/>
        </w:rPr>
        <w:t>ed against on the ground of their sexual</w:t>
      </w:r>
      <w:r w:rsidRPr="00BD212C">
        <w:rPr>
          <w:lang w:val="en-GB"/>
        </w:rPr>
        <w:t xml:space="preserve"> orientation</w:t>
      </w:r>
      <w:r w:rsidRPr="00BD212C" w:rsidR="0021742C">
        <w:rPr>
          <w:lang w:val="en-GB"/>
        </w:rPr>
        <w:t xml:space="preserve"> because in many member States of the Council of </w:t>
      </w:r>
      <w:r w:rsidRPr="00BD212C">
        <w:rPr>
          <w:lang w:val="en-GB"/>
        </w:rPr>
        <w:t>Europe</w:t>
      </w:r>
      <w:r w:rsidRPr="00BD212C" w:rsidR="005B2B45">
        <w:rPr>
          <w:lang w:val="en-GB"/>
        </w:rPr>
        <w:t xml:space="preserve"> they could not contract a marriage</w:t>
      </w:r>
      <w:r w:rsidRPr="00BD212C">
        <w:rPr>
          <w:lang w:val="en-GB"/>
        </w:rPr>
        <w:t>.</w:t>
      </w:r>
    </w:p>
    <w:p w:rsidRPr="00BD212C" w:rsidR="00CD24EA" w:rsidP="00BD212C" w:rsidRDefault="00CD24EA">
      <w:pPr>
        <w:pStyle w:val="ECHRHeading4"/>
        <w:rPr>
          <w:lang w:val="en-GB"/>
        </w:rPr>
      </w:pPr>
      <w:r w:rsidRPr="00BD212C">
        <w:rPr>
          <w:lang w:val="en-GB"/>
        </w:rPr>
        <w:t>b)  </w:t>
      </w:r>
      <w:r w:rsidRPr="00BD212C" w:rsidR="00C44A3F">
        <w:rPr>
          <w:lang w:val="en-GB"/>
        </w:rPr>
        <w:t>The Court</w:t>
      </w:r>
      <w:r w:rsidRPr="00BD212C" w:rsidR="00BD212C">
        <w:rPr>
          <w:lang w:val="en-GB"/>
        </w:rPr>
        <w:t>’</w:t>
      </w:r>
      <w:r w:rsidRPr="00BD212C" w:rsidR="00C44A3F">
        <w:rPr>
          <w:lang w:val="en-GB"/>
        </w:rPr>
        <w:t>s assessment</w:t>
      </w:r>
    </w:p>
    <w:p w:rsidRPr="00BD212C" w:rsidR="00CD24EA" w:rsidP="00BD212C" w:rsidRDefault="00CD24EA">
      <w:pPr>
        <w:pStyle w:val="ECHRHeading5"/>
        <w:rPr>
          <w:lang w:val="en-GB"/>
        </w:rPr>
      </w:pPr>
      <w:r w:rsidRPr="00BD212C">
        <w:rPr>
          <w:lang w:val="en-GB"/>
        </w:rPr>
        <w:t>i.  </w:t>
      </w:r>
      <w:r w:rsidRPr="00BD212C" w:rsidR="00C44A3F">
        <w:rPr>
          <w:lang w:val="en-GB"/>
        </w:rPr>
        <w:t>Whether there was a</w:t>
      </w:r>
      <w:r w:rsidRPr="00BD212C">
        <w:rPr>
          <w:lang w:val="en-GB"/>
        </w:rPr>
        <w:t xml:space="preserve"> diff</w:t>
      </w:r>
      <w:r w:rsidRPr="00BD212C" w:rsidR="00C44A3F">
        <w:rPr>
          <w:lang w:val="en-GB"/>
        </w:rPr>
        <w:t>e</w:t>
      </w:r>
      <w:r w:rsidRPr="00BD212C">
        <w:rPr>
          <w:lang w:val="en-GB"/>
        </w:rPr>
        <w:t>rence</w:t>
      </w:r>
      <w:r w:rsidRPr="00BD212C" w:rsidR="00C44A3F">
        <w:rPr>
          <w:lang w:val="en-GB"/>
        </w:rPr>
        <w:t xml:space="preserve"> in treatment between persons in similar</w:t>
      </w:r>
      <w:r w:rsidRPr="00BD212C">
        <w:rPr>
          <w:lang w:val="en-GB"/>
        </w:rPr>
        <w:t xml:space="preserve"> situations </w:t>
      </w:r>
      <w:r w:rsidRPr="00BD212C" w:rsidR="000004B6">
        <w:rPr>
          <w:lang w:val="en-GB"/>
        </w:rPr>
        <w:t>or equal treatment of</w:t>
      </w:r>
      <w:r w:rsidRPr="00BD212C">
        <w:rPr>
          <w:lang w:val="en-GB"/>
        </w:rPr>
        <w:t xml:space="preserve"> persons </w:t>
      </w:r>
      <w:r w:rsidRPr="00BD212C" w:rsidR="000004B6">
        <w:rPr>
          <w:lang w:val="en-GB"/>
        </w:rPr>
        <w:t>in</w:t>
      </w:r>
      <w:r w:rsidRPr="00BD212C" w:rsidR="001E7205">
        <w:rPr>
          <w:lang w:val="en-GB"/>
        </w:rPr>
        <w:t xml:space="preserve"> </w:t>
      </w:r>
      <w:r w:rsidRPr="00BD212C" w:rsidR="000004B6">
        <w:rPr>
          <w:lang w:val="en-GB"/>
        </w:rPr>
        <w:t>significantly different situations</w:t>
      </w:r>
    </w:p>
    <w:p w:rsidRPr="00BD212C" w:rsidR="00B20CCB" w:rsidP="00BD212C" w:rsidRDefault="00CD24EA">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81</w:t>
      </w:r>
      <w:r w:rsidRPr="00BD212C">
        <w:rPr>
          <w:lang w:val="fr-FR"/>
        </w:rPr>
        <w:fldChar w:fldCharType="end"/>
      </w:r>
      <w:r w:rsidRPr="00BD212C">
        <w:rPr>
          <w:lang w:val="en-GB"/>
        </w:rPr>
        <w:t>.  </w:t>
      </w:r>
      <w:r w:rsidRPr="00BD212C" w:rsidR="001E7205">
        <w:rPr>
          <w:lang w:val="en-GB"/>
        </w:rPr>
        <w:t>According to the Court</w:t>
      </w:r>
      <w:r w:rsidRPr="00BD212C" w:rsidR="00BD212C">
        <w:rPr>
          <w:lang w:val="en-GB"/>
        </w:rPr>
        <w:t>’</w:t>
      </w:r>
      <w:r w:rsidRPr="00BD212C" w:rsidR="001E7205">
        <w:rPr>
          <w:lang w:val="en-GB"/>
        </w:rPr>
        <w:t>s well-established case-law</w:t>
      </w:r>
      <w:r w:rsidRPr="00BD212C">
        <w:rPr>
          <w:lang w:val="en-GB"/>
        </w:rPr>
        <w:t xml:space="preserve">, </w:t>
      </w:r>
      <w:r w:rsidRPr="00BD212C" w:rsidR="001E7205">
        <w:t>in order for an issue to arise under Article 14 there must be a difference in treatment of persons in relevantly similar situations</w:t>
      </w:r>
      <w:r w:rsidRPr="00BD212C">
        <w:rPr>
          <w:lang w:val="en-GB"/>
        </w:rPr>
        <w:t xml:space="preserve"> (</w:t>
      </w:r>
      <w:r w:rsidRPr="00BD212C" w:rsidR="001E7205">
        <w:rPr>
          <w:lang w:val="en-GB"/>
        </w:rPr>
        <w:t xml:space="preserve">see </w:t>
      </w:r>
      <w:r w:rsidRPr="00BD212C">
        <w:rPr>
          <w:i/>
          <w:lang w:val="en-GB"/>
        </w:rPr>
        <w:t>Hämäläinen</w:t>
      </w:r>
      <w:r w:rsidRPr="00BD212C">
        <w:rPr>
          <w:lang w:val="en-GB"/>
        </w:rPr>
        <w:t xml:space="preserve">, </w:t>
      </w:r>
      <w:r w:rsidRPr="00BD212C" w:rsidR="001E7205">
        <w:rPr>
          <w:lang w:val="en-GB"/>
        </w:rPr>
        <w:t>cited above</w:t>
      </w:r>
      <w:r w:rsidRPr="00BD212C">
        <w:rPr>
          <w:lang w:val="en-GB"/>
        </w:rPr>
        <w:t>, §</w:t>
      </w:r>
      <w:r w:rsidRPr="00BD212C" w:rsidR="001E7205">
        <w:rPr>
          <w:lang w:val="en-GB"/>
        </w:rPr>
        <w:t> </w:t>
      </w:r>
      <w:r w:rsidRPr="00BD212C">
        <w:rPr>
          <w:lang w:val="en-GB"/>
        </w:rPr>
        <w:t xml:space="preserve">108), </w:t>
      </w:r>
      <w:r w:rsidRPr="00BD212C" w:rsidR="001E7205">
        <w:rPr>
          <w:lang w:val="en-GB"/>
        </w:rPr>
        <w:t xml:space="preserve">or an issue will arise </w:t>
      </w:r>
      <w:r w:rsidRPr="00BD212C" w:rsidR="001E7205">
        <w:t>when States fail to treat differently persons whose situations are significantly different</w:t>
      </w:r>
      <w:r w:rsidRPr="00BD212C">
        <w:rPr>
          <w:lang w:val="en-GB"/>
        </w:rPr>
        <w:t xml:space="preserve"> (</w:t>
      </w:r>
      <w:r w:rsidRPr="00BD212C" w:rsidR="001E7205">
        <w:rPr>
          <w:lang w:val="en-GB"/>
        </w:rPr>
        <w:t xml:space="preserve">see </w:t>
      </w:r>
      <w:r w:rsidRPr="00BD212C">
        <w:rPr>
          <w:i/>
          <w:lang w:val="en-GB"/>
        </w:rPr>
        <w:t>Thlimmenos</w:t>
      </w:r>
      <w:r w:rsidRPr="00BD212C">
        <w:rPr>
          <w:lang w:val="en-GB"/>
        </w:rPr>
        <w:t xml:space="preserve">, </w:t>
      </w:r>
      <w:r w:rsidRPr="00BD212C" w:rsidR="001E7205">
        <w:rPr>
          <w:lang w:val="en-GB"/>
        </w:rPr>
        <w:t>cited above</w:t>
      </w:r>
      <w:r w:rsidRPr="00BD212C">
        <w:rPr>
          <w:lang w:val="en-GB"/>
        </w:rPr>
        <w:t>, §</w:t>
      </w:r>
      <w:r w:rsidRPr="00BD212C" w:rsidR="001E7205">
        <w:rPr>
          <w:lang w:val="en-GB"/>
        </w:rPr>
        <w:t> </w:t>
      </w:r>
      <w:r w:rsidRPr="00BD212C">
        <w:rPr>
          <w:lang w:val="en-GB"/>
        </w:rPr>
        <w:t xml:space="preserve">44 </w:t>
      </w:r>
      <w:r w:rsidRPr="00BD212C">
        <w:rPr>
          <w:i/>
          <w:lang w:val="en-GB"/>
        </w:rPr>
        <w:t>in fine</w:t>
      </w:r>
      <w:r w:rsidRPr="00BD212C">
        <w:rPr>
          <w:lang w:val="en-GB"/>
        </w:rPr>
        <w:t xml:space="preserve">). </w:t>
      </w:r>
      <w:r w:rsidRPr="00BD212C" w:rsidR="001E7205">
        <w:rPr>
          <w:lang w:val="en-GB"/>
        </w:rPr>
        <w:t>On the latter point the</w:t>
      </w:r>
      <w:r w:rsidRPr="00BD212C">
        <w:rPr>
          <w:lang w:val="en-GB"/>
        </w:rPr>
        <w:t xml:space="preserve"> Cour</w:t>
      </w:r>
      <w:r w:rsidRPr="00BD212C" w:rsidR="001E7205">
        <w:rPr>
          <w:lang w:val="en-GB"/>
        </w:rPr>
        <w:t>t</w:t>
      </w:r>
      <w:r w:rsidRPr="00BD212C">
        <w:rPr>
          <w:lang w:val="en-GB"/>
        </w:rPr>
        <w:t xml:space="preserve"> </w:t>
      </w:r>
      <w:r w:rsidRPr="00BD212C" w:rsidR="001E7205">
        <w:rPr>
          <w:lang w:val="en-GB"/>
        </w:rPr>
        <w:t>reiterates that A</w:t>
      </w:r>
      <w:r w:rsidRPr="00BD212C">
        <w:rPr>
          <w:lang w:val="en-GB"/>
        </w:rPr>
        <w:t xml:space="preserve">rticle 14 </w:t>
      </w:r>
      <w:r w:rsidRPr="00BD212C" w:rsidR="001E7205">
        <w:rPr>
          <w:lang w:val="en-GB"/>
        </w:rPr>
        <w:t>does not prohibit a member State from treating groups differently in order to correct “factual inequalities” between them</w:t>
      </w:r>
      <w:r w:rsidRPr="00BD212C">
        <w:rPr>
          <w:lang w:val="en-GB"/>
        </w:rPr>
        <w:t xml:space="preserve">; </w:t>
      </w:r>
      <w:r w:rsidRPr="00BD212C" w:rsidR="001E7205">
        <w:t>indeed in certain circumstances a failure to attempt to correct inequality through different treatment may in itself give rise to a breach of the Article</w:t>
      </w:r>
      <w:r w:rsidRPr="00BD212C">
        <w:rPr>
          <w:lang w:val="en-GB"/>
        </w:rPr>
        <w:t xml:space="preserve"> (</w:t>
      </w:r>
      <w:r w:rsidRPr="00BD212C" w:rsidR="001E7205">
        <w:rPr>
          <w:lang w:val="en-GB"/>
        </w:rPr>
        <w:t xml:space="preserve">see </w:t>
      </w:r>
      <w:r w:rsidRPr="00BD212C" w:rsidR="002F72E2">
        <w:rPr>
          <w:i/>
          <w:lang w:val="en-GB"/>
        </w:rPr>
        <w:t>Case “relating to certain aspects of the laws on the use of languages in education in Belgium”</w:t>
      </w:r>
      <w:r w:rsidRPr="00BD212C" w:rsidR="002F72E2">
        <w:rPr>
          <w:lang w:val="en-GB"/>
        </w:rPr>
        <w:t xml:space="preserve"> (merits), 23 July 1968, § 10, Series A no. 6;</w:t>
      </w:r>
      <w:r w:rsidRPr="00BD212C">
        <w:rPr>
          <w:lang w:val="en-GB"/>
        </w:rPr>
        <w:t xml:space="preserve"> </w:t>
      </w:r>
      <w:r w:rsidRPr="00BD212C" w:rsidR="001E7205">
        <w:rPr>
          <w:i/>
          <w:szCs w:val="24"/>
          <w:lang w:val="en-GB"/>
        </w:rPr>
        <w:t>Stec and Others v. the United Kingdom</w:t>
      </w:r>
      <w:r w:rsidRPr="00BD212C" w:rsidR="001E7205">
        <w:rPr>
          <w:szCs w:val="24"/>
          <w:lang w:val="en-GB"/>
        </w:rPr>
        <w:t xml:space="preserve"> [GC], nos. </w:t>
      </w:r>
      <w:r w:rsidRPr="00BD212C" w:rsidR="001E7205">
        <w:rPr>
          <w:lang w:val="en-GB"/>
        </w:rPr>
        <w:t>65731/01 and 65900/01</w:t>
      </w:r>
      <w:r w:rsidRPr="00BD212C" w:rsidR="001E7205">
        <w:rPr>
          <w:szCs w:val="24"/>
          <w:lang w:val="en-GB"/>
        </w:rPr>
        <w:t xml:space="preserve">, § </w:t>
      </w:r>
      <w:r w:rsidRPr="00BD212C" w:rsidR="00397C10">
        <w:rPr>
          <w:szCs w:val="24"/>
          <w:lang w:val="en-GB"/>
        </w:rPr>
        <w:t>51</w:t>
      </w:r>
      <w:r w:rsidRPr="00BD212C" w:rsidR="001E7205">
        <w:rPr>
          <w:szCs w:val="24"/>
          <w:lang w:val="en-GB"/>
        </w:rPr>
        <w:t>, ECHR 2006</w:t>
      </w:r>
      <w:r w:rsidRPr="00BD212C" w:rsidR="001E7205">
        <w:rPr>
          <w:szCs w:val="24"/>
          <w:lang w:val="en-GB"/>
        </w:rPr>
        <w:noBreakHyphen/>
        <w:t>VI</w:t>
      </w:r>
      <w:r w:rsidRPr="00BD212C" w:rsidR="00397C10">
        <w:rPr>
          <w:szCs w:val="24"/>
          <w:lang w:val="en-GB"/>
        </w:rPr>
        <w:t>; and</w:t>
      </w:r>
      <w:r w:rsidRPr="00BD212C">
        <w:rPr>
          <w:lang w:val="en-GB"/>
        </w:rPr>
        <w:t xml:space="preserve"> </w:t>
      </w:r>
      <w:r w:rsidRPr="00BD212C">
        <w:rPr>
          <w:i/>
          <w:color w:val="000000"/>
          <w:lang w:val="en-GB"/>
        </w:rPr>
        <w:t xml:space="preserve">Muňoz Diaz </w:t>
      </w:r>
      <w:r w:rsidRPr="00BD212C" w:rsidR="00FC53A9">
        <w:rPr>
          <w:i/>
          <w:color w:val="000000"/>
          <w:lang w:val="en-GB"/>
        </w:rPr>
        <w:t>v</w:t>
      </w:r>
      <w:r w:rsidRPr="00BD212C">
        <w:rPr>
          <w:i/>
          <w:color w:val="000000"/>
          <w:lang w:val="en-GB"/>
        </w:rPr>
        <w:t>. </w:t>
      </w:r>
      <w:r w:rsidRPr="00BD212C" w:rsidR="00FC53A9">
        <w:rPr>
          <w:i/>
          <w:color w:val="000000"/>
          <w:lang w:val="en-GB"/>
        </w:rPr>
        <w:t>Spain</w:t>
      </w:r>
      <w:r w:rsidRPr="00BD212C">
        <w:rPr>
          <w:color w:val="000000"/>
          <w:lang w:val="en-GB"/>
        </w:rPr>
        <w:t xml:space="preserve">, </w:t>
      </w:r>
      <w:r w:rsidRPr="00BD212C" w:rsidR="00FC53A9">
        <w:rPr>
          <w:color w:val="000000"/>
          <w:lang w:val="en-GB"/>
        </w:rPr>
        <w:t>no.</w:t>
      </w:r>
      <w:r w:rsidRPr="00BD212C">
        <w:rPr>
          <w:color w:val="000000"/>
          <w:lang w:val="en-GB"/>
        </w:rPr>
        <w:t xml:space="preserve"> 49151/07, § 48, </w:t>
      </w:r>
      <w:r w:rsidRPr="00BD212C" w:rsidR="00FC53A9">
        <w:rPr>
          <w:color w:val="000000"/>
          <w:lang w:val="en-GB"/>
        </w:rPr>
        <w:t>ECHR</w:t>
      </w:r>
      <w:r w:rsidRPr="00BD212C">
        <w:rPr>
          <w:color w:val="000000"/>
          <w:lang w:val="en-GB"/>
        </w:rPr>
        <w:t xml:space="preserve"> 2009</w:t>
      </w:r>
      <w:r w:rsidRPr="00BD212C">
        <w:rPr>
          <w:lang w:val="en-GB"/>
        </w:rPr>
        <w:t xml:space="preserve">). </w:t>
      </w:r>
      <w:r w:rsidRPr="00BD212C" w:rsidR="00397C10">
        <w:rPr>
          <w:lang w:val="en-GB"/>
        </w:rPr>
        <w:t>Furthermore</w:t>
      </w:r>
      <w:r w:rsidRPr="00BD212C">
        <w:rPr>
          <w:lang w:val="en-GB"/>
        </w:rPr>
        <w:t>,</w:t>
      </w:r>
      <w:r w:rsidRPr="00BD212C" w:rsidR="00397C10">
        <w:rPr>
          <w:lang w:val="en-GB"/>
        </w:rPr>
        <w:t xml:space="preserve"> the</w:t>
      </w:r>
      <w:r w:rsidRPr="00BD212C">
        <w:rPr>
          <w:lang w:val="en-GB"/>
        </w:rPr>
        <w:t xml:space="preserve"> Cour</w:t>
      </w:r>
      <w:r w:rsidRPr="00BD212C" w:rsidR="00397C10">
        <w:rPr>
          <w:lang w:val="en-GB"/>
        </w:rPr>
        <w:t>t has already accepted in previous cases that w</w:t>
      </w:r>
      <w:r w:rsidRPr="00BD212C" w:rsidR="00397C10">
        <w:t>here a general policy or measure has disproportionately prejudicial effects on a particular group, it is not excluded that this may be considered as discriminatory notwithstanding that it is not specifically aimed or directed at that group and there is no discriminatory intent</w:t>
      </w:r>
      <w:r w:rsidRPr="00BD212C">
        <w:rPr>
          <w:lang w:val="en-GB"/>
        </w:rPr>
        <w:t xml:space="preserve">. </w:t>
      </w:r>
      <w:r w:rsidRPr="00BD212C" w:rsidR="00397C10">
        <w:rPr>
          <w:lang w:val="en-GB"/>
        </w:rPr>
        <w:t>Such a</w:t>
      </w:r>
      <w:r w:rsidRPr="00BD212C">
        <w:rPr>
          <w:lang w:val="en-GB"/>
        </w:rPr>
        <w:t xml:space="preserve"> situation </w:t>
      </w:r>
      <w:r w:rsidRPr="00BD212C" w:rsidR="00397C10">
        <w:rPr>
          <w:lang w:val="en-GB"/>
        </w:rPr>
        <w:t>may amount to “indirect</w:t>
      </w:r>
      <w:r w:rsidRPr="00BD212C">
        <w:rPr>
          <w:lang w:val="en-GB"/>
        </w:rPr>
        <w:t> discrimination</w:t>
      </w:r>
      <w:r w:rsidRPr="00BD212C" w:rsidR="00397C10">
        <w:rPr>
          <w:lang w:val="en-GB"/>
        </w:rPr>
        <w:t>”</w:t>
      </w:r>
      <w:r w:rsidRPr="00BD212C">
        <w:rPr>
          <w:lang w:val="en-GB"/>
        </w:rPr>
        <w:t xml:space="preserve">. </w:t>
      </w:r>
      <w:r w:rsidRPr="00BD212C" w:rsidR="00397C10">
        <w:t>This is only the case, however, if such policy or measure has no “objective and reasonable” justification</w:t>
      </w:r>
      <w:r w:rsidRPr="00BD212C" w:rsidR="00397C10">
        <w:rPr>
          <w:lang w:val="en-GB"/>
        </w:rPr>
        <w:t xml:space="preserve"> </w:t>
      </w:r>
      <w:r w:rsidRPr="00BD212C">
        <w:rPr>
          <w:lang w:val="en-GB"/>
        </w:rPr>
        <w:t>(</w:t>
      </w:r>
      <w:r w:rsidRPr="00BD212C" w:rsidR="00397C10">
        <w:rPr>
          <w:lang w:val="en-GB"/>
        </w:rPr>
        <w:t>see</w:t>
      </w:r>
      <w:r w:rsidRPr="00BD212C">
        <w:rPr>
          <w:lang w:val="en-GB"/>
        </w:rPr>
        <w:t xml:space="preserve">, </w:t>
      </w:r>
      <w:r w:rsidRPr="00BD212C" w:rsidR="00397C10">
        <w:rPr>
          <w:lang w:val="en-GB"/>
        </w:rPr>
        <w:t>among other authoritie</w:t>
      </w:r>
      <w:r w:rsidRPr="00BD212C">
        <w:rPr>
          <w:lang w:val="en-GB"/>
        </w:rPr>
        <w:t xml:space="preserve">s, </w:t>
      </w:r>
      <w:r w:rsidRPr="00BD212C">
        <w:rPr>
          <w:i/>
          <w:lang w:val="en-GB"/>
        </w:rPr>
        <w:t xml:space="preserve">Baio </w:t>
      </w:r>
      <w:r w:rsidRPr="00BD212C" w:rsidR="00FC53A9">
        <w:rPr>
          <w:i/>
          <w:lang w:val="en-GB"/>
        </w:rPr>
        <w:t>v</w:t>
      </w:r>
      <w:r w:rsidRPr="00BD212C">
        <w:rPr>
          <w:i/>
          <w:lang w:val="en-GB"/>
        </w:rPr>
        <w:t xml:space="preserve">. </w:t>
      </w:r>
      <w:r w:rsidRPr="00BD212C" w:rsidR="00FC53A9">
        <w:rPr>
          <w:i/>
          <w:lang w:val="en-GB"/>
        </w:rPr>
        <w:t>Denmark</w:t>
      </w:r>
      <w:r w:rsidRPr="00BD212C">
        <w:rPr>
          <w:i/>
          <w:lang w:val="en-GB"/>
        </w:rPr>
        <w:t xml:space="preserve"> </w:t>
      </w:r>
      <w:r w:rsidRPr="00BD212C">
        <w:rPr>
          <w:lang w:val="en-GB"/>
        </w:rPr>
        <w:t xml:space="preserve">[GC], </w:t>
      </w:r>
      <w:r w:rsidRPr="00BD212C" w:rsidR="00FC53A9">
        <w:rPr>
          <w:lang w:val="en-GB"/>
        </w:rPr>
        <w:t>no.</w:t>
      </w:r>
      <w:r w:rsidRPr="00BD212C">
        <w:rPr>
          <w:lang w:val="en-GB"/>
        </w:rPr>
        <w:t xml:space="preserve"> 38590/10, § 91</w:t>
      </w:r>
      <w:r w:rsidRPr="00BD212C">
        <w:rPr>
          <w:i/>
          <w:lang w:val="en-GB"/>
        </w:rPr>
        <w:t>,</w:t>
      </w:r>
      <w:r w:rsidRPr="00BD212C">
        <w:rPr>
          <w:lang w:val="en-GB"/>
        </w:rPr>
        <w:t xml:space="preserve"> 26 </w:t>
      </w:r>
      <w:r w:rsidRPr="00BD212C" w:rsidR="00FC53A9">
        <w:rPr>
          <w:lang w:val="en-GB"/>
        </w:rPr>
        <w:t>May</w:t>
      </w:r>
      <w:r w:rsidRPr="00BD212C">
        <w:rPr>
          <w:lang w:val="en-GB"/>
        </w:rPr>
        <w:t xml:space="preserve"> 2016; </w:t>
      </w:r>
      <w:r w:rsidRPr="00BD212C">
        <w:rPr>
          <w:i/>
          <w:lang w:val="en-GB"/>
        </w:rPr>
        <w:t xml:space="preserve">S.A.S. </w:t>
      </w:r>
      <w:r w:rsidRPr="00BD212C" w:rsidR="00FC53A9">
        <w:rPr>
          <w:i/>
          <w:lang w:val="en-GB"/>
        </w:rPr>
        <w:t>v</w:t>
      </w:r>
      <w:r w:rsidRPr="00BD212C">
        <w:rPr>
          <w:i/>
          <w:lang w:val="en-GB"/>
        </w:rPr>
        <w:t>. France</w:t>
      </w:r>
      <w:r w:rsidRPr="00BD212C">
        <w:rPr>
          <w:lang w:val="en-GB"/>
        </w:rPr>
        <w:t xml:space="preserve"> [GC], </w:t>
      </w:r>
      <w:r w:rsidRPr="00BD212C" w:rsidR="00FC53A9">
        <w:rPr>
          <w:lang w:val="en-GB"/>
        </w:rPr>
        <w:t>no.</w:t>
      </w:r>
      <w:r w:rsidRPr="00BD212C">
        <w:rPr>
          <w:lang w:val="en-GB"/>
        </w:rPr>
        <w:t xml:space="preserve"> 43835/</w:t>
      </w:r>
      <w:r w:rsidRPr="00BD212C" w:rsidR="00642D63">
        <w:rPr>
          <w:lang w:val="en-GB"/>
        </w:rPr>
        <w:t xml:space="preserve">11, § 161, </w:t>
      </w:r>
      <w:r w:rsidRPr="00BD212C" w:rsidR="00FC53A9">
        <w:rPr>
          <w:lang w:val="en-GB"/>
        </w:rPr>
        <w:t>ECHR</w:t>
      </w:r>
      <w:r w:rsidRPr="00BD212C" w:rsidR="00642D63">
        <w:rPr>
          <w:lang w:val="en-GB"/>
        </w:rPr>
        <w:t xml:space="preserve"> 2014 (</w:t>
      </w:r>
      <w:r w:rsidRPr="00BD212C" w:rsidR="00FC53A9">
        <w:rPr>
          <w:lang w:val="en-GB"/>
        </w:rPr>
        <w:t>extracts</w:t>
      </w:r>
      <w:r w:rsidRPr="00BD212C" w:rsidR="00642D63">
        <w:rPr>
          <w:lang w:val="en-GB"/>
        </w:rPr>
        <w:t>)</w:t>
      </w:r>
      <w:r w:rsidRPr="00BD212C">
        <w:rPr>
          <w:lang w:val="en-GB"/>
        </w:rPr>
        <w:t xml:space="preserve">; </w:t>
      </w:r>
      <w:r w:rsidRPr="00BD212C">
        <w:rPr>
          <w:i/>
          <w:lang w:val="en-GB"/>
        </w:rPr>
        <w:t xml:space="preserve">D.H. </w:t>
      </w:r>
      <w:r w:rsidRPr="00BD212C" w:rsidR="00FC53A9">
        <w:rPr>
          <w:i/>
          <w:lang w:val="en-GB"/>
        </w:rPr>
        <w:t>and Other</w:t>
      </w:r>
      <w:r w:rsidRPr="00BD212C">
        <w:rPr>
          <w:i/>
          <w:lang w:val="en-GB"/>
        </w:rPr>
        <w:t xml:space="preserve">s </w:t>
      </w:r>
      <w:r w:rsidRPr="00BD212C" w:rsidR="00FC53A9">
        <w:rPr>
          <w:i/>
          <w:lang w:val="en-GB"/>
        </w:rPr>
        <w:t>v. the Czech Republic</w:t>
      </w:r>
      <w:r w:rsidRPr="00BD212C">
        <w:rPr>
          <w:i/>
          <w:lang w:val="en-GB"/>
        </w:rPr>
        <w:t xml:space="preserve"> </w:t>
      </w:r>
      <w:r w:rsidRPr="00BD212C">
        <w:rPr>
          <w:lang w:val="en-GB"/>
        </w:rPr>
        <w:t xml:space="preserve">[GC], </w:t>
      </w:r>
      <w:r w:rsidRPr="00BD212C" w:rsidR="00FC53A9">
        <w:rPr>
          <w:lang w:val="en-GB"/>
        </w:rPr>
        <w:t>no.</w:t>
      </w:r>
      <w:r w:rsidRPr="00BD212C">
        <w:rPr>
          <w:lang w:val="en-GB"/>
        </w:rPr>
        <w:t xml:space="preserve"> 57325/00, § 184, </w:t>
      </w:r>
      <w:r w:rsidRPr="00BD212C" w:rsidR="00FC53A9">
        <w:rPr>
          <w:lang w:val="en-GB"/>
        </w:rPr>
        <w:t>ECHR</w:t>
      </w:r>
      <w:r w:rsidRPr="00BD212C">
        <w:rPr>
          <w:lang w:val="en-GB"/>
        </w:rPr>
        <w:t xml:space="preserve"> 2007-IV; </w:t>
      </w:r>
      <w:r w:rsidRPr="00BD212C" w:rsidR="00FC53A9">
        <w:rPr>
          <w:lang w:val="en-GB"/>
        </w:rPr>
        <w:t>and</w:t>
      </w:r>
      <w:r w:rsidRPr="00BD212C">
        <w:rPr>
          <w:i/>
          <w:lang w:val="en-GB"/>
        </w:rPr>
        <w:t xml:space="preserve"> Hugh Jordan </w:t>
      </w:r>
      <w:r w:rsidRPr="00BD212C" w:rsidR="00FC53A9">
        <w:rPr>
          <w:i/>
          <w:lang w:val="en-GB"/>
        </w:rPr>
        <w:t>v</w:t>
      </w:r>
      <w:r w:rsidRPr="00BD212C">
        <w:rPr>
          <w:i/>
          <w:lang w:val="en-GB"/>
        </w:rPr>
        <w:t xml:space="preserve">. </w:t>
      </w:r>
      <w:r w:rsidRPr="00BD212C" w:rsidR="00FC53A9">
        <w:rPr>
          <w:i/>
          <w:lang w:val="en-GB"/>
        </w:rPr>
        <w:t xml:space="preserve">the </w:t>
      </w:r>
      <w:r w:rsidRPr="00BD212C">
        <w:rPr>
          <w:i/>
          <w:lang w:val="en-GB"/>
        </w:rPr>
        <w:t>Uni</w:t>
      </w:r>
      <w:r w:rsidRPr="00BD212C" w:rsidR="00FC53A9">
        <w:rPr>
          <w:i/>
          <w:lang w:val="en-GB"/>
        </w:rPr>
        <w:t>ted Kingdom</w:t>
      </w:r>
      <w:r w:rsidRPr="00BD212C">
        <w:rPr>
          <w:lang w:val="en-GB"/>
        </w:rPr>
        <w:t>,</w:t>
      </w:r>
      <w:r w:rsidRPr="00BD212C">
        <w:rPr>
          <w:i/>
          <w:lang w:val="en-GB"/>
        </w:rPr>
        <w:t xml:space="preserve"> </w:t>
      </w:r>
      <w:r w:rsidRPr="00BD212C">
        <w:rPr>
          <w:lang w:val="en-GB"/>
        </w:rPr>
        <w:t>n</w:t>
      </w:r>
      <w:r w:rsidRPr="00BD212C" w:rsidR="00FC53A9">
        <w:rPr>
          <w:lang w:val="en-GB"/>
        </w:rPr>
        <w:t>o.</w:t>
      </w:r>
      <w:r w:rsidRPr="00BD212C">
        <w:rPr>
          <w:vertAlign w:val="superscript"/>
          <w:lang w:val="en-GB"/>
        </w:rPr>
        <w:t> </w:t>
      </w:r>
      <w:r w:rsidRPr="00BD212C">
        <w:rPr>
          <w:lang w:val="en-GB"/>
        </w:rPr>
        <w:t xml:space="preserve">24746/94, § 154, 4 </w:t>
      </w:r>
      <w:r w:rsidRPr="00BD212C" w:rsidR="00FC53A9">
        <w:rPr>
          <w:lang w:val="en-GB"/>
        </w:rPr>
        <w:t>May</w:t>
      </w:r>
      <w:r w:rsidRPr="00BD212C">
        <w:rPr>
          <w:lang w:val="en-GB"/>
        </w:rPr>
        <w:t xml:space="preserve"> 2001).</w:t>
      </w:r>
    </w:p>
    <w:p w:rsidRPr="00BD212C" w:rsidR="00397C10" w:rsidP="00BD212C" w:rsidRDefault="00397C10">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82</w:t>
      </w:r>
      <w:r w:rsidRPr="00BD212C">
        <w:rPr>
          <w:lang w:val="en-GB"/>
        </w:rPr>
        <w:fldChar w:fldCharType="end"/>
      </w:r>
      <w:r w:rsidRPr="00BD212C">
        <w:rPr>
          <w:lang w:val="en-GB"/>
        </w:rPr>
        <w:t>.  </w:t>
      </w:r>
      <w:r w:rsidRPr="00BD212C" w:rsidR="00642D63">
        <w:rPr>
          <w:lang w:val="en-GB"/>
        </w:rPr>
        <w:t>The Court finds that in the instant case it does not appear that the applica</w:t>
      </w:r>
      <w:r w:rsidRPr="00BD212C">
        <w:rPr>
          <w:lang w:val="en-GB"/>
        </w:rPr>
        <w:t>nts,</w:t>
      </w:r>
      <w:r w:rsidRPr="00BD212C" w:rsidR="00642D63">
        <w:rPr>
          <w:lang w:val="en-GB"/>
        </w:rPr>
        <w:t xml:space="preserve"> an unmarried </w:t>
      </w:r>
      <w:r w:rsidRPr="00BD212C" w:rsidR="00CE1230">
        <w:rPr>
          <w:lang w:val="en-GB"/>
        </w:rPr>
        <w:t>homosexual</w:t>
      </w:r>
      <w:r w:rsidRPr="00BD212C">
        <w:rPr>
          <w:lang w:val="en-GB"/>
        </w:rPr>
        <w:t xml:space="preserve"> couple, </w:t>
      </w:r>
      <w:r w:rsidRPr="00BD212C" w:rsidR="00CE1230">
        <w:rPr>
          <w:lang w:val="en-GB"/>
        </w:rPr>
        <w:t>were treated differently from an unmarried heterosexual couple</w:t>
      </w:r>
      <w:r w:rsidRPr="00BD212C">
        <w:rPr>
          <w:lang w:val="en-GB"/>
        </w:rPr>
        <w:t xml:space="preserve">. </w:t>
      </w:r>
      <w:r w:rsidRPr="00BD212C" w:rsidR="00CE1230">
        <w:rPr>
          <w:lang w:val="en-GB"/>
        </w:rPr>
        <w:t xml:space="preserve">As domestic law recognises only a “spouse” as a </w:t>
      </w:r>
      <w:r w:rsidRPr="00BD212C" w:rsidR="005B2B45">
        <w:rPr>
          <w:lang w:val="en-GB"/>
        </w:rPr>
        <w:t>“</w:t>
      </w:r>
      <w:r w:rsidRPr="00BD212C" w:rsidR="00CE1230">
        <w:rPr>
          <w:lang w:val="en-GB"/>
        </w:rPr>
        <w:t>family member</w:t>
      </w:r>
      <w:r w:rsidRPr="00BD212C" w:rsidR="005B2B45">
        <w:rPr>
          <w:lang w:val="en-GB"/>
        </w:rPr>
        <w:t>”</w:t>
      </w:r>
      <w:r w:rsidRPr="00BD212C" w:rsidR="00CE1230">
        <w:rPr>
          <w:lang w:val="en-GB"/>
        </w:rPr>
        <w:t xml:space="preserve"> and not a cohabitant </w:t>
      </w:r>
      <w:r w:rsidRPr="00BD212C" w:rsidR="00242129">
        <w:rPr>
          <w:lang w:val="en-GB"/>
        </w:rPr>
        <w:t>...</w:t>
      </w:r>
      <w:r w:rsidRPr="00BD212C">
        <w:rPr>
          <w:lang w:val="en-GB"/>
        </w:rPr>
        <w:t xml:space="preserve"> i</w:t>
      </w:r>
      <w:r w:rsidRPr="00BD212C" w:rsidR="00CE1230">
        <w:rPr>
          <w:lang w:val="en-GB"/>
        </w:rPr>
        <w:t>t is reasonable to</w:t>
      </w:r>
      <w:r w:rsidRPr="00BD212C">
        <w:rPr>
          <w:lang w:val="en-GB"/>
        </w:rPr>
        <w:t xml:space="preserve"> </w:t>
      </w:r>
      <w:r w:rsidRPr="00BD212C" w:rsidR="00CE1230">
        <w:rPr>
          <w:lang w:val="en-GB"/>
        </w:rPr>
        <w:t>assume that, like the second applic</w:t>
      </w:r>
      <w:r w:rsidRPr="00BD212C">
        <w:rPr>
          <w:lang w:val="en-GB"/>
        </w:rPr>
        <w:t xml:space="preserve">ant, </w:t>
      </w:r>
      <w:r w:rsidRPr="00BD212C" w:rsidR="00CE1230">
        <w:rPr>
          <w:lang w:val="en-GB"/>
        </w:rPr>
        <w:t>a</w:t>
      </w:r>
      <w:r w:rsidRPr="00BD212C" w:rsidR="005B2B45">
        <w:rPr>
          <w:lang w:val="en-GB"/>
        </w:rPr>
        <w:t xml:space="preserve"> heterosexual</w:t>
      </w:r>
      <w:r w:rsidRPr="00BD212C" w:rsidR="00CE1230">
        <w:rPr>
          <w:lang w:val="en-GB"/>
        </w:rPr>
        <w:t xml:space="preserve"> partner</w:t>
      </w:r>
      <w:r w:rsidRPr="00BD212C">
        <w:rPr>
          <w:lang w:val="en-GB"/>
        </w:rPr>
        <w:t xml:space="preserve"> </w:t>
      </w:r>
      <w:r w:rsidRPr="00BD212C" w:rsidR="005B2B45">
        <w:rPr>
          <w:lang w:val="en-GB"/>
        </w:rPr>
        <w:t>who was not an EU national c</w:t>
      </w:r>
      <w:r w:rsidRPr="00BD212C" w:rsidR="00CE1230">
        <w:rPr>
          <w:lang w:val="en-GB"/>
        </w:rPr>
        <w:t xml:space="preserve">ould also have been refused a residence permit </w:t>
      </w:r>
      <w:r w:rsidRPr="00BD212C" w:rsidR="005B2B45">
        <w:rPr>
          <w:lang w:val="en-GB"/>
        </w:rPr>
        <w:t xml:space="preserve">sought </w:t>
      </w:r>
      <w:r w:rsidRPr="00BD212C" w:rsidR="00CE1230">
        <w:rPr>
          <w:lang w:val="en-GB"/>
        </w:rPr>
        <w:t>for family reasons in Italy</w:t>
      </w:r>
      <w:r w:rsidRPr="00BD212C">
        <w:rPr>
          <w:lang w:val="en-GB"/>
        </w:rPr>
        <w:t xml:space="preserve">. </w:t>
      </w:r>
      <w:r w:rsidRPr="00BD212C" w:rsidR="00CE1230">
        <w:rPr>
          <w:lang w:val="en-GB"/>
        </w:rPr>
        <w:t>Indeed</w:t>
      </w:r>
      <w:r w:rsidRPr="00BD212C">
        <w:rPr>
          <w:lang w:val="en-GB"/>
        </w:rPr>
        <w:t>,</w:t>
      </w:r>
      <w:r w:rsidRPr="00BD212C" w:rsidR="00CE1230">
        <w:rPr>
          <w:lang w:val="en-GB"/>
        </w:rPr>
        <w:t xml:space="preserve"> as pointed out by the Court of C</w:t>
      </w:r>
      <w:r w:rsidRPr="00BD212C">
        <w:rPr>
          <w:lang w:val="en-GB"/>
        </w:rPr>
        <w:t>assation (</w:t>
      </w:r>
      <w:r w:rsidRPr="00BD212C" w:rsidR="00CE1230">
        <w:rPr>
          <w:lang w:val="en-GB"/>
        </w:rPr>
        <w:t xml:space="preserve">see </w:t>
      </w:r>
      <w:r w:rsidRPr="00BD212C">
        <w:rPr>
          <w:lang w:val="en-GB"/>
        </w:rPr>
        <w:t xml:space="preserve">paragraph 22 </w:t>
      </w:r>
      <w:r w:rsidRPr="00BD212C" w:rsidR="00CE1230">
        <w:rPr>
          <w:lang w:val="en-GB"/>
        </w:rPr>
        <w:t xml:space="preserve">above), the </w:t>
      </w:r>
      <w:r w:rsidRPr="00BD212C" w:rsidR="00006EBE">
        <w:rPr>
          <w:lang w:val="en-GB"/>
        </w:rPr>
        <w:t>non-</w:t>
      </w:r>
      <w:r w:rsidRPr="00BD212C" w:rsidR="005B2B45">
        <w:rPr>
          <w:lang w:val="en-GB"/>
        </w:rPr>
        <w:t>eligibility of</w:t>
      </w:r>
      <w:r w:rsidRPr="00BD212C" w:rsidR="00CE1230">
        <w:rPr>
          <w:lang w:val="en-GB"/>
        </w:rPr>
        <w:t xml:space="preserve"> unmarried</w:t>
      </w:r>
      <w:r w:rsidRPr="00BD212C" w:rsidR="00006EBE">
        <w:rPr>
          <w:lang w:val="en-GB"/>
        </w:rPr>
        <w:t xml:space="preserve"> part</w:t>
      </w:r>
      <w:r w:rsidRPr="00BD212C">
        <w:rPr>
          <w:lang w:val="en-GB"/>
        </w:rPr>
        <w:t>n</w:t>
      </w:r>
      <w:r w:rsidRPr="00BD212C" w:rsidR="00CE1230">
        <w:rPr>
          <w:lang w:val="en-GB"/>
        </w:rPr>
        <w:t xml:space="preserve">ers </w:t>
      </w:r>
      <w:r w:rsidRPr="00BD212C" w:rsidR="005B2B45">
        <w:rPr>
          <w:lang w:val="en-GB"/>
        </w:rPr>
        <w:t>for</w:t>
      </w:r>
      <w:r w:rsidRPr="00BD212C" w:rsidR="00CE1230">
        <w:rPr>
          <w:lang w:val="en-GB"/>
        </w:rPr>
        <w:t xml:space="preserve"> the residence permit in</w:t>
      </w:r>
      <w:r w:rsidRPr="00BD212C">
        <w:rPr>
          <w:lang w:val="en-GB"/>
        </w:rPr>
        <w:t xml:space="preserve"> question concern</w:t>
      </w:r>
      <w:r w:rsidRPr="00BD212C" w:rsidR="00CE1230">
        <w:rPr>
          <w:lang w:val="en-GB"/>
        </w:rPr>
        <w:t>ed both same-sex</w:t>
      </w:r>
      <w:r w:rsidRPr="00BD212C">
        <w:rPr>
          <w:lang w:val="en-GB"/>
        </w:rPr>
        <w:t xml:space="preserve"> couples </w:t>
      </w:r>
      <w:r w:rsidRPr="00BD212C" w:rsidR="00CE1230">
        <w:rPr>
          <w:lang w:val="en-GB"/>
        </w:rPr>
        <w:t>and opposite-sex couples</w:t>
      </w:r>
      <w:r w:rsidRPr="00BD212C">
        <w:rPr>
          <w:lang w:val="en-GB"/>
        </w:rPr>
        <w:t xml:space="preserve">. </w:t>
      </w:r>
      <w:r w:rsidRPr="00BD212C" w:rsidR="00006EBE">
        <w:rPr>
          <w:lang w:val="en-GB"/>
        </w:rPr>
        <w:t>That was, moreover, undisputed by the applicant</w:t>
      </w:r>
      <w:r w:rsidRPr="00BD212C">
        <w:rPr>
          <w:lang w:val="en-GB"/>
        </w:rPr>
        <w:t>s.</w:t>
      </w:r>
    </w:p>
    <w:p w:rsidRPr="00BD212C" w:rsidR="00397C10" w:rsidP="00BD212C" w:rsidRDefault="00397C10">
      <w:pPr>
        <w:pStyle w:val="ECHRPara"/>
        <w:rPr>
          <w:lang w:val="en-GB"/>
        </w:rPr>
      </w:pPr>
      <w:r w:rsidRPr="00BD212C">
        <w:rPr>
          <w:szCs w:val="24"/>
          <w:lang w:val="en-GB"/>
        </w:rPr>
        <w:fldChar w:fldCharType="begin"/>
      </w:r>
      <w:r w:rsidRPr="00BD212C">
        <w:rPr>
          <w:szCs w:val="24"/>
          <w:lang w:val="en-GB"/>
        </w:rPr>
        <w:instrText xml:space="preserve"> SEQ level0 \*arabic </w:instrText>
      </w:r>
      <w:r w:rsidRPr="00BD212C">
        <w:rPr>
          <w:szCs w:val="24"/>
          <w:lang w:val="en-GB"/>
        </w:rPr>
        <w:fldChar w:fldCharType="separate"/>
      </w:r>
      <w:r w:rsidRPr="00BD212C" w:rsidR="00BD212C">
        <w:rPr>
          <w:noProof/>
          <w:szCs w:val="24"/>
          <w:lang w:val="en-GB"/>
        </w:rPr>
        <w:t>83</w:t>
      </w:r>
      <w:r w:rsidRPr="00BD212C">
        <w:rPr>
          <w:szCs w:val="24"/>
          <w:lang w:val="en-GB"/>
        </w:rPr>
        <w:fldChar w:fldCharType="end"/>
      </w:r>
      <w:r w:rsidRPr="00BD212C">
        <w:rPr>
          <w:szCs w:val="24"/>
          <w:lang w:val="en-GB"/>
        </w:rPr>
        <w:t>.  </w:t>
      </w:r>
      <w:r w:rsidRPr="00BD212C" w:rsidR="00B43898">
        <w:rPr>
          <w:lang w:val="en-GB"/>
        </w:rPr>
        <w:t>That said</w:t>
      </w:r>
      <w:r w:rsidRPr="00BD212C">
        <w:rPr>
          <w:lang w:val="en-GB"/>
        </w:rPr>
        <w:t xml:space="preserve">, </w:t>
      </w:r>
      <w:r w:rsidRPr="00BD212C" w:rsidR="00B43898">
        <w:rPr>
          <w:lang w:val="en-GB"/>
        </w:rPr>
        <w:t>the applicants</w:t>
      </w:r>
      <w:r w:rsidRPr="00BD212C" w:rsidR="00BD212C">
        <w:rPr>
          <w:lang w:val="en-GB"/>
        </w:rPr>
        <w:t>’</w:t>
      </w:r>
      <w:r w:rsidRPr="00BD212C">
        <w:rPr>
          <w:lang w:val="en-GB"/>
        </w:rPr>
        <w:t xml:space="preserve"> situation</w:t>
      </w:r>
      <w:r w:rsidRPr="00BD212C" w:rsidR="00B43898">
        <w:rPr>
          <w:lang w:val="en-GB"/>
        </w:rPr>
        <w:t xml:space="preserve"> cannot, however, be regarded as</w:t>
      </w:r>
      <w:r w:rsidRPr="00BD212C">
        <w:rPr>
          <w:lang w:val="en-GB"/>
        </w:rPr>
        <w:t xml:space="preserve"> analog</w:t>
      </w:r>
      <w:r w:rsidRPr="00BD212C" w:rsidR="00B43898">
        <w:rPr>
          <w:lang w:val="en-GB"/>
        </w:rPr>
        <w:t>ous to that of an unmarried heterosexual couple</w:t>
      </w:r>
      <w:r w:rsidRPr="00BD212C">
        <w:rPr>
          <w:lang w:val="en-GB"/>
        </w:rPr>
        <w:t xml:space="preserve">. </w:t>
      </w:r>
      <w:r w:rsidRPr="00BD212C" w:rsidR="00B43898">
        <w:rPr>
          <w:rFonts w:cstheme="minorHAnsi"/>
          <w:lang w:val="en-GB"/>
        </w:rPr>
        <w:t>Unlike the latter, the applicants do not have the</w:t>
      </w:r>
      <w:r w:rsidRPr="00BD212C">
        <w:rPr>
          <w:lang w:val="en-GB"/>
        </w:rPr>
        <w:t xml:space="preserve"> possibilit</w:t>
      </w:r>
      <w:r w:rsidRPr="00BD212C" w:rsidR="00B43898">
        <w:rPr>
          <w:lang w:val="en-GB"/>
        </w:rPr>
        <w:t>y</w:t>
      </w:r>
      <w:r w:rsidRPr="00BD212C">
        <w:rPr>
          <w:lang w:val="en-GB"/>
        </w:rPr>
        <w:t xml:space="preserve"> </w:t>
      </w:r>
      <w:r w:rsidRPr="00BD212C" w:rsidR="00B43898">
        <w:rPr>
          <w:lang w:val="en-GB"/>
        </w:rPr>
        <w:t>of contracting marriage in Italy</w:t>
      </w:r>
      <w:r w:rsidRPr="00BD212C">
        <w:rPr>
          <w:lang w:val="en-GB"/>
        </w:rPr>
        <w:t xml:space="preserve">. </w:t>
      </w:r>
      <w:r w:rsidRPr="00BD212C" w:rsidR="00B43898">
        <w:rPr>
          <w:lang w:val="en-GB"/>
        </w:rPr>
        <w:t>They cannot therefore be regarded as “spouses” under Italian law</w:t>
      </w:r>
      <w:r w:rsidRPr="00BD212C">
        <w:rPr>
          <w:lang w:val="en-GB"/>
        </w:rPr>
        <w:t xml:space="preserve">. </w:t>
      </w:r>
      <w:r w:rsidRPr="00BD212C" w:rsidR="00B43898">
        <w:rPr>
          <w:lang w:val="en-GB"/>
        </w:rPr>
        <w:t>Accordingly</w:t>
      </w:r>
      <w:r w:rsidRPr="00BD212C">
        <w:rPr>
          <w:lang w:val="en-GB"/>
        </w:rPr>
        <w:t xml:space="preserve">, </w:t>
      </w:r>
      <w:r w:rsidRPr="00BD212C" w:rsidR="005B2B45">
        <w:rPr>
          <w:lang w:val="en-GB"/>
        </w:rPr>
        <w:t>as a result of</w:t>
      </w:r>
      <w:r w:rsidRPr="00BD212C">
        <w:rPr>
          <w:lang w:val="en-GB"/>
        </w:rPr>
        <w:t xml:space="preserve"> </w:t>
      </w:r>
      <w:r w:rsidRPr="00BD212C" w:rsidR="005B2B45">
        <w:rPr>
          <w:lang w:val="en-GB"/>
        </w:rPr>
        <w:t>a restrictive interpretation of the concept of “family member” only homosexual couples faced an insurmountable obstacle to obtaining a residence permit for family reasons</w:t>
      </w:r>
      <w:r w:rsidRPr="00BD212C">
        <w:rPr>
          <w:lang w:val="en-GB"/>
        </w:rPr>
        <w:t xml:space="preserve">. </w:t>
      </w:r>
      <w:r w:rsidRPr="00BD212C" w:rsidR="00B43898">
        <w:rPr>
          <w:lang w:val="en-GB"/>
        </w:rPr>
        <w:t>Nor could the</w:t>
      </w:r>
      <w:r w:rsidRPr="00BD212C" w:rsidR="005B2B45">
        <w:rPr>
          <w:lang w:val="en-GB"/>
        </w:rPr>
        <w:t>y</w:t>
      </w:r>
      <w:r w:rsidRPr="00BD212C" w:rsidR="00B43898">
        <w:rPr>
          <w:lang w:val="en-GB"/>
        </w:rPr>
        <w:t xml:space="preserve"> obtain a form of legal recognition other than</w:t>
      </w:r>
      <w:r w:rsidRPr="00BD212C">
        <w:rPr>
          <w:lang w:val="en-GB"/>
        </w:rPr>
        <w:t xml:space="preserve"> mar</w:t>
      </w:r>
      <w:r w:rsidRPr="00BD212C" w:rsidR="00B43898">
        <w:rPr>
          <w:lang w:val="en-GB"/>
        </w:rPr>
        <w:t>r</w:t>
      </w:r>
      <w:r w:rsidRPr="00BD212C">
        <w:rPr>
          <w:lang w:val="en-GB"/>
        </w:rPr>
        <w:t xml:space="preserve">iage, </w:t>
      </w:r>
      <w:r w:rsidRPr="00BD212C" w:rsidR="00B43898">
        <w:rPr>
          <w:lang w:val="en-GB"/>
        </w:rPr>
        <w:t>given that at the material time the Italian legal system did not provide for the possibility for</w:t>
      </w:r>
      <w:r w:rsidRPr="00BD212C">
        <w:rPr>
          <w:lang w:val="en-GB"/>
        </w:rPr>
        <w:t xml:space="preserve"> homosexu</w:t>
      </w:r>
      <w:r w:rsidRPr="00BD212C" w:rsidR="00B43898">
        <w:rPr>
          <w:lang w:val="en-GB"/>
        </w:rPr>
        <w:t>al</w:t>
      </w:r>
      <w:r w:rsidRPr="00BD212C">
        <w:rPr>
          <w:lang w:val="en-GB"/>
        </w:rPr>
        <w:t xml:space="preserve"> o</w:t>
      </w:r>
      <w:r w:rsidRPr="00BD212C" w:rsidR="00B43898">
        <w:rPr>
          <w:lang w:val="en-GB"/>
        </w:rPr>
        <w:t>r</w:t>
      </w:r>
      <w:r w:rsidRPr="00BD212C">
        <w:rPr>
          <w:lang w:val="en-GB"/>
        </w:rPr>
        <w:t xml:space="preserve"> h</w:t>
      </w:r>
      <w:r w:rsidRPr="00BD212C" w:rsidR="00B43898">
        <w:rPr>
          <w:lang w:val="en-GB"/>
        </w:rPr>
        <w:t>ete</w:t>
      </w:r>
      <w:r w:rsidRPr="00BD212C">
        <w:rPr>
          <w:lang w:val="en-GB"/>
        </w:rPr>
        <w:t>rosexu</w:t>
      </w:r>
      <w:r w:rsidRPr="00BD212C" w:rsidR="00B43898">
        <w:rPr>
          <w:lang w:val="en-GB"/>
        </w:rPr>
        <w:t>a</w:t>
      </w:r>
      <w:r w:rsidRPr="00BD212C">
        <w:rPr>
          <w:lang w:val="en-GB"/>
        </w:rPr>
        <w:t>l</w:t>
      </w:r>
      <w:r w:rsidRPr="00BD212C" w:rsidR="00B43898">
        <w:rPr>
          <w:lang w:val="en-GB"/>
        </w:rPr>
        <w:t xml:space="preserve"> couples </w:t>
      </w:r>
      <w:r w:rsidRPr="00BD212C" w:rsidR="00945F4E">
        <w:rPr>
          <w:lang w:val="en-GB"/>
        </w:rPr>
        <w:t>in a stable</w:t>
      </w:r>
      <w:r w:rsidRPr="00BD212C">
        <w:rPr>
          <w:lang w:val="en-GB"/>
        </w:rPr>
        <w:t xml:space="preserve"> relations</w:t>
      </w:r>
      <w:r w:rsidRPr="00BD212C" w:rsidR="00945F4E">
        <w:rPr>
          <w:lang w:val="en-GB"/>
        </w:rPr>
        <w:t>hip to enter into a</w:t>
      </w:r>
      <w:r w:rsidRPr="00BD212C">
        <w:rPr>
          <w:lang w:val="en-GB"/>
        </w:rPr>
        <w:t xml:space="preserve"> </w:t>
      </w:r>
      <w:r w:rsidRPr="00BD212C" w:rsidR="00945F4E">
        <w:rPr>
          <w:lang w:val="en-GB"/>
        </w:rPr>
        <w:t>civil partnership or a registered partnership certifying their</w:t>
      </w:r>
      <w:r w:rsidRPr="00BD212C">
        <w:rPr>
          <w:lang w:val="en-GB"/>
        </w:rPr>
        <w:t xml:space="preserve"> statu</w:t>
      </w:r>
      <w:r w:rsidRPr="00BD212C" w:rsidR="00945F4E">
        <w:rPr>
          <w:lang w:val="en-GB"/>
        </w:rPr>
        <w:t>s</w:t>
      </w:r>
      <w:r w:rsidRPr="00BD212C">
        <w:rPr>
          <w:lang w:val="en-GB"/>
        </w:rPr>
        <w:t xml:space="preserve"> </w:t>
      </w:r>
      <w:r w:rsidRPr="00BD212C" w:rsidR="00945F4E">
        <w:rPr>
          <w:lang w:val="en-GB"/>
        </w:rPr>
        <w:t>and guaranteeing them certain essential right</w:t>
      </w:r>
      <w:r w:rsidRPr="00BD212C">
        <w:rPr>
          <w:lang w:val="en-GB"/>
        </w:rPr>
        <w:t xml:space="preserve">s. </w:t>
      </w:r>
      <w:r w:rsidRPr="00BD212C" w:rsidR="00945F4E">
        <w:rPr>
          <w:lang w:val="en-GB"/>
        </w:rPr>
        <w:t>The</w:t>
      </w:r>
      <w:r w:rsidRPr="00BD212C">
        <w:rPr>
          <w:lang w:val="en-GB"/>
        </w:rPr>
        <w:t xml:space="preserve"> Cour</w:t>
      </w:r>
      <w:r w:rsidRPr="00BD212C" w:rsidR="00945F4E">
        <w:rPr>
          <w:lang w:val="en-GB"/>
        </w:rPr>
        <w:t>t refers, further, to its observation in</w:t>
      </w:r>
      <w:r w:rsidRPr="00BD212C">
        <w:rPr>
          <w:lang w:val="en-GB"/>
        </w:rPr>
        <w:t xml:space="preserve"> </w:t>
      </w:r>
      <w:r w:rsidRPr="00BD212C">
        <w:rPr>
          <w:i/>
          <w:lang w:val="en-GB"/>
        </w:rPr>
        <w:t xml:space="preserve">Oliari </w:t>
      </w:r>
      <w:r w:rsidRPr="00BD212C" w:rsidR="00945F4E">
        <w:rPr>
          <w:i/>
          <w:lang w:val="en-GB"/>
        </w:rPr>
        <w:t>and Other</w:t>
      </w:r>
      <w:r w:rsidRPr="00BD212C">
        <w:rPr>
          <w:i/>
          <w:lang w:val="en-GB"/>
        </w:rPr>
        <w:t>s</w:t>
      </w:r>
      <w:r w:rsidRPr="00BD212C">
        <w:rPr>
          <w:lang w:val="en-GB"/>
        </w:rPr>
        <w:t xml:space="preserve"> (</w:t>
      </w:r>
      <w:r w:rsidRPr="00BD212C" w:rsidR="00945F4E">
        <w:rPr>
          <w:lang w:val="en-GB"/>
        </w:rPr>
        <w:t>cited above</w:t>
      </w:r>
      <w:r w:rsidRPr="00BD212C">
        <w:rPr>
          <w:lang w:val="en-GB"/>
        </w:rPr>
        <w:t xml:space="preserve">, § 170) </w:t>
      </w:r>
      <w:r w:rsidRPr="00BD212C" w:rsidR="00945F4E">
        <w:rPr>
          <w:lang w:val="en-GB"/>
        </w:rPr>
        <w:t>that</w:t>
      </w:r>
      <w:r w:rsidRPr="00BD212C">
        <w:rPr>
          <w:lang w:val="en-GB"/>
        </w:rPr>
        <w:t xml:space="preserve">, </w:t>
      </w:r>
      <w:r w:rsidRPr="00BD212C" w:rsidR="00945F4E">
        <w:rPr>
          <w:lang w:val="en-GB"/>
        </w:rPr>
        <w:t>despite develop</w:t>
      </w:r>
      <w:r w:rsidRPr="00BD212C">
        <w:rPr>
          <w:lang w:val="en-GB"/>
        </w:rPr>
        <w:t xml:space="preserve">ments </w:t>
      </w:r>
      <w:r w:rsidRPr="00BD212C" w:rsidR="00945F4E">
        <w:rPr>
          <w:lang w:val="en-GB"/>
        </w:rPr>
        <w:t>in the relevant domestic case-law</w:t>
      </w:r>
      <w:r w:rsidRPr="00BD212C">
        <w:rPr>
          <w:lang w:val="en-GB"/>
        </w:rPr>
        <w:t xml:space="preserve"> (</w:t>
      </w:r>
      <w:r w:rsidRPr="00BD212C" w:rsidR="00945F4E">
        <w:rPr>
          <w:lang w:val="en-GB"/>
        </w:rPr>
        <w:t>set out by the</w:t>
      </w:r>
      <w:r w:rsidRPr="00BD212C">
        <w:rPr>
          <w:lang w:val="en-GB"/>
        </w:rPr>
        <w:t xml:space="preserve"> parties </w:t>
      </w:r>
      <w:r w:rsidRPr="00BD212C" w:rsidR="00945F4E">
        <w:rPr>
          <w:lang w:val="en-GB"/>
        </w:rPr>
        <w:t xml:space="preserve">in the </w:t>
      </w:r>
      <w:r w:rsidRPr="00BD212C">
        <w:rPr>
          <w:lang w:val="en-GB"/>
        </w:rPr>
        <w:t>pr</w:t>
      </w:r>
      <w:r w:rsidRPr="00BD212C" w:rsidR="00945F4E">
        <w:rPr>
          <w:lang w:val="en-GB"/>
        </w:rPr>
        <w:t>esent</w:t>
      </w:r>
      <w:r w:rsidRPr="00BD212C">
        <w:rPr>
          <w:lang w:val="en-GB"/>
        </w:rPr>
        <w:t xml:space="preserve"> </w:t>
      </w:r>
      <w:r w:rsidRPr="00BD212C" w:rsidR="00945F4E">
        <w:rPr>
          <w:lang w:val="en-GB"/>
        </w:rPr>
        <w:t>case in</w:t>
      </w:r>
      <w:r w:rsidRPr="00BD212C">
        <w:rPr>
          <w:lang w:val="en-GB"/>
        </w:rPr>
        <w:t xml:space="preserve"> paragraphs </w:t>
      </w:r>
      <w:r w:rsidRPr="00BD212C">
        <w:rPr>
          <w:rFonts w:ascii="Times New Roman" w:hAnsi="Times New Roman" w:cs="Times New Roman"/>
          <w:szCs w:val="24"/>
          <w:lang w:val="en-GB" w:eastAsia="en-GB"/>
        </w:rPr>
        <w:t>64</w:t>
      </w:r>
      <w:r w:rsidRPr="00BD212C">
        <w:rPr>
          <w:lang w:val="en-GB"/>
        </w:rPr>
        <w:t>,</w:t>
      </w:r>
      <w:r w:rsidRPr="00BD212C">
        <w:rPr>
          <w:b/>
          <w:lang w:val="en-GB"/>
        </w:rPr>
        <w:t xml:space="preserve"> </w:t>
      </w:r>
      <w:r w:rsidRPr="00BD212C">
        <w:rPr>
          <w:rFonts w:ascii="Times New Roman" w:hAnsi="Times New Roman" w:cs="Times New Roman"/>
          <w:szCs w:val="24"/>
          <w:lang w:val="en-GB" w:eastAsia="en-GB"/>
        </w:rPr>
        <w:t>66</w:t>
      </w:r>
      <w:r w:rsidRPr="00BD212C">
        <w:rPr>
          <w:lang w:val="en-GB"/>
        </w:rPr>
        <w:t xml:space="preserve"> </w:t>
      </w:r>
      <w:r w:rsidRPr="00BD212C" w:rsidR="00945F4E">
        <w:rPr>
          <w:lang w:val="en-GB"/>
        </w:rPr>
        <w:t>and</w:t>
      </w:r>
      <w:r w:rsidRPr="00BD212C">
        <w:rPr>
          <w:lang w:val="en-GB"/>
        </w:rPr>
        <w:t xml:space="preserve"> 69 </w:t>
      </w:r>
      <w:r w:rsidRPr="00BD212C" w:rsidR="00945F4E">
        <w:rPr>
          <w:lang w:val="en-GB"/>
        </w:rPr>
        <w:t>above</w:t>
      </w:r>
      <w:r w:rsidRPr="00BD212C">
        <w:rPr>
          <w:lang w:val="en-GB"/>
        </w:rPr>
        <w:t>),</w:t>
      </w:r>
      <w:r w:rsidRPr="00BD212C" w:rsidR="00945F4E">
        <w:rPr>
          <w:lang w:val="en-GB"/>
        </w:rPr>
        <w:t xml:space="preserve"> </w:t>
      </w:r>
      <w:r w:rsidRPr="00BD212C" w:rsidR="005B2B45">
        <w:rPr>
          <w:lang w:val="en-GB"/>
        </w:rPr>
        <w:t xml:space="preserve">the situation of </w:t>
      </w:r>
      <w:r w:rsidRPr="00BD212C" w:rsidR="00945F4E">
        <w:t>same-sex couples in Italy remained uncertain</w:t>
      </w:r>
      <w:r w:rsidRPr="00BD212C" w:rsidR="005B2B45">
        <w:t xml:space="preserve"> in certain areas</w:t>
      </w:r>
      <w:r w:rsidRPr="00BD212C">
        <w:rPr>
          <w:lang w:val="en-GB"/>
        </w:rPr>
        <w:t xml:space="preserve">. </w:t>
      </w:r>
      <w:r w:rsidRPr="00BD212C" w:rsidR="00945F4E">
        <w:rPr>
          <w:lang w:val="en-GB"/>
        </w:rPr>
        <w:t>In any event</w:t>
      </w:r>
      <w:r w:rsidRPr="00BD212C">
        <w:rPr>
          <w:lang w:val="en-GB"/>
        </w:rPr>
        <w:t>,</w:t>
      </w:r>
      <w:r w:rsidRPr="00BD212C" w:rsidR="00945F4E">
        <w:rPr>
          <w:lang w:val="en-GB"/>
        </w:rPr>
        <w:t xml:space="preserve"> the</w:t>
      </w:r>
      <w:r w:rsidRPr="00BD212C">
        <w:rPr>
          <w:lang w:val="en-GB"/>
        </w:rPr>
        <w:t xml:space="preserve"> Cour</w:t>
      </w:r>
      <w:r w:rsidRPr="00BD212C" w:rsidR="00945F4E">
        <w:rPr>
          <w:lang w:val="en-GB"/>
        </w:rPr>
        <w:t>t</w:t>
      </w:r>
      <w:r w:rsidRPr="00BD212C">
        <w:rPr>
          <w:lang w:val="en-GB"/>
        </w:rPr>
        <w:t xml:space="preserve"> observe</w:t>
      </w:r>
      <w:r w:rsidRPr="00BD212C" w:rsidR="00945F4E">
        <w:rPr>
          <w:lang w:val="en-GB"/>
        </w:rPr>
        <w:t>s that the Govern</w:t>
      </w:r>
      <w:r w:rsidRPr="00BD212C">
        <w:rPr>
          <w:lang w:val="en-GB"/>
        </w:rPr>
        <w:t xml:space="preserve">ment </w:t>
      </w:r>
      <w:r w:rsidRPr="00BD212C" w:rsidR="00945F4E">
        <w:rPr>
          <w:lang w:val="en-GB"/>
        </w:rPr>
        <w:t>have not argued that the</w:t>
      </w:r>
      <w:r w:rsidRPr="00BD212C">
        <w:rPr>
          <w:lang w:val="en-GB"/>
        </w:rPr>
        <w:t xml:space="preserve"> d</w:t>
      </w:r>
      <w:r w:rsidRPr="00BD212C" w:rsidR="00945F4E">
        <w:rPr>
          <w:lang w:val="en-GB"/>
        </w:rPr>
        <w:t>evelop</w:t>
      </w:r>
      <w:r w:rsidRPr="00BD212C">
        <w:rPr>
          <w:lang w:val="en-GB"/>
        </w:rPr>
        <w:t xml:space="preserve">ments </w:t>
      </w:r>
      <w:r w:rsidRPr="00BD212C" w:rsidR="00945F4E">
        <w:rPr>
          <w:lang w:val="en-GB"/>
        </w:rPr>
        <w:t>i</w:t>
      </w:r>
      <w:r w:rsidRPr="00BD212C">
        <w:rPr>
          <w:lang w:val="en-GB"/>
        </w:rPr>
        <w:t xml:space="preserve">n question </w:t>
      </w:r>
      <w:r w:rsidRPr="00BD212C" w:rsidR="00945F4E">
        <w:rPr>
          <w:lang w:val="en-GB"/>
        </w:rPr>
        <w:t>have gone as far as recognising</w:t>
      </w:r>
      <w:r w:rsidRPr="00BD212C">
        <w:rPr>
          <w:lang w:val="en-GB"/>
        </w:rPr>
        <w:t xml:space="preserve">, </w:t>
      </w:r>
      <w:r w:rsidRPr="00BD212C" w:rsidR="00945F4E">
        <w:rPr>
          <w:lang w:val="en-GB"/>
        </w:rPr>
        <w:t xml:space="preserve">in the field of </w:t>
      </w:r>
      <w:r w:rsidRPr="00BD212C">
        <w:rPr>
          <w:lang w:val="en-GB"/>
        </w:rPr>
        <w:t>immigration,</w:t>
      </w:r>
      <w:r w:rsidRPr="00BD212C" w:rsidR="00945F4E">
        <w:rPr>
          <w:lang w:val="en-GB"/>
        </w:rPr>
        <w:t xml:space="preserve"> that members of a stable and long-term homosexual </w:t>
      </w:r>
      <w:r w:rsidRPr="00BD212C" w:rsidR="001F3002">
        <w:rPr>
          <w:lang w:val="en-GB"/>
        </w:rPr>
        <w:t>partnership have</w:t>
      </w:r>
      <w:r w:rsidRPr="00BD212C">
        <w:rPr>
          <w:lang w:val="en-GB"/>
        </w:rPr>
        <w:t xml:space="preserve"> </w:t>
      </w:r>
      <w:r w:rsidRPr="00BD212C" w:rsidR="00945F4E">
        <w:rPr>
          <w:lang w:val="en-GB"/>
        </w:rPr>
        <w:t>a</w:t>
      </w:r>
      <w:r w:rsidRPr="00BD212C">
        <w:rPr>
          <w:lang w:val="en-GB"/>
        </w:rPr>
        <w:t xml:space="preserve"> statu</w:t>
      </w:r>
      <w:r w:rsidRPr="00BD212C" w:rsidR="00945F4E">
        <w:rPr>
          <w:lang w:val="en-GB"/>
        </w:rPr>
        <w:t>s</w:t>
      </w:r>
      <w:r w:rsidRPr="00BD212C">
        <w:rPr>
          <w:lang w:val="en-GB"/>
        </w:rPr>
        <w:t xml:space="preserve"> analog</w:t>
      </w:r>
      <w:r w:rsidRPr="00BD212C" w:rsidR="00945F4E">
        <w:rPr>
          <w:lang w:val="en-GB"/>
        </w:rPr>
        <w:t>ous to that of a “spouse”</w:t>
      </w:r>
      <w:r w:rsidRPr="00BD212C">
        <w:rPr>
          <w:lang w:val="en-GB"/>
        </w:rPr>
        <w:t>.</w:t>
      </w:r>
    </w:p>
    <w:p w:rsidRPr="00BD212C" w:rsidR="008A6EBC" w:rsidP="00BD212C" w:rsidRDefault="008A6EBC">
      <w:pPr>
        <w:pStyle w:val="ECHRPara"/>
        <w:rPr>
          <w:lang w:val="en-GB"/>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84</w:t>
      </w:r>
      <w:r w:rsidRPr="00BD212C">
        <w:rPr>
          <w:szCs w:val="24"/>
          <w:lang w:val="fr-FR"/>
        </w:rPr>
        <w:fldChar w:fldCharType="end"/>
      </w:r>
      <w:r w:rsidRPr="00BD212C">
        <w:rPr>
          <w:szCs w:val="24"/>
          <w:lang w:val="en-GB"/>
        </w:rPr>
        <w:t>.  </w:t>
      </w:r>
      <w:r w:rsidRPr="00BD212C" w:rsidR="002001B9">
        <w:rPr>
          <w:lang w:val="en-GB"/>
        </w:rPr>
        <w:t>The</w:t>
      </w:r>
      <w:r w:rsidRPr="00BD212C">
        <w:rPr>
          <w:lang w:val="en-GB"/>
        </w:rPr>
        <w:t xml:space="preserve"> Cour</w:t>
      </w:r>
      <w:r w:rsidRPr="00BD212C" w:rsidR="002001B9">
        <w:rPr>
          <w:lang w:val="en-GB"/>
        </w:rPr>
        <w:t>t</w:t>
      </w:r>
      <w:r w:rsidRPr="00BD212C">
        <w:rPr>
          <w:lang w:val="en-GB"/>
        </w:rPr>
        <w:t xml:space="preserve"> </w:t>
      </w:r>
      <w:r w:rsidRPr="00BD212C" w:rsidR="002001B9">
        <w:rPr>
          <w:lang w:val="en-GB"/>
        </w:rPr>
        <w:t xml:space="preserve">also </w:t>
      </w:r>
      <w:r w:rsidRPr="00BD212C">
        <w:rPr>
          <w:lang w:val="en-GB"/>
        </w:rPr>
        <w:t>note</w:t>
      </w:r>
      <w:r w:rsidRPr="00BD212C" w:rsidR="002001B9">
        <w:rPr>
          <w:lang w:val="en-GB"/>
        </w:rPr>
        <w:t>s that the applic</w:t>
      </w:r>
      <w:r w:rsidRPr="00BD212C">
        <w:rPr>
          <w:lang w:val="en-GB"/>
        </w:rPr>
        <w:t xml:space="preserve">ants </w:t>
      </w:r>
      <w:r w:rsidRPr="00BD212C" w:rsidR="002001B9">
        <w:rPr>
          <w:lang w:val="en-GB"/>
        </w:rPr>
        <w:t>had obtained the</w:t>
      </w:r>
      <w:r w:rsidRPr="00BD212C">
        <w:rPr>
          <w:lang w:val="en-GB"/>
        </w:rPr>
        <w:t xml:space="preserve"> statu</w:t>
      </w:r>
      <w:r w:rsidRPr="00BD212C" w:rsidR="002001B9">
        <w:rPr>
          <w:lang w:val="en-GB"/>
        </w:rPr>
        <w:t>s of an unmarried</w:t>
      </w:r>
      <w:r w:rsidRPr="00BD212C">
        <w:rPr>
          <w:lang w:val="en-GB"/>
        </w:rPr>
        <w:t xml:space="preserve"> couple </w:t>
      </w:r>
      <w:r w:rsidRPr="00BD212C" w:rsidR="002001B9">
        <w:rPr>
          <w:lang w:val="en-GB"/>
        </w:rPr>
        <w:t>i</w:t>
      </w:r>
      <w:r w:rsidRPr="00BD212C">
        <w:rPr>
          <w:lang w:val="en-GB"/>
        </w:rPr>
        <w:t>n N</w:t>
      </w:r>
      <w:r w:rsidRPr="00BD212C" w:rsidR="002001B9">
        <w:rPr>
          <w:lang w:val="en-GB"/>
        </w:rPr>
        <w:t>ew Zealand</w:t>
      </w:r>
      <w:r w:rsidRPr="00BD212C">
        <w:rPr>
          <w:lang w:val="en-GB"/>
        </w:rPr>
        <w:t xml:space="preserve"> (</w:t>
      </w:r>
      <w:r w:rsidRPr="00BD212C" w:rsidR="002001B9">
        <w:rPr>
          <w:lang w:val="en-GB"/>
        </w:rPr>
        <w:t xml:space="preserve">see </w:t>
      </w:r>
      <w:r w:rsidRPr="00BD212C">
        <w:rPr>
          <w:lang w:val="en-GB"/>
        </w:rPr>
        <w:t>paragraph 8</w:t>
      </w:r>
      <w:r w:rsidRPr="00BD212C" w:rsidR="002001B9">
        <w:rPr>
          <w:lang w:val="en-GB"/>
        </w:rPr>
        <w:t xml:space="preserve"> above</w:t>
      </w:r>
      <w:r w:rsidRPr="00BD212C">
        <w:rPr>
          <w:lang w:val="en-GB"/>
        </w:rPr>
        <w:t xml:space="preserve">) </w:t>
      </w:r>
      <w:r w:rsidRPr="00BD212C" w:rsidR="002001B9">
        <w:rPr>
          <w:lang w:val="en-GB"/>
        </w:rPr>
        <w:t>and that, once they had moved to a State</w:t>
      </w:r>
      <w:r w:rsidRPr="00BD212C">
        <w:rPr>
          <w:lang w:val="en-GB"/>
        </w:rPr>
        <w:t xml:space="preserve"> </w:t>
      </w:r>
      <w:r w:rsidRPr="00BD212C" w:rsidR="002001B9">
        <w:rPr>
          <w:lang w:val="en-GB"/>
        </w:rPr>
        <w:t>recognising same-sex marriage</w:t>
      </w:r>
      <w:r w:rsidRPr="00BD212C">
        <w:rPr>
          <w:lang w:val="en-GB"/>
        </w:rPr>
        <w:t xml:space="preserve"> (</w:t>
      </w:r>
      <w:r w:rsidRPr="00BD212C" w:rsidR="002001B9">
        <w:rPr>
          <w:lang w:val="en-GB"/>
        </w:rPr>
        <w:t>the Netherland</w:t>
      </w:r>
      <w:r w:rsidRPr="00BD212C">
        <w:rPr>
          <w:lang w:val="en-GB"/>
        </w:rPr>
        <w:t xml:space="preserve">s), </w:t>
      </w:r>
      <w:r w:rsidRPr="00BD212C" w:rsidR="002001B9">
        <w:rPr>
          <w:lang w:val="en-GB"/>
        </w:rPr>
        <w:t>they had decided to marry</w:t>
      </w:r>
      <w:r w:rsidRPr="00BD212C">
        <w:rPr>
          <w:lang w:val="en-GB"/>
        </w:rPr>
        <w:t xml:space="preserve"> (</w:t>
      </w:r>
      <w:r w:rsidRPr="00BD212C" w:rsidR="002001B9">
        <w:rPr>
          <w:lang w:val="en-GB"/>
        </w:rPr>
        <w:t>see paragraph</w:t>
      </w:r>
      <w:r w:rsidRPr="00BD212C">
        <w:rPr>
          <w:lang w:val="en-GB"/>
        </w:rPr>
        <w:t> 25</w:t>
      </w:r>
      <w:r w:rsidRPr="00BD212C">
        <w:rPr>
          <w:b/>
          <w:lang w:val="en-GB"/>
        </w:rPr>
        <w:t xml:space="preserve"> </w:t>
      </w:r>
      <w:r w:rsidRPr="00BD212C" w:rsidR="002001B9">
        <w:rPr>
          <w:lang w:val="en-GB"/>
        </w:rPr>
        <w:t>above</w:t>
      </w:r>
      <w:r w:rsidRPr="00BD212C">
        <w:rPr>
          <w:lang w:val="en-GB"/>
        </w:rPr>
        <w:t xml:space="preserve">). </w:t>
      </w:r>
      <w:r w:rsidRPr="00BD212C" w:rsidR="002001B9">
        <w:rPr>
          <w:lang w:val="en-GB"/>
        </w:rPr>
        <w:t>Accordingly</w:t>
      </w:r>
      <w:r w:rsidRPr="00BD212C">
        <w:rPr>
          <w:lang w:val="en-GB"/>
        </w:rPr>
        <w:t xml:space="preserve">, </w:t>
      </w:r>
      <w:r w:rsidRPr="00BD212C" w:rsidR="002001B9">
        <w:rPr>
          <w:lang w:val="en-GB"/>
        </w:rPr>
        <w:t>their</w:t>
      </w:r>
      <w:r w:rsidRPr="00BD212C">
        <w:rPr>
          <w:lang w:val="en-GB"/>
        </w:rPr>
        <w:t xml:space="preserve"> situation </w:t>
      </w:r>
      <w:r w:rsidRPr="00BD212C" w:rsidR="002001B9">
        <w:rPr>
          <w:lang w:val="en-GB"/>
        </w:rPr>
        <w:t xml:space="preserve">cannot be </w:t>
      </w:r>
      <w:r w:rsidRPr="00BD212C">
        <w:rPr>
          <w:lang w:val="en-GB"/>
        </w:rPr>
        <w:t>compar</w:t>
      </w:r>
      <w:r w:rsidRPr="00BD212C" w:rsidR="002001B9">
        <w:rPr>
          <w:lang w:val="en-GB"/>
        </w:rPr>
        <w:t xml:space="preserve">ed </w:t>
      </w:r>
      <w:r w:rsidRPr="00BD212C" w:rsidR="00946B0B">
        <w:rPr>
          <w:lang w:val="en-GB"/>
        </w:rPr>
        <w:t>to</w:t>
      </w:r>
      <w:r w:rsidRPr="00BD212C" w:rsidR="002001B9">
        <w:rPr>
          <w:lang w:val="en-GB"/>
        </w:rPr>
        <w:t xml:space="preserve"> that of a heterosexual</w:t>
      </w:r>
      <w:r w:rsidRPr="00BD212C">
        <w:rPr>
          <w:lang w:val="en-GB"/>
        </w:rPr>
        <w:t xml:space="preserve"> couple </w:t>
      </w:r>
      <w:r w:rsidRPr="00BD212C" w:rsidR="002001B9">
        <w:rPr>
          <w:lang w:val="en-GB"/>
        </w:rPr>
        <w:t>who</w:t>
      </w:r>
      <w:r w:rsidRPr="00BD212C">
        <w:rPr>
          <w:lang w:val="en-GB"/>
        </w:rPr>
        <w:t xml:space="preserve">, </w:t>
      </w:r>
      <w:r w:rsidRPr="00BD212C" w:rsidR="002001B9">
        <w:rPr>
          <w:lang w:val="en-GB"/>
        </w:rPr>
        <w:t>for personal reasons</w:t>
      </w:r>
      <w:r w:rsidRPr="00BD212C">
        <w:rPr>
          <w:lang w:val="en-GB"/>
        </w:rPr>
        <w:t xml:space="preserve">, </w:t>
      </w:r>
      <w:r w:rsidRPr="00BD212C" w:rsidR="002001B9">
        <w:rPr>
          <w:lang w:val="en-GB"/>
        </w:rPr>
        <w:t>do not wish to contract a marriage or a civil partnership</w:t>
      </w:r>
      <w:r w:rsidRPr="00BD212C">
        <w:rPr>
          <w:lang w:val="en-GB"/>
        </w:rPr>
        <w:t>.</w:t>
      </w:r>
    </w:p>
    <w:p w:rsidRPr="00BD212C" w:rsidR="008A6EBC" w:rsidP="00BD212C" w:rsidRDefault="008A6EBC">
      <w:pPr>
        <w:pStyle w:val="ECHRPara"/>
        <w:rPr>
          <w:lang w:val="en-GB"/>
        </w:rPr>
      </w:pPr>
      <w:r w:rsidRPr="00BD212C">
        <w:rPr>
          <w:szCs w:val="24"/>
          <w:lang w:val="en-GB"/>
        </w:rPr>
        <w:fldChar w:fldCharType="begin"/>
      </w:r>
      <w:r w:rsidRPr="00BD212C">
        <w:rPr>
          <w:szCs w:val="24"/>
          <w:lang w:val="en-GB"/>
        </w:rPr>
        <w:instrText xml:space="preserve"> SEQ level0 \*arabic </w:instrText>
      </w:r>
      <w:r w:rsidRPr="00BD212C">
        <w:rPr>
          <w:szCs w:val="24"/>
          <w:lang w:val="en-GB"/>
        </w:rPr>
        <w:fldChar w:fldCharType="separate"/>
      </w:r>
      <w:r w:rsidRPr="00BD212C" w:rsidR="00BD212C">
        <w:rPr>
          <w:noProof/>
          <w:szCs w:val="24"/>
          <w:lang w:val="en-GB"/>
        </w:rPr>
        <w:t>85</w:t>
      </w:r>
      <w:r w:rsidRPr="00BD212C">
        <w:rPr>
          <w:szCs w:val="24"/>
          <w:lang w:val="en-GB"/>
        </w:rPr>
        <w:fldChar w:fldCharType="end"/>
      </w:r>
      <w:r w:rsidRPr="00BD212C">
        <w:rPr>
          <w:szCs w:val="24"/>
          <w:lang w:val="en-GB"/>
        </w:rPr>
        <w:t>.  </w:t>
      </w:r>
      <w:r w:rsidRPr="00BD212C" w:rsidR="00C52D84">
        <w:rPr>
          <w:lang w:val="en-GB"/>
        </w:rPr>
        <w:t>All the foregoing conside</w:t>
      </w:r>
      <w:r w:rsidRPr="00BD212C">
        <w:rPr>
          <w:lang w:val="en-GB"/>
        </w:rPr>
        <w:t>rations</w:t>
      </w:r>
      <w:r w:rsidRPr="00BD212C" w:rsidR="00C52D84">
        <w:rPr>
          <w:lang w:val="en-GB"/>
        </w:rPr>
        <w:t xml:space="preserve"> lead the Court to</w:t>
      </w:r>
      <w:r w:rsidRPr="00BD212C">
        <w:rPr>
          <w:lang w:val="en-GB"/>
        </w:rPr>
        <w:t xml:space="preserve"> conclu</w:t>
      </w:r>
      <w:r w:rsidRPr="00BD212C" w:rsidR="00C52D84">
        <w:rPr>
          <w:lang w:val="en-GB"/>
        </w:rPr>
        <w:t>d</w:t>
      </w:r>
      <w:r w:rsidRPr="00BD212C">
        <w:rPr>
          <w:lang w:val="en-GB"/>
        </w:rPr>
        <w:t>e</w:t>
      </w:r>
      <w:r w:rsidRPr="00BD212C" w:rsidR="00C52D84">
        <w:rPr>
          <w:lang w:val="en-GB"/>
        </w:rPr>
        <w:t xml:space="preserve"> that</w:t>
      </w:r>
      <w:r w:rsidRPr="00BD212C" w:rsidR="00F35502">
        <w:rPr>
          <w:lang w:val="en-GB"/>
        </w:rPr>
        <w:t xml:space="preserve">, with regard to eligibility for a residence permit for family reasons, </w:t>
      </w:r>
      <w:r w:rsidRPr="00BD212C" w:rsidR="00C52D84">
        <w:rPr>
          <w:lang w:val="en-GB"/>
        </w:rPr>
        <w:t>the applic</w:t>
      </w:r>
      <w:r w:rsidRPr="00BD212C" w:rsidR="00F35502">
        <w:rPr>
          <w:lang w:val="en-GB"/>
        </w:rPr>
        <w:t>ants –</w:t>
      </w:r>
      <w:r w:rsidRPr="00BD212C">
        <w:rPr>
          <w:lang w:val="en-GB"/>
        </w:rPr>
        <w:t xml:space="preserve"> </w:t>
      </w:r>
      <w:r w:rsidRPr="00BD212C" w:rsidR="00C52D84">
        <w:rPr>
          <w:lang w:val="en-GB"/>
        </w:rPr>
        <w:t>a</w:t>
      </w:r>
      <w:r w:rsidRPr="00BD212C">
        <w:rPr>
          <w:lang w:val="en-GB"/>
        </w:rPr>
        <w:t xml:space="preserve"> homosexu</w:t>
      </w:r>
      <w:r w:rsidRPr="00BD212C" w:rsidR="00C52D84">
        <w:rPr>
          <w:lang w:val="en-GB"/>
        </w:rPr>
        <w:t>a</w:t>
      </w:r>
      <w:r w:rsidRPr="00BD212C">
        <w:rPr>
          <w:lang w:val="en-GB"/>
        </w:rPr>
        <w:t>l</w:t>
      </w:r>
      <w:r w:rsidRPr="00BD212C" w:rsidR="00C52D84">
        <w:rPr>
          <w:lang w:val="en-GB"/>
        </w:rPr>
        <w:t xml:space="preserve"> couple</w:t>
      </w:r>
      <w:r w:rsidRPr="00BD212C" w:rsidR="00F35502">
        <w:rPr>
          <w:lang w:val="en-GB"/>
        </w:rPr>
        <w:t xml:space="preserve"> –</w:t>
      </w:r>
      <w:r w:rsidRPr="00BD212C">
        <w:rPr>
          <w:lang w:val="en-GB"/>
        </w:rPr>
        <w:t xml:space="preserve"> </w:t>
      </w:r>
      <w:r w:rsidRPr="00BD212C" w:rsidR="00C52D84">
        <w:rPr>
          <w:lang w:val="en-GB"/>
        </w:rPr>
        <w:t xml:space="preserve">were treated </w:t>
      </w:r>
      <w:r w:rsidRPr="00BD212C" w:rsidR="00A60ADF">
        <w:rPr>
          <w:lang w:val="en-GB"/>
        </w:rPr>
        <w:t>in the same way as</w:t>
      </w:r>
      <w:r w:rsidRPr="00BD212C">
        <w:rPr>
          <w:lang w:val="en-GB"/>
        </w:rPr>
        <w:t xml:space="preserve"> persons </w:t>
      </w:r>
      <w:r w:rsidRPr="00BD212C" w:rsidR="00A60ADF">
        <w:rPr>
          <w:lang w:val="en-GB"/>
        </w:rPr>
        <w:t>in a significantly different</w:t>
      </w:r>
      <w:r w:rsidRPr="00BD212C">
        <w:rPr>
          <w:lang w:val="en-GB"/>
        </w:rPr>
        <w:t xml:space="preserve"> situation </w:t>
      </w:r>
      <w:r w:rsidRPr="00BD212C" w:rsidR="00A60ADF">
        <w:rPr>
          <w:lang w:val="en-GB"/>
        </w:rPr>
        <w:t>from theirs, namely</w:t>
      </w:r>
      <w:r w:rsidRPr="00BD212C" w:rsidR="00F35502">
        <w:rPr>
          <w:lang w:val="en-GB"/>
        </w:rPr>
        <w:t>,</w:t>
      </w:r>
      <w:r w:rsidRPr="00BD212C" w:rsidR="00A60ADF">
        <w:rPr>
          <w:lang w:val="en-GB"/>
        </w:rPr>
        <w:t xml:space="preserve"> heterosexual partner</w:t>
      </w:r>
      <w:r w:rsidRPr="00BD212C">
        <w:rPr>
          <w:lang w:val="en-GB"/>
        </w:rPr>
        <w:t xml:space="preserve">s </w:t>
      </w:r>
      <w:r w:rsidRPr="00BD212C" w:rsidR="00A60ADF">
        <w:rPr>
          <w:lang w:val="en-GB"/>
        </w:rPr>
        <w:t>who had decided not to</w:t>
      </w:r>
      <w:r w:rsidRPr="00BD212C" w:rsidR="00F35502">
        <w:rPr>
          <w:lang w:val="en-GB"/>
        </w:rPr>
        <w:t xml:space="preserve"> regularise</w:t>
      </w:r>
      <w:r w:rsidRPr="00BD212C" w:rsidR="00A60ADF">
        <w:rPr>
          <w:lang w:val="en-GB"/>
        </w:rPr>
        <w:t xml:space="preserve"> their s</w:t>
      </w:r>
      <w:r w:rsidRPr="00BD212C">
        <w:rPr>
          <w:lang w:val="en-GB"/>
        </w:rPr>
        <w:t>ituation.</w:t>
      </w:r>
    </w:p>
    <w:p w:rsidRPr="00BD212C" w:rsidR="008A6EBC" w:rsidP="00BD212C" w:rsidRDefault="008A6EBC">
      <w:pPr>
        <w:pStyle w:val="ECHRPara"/>
        <w:rPr>
          <w:lang w:val="en-GB"/>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86</w:t>
      </w:r>
      <w:r w:rsidRPr="00BD212C">
        <w:rPr>
          <w:szCs w:val="24"/>
          <w:lang w:val="fr-FR"/>
        </w:rPr>
        <w:fldChar w:fldCharType="end"/>
      </w:r>
      <w:r w:rsidRPr="00BD212C">
        <w:rPr>
          <w:szCs w:val="24"/>
          <w:lang w:val="en-GB"/>
        </w:rPr>
        <w:t>.  </w:t>
      </w:r>
      <w:r w:rsidRPr="00BD212C" w:rsidR="00A60ADF">
        <w:rPr>
          <w:lang w:val="en-GB"/>
        </w:rPr>
        <w:t>It remains to be determined whether</w:t>
      </w:r>
      <w:r w:rsidRPr="00BD212C">
        <w:rPr>
          <w:lang w:val="en-GB"/>
        </w:rPr>
        <w:t xml:space="preserve"> </w:t>
      </w:r>
      <w:r w:rsidRPr="00BD212C" w:rsidR="00A60ADF">
        <w:rPr>
          <w:lang w:val="en-GB"/>
        </w:rPr>
        <w:t>the failure to apply</w:t>
      </w:r>
      <w:r w:rsidRPr="00BD212C">
        <w:rPr>
          <w:lang w:val="en-GB"/>
        </w:rPr>
        <w:t xml:space="preserve"> </w:t>
      </w:r>
      <w:r w:rsidRPr="00BD212C" w:rsidR="00A60ADF">
        <w:rPr>
          <w:lang w:val="en-GB"/>
        </w:rPr>
        <w:t>different treatment in the instant case was</w:t>
      </w:r>
      <w:r w:rsidRPr="00BD212C">
        <w:rPr>
          <w:lang w:val="en-GB"/>
        </w:rPr>
        <w:t xml:space="preserve"> justifi</w:t>
      </w:r>
      <w:r w:rsidRPr="00BD212C" w:rsidR="00A60ADF">
        <w:rPr>
          <w:lang w:val="en-GB"/>
        </w:rPr>
        <w:t>able under A</w:t>
      </w:r>
      <w:r w:rsidRPr="00BD212C">
        <w:rPr>
          <w:lang w:val="en-GB"/>
        </w:rPr>
        <w:t xml:space="preserve">rticle 14 </w:t>
      </w:r>
      <w:r w:rsidRPr="00BD212C" w:rsidR="00A60ADF">
        <w:rPr>
          <w:lang w:val="en-GB"/>
        </w:rPr>
        <w:t>of the</w:t>
      </w:r>
      <w:r w:rsidRPr="00BD212C">
        <w:rPr>
          <w:lang w:val="en-GB"/>
        </w:rPr>
        <w:t xml:space="preserve"> Convention.</w:t>
      </w:r>
    </w:p>
    <w:p w:rsidRPr="00BD212C" w:rsidR="008A6EBC" w:rsidP="00BD212C" w:rsidRDefault="008A6EBC">
      <w:pPr>
        <w:pStyle w:val="ECHRHeading5"/>
        <w:rPr>
          <w:lang w:val="en-GB"/>
        </w:rPr>
      </w:pPr>
      <w:r w:rsidRPr="00BD212C">
        <w:rPr>
          <w:lang w:val="en-GB"/>
        </w:rPr>
        <w:t>ii.  </w:t>
      </w:r>
      <w:r w:rsidRPr="00BD212C" w:rsidR="00A60ADF">
        <w:rPr>
          <w:lang w:val="en-GB"/>
        </w:rPr>
        <w:t>Whethe</w:t>
      </w:r>
      <w:r w:rsidRPr="00BD212C">
        <w:rPr>
          <w:lang w:val="en-GB"/>
        </w:rPr>
        <w:t xml:space="preserve">r </w:t>
      </w:r>
      <w:r w:rsidRPr="00BD212C" w:rsidR="00A60ADF">
        <w:rPr>
          <w:lang w:val="en-GB"/>
        </w:rPr>
        <w:t xml:space="preserve">there was </w:t>
      </w:r>
      <w:r w:rsidRPr="00BD212C">
        <w:rPr>
          <w:lang w:val="en-GB"/>
        </w:rPr>
        <w:t xml:space="preserve">objective </w:t>
      </w:r>
      <w:r w:rsidRPr="00BD212C" w:rsidR="00A60ADF">
        <w:rPr>
          <w:lang w:val="en-GB"/>
        </w:rPr>
        <w:t>and reasonab</w:t>
      </w:r>
      <w:r w:rsidRPr="00BD212C">
        <w:rPr>
          <w:lang w:val="en-GB"/>
        </w:rPr>
        <w:t>le</w:t>
      </w:r>
      <w:r w:rsidRPr="00BD212C" w:rsidR="00A60ADF">
        <w:rPr>
          <w:lang w:val="en-GB"/>
        </w:rPr>
        <w:t xml:space="preserve"> justification</w:t>
      </w:r>
    </w:p>
    <w:p w:rsidRPr="00BD212C" w:rsidR="008A6EBC" w:rsidP="00BD212C" w:rsidRDefault="008A6EBC">
      <w:pPr>
        <w:pStyle w:val="ECHRHeading6"/>
        <w:rPr>
          <w:i w:val="0"/>
          <w:lang w:val="en-GB"/>
        </w:rPr>
      </w:pPr>
      <w:r w:rsidRPr="00BD212C">
        <w:rPr>
          <w:rFonts w:cstheme="majorHAnsi"/>
          <w:i w:val="0"/>
          <w:lang w:val="fr-FR"/>
        </w:rPr>
        <w:t>α</w:t>
      </w:r>
      <w:r w:rsidRPr="00BD212C">
        <w:rPr>
          <w:i w:val="0"/>
          <w:lang w:val="en-GB"/>
        </w:rPr>
        <w:t>)  </w:t>
      </w:r>
      <w:r w:rsidRPr="00BD212C" w:rsidR="00A60ADF">
        <w:rPr>
          <w:i w:val="0"/>
          <w:lang w:val="en-GB"/>
        </w:rPr>
        <w:t>General principles</w:t>
      </w:r>
    </w:p>
    <w:p w:rsidRPr="00BD212C" w:rsidR="008A6EBC" w:rsidP="00BD212C" w:rsidRDefault="008A6EBC">
      <w:pPr>
        <w:pStyle w:val="ECHRPara"/>
        <w:rPr>
          <w:i/>
          <w:szCs w:val="24"/>
          <w:lang w:val="es-ES"/>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87</w:t>
      </w:r>
      <w:r w:rsidRPr="00BD212C">
        <w:rPr>
          <w:szCs w:val="24"/>
          <w:lang w:val="fr-FR"/>
        </w:rPr>
        <w:fldChar w:fldCharType="end"/>
      </w:r>
      <w:r w:rsidRPr="00BD212C">
        <w:rPr>
          <w:szCs w:val="24"/>
          <w:lang w:val="en-GB"/>
        </w:rPr>
        <w:t>.  </w:t>
      </w:r>
      <w:r w:rsidRPr="00BD212C" w:rsidR="00A60ADF">
        <w:rPr>
          <w:lang w:val="en-GB"/>
        </w:rPr>
        <w:t>The</w:t>
      </w:r>
      <w:r w:rsidRPr="00BD212C">
        <w:rPr>
          <w:lang w:val="en-GB"/>
        </w:rPr>
        <w:t xml:space="preserve"> Cour</w:t>
      </w:r>
      <w:r w:rsidRPr="00BD212C" w:rsidR="00A60ADF">
        <w:rPr>
          <w:lang w:val="en-GB"/>
        </w:rPr>
        <w:t>t reiterates that</w:t>
      </w:r>
      <w:r w:rsidRPr="00BD212C">
        <w:rPr>
          <w:lang w:val="en-GB"/>
        </w:rPr>
        <w:t xml:space="preserve"> diff</w:t>
      </w:r>
      <w:r w:rsidRPr="00BD212C" w:rsidR="00A60ADF">
        <w:rPr>
          <w:lang w:val="en-GB"/>
        </w:rPr>
        <w:t>e</w:t>
      </w:r>
      <w:r w:rsidRPr="00BD212C">
        <w:rPr>
          <w:lang w:val="en-GB"/>
        </w:rPr>
        <w:t>rence</w:t>
      </w:r>
      <w:r w:rsidRPr="00BD212C" w:rsidR="00F35502">
        <w:rPr>
          <w:lang w:val="en-GB"/>
        </w:rPr>
        <w:t>s</w:t>
      </w:r>
      <w:r w:rsidRPr="00BD212C">
        <w:rPr>
          <w:lang w:val="en-GB"/>
        </w:rPr>
        <w:t xml:space="preserve"> </w:t>
      </w:r>
      <w:r w:rsidRPr="00BD212C" w:rsidR="00A60ADF">
        <w:rPr>
          <w:lang w:val="en-GB"/>
        </w:rPr>
        <w:t>in treatment in</w:t>
      </w:r>
      <w:r w:rsidRPr="00BD212C">
        <w:rPr>
          <w:lang w:val="en-GB"/>
        </w:rPr>
        <w:t xml:space="preserve"> </w:t>
      </w:r>
      <w:r w:rsidRPr="00BD212C" w:rsidR="00A60ADF">
        <w:rPr>
          <w:lang w:val="en-GB"/>
        </w:rPr>
        <w:t xml:space="preserve">analogous </w:t>
      </w:r>
      <w:r w:rsidRPr="00BD212C">
        <w:rPr>
          <w:lang w:val="en-GB"/>
        </w:rPr>
        <w:t xml:space="preserve">situations </w:t>
      </w:r>
      <w:r w:rsidRPr="00BD212C" w:rsidR="00A60ADF">
        <w:rPr>
          <w:lang w:val="en-GB"/>
        </w:rPr>
        <w:t>or</w:t>
      </w:r>
      <w:r w:rsidRPr="00BD212C">
        <w:rPr>
          <w:lang w:val="en-GB"/>
        </w:rPr>
        <w:t xml:space="preserve"> comparable </w:t>
      </w:r>
      <w:r w:rsidRPr="00BD212C" w:rsidR="00A60ADF">
        <w:rPr>
          <w:lang w:val="en-GB"/>
        </w:rPr>
        <w:t>treatment in different</w:t>
      </w:r>
      <w:r w:rsidRPr="00BD212C">
        <w:rPr>
          <w:lang w:val="en-GB"/>
        </w:rPr>
        <w:t xml:space="preserve"> situations </w:t>
      </w:r>
      <w:r w:rsidRPr="00BD212C" w:rsidR="00A60ADF">
        <w:rPr>
          <w:lang w:val="en-GB"/>
        </w:rPr>
        <w:t>are</w:t>
      </w:r>
      <w:r w:rsidRPr="00BD212C">
        <w:rPr>
          <w:lang w:val="en-GB"/>
        </w:rPr>
        <w:t xml:space="preserve"> discriminato</w:t>
      </w:r>
      <w:r w:rsidRPr="00BD212C" w:rsidR="00A60ADF">
        <w:rPr>
          <w:lang w:val="en-GB"/>
        </w:rPr>
        <w:t>ry if they are not based on</w:t>
      </w:r>
      <w:r w:rsidRPr="00BD212C">
        <w:rPr>
          <w:lang w:val="en-GB"/>
        </w:rPr>
        <w:t xml:space="preserve"> objective </w:t>
      </w:r>
      <w:r w:rsidRPr="00BD212C" w:rsidR="00A60ADF">
        <w:rPr>
          <w:lang w:val="en-GB"/>
        </w:rPr>
        <w:t>and reason</w:t>
      </w:r>
      <w:r w:rsidRPr="00BD212C">
        <w:rPr>
          <w:lang w:val="en-GB"/>
        </w:rPr>
        <w:t>able</w:t>
      </w:r>
      <w:r w:rsidRPr="00BD212C" w:rsidR="00A60ADF">
        <w:rPr>
          <w:lang w:val="en-GB"/>
        </w:rPr>
        <w:t xml:space="preserve"> justification</w:t>
      </w:r>
      <w:r w:rsidRPr="00BD212C">
        <w:rPr>
          <w:lang w:val="en-GB"/>
        </w:rPr>
        <w:t xml:space="preserve">, </w:t>
      </w:r>
      <w:r w:rsidRPr="00BD212C" w:rsidR="00186436">
        <w:rPr>
          <w:lang w:val="en-GB"/>
        </w:rPr>
        <w:t xml:space="preserve">that is, </w:t>
      </w:r>
      <w:r w:rsidRPr="00BD212C" w:rsidR="00A60ADF">
        <w:rPr>
          <w:lang w:val="en-GB"/>
        </w:rPr>
        <w:t xml:space="preserve">if </w:t>
      </w:r>
      <w:r w:rsidRPr="00BD212C" w:rsidR="00F35502">
        <w:rPr>
          <w:lang w:val="en-GB"/>
        </w:rPr>
        <w:t>they</w:t>
      </w:r>
      <w:r w:rsidRPr="00BD212C" w:rsidR="00A60ADF">
        <w:rPr>
          <w:lang w:val="en-GB"/>
        </w:rPr>
        <w:t xml:space="preserve"> do not pursue a legitimate aim or if there is not a reasonable relationship of proportionality between the means employed and the aim sought to be realised</w:t>
      </w:r>
      <w:r w:rsidRPr="00BD212C">
        <w:rPr>
          <w:lang w:val="en-GB"/>
        </w:rPr>
        <w:t xml:space="preserve"> (</w:t>
      </w:r>
      <w:r w:rsidRPr="00BD212C" w:rsidR="00A60ADF">
        <w:rPr>
          <w:lang w:val="en-GB"/>
        </w:rPr>
        <w:t>see</w:t>
      </w:r>
      <w:r w:rsidRPr="00BD212C">
        <w:rPr>
          <w:lang w:val="en-GB"/>
        </w:rPr>
        <w:t xml:space="preserve">, </w:t>
      </w:r>
      <w:r w:rsidRPr="00BD212C">
        <w:rPr>
          <w:i/>
          <w:lang w:val="en-GB"/>
        </w:rPr>
        <w:t>mutatis mutandis</w:t>
      </w:r>
      <w:r w:rsidRPr="00BD212C">
        <w:rPr>
          <w:lang w:val="en-GB"/>
        </w:rPr>
        <w:t>,</w:t>
      </w:r>
      <w:r w:rsidRPr="00BD212C">
        <w:rPr>
          <w:i/>
          <w:lang w:val="en-GB"/>
        </w:rPr>
        <w:t xml:space="preserve"> Hämäläinen</w:t>
      </w:r>
      <w:r w:rsidRPr="00BD212C">
        <w:rPr>
          <w:lang w:val="en-GB"/>
        </w:rPr>
        <w:t xml:space="preserve">, </w:t>
      </w:r>
      <w:r w:rsidRPr="00BD212C" w:rsidR="00A60ADF">
        <w:rPr>
          <w:lang w:val="en-GB"/>
        </w:rPr>
        <w:t>cited above</w:t>
      </w:r>
      <w:r w:rsidRPr="00BD212C">
        <w:rPr>
          <w:lang w:val="en-GB"/>
        </w:rPr>
        <w:t>, §</w:t>
      </w:r>
      <w:r w:rsidRPr="00BD212C" w:rsidR="00F35502">
        <w:rPr>
          <w:lang w:val="en-GB"/>
        </w:rPr>
        <w:t> </w:t>
      </w:r>
      <w:r w:rsidRPr="00BD212C">
        <w:rPr>
          <w:lang w:val="en-GB"/>
        </w:rPr>
        <w:t xml:space="preserve">108). </w:t>
      </w:r>
      <w:r w:rsidRPr="00BD212C" w:rsidR="00186436">
        <w:rPr>
          <w:lang w:val="en-GB"/>
        </w:rPr>
        <w:t>Furthermore</w:t>
      </w:r>
      <w:r w:rsidRPr="00BD212C">
        <w:rPr>
          <w:lang w:val="en-GB"/>
        </w:rPr>
        <w:t>,</w:t>
      </w:r>
      <w:r w:rsidRPr="00BD212C" w:rsidR="00186436">
        <w:rPr>
          <w:lang w:val="en-GB"/>
        </w:rPr>
        <w:t xml:space="preserve"> t</w:t>
      </w:r>
      <w:r w:rsidRPr="00BD212C" w:rsidR="00186436">
        <w:t>he prohibition of discrimination enshrined in Article 14 of the Convention is meaningful only if, in each particular case, the applicant</w:t>
      </w:r>
      <w:r w:rsidRPr="00BD212C" w:rsidR="00BD212C">
        <w:t>’</w:t>
      </w:r>
      <w:r w:rsidRPr="00BD212C" w:rsidR="00186436">
        <w:t xml:space="preserve">s personal situation in relation to the criteria listed in that provision is taken into account exactly as it stands. To proceed otherwise would render Article 14 devoid of substance </w:t>
      </w:r>
      <w:r w:rsidRPr="00BD212C">
        <w:rPr>
          <w:lang w:val="en-GB"/>
        </w:rPr>
        <w:t>(</w:t>
      </w:r>
      <w:r w:rsidRPr="00BD212C" w:rsidR="00186436">
        <w:rPr>
          <w:lang w:val="en-GB"/>
        </w:rPr>
        <w:t xml:space="preserve">see </w:t>
      </w:r>
      <w:r w:rsidRPr="00BD212C" w:rsidR="00186436">
        <w:rPr>
          <w:i/>
          <w:lang w:val="es-ES"/>
        </w:rPr>
        <w:t>Andrejeva v. Latvia</w:t>
      </w:r>
      <w:r w:rsidRPr="00BD212C" w:rsidR="00186436">
        <w:rPr>
          <w:lang w:val="es-ES"/>
        </w:rPr>
        <w:t xml:space="preserve"> [GC], no. 55707/00, § 91, ECHR 200</w:t>
      </w:r>
      <w:r w:rsidRPr="00BD212C">
        <w:rPr>
          <w:lang w:val="en-GB"/>
        </w:rPr>
        <w:t>9).</w:t>
      </w:r>
    </w:p>
    <w:p w:rsidRPr="00BD212C" w:rsidR="008A6EBC" w:rsidP="00BD212C" w:rsidRDefault="008A6EBC">
      <w:pPr>
        <w:pStyle w:val="ECHRPara"/>
        <w:rPr>
          <w:lang w:val="en-GB"/>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88</w:t>
      </w:r>
      <w:r w:rsidRPr="00BD212C">
        <w:rPr>
          <w:szCs w:val="24"/>
          <w:lang w:val="fr-FR"/>
        </w:rPr>
        <w:fldChar w:fldCharType="end"/>
      </w:r>
      <w:r w:rsidRPr="00BD212C">
        <w:rPr>
          <w:szCs w:val="24"/>
          <w:lang w:val="en-GB"/>
        </w:rPr>
        <w:t>.  </w:t>
      </w:r>
      <w:r w:rsidRPr="00BD212C" w:rsidR="00147108">
        <w:rPr>
          <w:lang w:val="en-GB"/>
        </w:rPr>
        <w:t>The Contracting State</w:t>
      </w:r>
      <w:r w:rsidRPr="00BD212C">
        <w:rPr>
          <w:lang w:val="en-GB"/>
        </w:rPr>
        <w:t xml:space="preserve">s </w:t>
      </w:r>
      <w:r w:rsidRPr="00BD212C" w:rsidR="00147108">
        <w:t>enjoy a</w:t>
      </w:r>
      <w:r w:rsidRPr="00BD212C" w:rsidR="00F35502">
        <w:t xml:space="preserve"> certain</w:t>
      </w:r>
      <w:r w:rsidRPr="00BD212C" w:rsidR="00147108">
        <w:t xml:space="preserve"> margin of appreciation in assessing whether</w:t>
      </w:r>
      <w:r w:rsidRPr="00BD212C" w:rsidR="00F35502">
        <w:t xml:space="preserve"> and to what extent differences</w:t>
      </w:r>
      <w:r w:rsidRPr="00BD212C" w:rsidR="00147108">
        <w:t xml:space="preserve"> in treatment</w:t>
      </w:r>
      <w:r w:rsidRPr="00BD212C" w:rsidR="00F35502">
        <w:t xml:space="preserve"> are justified</w:t>
      </w:r>
      <w:r w:rsidRPr="00BD212C">
        <w:rPr>
          <w:lang w:val="en-GB"/>
        </w:rPr>
        <w:t xml:space="preserve"> (</w:t>
      </w:r>
      <w:r w:rsidRPr="00BD212C" w:rsidR="00147108">
        <w:rPr>
          <w:lang w:val="en-GB"/>
        </w:rPr>
        <w:t>see</w:t>
      </w:r>
      <w:r w:rsidRPr="00BD212C">
        <w:rPr>
          <w:lang w:val="en-GB"/>
        </w:rPr>
        <w:t xml:space="preserve">, </w:t>
      </w:r>
      <w:r w:rsidRPr="00BD212C">
        <w:rPr>
          <w:i/>
          <w:lang w:val="en-GB"/>
        </w:rPr>
        <w:t>mutatis mutandis</w:t>
      </w:r>
      <w:r w:rsidRPr="00BD212C">
        <w:rPr>
          <w:lang w:val="en-GB"/>
        </w:rPr>
        <w:t>,</w:t>
      </w:r>
      <w:r w:rsidRPr="00BD212C">
        <w:rPr>
          <w:i/>
          <w:lang w:val="en-GB"/>
        </w:rPr>
        <w:t xml:space="preserve"> </w:t>
      </w:r>
      <w:r w:rsidRPr="00BD212C" w:rsidR="00147108">
        <w:rPr>
          <w:i/>
          <w:lang w:val="en-GB"/>
        </w:rPr>
        <w:t>Burden v. the United Kingdom</w:t>
      </w:r>
      <w:r w:rsidRPr="00BD212C" w:rsidR="00147108">
        <w:rPr>
          <w:lang w:val="en-GB"/>
        </w:rPr>
        <w:t xml:space="preserve"> [GC], no. 13378/05, § 60, ECHR 2008,</w:t>
      </w:r>
      <w:r w:rsidRPr="00BD212C">
        <w:rPr>
          <w:lang w:val="en-GB"/>
        </w:rPr>
        <w:t xml:space="preserve"> </w:t>
      </w:r>
      <w:r w:rsidRPr="00BD212C" w:rsidR="00147108">
        <w:rPr>
          <w:lang w:val="en-GB"/>
        </w:rPr>
        <w:t>and</w:t>
      </w:r>
      <w:r w:rsidRPr="00BD212C">
        <w:rPr>
          <w:lang w:val="en-GB"/>
        </w:rPr>
        <w:t xml:space="preserve"> </w:t>
      </w:r>
      <w:r w:rsidRPr="00BD212C">
        <w:rPr>
          <w:i/>
          <w:lang w:val="en-GB"/>
        </w:rPr>
        <w:t xml:space="preserve">Schalk </w:t>
      </w:r>
      <w:r w:rsidRPr="00BD212C" w:rsidR="00147108">
        <w:rPr>
          <w:i/>
          <w:lang w:val="en-GB"/>
        </w:rPr>
        <w:t>and</w:t>
      </w:r>
      <w:r w:rsidRPr="00BD212C">
        <w:rPr>
          <w:i/>
          <w:lang w:val="en-GB"/>
        </w:rPr>
        <w:t xml:space="preserve"> Kopf</w:t>
      </w:r>
      <w:r w:rsidRPr="00BD212C">
        <w:rPr>
          <w:lang w:val="en-GB"/>
        </w:rPr>
        <w:t xml:space="preserve">, </w:t>
      </w:r>
      <w:r w:rsidRPr="00BD212C" w:rsidR="00147108">
        <w:rPr>
          <w:lang w:val="en-GB"/>
        </w:rPr>
        <w:t>cited above</w:t>
      </w:r>
      <w:r w:rsidRPr="00BD212C">
        <w:rPr>
          <w:lang w:val="en-GB"/>
        </w:rPr>
        <w:t xml:space="preserve">, § 96). </w:t>
      </w:r>
      <w:r w:rsidRPr="00BD212C" w:rsidR="00147108">
        <w:t>The scope of the margin of appreciation will vary according to the circumstances, the subject matter and its background; in this respect, one of the relevant factors may be the existence or non-existence of common ground between the laws of the Contracting States</w:t>
      </w:r>
      <w:r w:rsidRPr="00BD212C">
        <w:rPr>
          <w:lang w:val="en-GB"/>
        </w:rPr>
        <w:t xml:space="preserve"> (</w:t>
      </w:r>
      <w:r w:rsidRPr="00BD212C" w:rsidR="00147108">
        <w:rPr>
          <w:lang w:val="en-GB"/>
        </w:rPr>
        <w:t xml:space="preserve">see </w:t>
      </w:r>
      <w:r w:rsidRPr="00BD212C" w:rsidR="00147108">
        <w:rPr>
          <w:i/>
          <w:lang w:val="en-GB"/>
        </w:rPr>
        <w:t>Petrovic v. Austria</w:t>
      </w:r>
      <w:r w:rsidRPr="00BD212C" w:rsidR="00147108">
        <w:rPr>
          <w:lang w:val="en-GB"/>
        </w:rPr>
        <w:t xml:space="preserve">, 27 March 1998, § 38, </w:t>
      </w:r>
      <w:r w:rsidRPr="00BD212C" w:rsidR="00147108">
        <w:rPr>
          <w:i/>
          <w:lang w:val="en-GB"/>
        </w:rPr>
        <w:t xml:space="preserve">Reports </w:t>
      </w:r>
      <w:r w:rsidRPr="00BD212C" w:rsidR="00147108">
        <w:rPr>
          <w:lang w:val="en-GB"/>
        </w:rPr>
        <w:t>1998</w:t>
      </w:r>
      <w:r w:rsidRPr="00BD212C" w:rsidR="00147108">
        <w:rPr>
          <w:lang w:val="en-GB"/>
        </w:rPr>
        <w:noBreakHyphen/>
        <w:t>II</w:t>
      </w:r>
      <w:r w:rsidRPr="00BD212C">
        <w:rPr>
          <w:lang w:val="en-GB"/>
        </w:rPr>
        <w:t xml:space="preserve">, </w:t>
      </w:r>
      <w:r w:rsidRPr="00BD212C" w:rsidR="00147108">
        <w:rPr>
          <w:lang w:val="en-GB"/>
        </w:rPr>
        <w:t>and</w:t>
      </w:r>
      <w:r w:rsidRPr="00BD212C">
        <w:rPr>
          <w:lang w:val="en-GB"/>
        </w:rPr>
        <w:t xml:space="preserve"> </w:t>
      </w:r>
      <w:r w:rsidRPr="00BD212C">
        <w:rPr>
          <w:i/>
          <w:lang w:val="en-GB"/>
        </w:rPr>
        <w:t>Hämäläinen</w:t>
      </w:r>
      <w:r w:rsidRPr="00BD212C">
        <w:rPr>
          <w:lang w:val="en-GB"/>
        </w:rPr>
        <w:t xml:space="preserve">, </w:t>
      </w:r>
      <w:r w:rsidRPr="00BD212C" w:rsidR="00147108">
        <w:rPr>
          <w:lang w:val="en-GB"/>
        </w:rPr>
        <w:t>cited above</w:t>
      </w:r>
      <w:r w:rsidRPr="00BD212C">
        <w:rPr>
          <w:lang w:val="en-GB"/>
        </w:rPr>
        <w:t>, § 109).</w:t>
      </w:r>
    </w:p>
    <w:p w:rsidRPr="00BD212C" w:rsidR="008A6EBC" w:rsidP="00BD212C" w:rsidRDefault="008A6EBC">
      <w:pPr>
        <w:pStyle w:val="ECHRPara"/>
        <w:rPr>
          <w:lang w:val="es-ES"/>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89</w:t>
      </w:r>
      <w:r w:rsidRPr="00BD212C">
        <w:rPr>
          <w:szCs w:val="24"/>
          <w:lang w:val="fr-FR"/>
        </w:rPr>
        <w:fldChar w:fldCharType="end"/>
      </w:r>
      <w:r w:rsidRPr="00BD212C">
        <w:rPr>
          <w:szCs w:val="24"/>
          <w:lang w:val="en-GB"/>
        </w:rPr>
        <w:t>.  </w:t>
      </w:r>
      <w:r w:rsidRPr="00BD212C" w:rsidR="008601C3">
        <w:rPr>
          <w:lang w:val="en-GB"/>
        </w:rPr>
        <w:t>The</w:t>
      </w:r>
      <w:r w:rsidRPr="00BD212C">
        <w:rPr>
          <w:lang w:val="en-GB"/>
        </w:rPr>
        <w:t xml:space="preserve"> Cour</w:t>
      </w:r>
      <w:r w:rsidRPr="00BD212C" w:rsidR="008601C3">
        <w:rPr>
          <w:lang w:val="en-GB"/>
        </w:rPr>
        <w:t>t</w:t>
      </w:r>
      <w:r w:rsidRPr="00BD212C">
        <w:rPr>
          <w:lang w:val="en-GB"/>
        </w:rPr>
        <w:t xml:space="preserve"> </w:t>
      </w:r>
      <w:r w:rsidRPr="00BD212C" w:rsidR="006505C5">
        <w:rPr>
          <w:lang w:val="en-GB"/>
        </w:rPr>
        <w:t>reiterates that s</w:t>
      </w:r>
      <w:r w:rsidRPr="00BD212C" w:rsidR="006505C5">
        <w:t xml:space="preserve">exual orientation is a concept covered by Article 14. It has repeatedly held that, just like differences based on sex, differences based on sexual orientation require particularly serious reasons by way of justification or, as is sometimes said, “particularly convincing and weighty reasons” </w:t>
      </w:r>
      <w:r w:rsidRPr="00BD212C">
        <w:rPr>
          <w:lang w:val="en-GB"/>
        </w:rPr>
        <w:t>(</w:t>
      </w:r>
      <w:r w:rsidRPr="00BD212C" w:rsidR="008601C3">
        <w:rPr>
          <w:lang w:val="en-GB"/>
        </w:rPr>
        <w:t xml:space="preserve">see </w:t>
      </w:r>
      <w:r w:rsidRPr="00BD212C">
        <w:rPr>
          <w:i/>
          <w:lang w:val="en-GB"/>
        </w:rPr>
        <w:t xml:space="preserve">X </w:t>
      </w:r>
      <w:r w:rsidRPr="00BD212C" w:rsidR="006505C5">
        <w:rPr>
          <w:i/>
          <w:lang w:val="en-GB"/>
        </w:rPr>
        <w:t>and Other</w:t>
      </w:r>
      <w:r w:rsidRPr="00BD212C">
        <w:rPr>
          <w:i/>
          <w:lang w:val="en-GB"/>
        </w:rPr>
        <w:t xml:space="preserve">s </w:t>
      </w:r>
      <w:r w:rsidRPr="00BD212C" w:rsidR="006505C5">
        <w:rPr>
          <w:i/>
          <w:lang w:val="en-GB"/>
        </w:rPr>
        <w:t>v</w:t>
      </w:r>
      <w:r w:rsidRPr="00BD212C">
        <w:rPr>
          <w:i/>
          <w:lang w:val="en-GB"/>
        </w:rPr>
        <w:t>. Au</w:t>
      </w:r>
      <w:r w:rsidRPr="00BD212C" w:rsidR="006505C5">
        <w:rPr>
          <w:i/>
          <w:lang w:val="en-GB"/>
        </w:rPr>
        <w:t>s</w:t>
      </w:r>
      <w:r w:rsidRPr="00BD212C">
        <w:rPr>
          <w:i/>
          <w:lang w:val="en-GB"/>
        </w:rPr>
        <w:t>tri</w:t>
      </w:r>
      <w:r w:rsidRPr="00BD212C" w:rsidR="006505C5">
        <w:rPr>
          <w:i/>
          <w:lang w:val="en-GB"/>
        </w:rPr>
        <w:t>a</w:t>
      </w:r>
      <w:r w:rsidRPr="00BD212C">
        <w:rPr>
          <w:lang w:val="en-GB"/>
        </w:rPr>
        <w:t xml:space="preserve">, </w:t>
      </w:r>
      <w:r w:rsidRPr="00BD212C" w:rsidR="008601C3">
        <w:rPr>
          <w:lang w:val="en-GB"/>
        </w:rPr>
        <w:t>cited above, § 99</w:t>
      </w:r>
      <w:r w:rsidRPr="00BD212C">
        <w:rPr>
          <w:lang w:val="en-GB"/>
        </w:rPr>
        <w:t xml:space="preserve">; </w:t>
      </w:r>
      <w:r w:rsidRPr="00BD212C" w:rsidR="008601C3">
        <w:rPr>
          <w:lang w:val="en-GB"/>
        </w:rPr>
        <w:t>see</w:t>
      </w:r>
      <w:r w:rsidRPr="00BD212C">
        <w:rPr>
          <w:lang w:val="en-GB"/>
        </w:rPr>
        <w:t xml:space="preserve">, </w:t>
      </w:r>
      <w:r w:rsidRPr="00BD212C" w:rsidR="008601C3">
        <w:rPr>
          <w:lang w:val="en-GB"/>
        </w:rPr>
        <w:t>for exa</w:t>
      </w:r>
      <w:r w:rsidRPr="00BD212C">
        <w:rPr>
          <w:lang w:val="en-GB"/>
        </w:rPr>
        <w:t xml:space="preserve">mple, </w:t>
      </w:r>
      <w:r w:rsidRPr="00BD212C" w:rsidR="006505C5">
        <w:rPr>
          <w:i/>
          <w:lang w:val="en-GB"/>
        </w:rPr>
        <w:t>Smith and Grady v. the United Kingdom</w:t>
      </w:r>
      <w:r w:rsidRPr="00BD212C" w:rsidR="006505C5">
        <w:rPr>
          <w:lang w:val="en-GB"/>
        </w:rPr>
        <w:t>, nos. 33985/96 and 33986/96, § 90, ECHR 1999</w:t>
      </w:r>
      <w:r w:rsidRPr="00BD212C" w:rsidR="006505C5">
        <w:rPr>
          <w:lang w:val="en-GB"/>
        </w:rPr>
        <w:noBreakHyphen/>
        <w:t>VI;</w:t>
      </w:r>
      <w:r w:rsidRPr="00BD212C">
        <w:rPr>
          <w:lang w:val="en-GB"/>
        </w:rPr>
        <w:t xml:space="preserve"> </w:t>
      </w:r>
      <w:r w:rsidRPr="00BD212C" w:rsidR="006505C5">
        <w:rPr>
          <w:i/>
          <w:lang w:val="en-GB"/>
        </w:rPr>
        <w:t>Lustig-Prean and Beckett v. the United Kingdom</w:t>
      </w:r>
      <w:r w:rsidRPr="00BD212C" w:rsidR="006505C5">
        <w:rPr>
          <w:lang w:val="en-GB"/>
        </w:rPr>
        <w:t>, nos. 31417/96 and 32377/96, § 82, 27 September 1999</w:t>
      </w:r>
      <w:r w:rsidRPr="00BD212C" w:rsidR="00F35502">
        <w:rPr>
          <w:lang w:val="en-GB"/>
        </w:rPr>
        <w:t>;</w:t>
      </w:r>
      <w:r w:rsidRPr="00BD212C">
        <w:rPr>
          <w:lang w:val="en-GB"/>
        </w:rPr>
        <w:t xml:space="preserve"> </w:t>
      </w:r>
      <w:r w:rsidRPr="00BD212C">
        <w:rPr>
          <w:i/>
          <w:lang w:val="en-GB"/>
        </w:rPr>
        <w:t xml:space="preserve">L. </w:t>
      </w:r>
      <w:r w:rsidRPr="00BD212C" w:rsidR="00F35502">
        <w:rPr>
          <w:i/>
          <w:lang w:val="en-GB"/>
        </w:rPr>
        <w:t>and</w:t>
      </w:r>
      <w:r w:rsidRPr="00BD212C">
        <w:rPr>
          <w:i/>
          <w:lang w:val="en-GB"/>
        </w:rPr>
        <w:t xml:space="preserve"> V. </w:t>
      </w:r>
      <w:r w:rsidRPr="00BD212C" w:rsidR="00F35502">
        <w:rPr>
          <w:i/>
          <w:lang w:val="en-GB"/>
        </w:rPr>
        <w:t>v</w:t>
      </w:r>
      <w:r w:rsidRPr="00BD212C">
        <w:rPr>
          <w:i/>
          <w:lang w:val="en-GB"/>
        </w:rPr>
        <w:t xml:space="preserve">. </w:t>
      </w:r>
      <w:r w:rsidRPr="00BD212C" w:rsidR="00F35502">
        <w:rPr>
          <w:i/>
          <w:lang w:val="en-GB"/>
        </w:rPr>
        <w:t>Austria</w:t>
      </w:r>
      <w:r w:rsidRPr="00BD212C">
        <w:rPr>
          <w:lang w:val="en-GB"/>
        </w:rPr>
        <w:t xml:space="preserve">, </w:t>
      </w:r>
      <w:r w:rsidRPr="00BD212C" w:rsidR="00F35502">
        <w:rPr>
          <w:lang w:val="en-GB"/>
        </w:rPr>
        <w:t>nos.</w:t>
      </w:r>
      <w:r w:rsidRPr="00BD212C">
        <w:rPr>
          <w:vertAlign w:val="superscript"/>
          <w:lang w:val="en-GB"/>
        </w:rPr>
        <w:t> </w:t>
      </w:r>
      <w:r w:rsidRPr="00BD212C">
        <w:rPr>
          <w:lang w:val="en-GB"/>
        </w:rPr>
        <w:t xml:space="preserve">39392/98 </w:t>
      </w:r>
      <w:r w:rsidRPr="00BD212C" w:rsidR="006505C5">
        <w:rPr>
          <w:lang w:val="en-GB"/>
        </w:rPr>
        <w:t>and</w:t>
      </w:r>
      <w:r w:rsidRPr="00BD212C">
        <w:rPr>
          <w:lang w:val="en-GB"/>
        </w:rPr>
        <w:t xml:space="preserve"> 39829/98, § 45, </w:t>
      </w:r>
      <w:r w:rsidRPr="00BD212C" w:rsidR="00F35502">
        <w:rPr>
          <w:lang w:val="en-GB"/>
        </w:rPr>
        <w:t>ECHR 2003</w:t>
      </w:r>
      <w:r w:rsidRPr="00BD212C" w:rsidR="00F35502">
        <w:rPr>
          <w:lang w:val="en-GB"/>
        </w:rPr>
        <w:noBreakHyphen/>
        <w:t>I;</w:t>
      </w:r>
      <w:r w:rsidRPr="00BD212C">
        <w:rPr>
          <w:lang w:val="en-GB"/>
        </w:rPr>
        <w:t xml:space="preserve"> </w:t>
      </w:r>
      <w:r w:rsidRPr="00BD212C">
        <w:rPr>
          <w:i/>
          <w:lang w:val="en-GB"/>
        </w:rPr>
        <w:t xml:space="preserve">E.B. </w:t>
      </w:r>
      <w:r w:rsidRPr="00BD212C" w:rsidR="006505C5">
        <w:rPr>
          <w:i/>
          <w:lang w:val="en-GB"/>
        </w:rPr>
        <w:t>v</w:t>
      </w:r>
      <w:r w:rsidRPr="00BD212C">
        <w:rPr>
          <w:i/>
          <w:lang w:val="en-GB"/>
        </w:rPr>
        <w:t>. France</w:t>
      </w:r>
      <w:r w:rsidRPr="00BD212C">
        <w:rPr>
          <w:lang w:val="en-GB"/>
        </w:rPr>
        <w:t xml:space="preserve">, </w:t>
      </w:r>
      <w:r w:rsidRPr="00BD212C" w:rsidR="006505C5">
        <w:rPr>
          <w:lang w:val="en-GB"/>
        </w:rPr>
        <w:t>cited above</w:t>
      </w:r>
      <w:r w:rsidRPr="00BD212C" w:rsidR="00F35502">
        <w:rPr>
          <w:lang w:val="en-GB"/>
        </w:rPr>
        <w:t>, § 91;</w:t>
      </w:r>
      <w:r w:rsidRPr="00BD212C">
        <w:rPr>
          <w:lang w:val="en-GB"/>
        </w:rPr>
        <w:t xml:space="preserve"> </w:t>
      </w:r>
      <w:r w:rsidRPr="00BD212C">
        <w:rPr>
          <w:i/>
          <w:lang w:val="en-GB"/>
        </w:rPr>
        <w:t>Karner</w:t>
      </w:r>
      <w:r w:rsidRPr="00BD212C">
        <w:rPr>
          <w:lang w:val="en-GB"/>
        </w:rPr>
        <w:t xml:space="preserve">, </w:t>
      </w:r>
      <w:r w:rsidRPr="00BD212C" w:rsidR="006505C5">
        <w:rPr>
          <w:lang w:val="en-GB"/>
        </w:rPr>
        <w:t>cited above</w:t>
      </w:r>
      <w:r w:rsidRPr="00BD212C">
        <w:rPr>
          <w:lang w:val="en-GB"/>
        </w:rPr>
        <w:t xml:space="preserve"> § 37</w:t>
      </w:r>
      <w:r w:rsidRPr="00BD212C" w:rsidR="003E45A7">
        <w:rPr>
          <w:lang w:val="en-GB"/>
        </w:rPr>
        <w:t xml:space="preserve">; </w:t>
      </w:r>
      <w:r w:rsidRPr="00BD212C" w:rsidR="006505C5">
        <w:rPr>
          <w:lang w:val="en-GB"/>
        </w:rPr>
        <w:t>and</w:t>
      </w:r>
      <w:r w:rsidRPr="00BD212C">
        <w:rPr>
          <w:lang w:val="en-GB"/>
        </w:rPr>
        <w:t xml:space="preserve"> </w:t>
      </w:r>
      <w:r w:rsidRPr="00BD212C">
        <w:rPr>
          <w:i/>
          <w:lang w:val="en-GB"/>
        </w:rPr>
        <w:t xml:space="preserve">Vallianatos </w:t>
      </w:r>
      <w:r w:rsidRPr="00BD212C" w:rsidR="006505C5">
        <w:rPr>
          <w:i/>
          <w:lang w:val="en-GB"/>
        </w:rPr>
        <w:t>and Other</w:t>
      </w:r>
      <w:r w:rsidRPr="00BD212C">
        <w:rPr>
          <w:i/>
          <w:lang w:val="en-GB"/>
        </w:rPr>
        <w:t>s</w:t>
      </w:r>
      <w:r w:rsidRPr="00BD212C">
        <w:rPr>
          <w:lang w:val="en-GB"/>
        </w:rPr>
        <w:t xml:space="preserve">, </w:t>
      </w:r>
      <w:r w:rsidRPr="00BD212C" w:rsidR="006505C5">
        <w:rPr>
          <w:lang w:val="en-GB"/>
        </w:rPr>
        <w:t>cited above</w:t>
      </w:r>
      <w:r w:rsidRPr="00BD212C">
        <w:rPr>
          <w:lang w:val="en-GB"/>
        </w:rPr>
        <w:t xml:space="preserve">, § 77), </w:t>
      </w:r>
      <w:r w:rsidRPr="00BD212C" w:rsidR="00305AD7">
        <w:rPr>
          <w:lang w:val="en-GB"/>
        </w:rPr>
        <w:t>particularly where rights falling within the scope of A</w:t>
      </w:r>
      <w:r w:rsidRPr="00BD212C">
        <w:rPr>
          <w:lang w:val="en-GB"/>
        </w:rPr>
        <w:t>rticle 8</w:t>
      </w:r>
      <w:r w:rsidRPr="00BD212C" w:rsidR="00305AD7">
        <w:rPr>
          <w:lang w:val="en-GB"/>
        </w:rPr>
        <w:t xml:space="preserve"> are concerned</w:t>
      </w:r>
      <w:r w:rsidRPr="00BD212C">
        <w:rPr>
          <w:lang w:val="en-GB"/>
        </w:rPr>
        <w:t xml:space="preserve">. </w:t>
      </w:r>
      <w:r w:rsidRPr="00BD212C" w:rsidR="003E45A7">
        <w:t>Differences based solely on considerations of sexual orientation are unacceptable under the Conventio</w:t>
      </w:r>
      <w:r w:rsidRPr="00BD212C">
        <w:rPr>
          <w:lang w:val="en-GB"/>
        </w:rPr>
        <w:t>n (</w:t>
      </w:r>
      <w:r w:rsidRPr="00BD212C" w:rsidR="003E45A7">
        <w:rPr>
          <w:lang w:val="en-GB"/>
        </w:rPr>
        <w:t xml:space="preserve">see </w:t>
      </w:r>
      <w:r w:rsidRPr="00BD212C" w:rsidR="003E45A7">
        <w:rPr>
          <w:i/>
          <w:lang w:val="es-ES"/>
        </w:rPr>
        <w:t>Salgueiro da Silva Mouta v. Portugal</w:t>
      </w:r>
      <w:r w:rsidRPr="00BD212C" w:rsidR="003E45A7">
        <w:rPr>
          <w:lang w:val="es-ES"/>
        </w:rPr>
        <w:t>, no. 33290/96, § 36, ECHR 1999</w:t>
      </w:r>
      <w:r w:rsidRPr="00BD212C" w:rsidR="003E45A7">
        <w:rPr>
          <w:lang w:val="es-ES"/>
        </w:rPr>
        <w:noBreakHyphen/>
        <w:t>IX</w:t>
      </w:r>
      <w:r w:rsidRPr="00BD212C" w:rsidR="00F35502">
        <w:rPr>
          <w:lang w:val="en-GB"/>
        </w:rPr>
        <w:t>;</w:t>
      </w:r>
      <w:r w:rsidRPr="00BD212C">
        <w:rPr>
          <w:i/>
          <w:lang w:val="en-GB"/>
        </w:rPr>
        <w:t xml:space="preserve"> E.B. </w:t>
      </w:r>
      <w:r w:rsidRPr="00BD212C" w:rsidR="003E45A7">
        <w:rPr>
          <w:i/>
          <w:lang w:val="en-GB"/>
        </w:rPr>
        <w:t>v</w:t>
      </w:r>
      <w:r w:rsidRPr="00BD212C">
        <w:rPr>
          <w:i/>
          <w:lang w:val="en-GB"/>
        </w:rPr>
        <w:t>. France</w:t>
      </w:r>
      <w:r w:rsidRPr="00BD212C">
        <w:rPr>
          <w:lang w:val="en-GB"/>
        </w:rPr>
        <w:t xml:space="preserve">, </w:t>
      </w:r>
      <w:r w:rsidRPr="00BD212C" w:rsidR="003E45A7">
        <w:rPr>
          <w:lang w:val="en-GB"/>
        </w:rPr>
        <w:t>cited above</w:t>
      </w:r>
      <w:r w:rsidRPr="00BD212C">
        <w:rPr>
          <w:lang w:val="en-GB"/>
        </w:rPr>
        <w:t xml:space="preserve">, §§ 93 </w:t>
      </w:r>
      <w:r w:rsidRPr="00BD212C" w:rsidR="003E45A7">
        <w:rPr>
          <w:lang w:val="en-GB"/>
        </w:rPr>
        <w:t>and</w:t>
      </w:r>
      <w:r w:rsidRPr="00BD212C">
        <w:rPr>
          <w:lang w:val="en-GB"/>
        </w:rPr>
        <w:t xml:space="preserve"> 96</w:t>
      </w:r>
      <w:r w:rsidRPr="00BD212C" w:rsidR="00F35502">
        <w:rPr>
          <w:lang w:val="en-GB"/>
        </w:rPr>
        <w:t>;</w:t>
      </w:r>
      <w:r w:rsidRPr="00BD212C">
        <w:rPr>
          <w:lang w:val="en-GB"/>
        </w:rPr>
        <w:t xml:space="preserve"> </w:t>
      </w:r>
      <w:r w:rsidRPr="00BD212C" w:rsidR="003E45A7">
        <w:rPr>
          <w:lang w:val="en-GB"/>
        </w:rPr>
        <w:t>and</w:t>
      </w:r>
      <w:r w:rsidRPr="00BD212C">
        <w:rPr>
          <w:lang w:val="en-GB"/>
        </w:rPr>
        <w:t xml:space="preserve"> </w:t>
      </w:r>
      <w:r w:rsidRPr="00BD212C">
        <w:rPr>
          <w:i/>
          <w:lang w:val="en-GB"/>
        </w:rPr>
        <w:t>X </w:t>
      </w:r>
      <w:r w:rsidRPr="00BD212C" w:rsidR="003E45A7">
        <w:rPr>
          <w:i/>
          <w:lang w:val="en-GB"/>
        </w:rPr>
        <w:t>and Other</w:t>
      </w:r>
      <w:r w:rsidRPr="00BD212C">
        <w:rPr>
          <w:i/>
          <w:lang w:val="en-GB"/>
        </w:rPr>
        <w:t xml:space="preserve">s </w:t>
      </w:r>
      <w:r w:rsidRPr="00BD212C" w:rsidR="003E45A7">
        <w:rPr>
          <w:i/>
          <w:lang w:val="en-GB"/>
        </w:rPr>
        <w:t>v</w:t>
      </w:r>
      <w:r w:rsidRPr="00BD212C">
        <w:rPr>
          <w:i/>
          <w:lang w:val="en-GB"/>
        </w:rPr>
        <w:t>. </w:t>
      </w:r>
      <w:r w:rsidRPr="00BD212C" w:rsidR="003E45A7">
        <w:rPr>
          <w:i/>
          <w:lang w:val="en-GB"/>
        </w:rPr>
        <w:t>Austria</w:t>
      </w:r>
      <w:r w:rsidRPr="00BD212C">
        <w:rPr>
          <w:lang w:val="en-GB"/>
        </w:rPr>
        <w:t xml:space="preserve">, </w:t>
      </w:r>
      <w:r w:rsidRPr="00BD212C" w:rsidR="003E45A7">
        <w:rPr>
          <w:lang w:val="en-GB"/>
        </w:rPr>
        <w:t>cited above</w:t>
      </w:r>
      <w:r w:rsidRPr="00BD212C">
        <w:rPr>
          <w:lang w:val="en-GB"/>
        </w:rPr>
        <w:t>, § 99).</w:t>
      </w:r>
    </w:p>
    <w:p w:rsidRPr="00BD212C" w:rsidR="008A6EBC" w:rsidP="00BD212C" w:rsidRDefault="008A6EBC">
      <w:pPr>
        <w:pStyle w:val="ECHRPara"/>
        <w:rPr>
          <w:lang w:val="en-GB"/>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90</w:t>
      </w:r>
      <w:r w:rsidRPr="00BD212C">
        <w:rPr>
          <w:szCs w:val="24"/>
          <w:lang w:val="fr-FR"/>
        </w:rPr>
        <w:fldChar w:fldCharType="end"/>
      </w:r>
      <w:r w:rsidRPr="00BD212C">
        <w:rPr>
          <w:szCs w:val="24"/>
          <w:lang w:val="en-GB"/>
        </w:rPr>
        <w:t>.  </w:t>
      </w:r>
      <w:r w:rsidRPr="00BD212C" w:rsidR="00305AD7">
        <w:rPr>
          <w:lang w:val="en-GB"/>
        </w:rPr>
        <w:t>Lastly</w:t>
      </w:r>
      <w:r w:rsidRPr="00BD212C">
        <w:rPr>
          <w:lang w:val="en-GB"/>
        </w:rPr>
        <w:t xml:space="preserve">, </w:t>
      </w:r>
      <w:r w:rsidRPr="00BD212C" w:rsidR="00305AD7">
        <w:rPr>
          <w:lang w:val="en-GB"/>
        </w:rPr>
        <w:t>with regard to the</w:t>
      </w:r>
      <w:r w:rsidRPr="00BD212C">
        <w:rPr>
          <w:lang w:val="en-GB"/>
        </w:rPr>
        <w:t xml:space="preserve"> </w:t>
      </w:r>
      <w:r w:rsidRPr="00BD212C" w:rsidR="00305AD7">
        <w:rPr>
          <w:lang w:val="en-GB"/>
        </w:rPr>
        <w:t>burden of proof in this sphere under Article 14 of the Convention, the Court has established that once the applicant has shown the existence of comparable treatment in signif</w:t>
      </w:r>
      <w:r w:rsidRPr="00BD212C" w:rsidR="00E332D6">
        <w:rPr>
          <w:lang w:val="en-GB"/>
        </w:rPr>
        <w:t>i</w:t>
      </w:r>
      <w:r w:rsidRPr="00BD212C" w:rsidR="00305AD7">
        <w:rPr>
          <w:lang w:val="en-GB"/>
        </w:rPr>
        <w:t>cantly different situations it is for the Government to show that such an approach was justified</w:t>
      </w:r>
      <w:r w:rsidRPr="00BD212C">
        <w:rPr>
          <w:lang w:val="en-GB"/>
        </w:rPr>
        <w:t xml:space="preserve"> (</w:t>
      </w:r>
      <w:r w:rsidRPr="00BD212C" w:rsidR="00305AD7">
        <w:rPr>
          <w:lang w:val="en-GB"/>
        </w:rPr>
        <w:t>see</w:t>
      </w:r>
      <w:r w:rsidRPr="00BD212C">
        <w:rPr>
          <w:lang w:val="en-GB"/>
        </w:rPr>
        <w:t xml:space="preserve">, </w:t>
      </w:r>
      <w:r w:rsidRPr="00BD212C">
        <w:rPr>
          <w:i/>
          <w:lang w:val="en-GB"/>
        </w:rPr>
        <w:t>mutatis mutandis</w:t>
      </w:r>
      <w:r w:rsidRPr="00BD212C">
        <w:rPr>
          <w:lang w:val="en-GB"/>
        </w:rPr>
        <w:t>,</w:t>
      </w:r>
      <w:r w:rsidRPr="00BD212C">
        <w:rPr>
          <w:i/>
          <w:lang w:val="en-GB"/>
        </w:rPr>
        <w:t xml:space="preserve"> D.H. </w:t>
      </w:r>
      <w:r w:rsidRPr="00BD212C" w:rsidR="00305AD7">
        <w:rPr>
          <w:i/>
          <w:lang w:val="en-GB"/>
        </w:rPr>
        <w:t>and Other</w:t>
      </w:r>
      <w:r w:rsidRPr="00BD212C">
        <w:rPr>
          <w:i/>
          <w:lang w:val="en-GB"/>
        </w:rPr>
        <w:t>s</w:t>
      </w:r>
      <w:r w:rsidRPr="00BD212C" w:rsidR="00305AD7">
        <w:rPr>
          <w:lang w:val="en-GB"/>
        </w:rPr>
        <w:t>, cited above</w:t>
      </w:r>
      <w:r w:rsidRPr="00BD212C">
        <w:rPr>
          <w:lang w:val="en-GB"/>
        </w:rPr>
        <w:t>, § 177).</w:t>
      </w:r>
    </w:p>
    <w:p w:rsidRPr="00BD212C" w:rsidR="008A6EBC" w:rsidP="00BD212C" w:rsidRDefault="008A6EBC">
      <w:pPr>
        <w:pStyle w:val="ECHRHeading6"/>
        <w:rPr>
          <w:i w:val="0"/>
          <w:lang w:val="en-GB"/>
        </w:rPr>
      </w:pPr>
      <w:r w:rsidRPr="00BD212C">
        <w:rPr>
          <w:rFonts w:cstheme="majorHAnsi"/>
          <w:i w:val="0"/>
          <w:lang w:val="fr-FR"/>
        </w:rPr>
        <w:t>β</w:t>
      </w:r>
      <w:r w:rsidRPr="00BD212C">
        <w:rPr>
          <w:rFonts w:cstheme="majorHAnsi"/>
          <w:i w:val="0"/>
          <w:lang w:val="en-GB"/>
        </w:rPr>
        <w:t>) </w:t>
      </w:r>
      <w:r w:rsidRPr="00BD212C">
        <w:rPr>
          <w:i w:val="0"/>
          <w:lang w:val="en-GB"/>
        </w:rPr>
        <w:t xml:space="preserve"> Application </w:t>
      </w:r>
      <w:r w:rsidRPr="00BD212C" w:rsidR="00E332D6">
        <w:rPr>
          <w:i w:val="0"/>
          <w:lang w:val="en-GB"/>
        </w:rPr>
        <w:t>of those principles to the present cas</w:t>
      </w:r>
      <w:r w:rsidRPr="00BD212C">
        <w:rPr>
          <w:i w:val="0"/>
          <w:lang w:val="en-GB"/>
        </w:rPr>
        <w:t>e</w:t>
      </w:r>
    </w:p>
    <w:p w:rsidRPr="00BD212C" w:rsidR="008A6EBC" w:rsidP="00BD212C" w:rsidRDefault="008A6EBC">
      <w:pPr>
        <w:pStyle w:val="ECHRPara"/>
        <w:rPr>
          <w:lang w:val="en-GB"/>
        </w:rPr>
      </w:pPr>
      <w:r w:rsidRPr="00BD212C">
        <w:rPr>
          <w:lang w:val="fr-FR"/>
        </w:rPr>
        <w:fldChar w:fldCharType="begin"/>
      </w:r>
      <w:r w:rsidRPr="00BD212C">
        <w:rPr>
          <w:lang w:val="en-GB"/>
        </w:rPr>
        <w:instrText xml:space="preserve"> SEQ level0 \*arabic </w:instrText>
      </w:r>
      <w:r w:rsidRPr="00BD212C">
        <w:rPr>
          <w:lang w:val="fr-FR"/>
        </w:rPr>
        <w:fldChar w:fldCharType="separate"/>
      </w:r>
      <w:r w:rsidRPr="00BD212C" w:rsidR="00BD212C">
        <w:rPr>
          <w:noProof/>
          <w:lang w:val="en-GB"/>
        </w:rPr>
        <w:t>91</w:t>
      </w:r>
      <w:r w:rsidRPr="00BD212C">
        <w:rPr>
          <w:lang w:val="fr-FR"/>
        </w:rPr>
        <w:fldChar w:fldCharType="end"/>
      </w:r>
      <w:r w:rsidRPr="00BD212C">
        <w:rPr>
          <w:lang w:val="en-GB"/>
        </w:rPr>
        <w:t>.  </w:t>
      </w:r>
      <w:r w:rsidRPr="00BD212C" w:rsidR="00E332D6">
        <w:rPr>
          <w:lang w:val="en-GB"/>
        </w:rPr>
        <w:t>The</w:t>
      </w:r>
      <w:r w:rsidRPr="00BD212C">
        <w:rPr>
          <w:lang w:val="en-GB"/>
        </w:rPr>
        <w:t xml:space="preserve"> Cour</w:t>
      </w:r>
      <w:r w:rsidRPr="00BD212C" w:rsidR="00E332D6">
        <w:rPr>
          <w:lang w:val="en-GB"/>
        </w:rPr>
        <w:t>t must first de</w:t>
      </w:r>
      <w:r w:rsidRPr="00BD212C">
        <w:rPr>
          <w:lang w:val="en-GB"/>
        </w:rPr>
        <w:t>termine</w:t>
      </w:r>
      <w:r w:rsidRPr="00BD212C" w:rsidR="00E332D6">
        <w:rPr>
          <w:lang w:val="en-GB"/>
        </w:rPr>
        <w:t xml:space="preserve"> whethe</w:t>
      </w:r>
      <w:r w:rsidRPr="00BD212C">
        <w:rPr>
          <w:lang w:val="en-GB"/>
        </w:rPr>
        <w:t xml:space="preserve">r, </w:t>
      </w:r>
      <w:r w:rsidRPr="00BD212C" w:rsidR="00E332D6">
        <w:rPr>
          <w:lang w:val="en-GB"/>
        </w:rPr>
        <w:t xml:space="preserve">in the context of </w:t>
      </w:r>
      <w:r w:rsidRPr="00BD212C" w:rsidR="00F35502">
        <w:rPr>
          <w:lang w:val="en-GB"/>
        </w:rPr>
        <w:t xml:space="preserve">the </w:t>
      </w:r>
      <w:r w:rsidRPr="00BD212C" w:rsidR="00E332D6">
        <w:rPr>
          <w:lang w:val="en-GB"/>
        </w:rPr>
        <w:t>proceedings regarding an application for a residence permit for family reasons</w:t>
      </w:r>
      <w:r w:rsidRPr="00BD212C">
        <w:rPr>
          <w:lang w:val="en-GB"/>
        </w:rPr>
        <w:t xml:space="preserve">, </w:t>
      </w:r>
      <w:r w:rsidRPr="00BD212C" w:rsidR="00E332D6">
        <w:rPr>
          <w:lang w:val="en-GB"/>
        </w:rPr>
        <w:t>the fact that the applic</w:t>
      </w:r>
      <w:r w:rsidRPr="00BD212C">
        <w:rPr>
          <w:lang w:val="en-GB"/>
        </w:rPr>
        <w:t xml:space="preserve">ants </w:t>
      </w:r>
      <w:r w:rsidRPr="00BD212C" w:rsidR="00F35502">
        <w:rPr>
          <w:lang w:val="en-GB"/>
        </w:rPr>
        <w:t>were</w:t>
      </w:r>
      <w:r w:rsidRPr="00BD212C" w:rsidR="00E332D6">
        <w:rPr>
          <w:lang w:val="en-GB"/>
        </w:rPr>
        <w:t xml:space="preserve"> </w:t>
      </w:r>
      <w:r w:rsidRPr="00BD212C" w:rsidR="000D7548">
        <w:rPr>
          <w:lang w:val="en-GB"/>
        </w:rPr>
        <w:t xml:space="preserve">not </w:t>
      </w:r>
      <w:r w:rsidRPr="00BD212C" w:rsidR="00E332D6">
        <w:rPr>
          <w:lang w:val="en-GB"/>
        </w:rPr>
        <w:t>treated differently from heterosexual</w:t>
      </w:r>
      <w:r w:rsidRPr="00BD212C">
        <w:rPr>
          <w:lang w:val="en-GB"/>
        </w:rPr>
        <w:t xml:space="preserve"> couples </w:t>
      </w:r>
      <w:r w:rsidRPr="00BD212C" w:rsidR="00E332D6">
        <w:rPr>
          <w:lang w:val="en-GB"/>
        </w:rPr>
        <w:t>who ha</w:t>
      </w:r>
      <w:r w:rsidRPr="00BD212C" w:rsidR="00F35502">
        <w:rPr>
          <w:lang w:val="en-GB"/>
        </w:rPr>
        <w:t>d</w:t>
      </w:r>
      <w:r w:rsidRPr="00BD212C" w:rsidR="00E332D6">
        <w:rPr>
          <w:lang w:val="en-GB"/>
        </w:rPr>
        <w:t xml:space="preserve"> not </w:t>
      </w:r>
      <w:r w:rsidRPr="00BD212C" w:rsidR="00F35502">
        <w:rPr>
          <w:lang w:val="en-GB"/>
        </w:rPr>
        <w:t>regularised</w:t>
      </w:r>
      <w:r w:rsidRPr="00BD212C" w:rsidR="00E332D6">
        <w:rPr>
          <w:lang w:val="en-GB"/>
        </w:rPr>
        <w:t xml:space="preserve"> their</w:t>
      </w:r>
      <w:r w:rsidRPr="00BD212C">
        <w:rPr>
          <w:lang w:val="en-GB"/>
        </w:rPr>
        <w:t xml:space="preserve"> situation </w:t>
      </w:r>
      <w:r w:rsidRPr="00BD212C" w:rsidR="00E332D6">
        <w:rPr>
          <w:lang w:val="en-GB"/>
        </w:rPr>
        <w:t>pursued a legitimate aim</w:t>
      </w:r>
      <w:r w:rsidRPr="00BD212C">
        <w:rPr>
          <w:lang w:val="en-GB"/>
        </w:rPr>
        <w:t xml:space="preserve">. </w:t>
      </w:r>
      <w:r w:rsidRPr="00BD212C" w:rsidR="00E332D6">
        <w:t>If it did the Court will examine whether there was a reasonable relationship of proportionality between the means employed and the aim sought to be realised</w:t>
      </w:r>
      <w:r w:rsidRPr="00BD212C">
        <w:rPr>
          <w:lang w:val="en-GB"/>
        </w:rPr>
        <w:t xml:space="preserve"> (</w:t>
      </w:r>
      <w:r w:rsidRPr="00BD212C" w:rsidR="00E332D6">
        <w:rPr>
          <w:lang w:val="en-GB"/>
        </w:rPr>
        <w:t>see</w:t>
      </w:r>
      <w:r w:rsidRPr="00BD212C">
        <w:rPr>
          <w:lang w:val="en-GB"/>
        </w:rPr>
        <w:t xml:space="preserve">, </w:t>
      </w:r>
      <w:r w:rsidRPr="00BD212C">
        <w:rPr>
          <w:i/>
          <w:lang w:val="en-GB"/>
        </w:rPr>
        <w:t>mutatis mutandis</w:t>
      </w:r>
      <w:r w:rsidRPr="00BD212C">
        <w:rPr>
          <w:lang w:val="en-GB"/>
        </w:rPr>
        <w:t>,</w:t>
      </w:r>
      <w:r w:rsidRPr="00BD212C">
        <w:rPr>
          <w:i/>
          <w:lang w:val="en-GB"/>
        </w:rPr>
        <w:t xml:space="preserve"> Thlimmenos</w:t>
      </w:r>
      <w:r w:rsidRPr="00BD212C">
        <w:rPr>
          <w:lang w:val="en-GB"/>
        </w:rPr>
        <w:t xml:space="preserve">, </w:t>
      </w:r>
      <w:r w:rsidRPr="00BD212C" w:rsidR="00E332D6">
        <w:rPr>
          <w:lang w:val="en-GB"/>
        </w:rPr>
        <w:t>cited above</w:t>
      </w:r>
      <w:r w:rsidRPr="00BD212C">
        <w:rPr>
          <w:lang w:val="en-GB"/>
        </w:rPr>
        <w:t>, § 46).</w:t>
      </w:r>
    </w:p>
    <w:p w:rsidRPr="00BD212C" w:rsidR="008A6EBC" w:rsidP="00BD212C" w:rsidRDefault="008A6EBC">
      <w:pPr>
        <w:pStyle w:val="ECHRPara"/>
        <w:rPr>
          <w:lang w:val="en-GB"/>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92</w:t>
      </w:r>
      <w:r w:rsidRPr="00BD212C">
        <w:rPr>
          <w:szCs w:val="24"/>
          <w:lang w:val="fr-FR"/>
        </w:rPr>
        <w:fldChar w:fldCharType="end"/>
      </w:r>
      <w:r w:rsidRPr="00BD212C">
        <w:rPr>
          <w:szCs w:val="24"/>
          <w:lang w:val="en-GB"/>
        </w:rPr>
        <w:t>.  </w:t>
      </w:r>
      <w:r w:rsidRPr="00BD212C" w:rsidR="00E332D6">
        <w:rPr>
          <w:lang w:val="en-GB"/>
        </w:rPr>
        <w:t>The</w:t>
      </w:r>
      <w:r w:rsidRPr="00BD212C">
        <w:rPr>
          <w:lang w:val="en-GB"/>
        </w:rPr>
        <w:t xml:space="preserve"> Cour</w:t>
      </w:r>
      <w:r w:rsidRPr="00BD212C" w:rsidR="00E332D6">
        <w:rPr>
          <w:lang w:val="en-GB"/>
        </w:rPr>
        <w:t>t</w:t>
      </w:r>
      <w:r w:rsidRPr="00BD212C">
        <w:rPr>
          <w:lang w:val="en-GB"/>
        </w:rPr>
        <w:t xml:space="preserve"> observe</w:t>
      </w:r>
      <w:r w:rsidRPr="00BD212C" w:rsidR="00E332D6">
        <w:rPr>
          <w:lang w:val="en-GB"/>
        </w:rPr>
        <w:t>s that</w:t>
      </w:r>
      <w:r w:rsidRPr="00BD212C">
        <w:rPr>
          <w:lang w:val="en-GB"/>
        </w:rPr>
        <w:t xml:space="preserve">, </w:t>
      </w:r>
      <w:r w:rsidRPr="00BD212C" w:rsidR="00E332D6">
        <w:rPr>
          <w:lang w:val="en-GB"/>
        </w:rPr>
        <w:t>in order to</w:t>
      </w:r>
      <w:r w:rsidRPr="00BD212C">
        <w:rPr>
          <w:lang w:val="en-GB"/>
        </w:rPr>
        <w:t xml:space="preserve"> justif</w:t>
      </w:r>
      <w:r w:rsidRPr="00BD212C" w:rsidR="00E332D6">
        <w:rPr>
          <w:lang w:val="en-GB"/>
        </w:rPr>
        <w:t xml:space="preserve">y </w:t>
      </w:r>
      <w:r w:rsidRPr="00BD212C" w:rsidR="00F37CCA">
        <w:rPr>
          <w:lang w:val="en-GB"/>
        </w:rPr>
        <w:t>treating</w:t>
      </w:r>
      <w:r w:rsidRPr="00BD212C" w:rsidR="00E332D6">
        <w:rPr>
          <w:lang w:val="en-GB"/>
        </w:rPr>
        <w:t xml:space="preserve"> unmarried</w:t>
      </w:r>
      <w:r w:rsidRPr="00BD212C">
        <w:rPr>
          <w:lang w:val="en-GB"/>
        </w:rPr>
        <w:t xml:space="preserve"> homosexu</w:t>
      </w:r>
      <w:r w:rsidRPr="00BD212C" w:rsidR="00E332D6">
        <w:rPr>
          <w:lang w:val="en-GB"/>
        </w:rPr>
        <w:t>a</w:t>
      </w:r>
      <w:r w:rsidRPr="00BD212C">
        <w:rPr>
          <w:lang w:val="en-GB"/>
        </w:rPr>
        <w:t>l</w:t>
      </w:r>
      <w:r w:rsidRPr="00BD212C" w:rsidR="00E332D6">
        <w:rPr>
          <w:lang w:val="en-GB"/>
        </w:rPr>
        <w:t xml:space="preserve"> and</w:t>
      </w:r>
      <w:r w:rsidRPr="00BD212C">
        <w:rPr>
          <w:lang w:val="en-GB"/>
        </w:rPr>
        <w:t xml:space="preserve"> h</w:t>
      </w:r>
      <w:r w:rsidRPr="00BD212C" w:rsidR="00E332D6">
        <w:rPr>
          <w:lang w:val="en-GB"/>
        </w:rPr>
        <w:t>e</w:t>
      </w:r>
      <w:r w:rsidRPr="00BD212C">
        <w:rPr>
          <w:lang w:val="en-GB"/>
        </w:rPr>
        <w:t>t</w:t>
      </w:r>
      <w:r w:rsidRPr="00BD212C" w:rsidR="00E332D6">
        <w:rPr>
          <w:lang w:val="en-GB"/>
        </w:rPr>
        <w:t>e</w:t>
      </w:r>
      <w:r w:rsidRPr="00BD212C">
        <w:rPr>
          <w:lang w:val="en-GB"/>
        </w:rPr>
        <w:t>rosexu</w:t>
      </w:r>
      <w:r w:rsidRPr="00BD212C" w:rsidR="00E332D6">
        <w:rPr>
          <w:lang w:val="en-GB"/>
        </w:rPr>
        <w:t>a</w:t>
      </w:r>
      <w:r w:rsidRPr="00BD212C">
        <w:rPr>
          <w:lang w:val="en-GB"/>
        </w:rPr>
        <w:t xml:space="preserve">l </w:t>
      </w:r>
      <w:r w:rsidRPr="00BD212C" w:rsidR="00F37CCA">
        <w:rPr>
          <w:lang w:val="en-GB"/>
        </w:rPr>
        <w:t>couples similarly in the context of granting a residence permit for family reasons</w:t>
      </w:r>
      <w:r w:rsidRPr="00BD212C">
        <w:rPr>
          <w:lang w:val="en-GB"/>
        </w:rPr>
        <w:t xml:space="preserve">, </w:t>
      </w:r>
      <w:r w:rsidRPr="00BD212C" w:rsidR="00E332D6">
        <w:rPr>
          <w:lang w:val="en-GB"/>
        </w:rPr>
        <w:t>the Govern</w:t>
      </w:r>
      <w:r w:rsidRPr="00BD212C">
        <w:rPr>
          <w:lang w:val="en-GB"/>
        </w:rPr>
        <w:t xml:space="preserve">ment </w:t>
      </w:r>
      <w:r w:rsidRPr="00BD212C" w:rsidR="00F37CCA">
        <w:rPr>
          <w:lang w:val="en-GB"/>
        </w:rPr>
        <w:t>rel</w:t>
      </w:r>
      <w:r w:rsidRPr="00BD212C" w:rsidR="000D7548">
        <w:rPr>
          <w:lang w:val="en-GB"/>
        </w:rPr>
        <w:t>ied</w:t>
      </w:r>
      <w:r w:rsidRPr="00BD212C">
        <w:rPr>
          <w:lang w:val="en-GB"/>
        </w:rPr>
        <w:t xml:space="preserve">, </w:t>
      </w:r>
      <w:r w:rsidRPr="00BD212C" w:rsidR="00F37CCA">
        <w:rPr>
          <w:lang w:val="en-GB"/>
        </w:rPr>
        <w:t>i</w:t>
      </w:r>
      <w:r w:rsidRPr="00BD212C">
        <w:rPr>
          <w:lang w:val="en-GB"/>
        </w:rPr>
        <w:t xml:space="preserve">n substance, </w:t>
      </w:r>
      <w:r w:rsidRPr="00BD212C" w:rsidR="00F37CCA">
        <w:rPr>
          <w:lang w:val="en-GB"/>
        </w:rPr>
        <w:t xml:space="preserve">on the margin of </w:t>
      </w:r>
      <w:r w:rsidRPr="00BD212C">
        <w:rPr>
          <w:lang w:val="en-GB"/>
        </w:rPr>
        <w:t>appr</w:t>
      </w:r>
      <w:r w:rsidRPr="00BD212C" w:rsidR="00F37CCA">
        <w:rPr>
          <w:lang w:val="en-GB"/>
        </w:rPr>
        <w:t>e</w:t>
      </w:r>
      <w:r w:rsidRPr="00BD212C">
        <w:rPr>
          <w:lang w:val="en-GB"/>
        </w:rPr>
        <w:t xml:space="preserve">ciation </w:t>
      </w:r>
      <w:r w:rsidRPr="00BD212C" w:rsidR="00F37CCA">
        <w:rPr>
          <w:lang w:val="en-GB"/>
        </w:rPr>
        <w:t>enjoyed by the States in protecting the traditional</w:t>
      </w:r>
      <w:r w:rsidRPr="00BD212C">
        <w:rPr>
          <w:lang w:val="en-GB"/>
        </w:rPr>
        <w:t xml:space="preserve"> famil</w:t>
      </w:r>
      <w:r w:rsidRPr="00BD212C" w:rsidR="00F37CCA">
        <w:rPr>
          <w:lang w:val="en-GB"/>
        </w:rPr>
        <w:t>y</w:t>
      </w:r>
      <w:r w:rsidRPr="00BD212C">
        <w:rPr>
          <w:lang w:val="en-GB"/>
        </w:rPr>
        <w:t xml:space="preserve"> </w:t>
      </w:r>
      <w:r w:rsidRPr="00BD212C" w:rsidR="00F37CCA">
        <w:rPr>
          <w:lang w:val="en-GB"/>
        </w:rPr>
        <w:t>and deciding whether</w:t>
      </w:r>
      <w:r w:rsidRPr="00BD212C">
        <w:rPr>
          <w:lang w:val="en-GB"/>
        </w:rPr>
        <w:t xml:space="preserve"> </w:t>
      </w:r>
      <w:r w:rsidRPr="00BD212C" w:rsidR="00F37CCA">
        <w:rPr>
          <w:lang w:val="en-GB"/>
        </w:rPr>
        <w:t>civil partnerships or registered partnership</w:t>
      </w:r>
      <w:r w:rsidRPr="00BD212C">
        <w:rPr>
          <w:lang w:val="en-GB"/>
        </w:rPr>
        <w:t>s</w:t>
      </w:r>
      <w:r w:rsidRPr="00BD212C" w:rsidR="00F37CCA">
        <w:rPr>
          <w:lang w:val="en-GB"/>
        </w:rPr>
        <w:t xml:space="preserve"> should be available to homosexual couples</w:t>
      </w:r>
      <w:r w:rsidRPr="00BD212C">
        <w:rPr>
          <w:lang w:val="en-GB"/>
        </w:rPr>
        <w:t>,</w:t>
      </w:r>
      <w:r w:rsidRPr="00BD212C" w:rsidR="00F37CCA">
        <w:rPr>
          <w:lang w:val="en-GB"/>
        </w:rPr>
        <w:t xml:space="preserve"> and in de</w:t>
      </w:r>
      <w:r w:rsidRPr="00BD212C">
        <w:rPr>
          <w:lang w:val="en-GB"/>
        </w:rPr>
        <w:t>termin</w:t>
      </w:r>
      <w:r w:rsidRPr="00BD212C" w:rsidR="00F37CCA">
        <w:rPr>
          <w:lang w:val="en-GB"/>
        </w:rPr>
        <w:t>ing the exact</w:t>
      </w:r>
      <w:r w:rsidRPr="00BD212C">
        <w:rPr>
          <w:lang w:val="en-GB"/>
        </w:rPr>
        <w:t xml:space="preserve"> nature </w:t>
      </w:r>
      <w:r w:rsidRPr="00BD212C" w:rsidR="00F37CCA">
        <w:rPr>
          <w:lang w:val="en-GB"/>
        </w:rPr>
        <w:t>of the status</w:t>
      </w:r>
      <w:r w:rsidRPr="00BD212C">
        <w:rPr>
          <w:lang w:val="en-GB"/>
        </w:rPr>
        <w:t xml:space="preserve"> </w:t>
      </w:r>
      <w:r w:rsidRPr="00BD212C" w:rsidR="00F37CCA">
        <w:rPr>
          <w:lang w:val="en-GB"/>
        </w:rPr>
        <w:t>conferred</w:t>
      </w:r>
      <w:r w:rsidRPr="00BD212C">
        <w:rPr>
          <w:lang w:val="en-GB"/>
        </w:rPr>
        <w:t xml:space="preserve"> (</w:t>
      </w:r>
      <w:r w:rsidRPr="00BD212C" w:rsidR="00E332D6">
        <w:rPr>
          <w:lang w:val="en-GB"/>
        </w:rPr>
        <w:t>see paragraph</w:t>
      </w:r>
      <w:r w:rsidRPr="00BD212C">
        <w:rPr>
          <w:lang w:val="en-GB"/>
        </w:rPr>
        <w:t xml:space="preserve">s 43, 45, </w:t>
      </w:r>
      <w:r w:rsidRPr="00BD212C">
        <w:rPr>
          <w:lang w:val="en-GB" w:eastAsia="en-GB"/>
        </w:rPr>
        <w:t>46</w:t>
      </w:r>
      <w:r w:rsidRPr="00BD212C">
        <w:rPr>
          <w:lang w:val="en-GB"/>
        </w:rPr>
        <w:t xml:space="preserve">, </w:t>
      </w:r>
      <w:r w:rsidRPr="00BD212C">
        <w:rPr>
          <w:rFonts w:ascii="Times New Roman" w:hAnsi="Times New Roman" w:cs="Times New Roman"/>
          <w:szCs w:val="24"/>
          <w:lang w:val="en-GB" w:eastAsia="en-GB"/>
        </w:rPr>
        <w:t>47</w:t>
      </w:r>
      <w:r w:rsidRPr="00BD212C">
        <w:rPr>
          <w:lang w:val="en-GB"/>
        </w:rPr>
        <w:t xml:space="preserve"> </w:t>
      </w:r>
      <w:r w:rsidRPr="00BD212C" w:rsidR="00E332D6">
        <w:rPr>
          <w:lang w:val="en-GB"/>
        </w:rPr>
        <w:t>and</w:t>
      </w:r>
      <w:r w:rsidRPr="00BD212C">
        <w:rPr>
          <w:lang w:val="en-GB"/>
        </w:rPr>
        <w:t xml:space="preserve"> </w:t>
      </w:r>
      <w:r w:rsidRPr="00BD212C">
        <w:rPr>
          <w:rFonts w:ascii="Times New Roman" w:hAnsi="Times New Roman" w:cs="Times New Roman"/>
          <w:szCs w:val="24"/>
          <w:lang w:val="en-GB" w:eastAsia="en-GB"/>
        </w:rPr>
        <w:t>65</w:t>
      </w:r>
      <w:r w:rsidRPr="00BD212C" w:rsidR="00E332D6">
        <w:rPr>
          <w:lang w:val="en-GB"/>
        </w:rPr>
        <w:t xml:space="preserve"> above</w:t>
      </w:r>
      <w:r w:rsidRPr="00BD212C">
        <w:rPr>
          <w:lang w:val="en-GB"/>
        </w:rPr>
        <w:t>).</w:t>
      </w:r>
    </w:p>
    <w:p w:rsidRPr="00BD212C" w:rsidR="008A6EBC" w:rsidP="00BD212C" w:rsidRDefault="008A6EBC">
      <w:pPr>
        <w:pStyle w:val="ECHRPara"/>
        <w:rPr>
          <w:lang w:val="en-GB"/>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93</w:t>
      </w:r>
      <w:r w:rsidRPr="00BD212C">
        <w:rPr>
          <w:szCs w:val="24"/>
          <w:lang w:val="fr-FR"/>
        </w:rPr>
        <w:fldChar w:fldCharType="end"/>
      </w:r>
      <w:r w:rsidRPr="00BD212C">
        <w:rPr>
          <w:szCs w:val="24"/>
          <w:lang w:val="en-GB"/>
        </w:rPr>
        <w:t>.  </w:t>
      </w:r>
      <w:r w:rsidRPr="00BD212C" w:rsidR="004F58AA">
        <w:rPr>
          <w:lang w:val="en-GB"/>
        </w:rPr>
        <w:t>Although</w:t>
      </w:r>
      <w:r w:rsidRPr="00BD212C">
        <w:rPr>
          <w:lang w:val="en-GB"/>
        </w:rPr>
        <w:t xml:space="preserve"> protection </w:t>
      </w:r>
      <w:r w:rsidRPr="00BD212C" w:rsidR="004F58AA">
        <w:rPr>
          <w:lang w:val="en-GB"/>
        </w:rPr>
        <w:t>of the traditional family may, in some circumstance</w:t>
      </w:r>
      <w:r w:rsidRPr="00BD212C">
        <w:rPr>
          <w:lang w:val="en-GB"/>
        </w:rPr>
        <w:t xml:space="preserve">s, </w:t>
      </w:r>
      <w:r w:rsidRPr="00BD212C" w:rsidR="004F58AA">
        <w:rPr>
          <w:lang w:val="en-GB"/>
        </w:rPr>
        <w:t>amount to a legitimate aim under A</w:t>
      </w:r>
      <w:r w:rsidRPr="00BD212C">
        <w:rPr>
          <w:lang w:val="en-GB"/>
        </w:rPr>
        <w:t xml:space="preserve">rticle 14, </w:t>
      </w:r>
      <w:r w:rsidRPr="00BD212C" w:rsidR="004F58AA">
        <w:rPr>
          <w:lang w:val="en-GB"/>
        </w:rPr>
        <w:t>the</w:t>
      </w:r>
      <w:r w:rsidRPr="00BD212C">
        <w:rPr>
          <w:lang w:val="en-GB"/>
        </w:rPr>
        <w:t xml:space="preserve"> Cour</w:t>
      </w:r>
      <w:r w:rsidRPr="00BD212C" w:rsidR="004F58AA">
        <w:rPr>
          <w:lang w:val="en-GB"/>
        </w:rPr>
        <w:t>t</w:t>
      </w:r>
      <w:r w:rsidRPr="00BD212C">
        <w:rPr>
          <w:lang w:val="en-GB"/>
        </w:rPr>
        <w:t xml:space="preserve"> </w:t>
      </w:r>
      <w:r w:rsidRPr="00BD212C" w:rsidR="004F58AA">
        <w:rPr>
          <w:lang w:val="en-GB"/>
        </w:rPr>
        <w:t>considers that</w:t>
      </w:r>
      <w:r w:rsidRPr="00BD212C">
        <w:rPr>
          <w:lang w:val="en-GB"/>
        </w:rPr>
        <w:t xml:space="preserve">, </w:t>
      </w:r>
      <w:r w:rsidRPr="00BD212C" w:rsidR="0091146C">
        <w:rPr>
          <w:lang w:val="en-GB"/>
        </w:rPr>
        <w:t>regarding the matter</w:t>
      </w:r>
      <w:r w:rsidRPr="00BD212C" w:rsidR="004F58AA">
        <w:rPr>
          <w:lang w:val="en-GB"/>
        </w:rPr>
        <w:t xml:space="preserve"> in question</w:t>
      </w:r>
      <w:r w:rsidRPr="00BD212C" w:rsidR="0091146C">
        <w:rPr>
          <w:lang w:val="en-GB"/>
        </w:rPr>
        <w:t xml:space="preserve"> here</w:t>
      </w:r>
      <w:r w:rsidRPr="00BD212C" w:rsidR="004F58AA">
        <w:rPr>
          <w:lang w:val="en-GB"/>
        </w:rPr>
        <w:t xml:space="preserve"> – granting a residence permit for family reasons to a homosexual foreign</w:t>
      </w:r>
      <w:r w:rsidRPr="00BD212C">
        <w:rPr>
          <w:lang w:val="en-GB"/>
        </w:rPr>
        <w:t xml:space="preserve"> part</w:t>
      </w:r>
      <w:r w:rsidRPr="00BD212C" w:rsidR="004F58AA">
        <w:rPr>
          <w:lang w:val="en-GB"/>
        </w:rPr>
        <w:t>ner –</w:t>
      </w:r>
      <w:r w:rsidRPr="00BD212C">
        <w:rPr>
          <w:lang w:val="en-GB"/>
        </w:rPr>
        <w:t xml:space="preserve"> </w:t>
      </w:r>
      <w:r w:rsidRPr="00BD212C" w:rsidR="000B381A">
        <w:rPr>
          <w:lang w:val="en-GB"/>
        </w:rPr>
        <w:t>it cannot amount to a</w:t>
      </w:r>
      <w:r w:rsidRPr="00BD212C">
        <w:rPr>
          <w:lang w:val="en-GB"/>
        </w:rPr>
        <w:t xml:space="preserve"> </w:t>
      </w:r>
      <w:r w:rsidRPr="00BD212C" w:rsidR="0091146C">
        <w:rPr>
          <w:lang w:val="en-GB"/>
        </w:rPr>
        <w:t>“particularly convincing and weighty”</w:t>
      </w:r>
      <w:r w:rsidRPr="00BD212C">
        <w:rPr>
          <w:lang w:val="en-GB"/>
        </w:rPr>
        <w:t xml:space="preserve"> </w:t>
      </w:r>
      <w:r w:rsidRPr="00BD212C" w:rsidR="000B381A">
        <w:rPr>
          <w:lang w:val="en-GB"/>
        </w:rPr>
        <w:t xml:space="preserve">reason capable of </w:t>
      </w:r>
      <w:r w:rsidRPr="00BD212C">
        <w:rPr>
          <w:lang w:val="en-GB"/>
        </w:rPr>
        <w:t>justif</w:t>
      </w:r>
      <w:r w:rsidRPr="00BD212C" w:rsidR="000B381A">
        <w:rPr>
          <w:lang w:val="en-GB"/>
        </w:rPr>
        <w:t>ying</w:t>
      </w:r>
      <w:r w:rsidRPr="00BD212C">
        <w:rPr>
          <w:lang w:val="en-GB"/>
        </w:rPr>
        <w:t>,</w:t>
      </w:r>
      <w:r w:rsidRPr="00BD212C" w:rsidR="000B381A">
        <w:rPr>
          <w:lang w:val="en-GB"/>
        </w:rPr>
        <w:t xml:space="preserve"> in the circumstances of the present cas</w:t>
      </w:r>
      <w:r w:rsidRPr="00BD212C">
        <w:rPr>
          <w:lang w:val="en-GB"/>
        </w:rPr>
        <w:t xml:space="preserve">e, discrimination </w:t>
      </w:r>
      <w:r w:rsidRPr="00BD212C" w:rsidR="000B381A">
        <w:rPr>
          <w:lang w:val="en-GB"/>
        </w:rPr>
        <w:t xml:space="preserve">on grounds of sexual </w:t>
      </w:r>
      <w:r w:rsidRPr="00BD212C">
        <w:rPr>
          <w:lang w:val="en-GB"/>
        </w:rPr>
        <w:t>orientation (</w:t>
      </w:r>
      <w:r w:rsidRPr="00BD212C" w:rsidR="000B381A">
        <w:rPr>
          <w:lang w:val="en-GB"/>
        </w:rPr>
        <w:t>see</w:t>
      </w:r>
      <w:r w:rsidRPr="00BD212C">
        <w:rPr>
          <w:lang w:val="en-GB"/>
        </w:rPr>
        <w:t xml:space="preserve">, </w:t>
      </w:r>
      <w:r w:rsidRPr="00BD212C">
        <w:rPr>
          <w:i/>
          <w:lang w:val="en-GB"/>
        </w:rPr>
        <w:t>mutatis mutandis</w:t>
      </w:r>
      <w:r w:rsidRPr="00BD212C">
        <w:rPr>
          <w:lang w:val="en-GB"/>
        </w:rPr>
        <w:t xml:space="preserve">, </w:t>
      </w:r>
      <w:r w:rsidRPr="00BD212C">
        <w:rPr>
          <w:i/>
          <w:lang w:val="en-GB"/>
        </w:rPr>
        <w:t xml:space="preserve">Vallianatos </w:t>
      </w:r>
      <w:r w:rsidRPr="00BD212C" w:rsidR="000B381A">
        <w:rPr>
          <w:i/>
          <w:lang w:val="en-GB"/>
        </w:rPr>
        <w:t>and Others</w:t>
      </w:r>
      <w:r w:rsidRPr="00BD212C">
        <w:rPr>
          <w:lang w:val="en-GB"/>
        </w:rPr>
        <w:t xml:space="preserve">, </w:t>
      </w:r>
      <w:r w:rsidRPr="00BD212C" w:rsidR="000B381A">
        <w:rPr>
          <w:lang w:val="en-GB"/>
        </w:rPr>
        <w:t>cited above</w:t>
      </w:r>
      <w:r w:rsidRPr="00BD212C">
        <w:rPr>
          <w:lang w:val="en-GB"/>
        </w:rPr>
        <w:t>, § 92).</w:t>
      </w:r>
    </w:p>
    <w:p w:rsidRPr="00BD212C" w:rsidR="008A6EBC" w:rsidP="00BD212C" w:rsidRDefault="008A6EBC">
      <w:pPr>
        <w:pStyle w:val="ECHRPara"/>
        <w:rPr>
          <w:lang w:val="en-GB"/>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94</w:t>
      </w:r>
      <w:r w:rsidRPr="00BD212C">
        <w:rPr>
          <w:szCs w:val="24"/>
          <w:lang w:val="fr-FR"/>
        </w:rPr>
        <w:fldChar w:fldCharType="end"/>
      </w:r>
      <w:r w:rsidRPr="00BD212C">
        <w:rPr>
          <w:szCs w:val="24"/>
          <w:lang w:val="en-GB"/>
        </w:rPr>
        <w:t>.  </w:t>
      </w:r>
      <w:r w:rsidRPr="00BD212C" w:rsidR="0091146C">
        <w:rPr>
          <w:bCs/>
          <w:lang w:val="en-GB"/>
        </w:rPr>
        <w:t>The</w:t>
      </w:r>
      <w:r w:rsidRPr="00BD212C">
        <w:rPr>
          <w:bCs/>
          <w:lang w:val="en-GB"/>
        </w:rPr>
        <w:t xml:space="preserve"> Cour</w:t>
      </w:r>
      <w:r w:rsidRPr="00BD212C" w:rsidR="0091146C">
        <w:rPr>
          <w:bCs/>
          <w:lang w:val="en-GB"/>
        </w:rPr>
        <w:t>t</w:t>
      </w:r>
      <w:r w:rsidRPr="00BD212C">
        <w:rPr>
          <w:bCs/>
          <w:lang w:val="en-GB"/>
        </w:rPr>
        <w:t xml:space="preserve"> </w:t>
      </w:r>
      <w:r w:rsidRPr="00BD212C" w:rsidR="00244D46">
        <w:rPr>
          <w:bCs/>
          <w:lang w:val="en-GB"/>
        </w:rPr>
        <w:t>observes that in the present case it is not required to</w:t>
      </w:r>
      <w:r w:rsidRPr="00BD212C">
        <w:rPr>
          <w:bCs/>
          <w:lang w:val="en-GB"/>
        </w:rPr>
        <w:t xml:space="preserve"> examine </w:t>
      </w:r>
      <w:r w:rsidRPr="00BD212C">
        <w:rPr>
          <w:bCs/>
          <w:i/>
          <w:lang w:val="en-GB"/>
        </w:rPr>
        <w:t xml:space="preserve">in abstracto </w:t>
      </w:r>
      <w:r w:rsidRPr="00BD212C" w:rsidR="00244D46">
        <w:rPr>
          <w:bCs/>
          <w:lang w:val="en-GB"/>
        </w:rPr>
        <w:t>the</w:t>
      </w:r>
      <w:r w:rsidRPr="00BD212C">
        <w:rPr>
          <w:bCs/>
          <w:lang w:val="en-GB"/>
        </w:rPr>
        <w:t xml:space="preserve"> question </w:t>
      </w:r>
      <w:r w:rsidRPr="00BD212C" w:rsidR="00244D46">
        <w:rPr>
          <w:bCs/>
          <w:lang w:val="en-GB"/>
        </w:rPr>
        <w:t>whether the Italian State was</w:t>
      </w:r>
      <w:r w:rsidRPr="00BD212C">
        <w:rPr>
          <w:bCs/>
          <w:lang w:val="en-GB"/>
        </w:rPr>
        <w:t xml:space="preserve"> oblig</w:t>
      </w:r>
      <w:r w:rsidRPr="00BD212C" w:rsidR="00244D46">
        <w:rPr>
          <w:bCs/>
          <w:lang w:val="en-GB"/>
        </w:rPr>
        <w:t>ed to</w:t>
      </w:r>
      <w:r w:rsidRPr="00BD212C">
        <w:rPr>
          <w:bCs/>
          <w:lang w:val="en-GB"/>
        </w:rPr>
        <w:t xml:space="preserve"> </w:t>
      </w:r>
      <w:r w:rsidRPr="00BD212C" w:rsidR="00244D46">
        <w:rPr>
          <w:bCs/>
          <w:lang w:val="en-GB"/>
        </w:rPr>
        <w:t>provide for</w:t>
      </w:r>
      <w:r w:rsidRPr="00BD212C">
        <w:rPr>
          <w:bCs/>
          <w:lang w:val="en-GB"/>
        </w:rPr>
        <w:t xml:space="preserve"> </w:t>
      </w:r>
      <w:r w:rsidRPr="00BD212C" w:rsidR="00244D46">
        <w:rPr>
          <w:bCs/>
          <w:lang w:val="en-GB"/>
        </w:rPr>
        <w:t>a</w:t>
      </w:r>
      <w:r w:rsidRPr="00BD212C">
        <w:rPr>
          <w:bCs/>
          <w:lang w:val="en-GB"/>
        </w:rPr>
        <w:t xml:space="preserve"> form</w:t>
      </w:r>
      <w:r w:rsidRPr="00BD212C" w:rsidR="00244D46">
        <w:rPr>
          <w:bCs/>
          <w:lang w:val="en-GB"/>
        </w:rPr>
        <w:t xml:space="preserve"> of legal recognition for same-sex couples</w:t>
      </w:r>
      <w:r w:rsidRPr="00BD212C">
        <w:rPr>
          <w:bCs/>
          <w:lang w:val="en-GB"/>
        </w:rPr>
        <w:t xml:space="preserve"> </w:t>
      </w:r>
      <w:r w:rsidRPr="00BD212C" w:rsidR="00244D46">
        <w:rPr>
          <w:bCs/>
          <w:lang w:val="en-GB"/>
        </w:rPr>
        <w:t>at the time when the second applic</w:t>
      </w:r>
      <w:r w:rsidRPr="00BD212C">
        <w:rPr>
          <w:bCs/>
          <w:lang w:val="en-GB"/>
        </w:rPr>
        <w:t xml:space="preserve">ant </w:t>
      </w:r>
      <w:r w:rsidRPr="00BD212C" w:rsidR="00244D46">
        <w:rPr>
          <w:bCs/>
          <w:lang w:val="en-GB"/>
        </w:rPr>
        <w:t>was refused the residence permit by the</w:t>
      </w:r>
      <w:r w:rsidRPr="00BD212C">
        <w:rPr>
          <w:bCs/>
          <w:lang w:val="en-GB"/>
        </w:rPr>
        <w:t xml:space="preserve"> </w:t>
      </w:r>
      <w:r w:rsidRPr="00BD212C" w:rsidR="00244D46">
        <w:rPr>
          <w:bCs/>
          <w:lang w:val="en-GB"/>
        </w:rPr>
        <w:t xml:space="preserve">Livorno </w:t>
      </w:r>
      <w:r w:rsidRPr="00BD212C" w:rsidR="007246BC">
        <w:rPr>
          <w:bCs/>
          <w:lang w:val="en-GB"/>
        </w:rPr>
        <w:t>chief</w:t>
      </w:r>
      <w:r w:rsidRPr="00BD212C" w:rsidR="00244D46">
        <w:rPr>
          <w:bCs/>
          <w:lang w:val="en-GB"/>
        </w:rPr>
        <w:t xml:space="preserve"> of</w:t>
      </w:r>
      <w:r w:rsidRPr="00BD212C">
        <w:rPr>
          <w:bCs/>
          <w:lang w:val="en-GB"/>
        </w:rPr>
        <w:t xml:space="preserve"> police (18 </w:t>
      </w:r>
      <w:r w:rsidRPr="00BD212C" w:rsidR="00244D46">
        <w:rPr>
          <w:bCs/>
          <w:lang w:val="en-GB"/>
        </w:rPr>
        <w:t>O</w:t>
      </w:r>
      <w:r w:rsidRPr="00BD212C">
        <w:rPr>
          <w:bCs/>
          <w:lang w:val="en-GB"/>
        </w:rPr>
        <w:t>ctob</w:t>
      </w:r>
      <w:r w:rsidRPr="00BD212C" w:rsidR="00244D46">
        <w:rPr>
          <w:bCs/>
          <w:lang w:val="en-GB"/>
        </w:rPr>
        <w:t>er</w:t>
      </w:r>
      <w:r w:rsidRPr="00BD212C">
        <w:rPr>
          <w:bCs/>
          <w:lang w:val="en-GB"/>
        </w:rPr>
        <w:t xml:space="preserve"> 2004) </w:t>
      </w:r>
      <w:r w:rsidRPr="00BD212C" w:rsidR="00244D46">
        <w:rPr>
          <w:bCs/>
          <w:lang w:val="en-GB"/>
        </w:rPr>
        <w:t>or indeed when that de</w:t>
      </w:r>
      <w:r w:rsidRPr="00BD212C">
        <w:rPr>
          <w:bCs/>
          <w:lang w:val="en-GB"/>
        </w:rPr>
        <w:t>cision</w:t>
      </w:r>
      <w:r w:rsidRPr="00BD212C" w:rsidR="00244D46">
        <w:rPr>
          <w:bCs/>
          <w:lang w:val="en-GB"/>
        </w:rPr>
        <w:t xml:space="preserve"> was</w:t>
      </w:r>
      <w:r w:rsidRPr="00BD212C">
        <w:rPr>
          <w:bCs/>
          <w:lang w:val="en-GB"/>
        </w:rPr>
        <w:t xml:space="preserve"> confirm</w:t>
      </w:r>
      <w:r w:rsidRPr="00BD212C" w:rsidR="00244D46">
        <w:rPr>
          <w:bCs/>
          <w:lang w:val="en-GB"/>
        </w:rPr>
        <w:t>ed in the following judicial proceedings ending with the Court of Cassation</w:t>
      </w:r>
      <w:r w:rsidRPr="00BD212C" w:rsidR="00BD212C">
        <w:rPr>
          <w:bCs/>
          <w:lang w:val="en-GB"/>
        </w:rPr>
        <w:t>’</w:t>
      </w:r>
      <w:r w:rsidRPr="00BD212C" w:rsidR="00244D46">
        <w:rPr>
          <w:bCs/>
          <w:lang w:val="en-GB"/>
        </w:rPr>
        <w:t>s judgment deposited with the registry on</w:t>
      </w:r>
      <w:r w:rsidRPr="00BD212C">
        <w:rPr>
          <w:bCs/>
          <w:lang w:val="en-GB"/>
        </w:rPr>
        <w:t xml:space="preserve"> 17 </w:t>
      </w:r>
      <w:r w:rsidRPr="00BD212C" w:rsidR="00244D46">
        <w:rPr>
          <w:bCs/>
          <w:lang w:val="en-GB"/>
        </w:rPr>
        <w:t>March</w:t>
      </w:r>
      <w:r w:rsidRPr="00BD212C">
        <w:rPr>
          <w:bCs/>
          <w:lang w:val="en-GB"/>
        </w:rPr>
        <w:t xml:space="preserve"> 2009 (</w:t>
      </w:r>
      <w:r w:rsidRPr="00BD212C" w:rsidR="00244D46">
        <w:rPr>
          <w:bCs/>
          <w:lang w:val="en-GB"/>
        </w:rPr>
        <w:t>see</w:t>
      </w:r>
      <w:r w:rsidRPr="00BD212C">
        <w:rPr>
          <w:bCs/>
          <w:lang w:val="en-GB"/>
        </w:rPr>
        <w:t xml:space="preserve">, </w:t>
      </w:r>
      <w:r w:rsidRPr="00BD212C">
        <w:rPr>
          <w:bCs/>
          <w:i/>
          <w:iCs/>
          <w:lang w:val="en-GB"/>
        </w:rPr>
        <w:t>mutatis mutandis</w:t>
      </w:r>
      <w:r w:rsidRPr="00BD212C">
        <w:rPr>
          <w:bCs/>
          <w:lang w:val="en-GB"/>
        </w:rPr>
        <w:t xml:space="preserve">, </w:t>
      </w:r>
      <w:r w:rsidRPr="00BD212C">
        <w:rPr>
          <w:bCs/>
          <w:i/>
          <w:iCs/>
          <w:lang w:val="en-GB"/>
        </w:rPr>
        <w:t xml:space="preserve">Vallianatos </w:t>
      </w:r>
      <w:r w:rsidRPr="00BD212C" w:rsidR="00244D46">
        <w:rPr>
          <w:bCs/>
          <w:i/>
          <w:iCs/>
          <w:lang w:val="en-GB"/>
        </w:rPr>
        <w:t>and Other</w:t>
      </w:r>
      <w:r w:rsidRPr="00BD212C">
        <w:rPr>
          <w:bCs/>
          <w:i/>
          <w:iCs/>
          <w:lang w:val="en-GB"/>
        </w:rPr>
        <w:t>s</w:t>
      </w:r>
      <w:r w:rsidRPr="00BD212C">
        <w:rPr>
          <w:bCs/>
          <w:lang w:val="en-GB"/>
        </w:rPr>
        <w:t xml:space="preserve">, </w:t>
      </w:r>
      <w:r w:rsidRPr="00BD212C" w:rsidR="00244D46">
        <w:rPr>
          <w:bCs/>
          <w:lang w:val="en-GB"/>
        </w:rPr>
        <w:t>cited above</w:t>
      </w:r>
      <w:r w:rsidRPr="00BD212C">
        <w:rPr>
          <w:bCs/>
          <w:lang w:val="en-GB"/>
        </w:rPr>
        <w:t xml:space="preserve">, § 78). </w:t>
      </w:r>
      <w:r w:rsidRPr="00BD212C" w:rsidR="001C181F">
        <w:rPr>
          <w:bCs/>
          <w:lang w:val="en-GB"/>
        </w:rPr>
        <w:t>Having regard to the manner in which the applicants</w:t>
      </w:r>
      <w:r w:rsidRPr="00BD212C" w:rsidR="00BD212C">
        <w:rPr>
          <w:bCs/>
          <w:lang w:val="en-GB"/>
        </w:rPr>
        <w:t>’</w:t>
      </w:r>
      <w:r w:rsidRPr="00BD212C" w:rsidR="001C181F">
        <w:rPr>
          <w:bCs/>
          <w:lang w:val="en-GB"/>
        </w:rPr>
        <w:t xml:space="preserve"> complaint was formulated</w:t>
      </w:r>
      <w:r w:rsidRPr="00BD212C">
        <w:rPr>
          <w:bCs/>
          <w:lang w:val="en-GB"/>
        </w:rPr>
        <w:t xml:space="preserve">, </w:t>
      </w:r>
      <w:r w:rsidRPr="00BD212C" w:rsidR="001C181F">
        <w:rPr>
          <w:bCs/>
          <w:lang w:val="en-GB"/>
        </w:rPr>
        <w:t>the</w:t>
      </w:r>
      <w:r w:rsidRPr="00BD212C">
        <w:rPr>
          <w:bCs/>
          <w:lang w:val="en-GB"/>
        </w:rPr>
        <w:t xml:space="preserve"> Cour</w:t>
      </w:r>
      <w:r w:rsidRPr="00BD212C" w:rsidR="001C181F">
        <w:rPr>
          <w:bCs/>
          <w:lang w:val="en-GB"/>
        </w:rPr>
        <w:t>t will confine itself to assessing whether, in the specific</w:t>
      </w:r>
      <w:r w:rsidRPr="00BD212C">
        <w:rPr>
          <w:bCs/>
          <w:lang w:val="en-GB"/>
        </w:rPr>
        <w:t xml:space="preserve"> context </w:t>
      </w:r>
      <w:r w:rsidRPr="00BD212C" w:rsidR="001C181F">
        <w:rPr>
          <w:bCs/>
          <w:lang w:val="en-GB"/>
        </w:rPr>
        <w:t xml:space="preserve">of the refusal to grant the second applicant a residence </w:t>
      </w:r>
      <w:r w:rsidRPr="00BD212C">
        <w:rPr>
          <w:bCs/>
          <w:lang w:val="en-GB"/>
        </w:rPr>
        <w:t>permit,</w:t>
      </w:r>
      <w:r w:rsidRPr="00BD212C" w:rsidR="001C181F">
        <w:rPr>
          <w:bCs/>
          <w:lang w:val="en-GB"/>
        </w:rPr>
        <w:t xml:space="preserve"> there was objective and reasonable justification for the de</w:t>
      </w:r>
      <w:r w:rsidRPr="00BD212C">
        <w:rPr>
          <w:bCs/>
          <w:lang w:val="en-GB"/>
        </w:rPr>
        <w:t>cisions</w:t>
      </w:r>
      <w:r w:rsidRPr="00BD212C" w:rsidR="001C181F">
        <w:rPr>
          <w:bCs/>
          <w:lang w:val="en-GB"/>
        </w:rPr>
        <w:t xml:space="preserve"> of the Italian authorities given that the </w:t>
      </w:r>
      <w:r w:rsidRPr="00BD212C">
        <w:rPr>
          <w:bCs/>
          <w:lang w:val="en-GB"/>
        </w:rPr>
        <w:t xml:space="preserve">application </w:t>
      </w:r>
      <w:r w:rsidRPr="00BD212C" w:rsidR="001C181F">
        <w:rPr>
          <w:bCs/>
          <w:lang w:val="en-GB"/>
        </w:rPr>
        <w:t>of the provis</w:t>
      </w:r>
      <w:r w:rsidRPr="00BD212C">
        <w:rPr>
          <w:bCs/>
          <w:lang w:val="en-GB"/>
        </w:rPr>
        <w:t>ions</w:t>
      </w:r>
      <w:r w:rsidRPr="00BD212C" w:rsidR="001C181F">
        <w:rPr>
          <w:bCs/>
          <w:lang w:val="en-GB"/>
        </w:rPr>
        <w:t xml:space="preserve"> of Legislative Decree no. </w:t>
      </w:r>
      <w:r w:rsidRPr="00BD212C">
        <w:rPr>
          <w:bCs/>
          <w:lang w:val="en-GB"/>
        </w:rPr>
        <w:t xml:space="preserve">286 </w:t>
      </w:r>
      <w:r w:rsidRPr="00BD212C" w:rsidR="001C181F">
        <w:rPr>
          <w:bCs/>
          <w:lang w:val="en-GB"/>
        </w:rPr>
        <w:t>of</w:t>
      </w:r>
      <w:r w:rsidRPr="00BD212C">
        <w:rPr>
          <w:bCs/>
          <w:lang w:val="en-GB"/>
        </w:rPr>
        <w:t xml:space="preserve"> 1998 </w:t>
      </w:r>
      <w:r w:rsidRPr="00BD212C" w:rsidR="001C181F">
        <w:rPr>
          <w:bCs/>
          <w:lang w:val="en-GB"/>
        </w:rPr>
        <w:t>prevented the applicants from pursuing their family life</w:t>
      </w:r>
      <w:r w:rsidRPr="00BD212C">
        <w:rPr>
          <w:bCs/>
          <w:lang w:val="en-GB"/>
        </w:rPr>
        <w:t xml:space="preserve"> </w:t>
      </w:r>
      <w:r w:rsidRPr="00BD212C" w:rsidR="001C181F">
        <w:rPr>
          <w:bCs/>
          <w:lang w:val="en-GB"/>
        </w:rPr>
        <w:t>and their</w:t>
      </w:r>
      <w:r w:rsidRPr="00BD212C">
        <w:rPr>
          <w:bCs/>
          <w:lang w:val="en-GB"/>
        </w:rPr>
        <w:t xml:space="preserve"> stable </w:t>
      </w:r>
      <w:r w:rsidRPr="00BD212C" w:rsidR="001C181F">
        <w:rPr>
          <w:bCs/>
          <w:lang w:val="en-GB"/>
        </w:rPr>
        <w:t>and committed relationship</w:t>
      </w:r>
      <w:r w:rsidRPr="00BD212C">
        <w:rPr>
          <w:bCs/>
          <w:lang w:val="en-GB"/>
        </w:rPr>
        <w:t xml:space="preserve"> </w:t>
      </w:r>
      <w:r w:rsidRPr="00BD212C" w:rsidR="001C181F">
        <w:rPr>
          <w:bCs/>
          <w:lang w:val="en-GB"/>
        </w:rPr>
        <w:t>in Italy</w:t>
      </w:r>
      <w:r w:rsidRPr="00BD212C">
        <w:rPr>
          <w:bCs/>
          <w:lang w:val="en-GB"/>
        </w:rPr>
        <w:t xml:space="preserve">. </w:t>
      </w:r>
      <w:r w:rsidRPr="00BD212C" w:rsidR="001C181F">
        <w:rPr>
          <w:bCs/>
          <w:lang w:val="en-GB"/>
        </w:rPr>
        <w:t>Admittedly, Italian law</w:t>
      </w:r>
      <w:r w:rsidRPr="00BD212C">
        <w:rPr>
          <w:bCs/>
          <w:lang w:val="en-GB"/>
        </w:rPr>
        <w:t xml:space="preserve"> </w:t>
      </w:r>
      <w:r w:rsidRPr="00BD212C" w:rsidR="001C181F">
        <w:rPr>
          <w:bCs/>
          <w:lang w:val="en-GB"/>
        </w:rPr>
        <w:t xml:space="preserve">did not treat unmarried heterosexual </w:t>
      </w:r>
      <w:r w:rsidRPr="00BD212C">
        <w:rPr>
          <w:bCs/>
          <w:lang w:val="en-GB"/>
        </w:rPr>
        <w:t>couples</w:t>
      </w:r>
      <w:r w:rsidRPr="00BD212C" w:rsidR="001C181F">
        <w:rPr>
          <w:bCs/>
          <w:lang w:val="en-GB"/>
        </w:rPr>
        <w:t xml:space="preserve"> differently</w:t>
      </w:r>
      <w:r w:rsidRPr="00BD212C">
        <w:rPr>
          <w:bCs/>
          <w:lang w:val="en-GB"/>
        </w:rPr>
        <w:t xml:space="preserve"> </w:t>
      </w:r>
      <w:r w:rsidRPr="00BD212C" w:rsidR="001C181F">
        <w:rPr>
          <w:bCs/>
          <w:lang w:val="en-GB"/>
        </w:rPr>
        <w:t xml:space="preserve">from unmarried homosexual </w:t>
      </w:r>
      <w:r w:rsidRPr="00BD212C">
        <w:rPr>
          <w:bCs/>
          <w:lang w:val="en-GB"/>
        </w:rPr>
        <w:t>couples (</w:t>
      </w:r>
      <w:r w:rsidRPr="00BD212C" w:rsidR="001C181F">
        <w:rPr>
          <w:bCs/>
          <w:lang w:val="en-GB"/>
        </w:rPr>
        <w:t>see paragraph</w:t>
      </w:r>
      <w:r w:rsidRPr="00BD212C">
        <w:rPr>
          <w:bCs/>
          <w:lang w:val="en-GB"/>
        </w:rPr>
        <w:t xml:space="preserve"> </w:t>
      </w:r>
      <w:r w:rsidRPr="00BD212C">
        <w:rPr>
          <w:lang w:val="en-GB"/>
        </w:rPr>
        <w:t>82</w:t>
      </w:r>
      <w:r w:rsidRPr="00BD212C" w:rsidR="001C181F">
        <w:rPr>
          <w:lang w:val="en-GB"/>
        </w:rPr>
        <w:t xml:space="preserve"> above</w:t>
      </w:r>
      <w:r w:rsidRPr="00BD212C">
        <w:rPr>
          <w:bCs/>
          <w:lang w:val="en-GB"/>
        </w:rPr>
        <w:t xml:space="preserve">), </w:t>
      </w:r>
      <w:r w:rsidRPr="00BD212C" w:rsidR="002E048F">
        <w:rPr>
          <w:bCs/>
          <w:lang w:val="en-GB"/>
        </w:rPr>
        <w:t>and</w:t>
      </w:r>
      <w:r w:rsidRPr="00BD212C" w:rsidR="001C181F">
        <w:rPr>
          <w:bCs/>
          <w:lang w:val="en-GB"/>
        </w:rPr>
        <w:t xml:space="preserve"> restricted the concept of “family members” to</w:t>
      </w:r>
      <w:r w:rsidRPr="00BD212C">
        <w:rPr>
          <w:bCs/>
          <w:lang w:val="en-GB"/>
        </w:rPr>
        <w:t xml:space="preserve"> </w:t>
      </w:r>
      <w:r w:rsidRPr="00BD212C" w:rsidR="001C181F">
        <w:rPr>
          <w:bCs/>
          <w:lang w:val="en-GB"/>
        </w:rPr>
        <w:t>he</w:t>
      </w:r>
      <w:r w:rsidRPr="00BD212C">
        <w:rPr>
          <w:bCs/>
          <w:lang w:val="en-GB"/>
        </w:rPr>
        <w:t>t</w:t>
      </w:r>
      <w:r w:rsidRPr="00BD212C" w:rsidR="001C181F">
        <w:rPr>
          <w:bCs/>
          <w:lang w:val="en-GB"/>
        </w:rPr>
        <w:t>erosexua</w:t>
      </w:r>
      <w:r w:rsidRPr="00BD212C">
        <w:rPr>
          <w:bCs/>
          <w:lang w:val="en-GB"/>
        </w:rPr>
        <w:t>l</w:t>
      </w:r>
      <w:r w:rsidRPr="00BD212C" w:rsidR="002E048F">
        <w:rPr>
          <w:bCs/>
          <w:lang w:val="en-GB"/>
        </w:rPr>
        <w:t xml:space="preserve"> married partners</w:t>
      </w:r>
      <w:r w:rsidRPr="00BD212C">
        <w:rPr>
          <w:bCs/>
          <w:lang w:val="en-GB"/>
        </w:rPr>
        <w:t xml:space="preserve">. </w:t>
      </w:r>
      <w:r w:rsidRPr="00BD212C" w:rsidR="001C181F">
        <w:rPr>
          <w:bCs/>
          <w:lang w:val="en-GB"/>
        </w:rPr>
        <w:t>However</w:t>
      </w:r>
      <w:r w:rsidRPr="00BD212C">
        <w:rPr>
          <w:bCs/>
          <w:lang w:val="en-GB"/>
        </w:rPr>
        <w:t>,</w:t>
      </w:r>
      <w:r w:rsidRPr="00BD212C" w:rsidR="001C181F">
        <w:rPr>
          <w:bCs/>
          <w:lang w:val="en-GB"/>
        </w:rPr>
        <w:t xml:space="preserve"> applying the same restrictive rule</w:t>
      </w:r>
      <w:r w:rsidRPr="00BD212C">
        <w:rPr>
          <w:bCs/>
          <w:lang w:val="en-GB"/>
        </w:rPr>
        <w:t xml:space="preserve"> </w:t>
      </w:r>
      <w:r w:rsidRPr="00BD212C" w:rsidR="001C181F">
        <w:rPr>
          <w:bCs/>
          <w:lang w:val="en-GB"/>
        </w:rPr>
        <w:t>under Legislative Decree no.</w:t>
      </w:r>
      <w:r w:rsidRPr="00BD212C">
        <w:rPr>
          <w:bCs/>
          <w:lang w:val="en-GB"/>
        </w:rPr>
        <w:t xml:space="preserve"> 286 </w:t>
      </w:r>
      <w:r w:rsidRPr="00BD212C" w:rsidR="001C181F">
        <w:rPr>
          <w:bCs/>
          <w:lang w:val="en-GB"/>
        </w:rPr>
        <w:t>of</w:t>
      </w:r>
      <w:r w:rsidRPr="00BD212C">
        <w:rPr>
          <w:bCs/>
          <w:lang w:val="en-GB"/>
        </w:rPr>
        <w:t xml:space="preserve"> 1998 </w:t>
      </w:r>
      <w:r w:rsidRPr="00BD212C" w:rsidR="001C181F">
        <w:rPr>
          <w:bCs/>
          <w:lang w:val="en-GB"/>
        </w:rPr>
        <w:t>to heterosexual</w:t>
      </w:r>
      <w:r w:rsidRPr="00BD212C">
        <w:rPr>
          <w:bCs/>
          <w:lang w:val="en-GB"/>
        </w:rPr>
        <w:t xml:space="preserve"> couples </w:t>
      </w:r>
      <w:r w:rsidRPr="00BD212C" w:rsidR="007024E9">
        <w:rPr>
          <w:bCs/>
          <w:lang w:val="en-GB"/>
        </w:rPr>
        <w:t>who ha</w:t>
      </w:r>
      <w:r w:rsidRPr="00BD212C" w:rsidR="000D7548">
        <w:rPr>
          <w:bCs/>
          <w:lang w:val="en-GB"/>
        </w:rPr>
        <w:t>d</w:t>
      </w:r>
      <w:r w:rsidRPr="00BD212C" w:rsidR="007024E9">
        <w:rPr>
          <w:bCs/>
          <w:lang w:val="en-GB"/>
        </w:rPr>
        <w:t xml:space="preserve"> not </w:t>
      </w:r>
      <w:r w:rsidRPr="00BD212C" w:rsidR="000D7548">
        <w:rPr>
          <w:bCs/>
          <w:lang w:val="en-GB"/>
        </w:rPr>
        <w:t>regulari</w:t>
      </w:r>
      <w:r w:rsidRPr="00BD212C" w:rsidR="007024E9">
        <w:rPr>
          <w:bCs/>
          <w:lang w:val="en-GB"/>
        </w:rPr>
        <w:t>sed their situation and to homosexual</w:t>
      </w:r>
      <w:r w:rsidRPr="00BD212C">
        <w:rPr>
          <w:bCs/>
          <w:lang w:val="en-GB"/>
        </w:rPr>
        <w:t xml:space="preserve"> couples, </w:t>
      </w:r>
      <w:r w:rsidRPr="00BD212C" w:rsidR="007024E9">
        <w:rPr>
          <w:bCs/>
          <w:lang w:val="en-GB"/>
        </w:rPr>
        <w:t>with the sole aim of protecting the traditional family</w:t>
      </w:r>
      <w:r w:rsidRPr="00BD212C">
        <w:rPr>
          <w:bCs/>
          <w:lang w:val="en-GB"/>
        </w:rPr>
        <w:t xml:space="preserve"> (</w:t>
      </w:r>
      <w:r w:rsidRPr="00BD212C" w:rsidR="007024E9">
        <w:rPr>
          <w:bCs/>
          <w:lang w:val="en-GB"/>
        </w:rPr>
        <w:t>see paragraph</w:t>
      </w:r>
      <w:r w:rsidRPr="00BD212C">
        <w:rPr>
          <w:bCs/>
          <w:lang w:val="en-GB"/>
        </w:rPr>
        <w:t xml:space="preserve"> </w:t>
      </w:r>
      <w:r w:rsidRPr="00BD212C">
        <w:rPr>
          <w:lang w:val="en-GB"/>
        </w:rPr>
        <w:t>93</w:t>
      </w:r>
      <w:r w:rsidRPr="00BD212C">
        <w:rPr>
          <w:bCs/>
          <w:lang w:val="en-GB"/>
        </w:rPr>
        <w:t xml:space="preserve"> </w:t>
      </w:r>
      <w:r w:rsidRPr="00BD212C" w:rsidR="007024E9">
        <w:rPr>
          <w:bCs/>
          <w:lang w:val="en-GB"/>
        </w:rPr>
        <w:t>above</w:t>
      </w:r>
      <w:r w:rsidRPr="00BD212C">
        <w:rPr>
          <w:bCs/>
          <w:lang w:val="en-GB"/>
        </w:rPr>
        <w:t xml:space="preserve">), </w:t>
      </w:r>
      <w:r w:rsidRPr="00BD212C" w:rsidR="007024E9">
        <w:rPr>
          <w:bCs/>
          <w:lang w:val="en-GB"/>
        </w:rPr>
        <w:t>subjected the applica</w:t>
      </w:r>
      <w:r w:rsidRPr="00BD212C">
        <w:rPr>
          <w:bCs/>
          <w:lang w:val="en-GB"/>
        </w:rPr>
        <w:t>nts</w:t>
      </w:r>
      <w:r w:rsidRPr="00BD212C" w:rsidR="007024E9">
        <w:rPr>
          <w:bCs/>
          <w:lang w:val="en-GB"/>
        </w:rPr>
        <w:t xml:space="preserve"> to discriminatory treatment</w:t>
      </w:r>
      <w:r w:rsidRPr="00BD212C">
        <w:rPr>
          <w:bCs/>
          <w:lang w:val="en-GB"/>
        </w:rPr>
        <w:t xml:space="preserve">. </w:t>
      </w:r>
      <w:r w:rsidRPr="00BD212C" w:rsidR="007024E9">
        <w:rPr>
          <w:bCs/>
          <w:lang w:val="en-GB"/>
        </w:rPr>
        <w:t>Without any</w:t>
      </w:r>
      <w:r w:rsidRPr="00BD212C">
        <w:rPr>
          <w:bCs/>
          <w:lang w:val="en-GB"/>
        </w:rPr>
        <w:t xml:space="preserve"> objective </w:t>
      </w:r>
      <w:r w:rsidRPr="00BD212C" w:rsidR="007024E9">
        <w:rPr>
          <w:bCs/>
          <w:lang w:val="en-GB"/>
        </w:rPr>
        <w:t>and reasona</w:t>
      </w:r>
      <w:r w:rsidRPr="00BD212C">
        <w:rPr>
          <w:bCs/>
          <w:lang w:val="en-GB"/>
        </w:rPr>
        <w:t>ble</w:t>
      </w:r>
      <w:r w:rsidRPr="00BD212C" w:rsidR="007024E9">
        <w:rPr>
          <w:bCs/>
          <w:lang w:val="en-GB"/>
        </w:rPr>
        <w:t xml:space="preserve"> justification the Italian State failed to treat</w:t>
      </w:r>
      <w:r w:rsidRPr="00BD212C">
        <w:rPr>
          <w:bCs/>
          <w:lang w:val="en-GB"/>
        </w:rPr>
        <w:t xml:space="preserve"> </w:t>
      </w:r>
      <w:r w:rsidRPr="00BD212C" w:rsidR="007024E9">
        <w:rPr>
          <w:bCs/>
          <w:lang w:val="en-GB"/>
        </w:rPr>
        <w:t>heterosexual</w:t>
      </w:r>
      <w:r w:rsidRPr="00BD212C">
        <w:rPr>
          <w:bCs/>
          <w:lang w:val="en-GB"/>
        </w:rPr>
        <w:t xml:space="preserve"> couples </w:t>
      </w:r>
      <w:r w:rsidRPr="00BD212C" w:rsidR="007024E9">
        <w:rPr>
          <w:bCs/>
          <w:lang w:val="en-GB"/>
        </w:rPr>
        <w:t xml:space="preserve">differently </w:t>
      </w:r>
      <w:r w:rsidRPr="00BD212C" w:rsidR="000D7548">
        <w:rPr>
          <w:bCs/>
          <w:lang w:val="en-GB"/>
        </w:rPr>
        <w:t>and</w:t>
      </w:r>
      <w:r w:rsidRPr="00BD212C" w:rsidR="007024E9">
        <w:rPr>
          <w:bCs/>
          <w:lang w:val="en-GB"/>
        </w:rPr>
        <w:t xml:space="preserve"> take account of their ability to </w:t>
      </w:r>
      <w:r w:rsidRPr="00BD212C">
        <w:rPr>
          <w:bCs/>
          <w:lang w:val="en-GB"/>
        </w:rPr>
        <w:t>obt</w:t>
      </w:r>
      <w:r w:rsidRPr="00BD212C" w:rsidR="007024E9">
        <w:rPr>
          <w:bCs/>
          <w:lang w:val="en-GB"/>
        </w:rPr>
        <w:t>ain legal recognition of their</w:t>
      </w:r>
      <w:r w:rsidRPr="00BD212C">
        <w:rPr>
          <w:bCs/>
          <w:lang w:val="en-GB"/>
        </w:rPr>
        <w:t xml:space="preserve"> relation</w:t>
      </w:r>
      <w:r w:rsidRPr="00BD212C" w:rsidR="007024E9">
        <w:rPr>
          <w:bCs/>
          <w:lang w:val="en-GB"/>
        </w:rPr>
        <w:t>ship and thus satisfy the requirements of domestic law for the purposes of granting a residence permit for family reasons</w:t>
      </w:r>
      <w:r w:rsidRPr="00BD212C">
        <w:rPr>
          <w:bCs/>
          <w:lang w:val="en-GB"/>
        </w:rPr>
        <w:t xml:space="preserve">, </w:t>
      </w:r>
      <w:r w:rsidRPr="00BD212C" w:rsidR="007024E9">
        <w:rPr>
          <w:bCs/>
          <w:lang w:val="en-GB"/>
        </w:rPr>
        <w:t>an option that was not available to the applicant</w:t>
      </w:r>
      <w:r w:rsidRPr="00BD212C">
        <w:rPr>
          <w:bCs/>
          <w:lang w:val="en-GB"/>
        </w:rPr>
        <w:t>s (</w:t>
      </w:r>
      <w:r w:rsidRPr="00BD212C" w:rsidR="007024E9">
        <w:rPr>
          <w:bCs/>
          <w:lang w:val="en-GB"/>
        </w:rPr>
        <w:t xml:space="preserve">see </w:t>
      </w:r>
      <w:r w:rsidRPr="00BD212C">
        <w:rPr>
          <w:bCs/>
          <w:i/>
          <w:iCs/>
          <w:lang w:val="en-GB"/>
        </w:rPr>
        <w:t>Thlimmenos</w:t>
      </w:r>
      <w:r w:rsidRPr="00BD212C">
        <w:rPr>
          <w:bCs/>
          <w:lang w:val="en-GB"/>
        </w:rPr>
        <w:t xml:space="preserve">, </w:t>
      </w:r>
      <w:r w:rsidRPr="00BD212C" w:rsidR="007024E9">
        <w:rPr>
          <w:bCs/>
          <w:lang w:val="en-GB"/>
        </w:rPr>
        <w:t>cited above</w:t>
      </w:r>
      <w:r w:rsidRPr="00BD212C">
        <w:rPr>
          <w:bCs/>
          <w:lang w:val="en-GB"/>
        </w:rPr>
        <w:t>, § 44).</w:t>
      </w:r>
    </w:p>
    <w:p w:rsidRPr="00BD212C" w:rsidR="008A6EBC" w:rsidP="00BD212C" w:rsidRDefault="008A6EBC">
      <w:pPr>
        <w:pStyle w:val="ECHRPara"/>
        <w:rPr>
          <w:lang w:val="en-GB"/>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95</w:t>
      </w:r>
      <w:r w:rsidRPr="00BD212C">
        <w:rPr>
          <w:szCs w:val="24"/>
          <w:lang w:val="fr-FR"/>
        </w:rPr>
        <w:fldChar w:fldCharType="end"/>
      </w:r>
      <w:r w:rsidRPr="00BD212C">
        <w:rPr>
          <w:szCs w:val="24"/>
          <w:lang w:val="en-GB"/>
        </w:rPr>
        <w:t>.  </w:t>
      </w:r>
      <w:r w:rsidRPr="00BD212C" w:rsidR="005A59E4">
        <w:rPr>
          <w:lang w:val="en-GB"/>
        </w:rPr>
        <w:t>The</w:t>
      </w:r>
      <w:r w:rsidRPr="00BD212C">
        <w:rPr>
          <w:lang w:val="en-GB"/>
        </w:rPr>
        <w:t xml:space="preserve"> Cour</w:t>
      </w:r>
      <w:r w:rsidRPr="00BD212C" w:rsidR="005A59E4">
        <w:rPr>
          <w:lang w:val="en-GB"/>
        </w:rPr>
        <w:t>t</w:t>
      </w:r>
      <w:r w:rsidRPr="00BD212C">
        <w:rPr>
          <w:lang w:val="en-GB"/>
        </w:rPr>
        <w:t xml:space="preserve"> </w:t>
      </w:r>
      <w:r w:rsidRPr="00BD212C" w:rsidR="005A59E4">
        <w:rPr>
          <w:lang w:val="en-GB"/>
        </w:rPr>
        <w:t xml:space="preserve">also </w:t>
      </w:r>
      <w:r w:rsidRPr="00BD212C">
        <w:rPr>
          <w:lang w:val="en-GB"/>
        </w:rPr>
        <w:t>observe</w:t>
      </w:r>
      <w:r w:rsidRPr="00BD212C" w:rsidR="005A59E4">
        <w:rPr>
          <w:lang w:val="en-GB"/>
        </w:rPr>
        <w:t>s</w:t>
      </w:r>
      <w:r w:rsidRPr="00BD212C">
        <w:rPr>
          <w:lang w:val="en-GB"/>
        </w:rPr>
        <w:t xml:space="preserve"> </w:t>
      </w:r>
      <w:r w:rsidRPr="00BD212C" w:rsidR="005A59E4">
        <w:rPr>
          <w:lang w:val="en-GB"/>
        </w:rPr>
        <w:t xml:space="preserve">that it is precisely the </w:t>
      </w:r>
      <w:r w:rsidRPr="00BD212C" w:rsidR="003F6E67">
        <w:rPr>
          <w:lang w:val="en-GB"/>
        </w:rPr>
        <w:t>lack</w:t>
      </w:r>
      <w:r w:rsidRPr="00BD212C">
        <w:rPr>
          <w:lang w:val="en-GB"/>
        </w:rPr>
        <w:t xml:space="preserve"> </w:t>
      </w:r>
      <w:r w:rsidRPr="00BD212C" w:rsidR="005A59E4">
        <w:rPr>
          <w:lang w:val="en-GB"/>
        </w:rPr>
        <w:t xml:space="preserve">of </w:t>
      </w:r>
      <w:r w:rsidRPr="00BD212C" w:rsidR="003F6E67">
        <w:rPr>
          <w:lang w:val="en-GB"/>
        </w:rPr>
        <w:t>any</w:t>
      </w:r>
      <w:r w:rsidRPr="00BD212C">
        <w:rPr>
          <w:lang w:val="en-GB"/>
        </w:rPr>
        <w:t xml:space="preserve"> possibilit</w:t>
      </w:r>
      <w:r w:rsidRPr="00BD212C" w:rsidR="005A59E4">
        <w:rPr>
          <w:lang w:val="en-GB"/>
        </w:rPr>
        <w:t>y for homosexual</w:t>
      </w:r>
      <w:r w:rsidRPr="00BD212C">
        <w:rPr>
          <w:lang w:val="en-GB"/>
        </w:rPr>
        <w:t xml:space="preserve"> couples</w:t>
      </w:r>
      <w:r w:rsidRPr="00BD212C" w:rsidR="005A59E4">
        <w:rPr>
          <w:lang w:val="en-GB"/>
        </w:rPr>
        <w:t xml:space="preserve"> to enter into a </w:t>
      </w:r>
      <w:r w:rsidRPr="00BD212C">
        <w:rPr>
          <w:lang w:val="en-GB"/>
        </w:rPr>
        <w:t>form</w:t>
      </w:r>
      <w:r w:rsidRPr="00BD212C" w:rsidR="005A59E4">
        <w:rPr>
          <w:lang w:val="en-GB"/>
        </w:rPr>
        <w:t xml:space="preserve"> of legal recognition of their relationship which placed the applic</w:t>
      </w:r>
      <w:r w:rsidRPr="00BD212C">
        <w:rPr>
          <w:lang w:val="en-GB"/>
        </w:rPr>
        <w:t xml:space="preserve">ants </w:t>
      </w:r>
      <w:r w:rsidRPr="00BD212C" w:rsidR="005A59E4">
        <w:rPr>
          <w:lang w:val="en-GB"/>
        </w:rPr>
        <w:t>in a different</w:t>
      </w:r>
      <w:r w:rsidRPr="00BD212C">
        <w:rPr>
          <w:lang w:val="en-GB"/>
        </w:rPr>
        <w:t xml:space="preserve"> situation </w:t>
      </w:r>
      <w:r w:rsidRPr="00BD212C" w:rsidR="005A59E4">
        <w:rPr>
          <w:lang w:val="en-GB"/>
        </w:rPr>
        <w:t>from that of unmarried hetero</w:t>
      </w:r>
      <w:r w:rsidRPr="00BD212C">
        <w:rPr>
          <w:lang w:val="en-GB"/>
        </w:rPr>
        <w:t>sexu</w:t>
      </w:r>
      <w:r w:rsidRPr="00BD212C" w:rsidR="005A59E4">
        <w:rPr>
          <w:lang w:val="en-GB"/>
        </w:rPr>
        <w:t>a</w:t>
      </w:r>
      <w:r w:rsidRPr="00BD212C">
        <w:rPr>
          <w:lang w:val="en-GB"/>
        </w:rPr>
        <w:t>l</w:t>
      </w:r>
      <w:r w:rsidRPr="00BD212C" w:rsidR="005A59E4">
        <w:rPr>
          <w:lang w:val="en-GB"/>
        </w:rPr>
        <w:t xml:space="preserve"> couples</w:t>
      </w:r>
      <w:r w:rsidRPr="00BD212C">
        <w:rPr>
          <w:lang w:val="en-GB"/>
        </w:rPr>
        <w:t xml:space="preserve"> (</w:t>
      </w:r>
      <w:r w:rsidRPr="00BD212C" w:rsidR="005A59E4">
        <w:rPr>
          <w:lang w:val="en-GB"/>
        </w:rPr>
        <w:t>see paragraph</w:t>
      </w:r>
      <w:r w:rsidRPr="00BD212C">
        <w:rPr>
          <w:lang w:val="en-GB"/>
        </w:rPr>
        <w:t xml:space="preserve"> 83 </w:t>
      </w:r>
      <w:r w:rsidRPr="00BD212C" w:rsidR="005A59E4">
        <w:rPr>
          <w:lang w:val="en-GB"/>
        </w:rPr>
        <w:t>above</w:t>
      </w:r>
      <w:r w:rsidRPr="00BD212C">
        <w:rPr>
          <w:lang w:val="en-GB"/>
        </w:rPr>
        <w:t xml:space="preserve">). </w:t>
      </w:r>
      <w:r w:rsidRPr="00BD212C" w:rsidR="003F6E67">
        <w:rPr>
          <w:lang w:val="en-GB"/>
        </w:rPr>
        <w:t>Even</w:t>
      </w:r>
      <w:r w:rsidRPr="00BD212C">
        <w:rPr>
          <w:lang w:val="en-GB"/>
        </w:rPr>
        <w:t xml:space="preserve"> suppos</w:t>
      </w:r>
      <w:r w:rsidRPr="00BD212C" w:rsidR="003F6E67">
        <w:rPr>
          <w:lang w:val="en-GB"/>
        </w:rPr>
        <w:t>ing that at the relevant tim</w:t>
      </w:r>
      <w:r w:rsidRPr="00BD212C">
        <w:rPr>
          <w:lang w:val="en-GB"/>
        </w:rPr>
        <w:t>e</w:t>
      </w:r>
      <w:r w:rsidRPr="00BD212C" w:rsidR="003F6E67">
        <w:rPr>
          <w:lang w:val="en-GB"/>
        </w:rPr>
        <w:t xml:space="preserve"> th</w:t>
      </w:r>
      <w:r w:rsidRPr="00BD212C">
        <w:rPr>
          <w:lang w:val="en-GB"/>
        </w:rPr>
        <w:t xml:space="preserve">e Convention </w:t>
      </w:r>
      <w:r w:rsidRPr="00BD212C" w:rsidR="003F6E67">
        <w:rPr>
          <w:lang w:val="en-GB"/>
        </w:rPr>
        <w:t>did not require the Govern</w:t>
      </w:r>
      <w:r w:rsidRPr="00BD212C">
        <w:rPr>
          <w:lang w:val="en-GB"/>
        </w:rPr>
        <w:t xml:space="preserve">ment </w:t>
      </w:r>
      <w:r w:rsidRPr="00BD212C" w:rsidR="003F6E67">
        <w:rPr>
          <w:lang w:val="en-GB"/>
        </w:rPr>
        <w:t>to make provision for same-sex</w:t>
      </w:r>
      <w:r w:rsidRPr="00BD212C">
        <w:rPr>
          <w:lang w:val="en-GB"/>
        </w:rPr>
        <w:t xml:space="preserve"> persons </w:t>
      </w:r>
      <w:r w:rsidRPr="00BD212C" w:rsidR="003F6E67">
        <w:rPr>
          <w:lang w:val="en-GB"/>
        </w:rPr>
        <w:t>in a</w:t>
      </w:r>
      <w:r w:rsidRPr="00BD212C">
        <w:rPr>
          <w:lang w:val="en-GB"/>
        </w:rPr>
        <w:t xml:space="preserve"> stable </w:t>
      </w:r>
      <w:r w:rsidRPr="00BD212C" w:rsidR="003F6E67">
        <w:rPr>
          <w:lang w:val="en-GB"/>
        </w:rPr>
        <w:t>and committed relationship</w:t>
      </w:r>
      <w:r w:rsidRPr="00BD212C">
        <w:rPr>
          <w:lang w:val="en-GB"/>
        </w:rPr>
        <w:t xml:space="preserve"> </w:t>
      </w:r>
      <w:r w:rsidRPr="00BD212C" w:rsidR="00B1658E">
        <w:rPr>
          <w:lang w:val="en-GB"/>
        </w:rPr>
        <w:t>to enter into a civil union</w:t>
      </w:r>
      <w:r w:rsidRPr="00BD212C">
        <w:rPr>
          <w:lang w:val="en-GB"/>
        </w:rPr>
        <w:t xml:space="preserve"> </w:t>
      </w:r>
      <w:r w:rsidRPr="00BD212C" w:rsidR="00B1658E">
        <w:rPr>
          <w:lang w:val="en-GB"/>
        </w:rPr>
        <w:t>or registered partnership</w:t>
      </w:r>
      <w:r w:rsidRPr="00BD212C">
        <w:rPr>
          <w:lang w:val="en-GB"/>
        </w:rPr>
        <w:t xml:space="preserve"> </w:t>
      </w:r>
      <w:r w:rsidRPr="00BD212C" w:rsidR="00B1658E">
        <w:rPr>
          <w:lang w:val="en-GB"/>
        </w:rPr>
        <w:t>certifying their status and guaranteeing them</w:t>
      </w:r>
      <w:r w:rsidRPr="00BD212C">
        <w:rPr>
          <w:lang w:val="en-GB"/>
        </w:rPr>
        <w:t xml:space="preserve"> certain</w:t>
      </w:r>
      <w:r w:rsidRPr="00BD212C" w:rsidR="00B1658E">
        <w:rPr>
          <w:lang w:val="en-GB"/>
        </w:rPr>
        <w:t xml:space="preserve"> essential right</w:t>
      </w:r>
      <w:r w:rsidRPr="00BD212C">
        <w:rPr>
          <w:lang w:val="en-GB"/>
        </w:rPr>
        <w:t xml:space="preserve">s, </w:t>
      </w:r>
      <w:r w:rsidRPr="00BD212C" w:rsidR="00B1658E">
        <w:rPr>
          <w:lang w:val="en-GB"/>
        </w:rPr>
        <w:t>that does not in any way affect the finding</w:t>
      </w:r>
      <w:r w:rsidRPr="00BD212C">
        <w:rPr>
          <w:lang w:val="en-GB"/>
        </w:rPr>
        <w:t xml:space="preserve"> </w:t>
      </w:r>
      <w:r w:rsidRPr="00BD212C" w:rsidR="00B1658E">
        <w:rPr>
          <w:lang w:val="en-GB"/>
        </w:rPr>
        <w:t>that, unlike a heterosexua</w:t>
      </w:r>
      <w:r w:rsidRPr="00BD212C">
        <w:rPr>
          <w:lang w:val="en-GB"/>
        </w:rPr>
        <w:t>l</w:t>
      </w:r>
      <w:r w:rsidRPr="00BD212C" w:rsidR="00B1658E">
        <w:rPr>
          <w:lang w:val="en-GB"/>
        </w:rPr>
        <w:t xml:space="preserve"> couple</w:t>
      </w:r>
      <w:r w:rsidRPr="00BD212C">
        <w:rPr>
          <w:lang w:val="en-GB"/>
        </w:rPr>
        <w:t xml:space="preserve">, </w:t>
      </w:r>
      <w:r w:rsidRPr="00BD212C" w:rsidR="00B1658E">
        <w:rPr>
          <w:lang w:val="en-GB"/>
        </w:rPr>
        <w:t>the second applicant</w:t>
      </w:r>
      <w:r w:rsidRPr="00BD212C">
        <w:rPr>
          <w:lang w:val="en-GB"/>
        </w:rPr>
        <w:t xml:space="preserve"> </w:t>
      </w:r>
      <w:r w:rsidRPr="00BD212C" w:rsidR="00B1658E">
        <w:rPr>
          <w:lang w:val="en-GB"/>
        </w:rPr>
        <w:t>had no legal means in Italy of obtaining recognition</w:t>
      </w:r>
      <w:r w:rsidRPr="00BD212C" w:rsidR="0030011C">
        <w:rPr>
          <w:lang w:val="en-GB"/>
        </w:rPr>
        <w:t xml:space="preserve"> of his status</w:t>
      </w:r>
      <w:r w:rsidRPr="00BD212C" w:rsidR="00B1658E">
        <w:rPr>
          <w:lang w:val="en-GB"/>
        </w:rPr>
        <w:t xml:space="preserve"> as</w:t>
      </w:r>
      <w:r w:rsidRPr="00BD212C" w:rsidR="000D7548">
        <w:rPr>
          <w:lang w:val="en-GB"/>
        </w:rPr>
        <w:t xml:space="preserve"> </w:t>
      </w:r>
      <w:r w:rsidRPr="00BD212C" w:rsidR="00B1658E">
        <w:rPr>
          <w:lang w:val="en-GB"/>
        </w:rPr>
        <w:t>“family member</w:t>
      </w:r>
      <w:r w:rsidRPr="00BD212C" w:rsidR="0030011C">
        <w:rPr>
          <w:lang w:val="en-GB"/>
        </w:rPr>
        <w:t>”</w:t>
      </w:r>
      <w:r w:rsidRPr="00BD212C" w:rsidR="00B1658E">
        <w:rPr>
          <w:lang w:val="en-GB"/>
        </w:rPr>
        <w:t xml:space="preserve"> </w:t>
      </w:r>
      <w:r w:rsidRPr="00BD212C" w:rsidR="000D7548">
        <w:rPr>
          <w:lang w:val="en-GB"/>
        </w:rPr>
        <w:t>of the first applicant</w:t>
      </w:r>
      <w:r w:rsidRPr="00BD212C">
        <w:rPr>
          <w:lang w:val="en-GB"/>
        </w:rPr>
        <w:t xml:space="preserve"> </w:t>
      </w:r>
      <w:r w:rsidRPr="00BD212C" w:rsidR="00B1658E">
        <w:rPr>
          <w:lang w:val="en-GB"/>
        </w:rPr>
        <w:t>an</w:t>
      </w:r>
      <w:r w:rsidRPr="00BD212C" w:rsidR="000D7548">
        <w:rPr>
          <w:lang w:val="en-GB"/>
        </w:rPr>
        <w:t>d</w:t>
      </w:r>
      <w:r w:rsidRPr="00BD212C" w:rsidR="00B1658E">
        <w:rPr>
          <w:lang w:val="en-GB"/>
        </w:rPr>
        <w:t xml:space="preserve"> accordingly </w:t>
      </w:r>
      <w:r w:rsidRPr="00BD212C" w:rsidR="000D7548">
        <w:rPr>
          <w:lang w:val="en-GB"/>
        </w:rPr>
        <w:t>obtaining</w:t>
      </w:r>
      <w:r w:rsidRPr="00BD212C" w:rsidR="00B1658E">
        <w:rPr>
          <w:lang w:val="en-GB"/>
        </w:rPr>
        <w:t xml:space="preserve"> a residence permit for family reasons</w:t>
      </w:r>
      <w:r w:rsidRPr="00BD212C">
        <w:rPr>
          <w:lang w:val="en-GB"/>
        </w:rPr>
        <w:t>.</w:t>
      </w:r>
    </w:p>
    <w:p w:rsidRPr="00BD212C" w:rsidR="008A6EBC" w:rsidP="00BD212C" w:rsidRDefault="008A6EBC">
      <w:pPr>
        <w:pStyle w:val="ECHRPara"/>
        <w:rPr>
          <w:lang w:val="en-GB"/>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96</w:t>
      </w:r>
      <w:r w:rsidRPr="00BD212C">
        <w:rPr>
          <w:szCs w:val="24"/>
          <w:lang w:val="fr-FR"/>
        </w:rPr>
        <w:fldChar w:fldCharType="end"/>
      </w:r>
      <w:r w:rsidRPr="00BD212C">
        <w:rPr>
          <w:szCs w:val="24"/>
          <w:lang w:val="en-GB"/>
        </w:rPr>
        <w:t>.  </w:t>
      </w:r>
      <w:r w:rsidRPr="00BD212C" w:rsidR="00F03160">
        <w:rPr>
          <w:lang w:val="en-GB"/>
        </w:rPr>
        <w:t>The</w:t>
      </w:r>
      <w:r w:rsidRPr="00BD212C">
        <w:rPr>
          <w:lang w:val="en-GB"/>
        </w:rPr>
        <w:t xml:space="preserve"> Cour</w:t>
      </w:r>
      <w:r w:rsidRPr="00BD212C" w:rsidR="00F03160">
        <w:rPr>
          <w:lang w:val="en-GB"/>
        </w:rPr>
        <w:t>t</w:t>
      </w:r>
      <w:r w:rsidRPr="00BD212C">
        <w:rPr>
          <w:lang w:val="en-GB"/>
        </w:rPr>
        <w:t xml:space="preserve"> note</w:t>
      </w:r>
      <w:r w:rsidRPr="00BD212C" w:rsidR="00F03160">
        <w:rPr>
          <w:lang w:val="en-GB"/>
        </w:rPr>
        <w:t>s that the Govern</w:t>
      </w:r>
      <w:r w:rsidRPr="00BD212C">
        <w:rPr>
          <w:lang w:val="en-GB"/>
        </w:rPr>
        <w:t xml:space="preserve">ment </w:t>
      </w:r>
      <w:r w:rsidRPr="00BD212C" w:rsidR="00F03160">
        <w:rPr>
          <w:lang w:val="en-GB"/>
        </w:rPr>
        <w:t>have not indicated any other legitimate aim</w:t>
      </w:r>
      <w:r w:rsidRPr="00BD212C">
        <w:rPr>
          <w:lang w:val="en-GB"/>
        </w:rPr>
        <w:t xml:space="preserve">s </w:t>
      </w:r>
      <w:r w:rsidRPr="00BD212C" w:rsidR="00F03160">
        <w:rPr>
          <w:lang w:val="en-GB"/>
        </w:rPr>
        <w:t>capable of</w:t>
      </w:r>
      <w:r w:rsidRPr="00BD212C">
        <w:rPr>
          <w:lang w:val="en-GB"/>
        </w:rPr>
        <w:t xml:space="preserve"> justif</w:t>
      </w:r>
      <w:r w:rsidRPr="00BD212C" w:rsidR="00F03160">
        <w:rPr>
          <w:lang w:val="en-GB"/>
        </w:rPr>
        <w:t>ying the</w:t>
      </w:r>
      <w:r w:rsidRPr="00BD212C">
        <w:rPr>
          <w:lang w:val="en-GB"/>
        </w:rPr>
        <w:t xml:space="preserve"> discrimination</w:t>
      </w:r>
      <w:r w:rsidRPr="00BD212C" w:rsidR="00F03160">
        <w:rPr>
          <w:lang w:val="en-GB"/>
        </w:rPr>
        <w:t xml:space="preserve"> complained of by the applica</w:t>
      </w:r>
      <w:r w:rsidRPr="00BD212C">
        <w:rPr>
          <w:lang w:val="en-GB"/>
        </w:rPr>
        <w:t xml:space="preserve">nts. </w:t>
      </w:r>
      <w:r w:rsidRPr="00BD212C" w:rsidR="00F03160">
        <w:rPr>
          <w:lang w:val="en-GB"/>
        </w:rPr>
        <w:t>Accordingly</w:t>
      </w:r>
      <w:r w:rsidRPr="00BD212C">
        <w:rPr>
          <w:lang w:val="en-GB"/>
        </w:rPr>
        <w:t>,</w:t>
      </w:r>
      <w:r w:rsidRPr="00BD212C" w:rsidR="00F03160">
        <w:rPr>
          <w:lang w:val="en-GB"/>
        </w:rPr>
        <w:t xml:space="preserve"> it considers that</w:t>
      </w:r>
      <w:r w:rsidRPr="00BD212C">
        <w:rPr>
          <w:lang w:val="en-GB"/>
        </w:rPr>
        <w:t xml:space="preserve">, </w:t>
      </w:r>
      <w:r w:rsidRPr="00BD212C" w:rsidR="00F03160">
        <w:rPr>
          <w:lang w:val="en-GB"/>
        </w:rPr>
        <w:t>in the context of the</w:t>
      </w:r>
      <w:r w:rsidRPr="00BD212C">
        <w:rPr>
          <w:lang w:val="en-GB"/>
        </w:rPr>
        <w:t xml:space="preserve"> </w:t>
      </w:r>
      <w:r w:rsidRPr="00BD212C" w:rsidR="00F03160">
        <w:rPr>
          <w:lang w:val="en-GB"/>
        </w:rPr>
        <w:t>proceedings that the applicants had brought with a view to obtaining a residence permit for family reasons</w:t>
      </w:r>
      <w:r w:rsidRPr="00BD212C">
        <w:rPr>
          <w:lang w:val="en-GB"/>
        </w:rPr>
        <w:t xml:space="preserve">, </w:t>
      </w:r>
      <w:r w:rsidRPr="00BD212C" w:rsidR="00C02B17">
        <w:rPr>
          <w:lang w:val="en-GB"/>
        </w:rPr>
        <w:t>the fact that they were not treated differently from unmarried heterosexual couple</w:t>
      </w:r>
      <w:r w:rsidRPr="00BD212C">
        <w:rPr>
          <w:lang w:val="en-GB"/>
        </w:rPr>
        <w:t xml:space="preserve">s, </w:t>
      </w:r>
      <w:r w:rsidRPr="00BD212C" w:rsidR="00C02B17">
        <w:rPr>
          <w:lang w:val="en-GB"/>
        </w:rPr>
        <w:t>who alone had access to a</w:t>
      </w:r>
      <w:r w:rsidRPr="00BD212C">
        <w:rPr>
          <w:lang w:val="en-GB"/>
        </w:rPr>
        <w:t xml:space="preserve"> form</w:t>
      </w:r>
      <w:r w:rsidRPr="00BD212C" w:rsidR="00C02B17">
        <w:rPr>
          <w:lang w:val="en-GB"/>
        </w:rPr>
        <w:t xml:space="preserve"> of </w:t>
      </w:r>
      <w:r w:rsidRPr="00BD212C" w:rsidR="0030011C">
        <w:rPr>
          <w:lang w:val="en-GB"/>
        </w:rPr>
        <w:t>regularisation</w:t>
      </w:r>
      <w:r w:rsidRPr="00BD212C" w:rsidR="00C02B17">
        <w:rPr>
          <w:lang w:val="en-GB"/>
        </w:rPr>
        <w:t xml:space="preserve"> of their partnership</w:t>
      </w:r>
      <w:r w:rsidRPr="00BD212C">
        <w:rPr>
          <w:lang w:val="en-GB"/>
        </w:rPr>
        <w:t xml:space="preserve">, </w:t>
      </w:r>
      <w:r w:rsidRPr="00BD212C" w:rsidR="00C02B17">
        <w:rPr>
          <w:lang w:val="en-GB"/>
        </w:rPr>
        <w:t>had no</w:t>
      </w:r>
      <w:r w:rsidRPr="00BD212C">
        <w:rPr>
          <w:lang w:val="en-GB"/>
        </w:rPr>
        <w:t xml:space="preserve"> objective </w:t>
      </w:r>
      <w:r w:rsidRPr="00BD212C" w:rsidR="00C02B17">
        <w:rPr>
          <w:lang w:val="en-GB"/>
        </w:rPr>
        <w:t>and reasonable justification</w:t>
      </w:r>
      <w:r w:rsidRPr="00BD212C">
        <w:rPr>
          <w:lang w:val="en-GB"/>
        </w:rPr>
        <w:t xml:space="preserve">. </w:t>
      </w:r>
      <w:r w:rsidRPr="00BD212C" w:rsidR="00C02B17">
        <w:rPr>
          <w:lang w:val="en-GB"/>
        </w:rPr>
        <w:t>In the</w:t>
      </w:r>
      <w:r w:rsidRPr="00BD212C">
        <w:rPr>
          <w:lang w:val="en-GB"/>
        </w:rPr>
        <w:t xml:space="preserve"> Cour</w:t>
      </w:r>
      <w:r w:rsidRPr="00BD212C" w:rsidR="00C02B17">
        <w:rPr>
          <w:lang w:val="en-GB"/>
        </w:rPr>
        <w:t>t</w:t>
      </w:r>
      <w:r w:rsidRPr="00BD212C" w:rsidR="00BD212C">
        <w:rPr>
          <w:lang w:val="en-GB"/>
        </w:rPr>
        <w:t>’</w:t>
      </w:r>
      <w:r w:rsidRPr="00BD212C" w:rsidR="00C02B17">
        <w:rPr>
          <w:lang w:val="en-GB"/>
        </w:rPr>
        <w:t>s view</w:t>
      </w:r>
      <w:r w:rsidRPr="00BD212C">
        <w:rPr>
          <w:lang w:val="en-GB"/>
        </w:rPr>
        <w:t>,</w:t>
      </w:r>
      <w:r w:rsidRPr="00BD212C" w:rsidR="00C02B17">
        <w:rPr>
          <w:lang w:val="en-GB"/>
        </w:rPr>
        <w:t xml:space="preserve"> the restrictive </w:t>
      </w:r>
      <w:r w:rsidRPr="00BD212C">
        <w:rPr>
          <w:lang w:val="en-GB"/>
        </w:rPr>
        <w:t>interpr</w:t>
      </w:r>
      <w:r w:rsidRPr="00BD212C" w:rsidR="00C02B17">
        <w:rPr>
          <w:lang w:val="en-GB"/>
        </w:rPr>
        <w:t>e</w:t>
      </w:r>
      <w:r w:rsidRPr="00BD212C">
        <w:rPr>
          <w:lang w:val="en-GB"/>
        </w:rPr>
        <w:t>tation appli</w:t>
      </w:r>
      <w:r w:rsidRPr="00BD212C" w:rsidR="00C02B17">
        <w:rPr>
          <w:lang w:val="en-GB"/>
        </w:rPr>
        <w:t>ed to the second applic</w:t>
      </w:r>
      <w:r w:rsidRPr="00BD212C">
        <w:rPr>
          <w:lang w:val="en-GB"/>
        </w:rPr>
        <w:t xml:space="preserve">ant </w:t>
      </w:r>
      <w:r w:rsidRPr="00BD212C" w:rsidR="00C02B17">
        <w:rPr>
          <w:lang w:val="en-GB"/>
        </w:rPr>
        <w:t xml:space="preserve">of the concept of “family member” did not duly take account of the personal </w:t>
      </w:r>
      <w:r w:rsidRPr="00BD212C">
        <w:rPr>
          <w:lang w:val="en-GB"/>
        </w:rPr>
        <w:t xml:space="preserve">situation </w:t>
      </w:r>
      <w:r w:rsidRPr="00BD212C" w:rsidR="00C02B17">
        <w:rPr>
          <w:lang w:val="en-GB"/>
        </w:rPr>
        <w:t>of the applic</w:t>
      </w:r>
      <w:r w:rsidRPr="00BD212C">
        <w:rPr>
          <w:lang w:val="en-GB"/>
        </w:rPr>
        <w:t>ants</w:t>
      </w:r>
      <w:r w:rsidRPr="00BD212C" w:rsidR="00C02B17">
        <w:rPr>
          <w:lang w:val="en-GB"/>
        </w:rPr>
        <w:t xml:space="preserve"> and, in particular, of their inability to obtain a legal form of recognition of their</w:t>
      </w:r>
      <w:r w:rsidRPr="00BD212C">
        <w:rPr>
          <w:lang w:val="en-GB"/>
        </w:rPr>
        <w:t xml:space="preserve"> relation</w:t>
      </w:r>
      <w:r w:rsidRPr="00BD212C" w:rsidR="00C02B17">
        <w:rPr>
          <w:lang w:val="en-GB"/>
        </w:rPr>
        <w:t xml:space="preserve">ship </w:t>
      </w:r>
      <w:r w:rsidRPr="00BD212C" w:rsidR="0030011C">
        <w:rPr>
          <w:lang w:val="en-GB"/>
        </w:rPr>
        <w:t>from the Italian authorities</w:t>
      </w:r>
      <w:r w:rsidRPr="00BD212C">
        <w:rPr>
          <w:lang w:val="en-GB"/>
        </w:rPr>
        <w:t xml:space="preserve"> (</w:t>
      </w:r>
      <w:r w:rsidRPr="00BD212C" w:rsidR="00C02B17">
        <w:rPr>
          <w:lang w:val="en-GB"/>
        </w:rPr>
        <w:t>see</w:t>
      </w:r>
      <w:r w:rsidRPr="00BD212C">
        <w:rPr>
          <w:lang w:val="en-GB"/>
        </w:rPr>
        <w:t xml:space="preserve">, </w:t>
      </w:r>
      <w:r w:rsidRPr="00BD212C" w:rsidR="00C02B17">
        <w:rPr>
          <w:lang w:val="en-GB"/>
        </w:rPr>
        <w:t>i</w:t>
      </w:r>
      <w:r w:rsidRPr="00BD212C">
        <w:rPr>
          <w:lang w:val="en-GB"/>
        </w:rPr>
        <w:t>n particul</w:t>
      </w:r>
      <w:r w:rsidRPr="00BD212C" w:rsidR="00C02B17">
        <w:rPr>
          <w:lang w:val="en-GB"/>
        </w:rPr>
        <w:t>a</w:t>
      </w:r>
      <w:r w:rsidRPr="00BD212C">
        <w:rPr>
          <w:lang w:val="en-GB"/>
        </w:rPr>
        <w:t xml:space="preserve">r, </w:t>
      </w:r>
      <w:r w:rsidRPr="00BD212C" w:rsidR="00C02B17">
        <w:rPr>
          <w:lang w:val="en-GB"/>
        </w:rPr>
        <w:t xml:space="preserve">the case-law cited in </w:t>
      </w:r>
      <w:r w:rsidRPr="00BD212C">
        <w:rPr>
          <w:lang w:val="en-GB"/>
        </w:rPr>
        <w:t xml:space="preserve">paragraph 87 </w:t>
      </w:r>
      <w:r w:rsidRPr="00BD212C" w:rsidR="00C02B17">
        <w:rPr>
          <w:lang w:val="en-GB"/>
        </w:rPr>
        <w:t>above</w:t>
      </w:r>
      <w:r w:rsidRPr="00BD212C">
        <w:rPr>
          <w:lang w:val="en-GB"/>
        </w:rPr>
        <w:t>).</w:t>
      </w:r>
    </w:p>
    <w:p w:rsidRPr="00BD212C" w:rsidR="008A6EBC" w:rsidP="00BD212C" w:rsidRDefault="008A6EBC">
      <w:pPr>
        <w:pStyle w:val="ECHRPara"/>
        <w:rPr>
          <w:lang w:val="en-GB"/>
        </w:rPr>
      </w:pPr>
      <w:r w:rsidRPr="00BD212C">
        <w:rPr>
          <w:szCs w:val="24"/>
          <w:lang w:val="fr-FR"/>
        </w:rPr>
        <w:fldChar w:fldCharType="begin"/>
      </w:r>
      <w:r w:rsidRPr="00BD212C">
        <w:rPr>
          <w:szCs w:val="24"/>
          <w:lang w:val="en-GB"/>
        </w:rPr>
        <w:instrText xml:space="preserve"> SEQ level0 \*arabic </w:instrText>
      </w:r>
      <w:r w:rsidRPr="00BD212C">
        <w:rPr>
          <w:szCs w:val="24"/>
          <w:lang w:val="fr-FR"/>
        </w:rPr>
        <w:fldChar w:fldCharType="separate"/>
      </w:r>
      <w:r w:rsidRPr="00BD212C" w:rsidR="00BD212C">
        <w:rPr>
          <w:noProof/>
          <w:szCs w:val="24"/>
          <w:lang w:val="en-GB"/>
        </w:rPr>
        <w:t>97</w:t>
      </w:r>
      <w:r w:rsidRPr="00BD212C">
        <w:rPr>
          <w:szCs w:val="24"/>
          <w:lang w:val="fr-FR"/>
        </w:rPr>
        <w:fldChar w:fldCharType="end"/>
      </w:r>
      <w:r w:rsidRPr="00BD212C">
        <w:rPr>
          <w:szCs w:val="24"/>
          <w:lang w:val="en-GB"/>
        </w:rPr>
        <w:t>.  </w:t>
      </w:r>
      <w:r w:rsidRPr="00BD212C" w:rsidR="00C02B17">
        <w:rPr>
          <w:lang w:val="en-GB"/>
        </w:rPr>
        <w:t>The</w:t>
      </w:r>
      <w:r w:rsidRPr="00BD212C">
        <w:rPr>
          <w:lang w:val="en-GB"/>
        </w:rPr>
        <w:t xml:space="preserve"> Cour</w:t>
      </w:r>
      <w:r w:rsidRPr="00BD212C" w:rsidR="00C02B17">
        <w:rPr>
          <w:lang w:val="en-GB"/>
        </w:rPr>
        <w:t>t also</w:t>
      </w:r>
      <w:r w:rsidRPr="00BD212C">
        <w:rPr>
          <w:lang w:val="en-GB"/>
        </w:rPr>
        <w:t xml:space="preserve"> note</w:t>
      </w:r>
      <w:r w:rsidRPr="00BD212C" w:rsidR="00C02B17">
        <w:rPr>
          <w:lang w:val="en-GB"/>
        </w:rPr>
        <w:t>s that the Govern</w:t>
      </w:r>
      <w:r w:rsidRPr="00BD212C">
        <w:rPr>
          <w:lang w:val="en-GB"/>
        </w:rPr>
        <w:t xml:space="preserve">ment </w:t>
      </w:r>
      <w:r w:rsidRPr="00BD212C" w:rsidR="00C02B17">
        <w:rPr>
          <w:lang w:val="en-GB"/>
        </w:rPr>
        <w:t>did not dispute the</w:t>
      </w:r>
      <w:r w:rsidRPr="00BD212C" w:rsidR="0030011C">
        <w:rPr>
          <w:lang w:val="en-GB"/>
        </w:rPr>
        <w:t xml:space="preserve"> assertion by the</w:t>
      </w:r>
      <w:r w:rsidRPr="00BD212C" w:rsidR="00C02B17">
        <w:rPr>
          <w:lang w:val="en-GB"/>
        </w:rPr>
        <w:t xml:space="preserve"> </w:t>
      </w:r>
      <w:r w:rsidRPr="00BD212C">
        <w:rPr>
          <w:lang w:val="en-GB"/>
        </w:rPr>
        <w:t>ICJ</w:t>
      </w:r>
      <w:r w:rsidRPr="00BD212C" w:rsidR="0030011C">
        <w:rPr>
          <w:lang w:val="en-GB"/>
        </w:rPr>
        <w:t xml:space="preserve"> </w:t>
      </w:r>
      <w:r w:rsidRPr="00BD212C" w:rsidR="00C02B17">
        <w:rPr>
          <w:lang w:val="en-GB"/>
        </w:rPr>
        <w:t xml:space="preserve">or </w:t>
      </w:r>
      <w:r w:rsidRPr="00BD212C">
        <w:rPr>
          <w:lang w:val="en-GB"/>
        </w:rPr>
        <w:t xml:space="preserve">ILGA-Europe </w:t>
      </w:r>
      <w:r w:rsidRPr="00BD212C" w:rsidR="00C02B17">
        <w:rPr>
          <w:lang w:val="en-GB"/>
        </w:rPr>
        <w:t xml:space="preserve">or </w:t>
      </w:r>
      <w:r w:rsidRPr="00BD212C">
        <w:rPr>
          <w:lang w:val="en-GB"/>
        </w:rPr>
        <w:t>NELFA</w:t>
      </w:r>
      <w:r w:rsidRPr="00BD212C" w:rsidR="00C02B17">
        <w:rPr>
          <w:lang w:val="en-GB"/>
        </w:rPr>
        <w:t xml:space="preserve"> </w:t>
      </w:r>
      <w:r w:rsidRPr="00BD212C" w:rsidR="0030011C">
        <w:rPr>
          <w:lang w:val="en-GB"/>
        </w:rPr>
        <w:t>that there was a “significant trend”</w:t>
      </w:r>
      <w:r w:rsidRPr="00BD212C" w:rsidR="00C02B17">
        <w:rPr>
          <w:lang w:val="en-GB"/>
        </w:rPr>
        <w:t xml:space="preserve"> around the world</w:t>
      </w:r>
      <w:r w:rsidRPr="00BD212C">
        <w:rPr>
          <w:lang w:val="en-GB"/>
        </w:rPr>
        <w:t xml:space="preserve"> </w:t>
      </w:r>
      <w:r w:rsidRPr="00BD212C" w:rsidR="00C02B17">
        <w:rPr>
          <w:lang w:val="en-GB"/>
        </w:rPr>
        <w:t xml:space="preserve">towards recognising the status of same-sex partners as “family members” and recognising their right to live together </w:t>
      </w:r>
      <w:r w:rsidRPr="00BD212C">
        <w:rPr>
          <w:lang w:val="en-GB"/>
        </w:rPr>
        <w:t>(</w:t>
      </w:r>
      <w:r w:rsidRPr="00BD212C" w:rsidR="00C02B17">
        <w:rPr>
          <w:lang w:val="en-GB"/>
        </w:rPr>
        <w:t>see paragraph</w:t>
      </w:r>
      <w:r w:rsidRPr="00BD212C">
        <w:rPr>
          <w:lang w:val="en-GB"/>
        </w:rPr>
        <w:t xml:space="preserve"> 77 </w:t>
      </w:r>
      <w:r w:rsidRPr="00BD212C" w:rsidR="00C02B17">
        <w:rPr>
          <w:lang w:val="en-GB"/>
        </w:rPr>
        <w:t>above</w:t>
      </w:r>
      <w:r w:rsidRPr="00BD212C">
        <w:rPr>
          <w:lang w:val="en-GB"/>
        </w:rPr>
        <w:t xml:space="preserve">) </w:t>
      </w:r>
      <w:r w:rsidRPr="00BD212C" w:rsidR="00C02B17">
        <w:rPr>
          <w:lang w:val="en-GB"/>
        </w:rPr>
        <w:t xml:space="preserve">or the comparative-law survey carried out by </w:t>
      </w:r>
      <w:r w:rsidRPr="00BD212C">
        <w:rPr>
          <w:lang w:val="en-GB"/>
        </w:rPr>
        <w:t xml:space="preserve">ECSOL </w:t>
      </w:r>
      <w:r w:rsidRPr="00BD212C" w:rsidR="00C02B17">
        <w:rPr>
          <w:lang w:val="en-GB"/>
        </w:rPr>
        <w:t>concluding that</w:t>
      </w:r>
      <w:r w:rsidRPr="00BD212C" w:rsidR="001B2009">
        <w:rPr>
          <w:lang w:val="en-GB"/>
        </w:rPr>
        <w:t xml:space="preserve"> there was an emerging European consensus recognis</w:t>
      </w:r>
      <w:r w:rsidRPr="00BD212C" w:rsidR="0030011C">
        <w:rPr>
          <w:lang w:val="en-GB"/>
        </w:rPr>
        <w:t>ing,</w:t>
      </w:r>
      <w:r w:rsidRPr="00BD212C" w:rsidR="001B2009">
        <w:rPr>
          <w:lang w:val="en-GB"/>
        </w:rPr>
        <w:t xml:space="preserve"> for the purpose of immigration rights</w:t>
      </w:r>
      <w:r w:rsidRPr="00BD212C" w:rsidR="0030011C">
        <w:rPr>
          <w:lang w:val="en-GB"/>
        </w:rPr>
        <w:t>,</w:t>
      </w:r>
      <w:r w:rsidRPr="00BD212C" w:rsidR="001B2009">
        <w:rPr>
          <w:lang w:val="en-GB"/>
        </w:rPr>
        <w:t xml:space="preserve"> same-sex relations as “family life” </w:t>
      </w:r>
      <w:r w:rsidRPr="00BD212C">
        <w:rPr>
          <w:lang w:val="en-GB"/>
        </w:rPr>
        <w:t>(</w:t>
      </w:r>
      <w:r w:rsidRPr="00BD212C" w:rsidR="001B2009">
        <w:rPr>
          <w:lang w:val="en-GB"/>
        </w:rPr>
        <w:t xml:space="preserve">see </w:t>
      </w:r>
      <w:r w:rsidRPr="00BD212C">
        <w:rPr>
          <w:lang w:val="en-GB"/>
        </w:rPr>
        <w:t xml:space="preserve">paragraph 79 </w:t>
      </w:r>
      <w:r w:rsidRPr="00BD212C" w:rsidR="001B2009">
        <w:rPr>
          <w:lang w:val="en-GB"/>
        </w:rPr>
        <w:t>above</w:t>
      </w:r>
      <w:r w:rsidRPr="00BD212C">
        <w:rPr>
          <w:lang w:val="en-GB"/>
        </w:rPr>
        <w:t xml:space="preserve">). </w:t>
      </w:r>
      <w:r w:rsidRPr="00BD212C" w:rsidR="001B2009">
        <w:rPr>
          <w:rFonts w:cstheme="minorHAnsi"/>
          <w:lang w:val="en-GB"/>
        </w:rPr>
        <w:t>In that connection it</w:t>
      </w:r>
      <w:r w:rsidRPr="00BD212C" w:rsidR="001B2009">
        <w:rPr>
          <w:lang w:val="en-GB"/>
        </w:rPr>
        <w:t xml:space="preserve"> observes that</w:t>
      </w:r>
      <w:r w:rsidRPr="00BD212C">
        <w:rPr>
          <w:lang w:val="en-GB"/>
        </w:rPr>
        <w:t xml:space="preserve"> </w:t>
      </w:r>
      <w:r w:rsidRPr="00BD212C" w:rsidR="0030011C">
        <w:rPr>
          <w:lang w:val="en-GB"/>
        </w:rPr>
        <w:t>the “</w:t>
      </w:r>
      <w:r w:rsidRPr="00BD212C" w:rsidR="001B2009">
        <w:rPr>
          <w:lang w:val="en-GB"/>
        </w:rPr>
        <w:t>relevant European document</w:t>
      </w:r>
      <w:r w:rsidRPr="00BD212C" w:rsidR="0030011C">
        <w:rPr>
          <w:lang w:val="en-GB"/>
        </w:rPr>
        <w:t>s”</w:t>
      </w:r>
      <w:r w:rsidRPr="00BD212C" w:rsidR="001B2009">
        <w:rPr>
          <w:lang w:val="en-GB"/>
        </w:rPr>
        <w:t xml:space="preserve"> show</w:t>
      </w:r>
      <w:r w:rsidRPr="00BD212C" w:rsidR="00C02B17">
        <w:rPr>
          <w:lang w:val="en-GB"/>
        </w:rPr>
        <w:t xml:space="preserve"> </w:t>
      </w:r>
      <w:r w:rsidRPr="00BD212C" w:rsidR="00242129">
        <w:rPr>
          <w:lang w:val="en-GB"/>
        </w:rPr>
        <w:t>...</w:t>
      </w:r>
      <w:r w:rsidRPr="00BD212C">
        <w:rPr>
          <w:lang w:val="en-GB"/>
        </w:rPr>
        <w:t xml:space="preserve"> </w:t>
      </w:r>
      <w:r w:rsidRPr="00BD212C" w:rsidR="001B2009">
        <w:rPr>
          <w:lang w:val="en-GB"/>
        </w:rPr>
        <w:t xml:space="preserve">that both the European Parliament and the Parliamentary Assembly of the Council of </w:t>
      </w:r>
      <w:r w:rsidRPr="00BD212C">
        <w:rPr>
          <w:lang w:val="en-GB"/>
        </w:rPr>
        <w:t xml:space="preserve">Europe </w:t>
      </w:r>
      <w:r w:rsidRPr="00BD212C" w:rsidR="001B2009">
        <w:rPr>
          <w:lang w:val="en-GB"/>
        </w:rPr>
        <w:t>have found a r</w:t>
      </w:r>
      <w:r w:rsidRPr="00BD212C">
        <w:rPr>
          <w:lang w:val="en-GB"/>
        </w:rPr>
        <w:t>estrictive</w:t>
      </w:r>
      <w:r w:rsidRPr="00BD212C" w:rsidR="001B2009">
        <w:rPr>
          <w:lang w:val="en-GB"/>
        </w:rPr>
        <w:t xml:space="preserve"> interpretation</w:t>
      </w:r>
      <w:r w:rsidRPr="00BD212C">
        <w:rPr>
          <w:lang w:val="en-GB"/>
        </w:rPr>
        <w:t xml:space="preserve">, </w:t>
      </w:r>
      <w:r w:rsidRPr="00BD212C" w:rsidR="001B2009">
        <w:rPr>
          <w:lang w:val="en-GB"/>
        </w:rPr>
        <w:t>by the member State</w:t>
      </w:r>
      <w:r w:rsidRPr="00BD212C">
        <w:rPr>
          <w:lang w:val="en-GB"/>
        </w:rPr>
        <w:t xml:space="preserve">s, </w:t>
      </w:r>
      <w:r w:rsidRPr="00BD212C" w:rsidR="001B2009">
        <w:rPr>
          <w:lang w:val="en-GB"/>
        </w:rPr>
        <w:t>of the concept of “family member” in immigration matters</w:t>
      </w:r>
      <w:r w:rsidRPr="00BD212C" w:rsidR="004162D3">
        <w:rPr>
          <w:lang w:val="en-GB"/>
        </w:rPr>
        <w:t xml:space="preserve"> to be problematical</w:t>
      </w:r>
      <w:r w:rsidRPr="00BD212C">
        <w:rPr>
          <w:lang w:val="en-GB"/>
        </w:rPr>
        <w:t>.</w:t>
      </w:r>
    </w:p>
    <w:p w:rsidRPr="00BD212C" w:rsidR="008A6EBC" w:rsidP="00BD212C" w:rsidRDefault="008A6EBC">
      <w:pPr>
        <w:pStyle w:val="ECHRHeading6"/>
        <w:rPr>
          <w:i w:val="0"/>
          <w:lang w:val="en-GB"/>
        </w:rPr>
      </w:pPr>
      <w:r w:rsidRPr="00BD212C">
        <w:rPr>
          <w:rFonts w:cstheme="majorHAnsi"/>
          <w:i w:val="0"/>
          <w:lang w:val="fr-FR"/>
        </w:rPr>
        <w:t>γ</w:t>
      </w:r>
      <w:r w:rsidRPr="00BD212C">
        <w:rPr>
          <w:i w:val="0"/>
          <w:lang w:val="en-GB"/>
        </w:rPr>
        <w:t>)  Conclusion</w:t>
      </w:r>
    </w:p>
    <w:p w:rsidRPr="00BD212C" w:rsidR="008A6EBC" w:rsidP="00BD212C" w:rsidRDefault="00960206">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98</w:t>
      </w:r>
      <w:r w:rsidRPr="00BD212C">
        <w:rPr>
          <w:lang w:val="en-GB"/>
        </w:rPr>
        <w:fldChar w:fldCharType="end"/>
      </w:r>
      <w:r w:rsidRPr="00BD212C" w:rsidR="00014566">
        <w:rPr>
          <w:lang w:val="en-GB"/>
        </w:rPr>
        <w:t>.  </w:t>
      </w:r>
      <w:r w:rsidRPr="00BD212C" w:rsidR="001B2009">
        <w:rPr>
          <w:lang w:val="en-GB"/>
        </w:rPr>
        <w:t>In the light of the foregoing</w:t>
      </w:r>
      <w:r w:rsidRPr="00BD212C" w:rsidR="008A6EBC">
        <w:rPr>
          <w:lang w:val="en-GB"/>
        </w:rPr>
        <w:t>,</w:t>
      </w:r>
      <w:r w:rsidRPr="00BD212C" w:rsidR="001B2009">
        <w:rPr>
          <w:lang w:val="en-GB"/>
        </w:rPr>
        <w:t xml:space="preserve"> the</w:t>
      </w:r>
      <w:r w:rsidRPr="00BD212C" w:rsidR="008A6EBC">
        <w:rPr>
          <w:lang w:val="en-GB"/>
        </w:rPr>
        <w:t xml:space="preserve"> Cour</w:t>
      </w:r>
      <w:r w:rsidRPr="00BD212C" w:rsidR="001B2009">
        <w:rPr>
          <w:lang w:val="en-GB"/>
        </w:rPr>
        <w:t>t considers that, at the material time, by deciding to</w:t>
      </w:r>
      <w:r w:rsidRPr="00BD212C" w:rsidR="008A6EBC">
        <w:rPr>
          <w:lang w:val="en-GB"/>
        </w:rPr>
        <w:t xml:space="preserve"> </w:t>
      </w:r>
      <w:r w:rsidRPr="00BD212C" w:rsidR="001B2009">
        <w:rPr>
          <w:lang w:val="en-GB"/>
        </w:rPr>
        <w:t>treat homosexual couples</w:t>
      </w:r>
      <w:r w:rsidRPr="00BD212C" w:rsidR="004162D3">
        <w:rPr>
          <w:lang w:val="en-GB"/>
        </w:rPr>
        <w:t xml:space="preserve"> –</w:t>
      </w:r>
      <w:r w:rsidRPr="00BD212C" w:rsidR="008A6EBC">
        <w:rPr>
          <w:lang w:val="en-GB"/>
        </w:rPr>
        <w:t xml:space="preserve"> </w:t>
      </w:r>
      <w:r w:rsidRPr="00BD212C" w:rsidR="001B2009">
        <w:rPr>
          <w:lang w:val="en-GB"/>
        </w:rPr>
        <w:t>for the purposes of granting a residence permit for family reasons</w:t>
      </w:r>
      <w:r w:rsidRPr="00BD212C" w:rsidR="004162D3">
        <w:rPr>
          <w:lang w:val="en-GB"/>
        </w:rPr>
        <w:t xml:space="preserve"> –</w:t>
      </w:r>
      <w:r w:rsidRPr="00BD212C" w:rsidR="008A6EBC">
        <w:rPr>
          <w:lang w:val="en-GB"/>
        </w:rPr>
        <w:t xml:space="preserve"> </w:t>
      </w:r>
      <w:r w:rsidRPr="00BD212C" w:rsidR="001B2009">
        <w:rPr>
          <w:lang w:val="en-GB"/>
        </w:rPr>
        <w:t>in the same way as heterosexual</w:t>
      </w:r>
      <w:r w:rsidRPr="00BD212C" w:rsidR="008A6EBC">
        <w:rPr>
          <w:lang w:val="en-GB"/>
        </w:rPr>
        <w:t xml:space="preserve"> couples</w:t>
      </w:r>
      <w:r w:rsidRPr="00BD212C" w:rsidR="004162D3">
        <w:rPr>
          <w:lang w:val="en-GB"/>
        </w:rPr>
        <w:t xml:space="preserve"> who had</w:t>
      </w:r>
      <w:r w:rsidRPr="00BD212C" w:rsidR="008A6EBC">
        <w:rPr>
          <w:lang w:val="en-GB"/>
        </w:rPr>
        <w:t xml:space="preserve"> </w:t>
      </w:r>
      <w:r w:rsidRPr="00BD212C" w:rsidR="001B2009">
        <w:rPr>
          <w:lang w:val="en-GB"/>
        </w:rPr>
        <w:t xml:space="preserve">not </w:t>
      </w:r>
      <w:r w:rsidRPr="00BD212C" w:rsidR="004162D3">
        <w:rPr>
          <w:lang w:val="en-GB"/>
        </w:rPr>
        <w:t>regularised</w:t>
      </w:r>
      <w:r w:rsidRPr="00BD212C" w:rsidR="001B2009">
        <w:rPr>
          <w:lang w:val="en-GB"/>
        </w:rPr>
        <w:t xml:space="preserve"> their</w:t>
      </w:r>
      <w:r w:rsidRPr="00BD212C" w:rsidR="008A6EBC">
        <w:rPr>
          <w:lang w:val="en-GB"/>
        </w:rPr>
        <w:t xml:space="preserve"> situation</w:t>
      </w:r>
      <w:r w:rsidRPr="00BD212C" w:rsidR="001B2009">
        <w:rPr>
          <w:lang w:val="en-GB"/>
        </w:rPr>
        <w:t xml:space="preserve"> the State infringed the applicants</w:t>
      </w:r>
      <w:r w:rsidRPr="00BD212C" w:rsidR="00BD212C">
        <w:rPr>
          <w:lang w:val="en-GB"/>
        </w:rPr>
        <w:t>’</w:t>
      </w:r>
      <w:r w:rsidRPr="00BD212C" w:rsidR="001B2009">
        <w:rPr>
          <w:lang w:val="en-GB"/>
        </w:rPr>
        <w:t xml:space="preserve"> right not to be discriminated against on grounds of sexual </w:t>
      </w:r>
      <w:r w:rsidRPr="00BD212C" w:rsidR="008A6EBC">
        <w:rPr>
          <w:lang w:val="en-GB"/>
        </w:rPr>
        <w:t xml:space="preserve">orientation </w:t>
      </w:r>
      <w:r w:rsidRPr="00BD212C" w:rsidR="001B2009">
        <w:rPr>
          <w:lang w:val="en-GB"/>
        </w:rPr>
        <w:t>in the enjoyment of their right</w:t>
      </w:r>
      <w:r w:rsidRPr="00BD212C" w:rsidR="008A6EBC">
        <w:rPr>
          <w:lang w:val="en-GB"/>
        </w:rPr>
        <w:t>s</w:t>
      </w:r>
      <w:r w:rsidRPr="00BD212C" w:rsidR="001B2009">
        <w:rPr>
          <w:lang w:val="en-GB"/>
        </w:rPr>
        <w:t xml:space="preserve"> under A</w:t>
      </w:r>
      <w:r w:rsidRPr="00BD212C" w:rsidR="008A6EBC">
        <w:rPr>
          <w:lang w:val="en-GB"/>
        </w:rPr>
        <w:t>rticle 8</w:t>
      </w:r>
      <w:r w:rsidRPr="00BD212C" w:rsidR="001B2009">
        <w:rPr>
          <w:lang w:val="en-GB"/>
        </w:rPr>
        <w:t xml:space="preserve"> of the</w:t>
      </w:r>
      <w:r w:rsidRPr="00BD212C" w:rsidR="008A6EBC">
        <w:rPr>
          <w:lang w:val="en-GB"/>
        </w:rPr>
        <w:t xml:space="preserve"> Convention.</w:t>
      </w:r>
    </w:p>
    <w:p w:rsidRPr="00BD212C" w:rsidR="00014566" w:rsidP="00BD212C" w:rsidRDefault="008A6EBC">
      <w:pPr>
        <w:pStyle w:val="ECHRPara"/>
        <w:rPr>
          <w:lang w:val="en-GB"/>
        </w:rPr>
      </w:pPr>
      <w:r w:rsidRPr="00BD212C">
        <w:rPr>
          <w:lang w:val="en-GB"/>
        </w:rPr>
        <w:fldChar w:fldCharType="begin"/>
      </w:r>
      <w:r w:rsidRPr="00BD212C">
        <w:rPr>
          <w:lang w:val="en-GB"/>
        </w:rPr>
        <w:instrText xml:space="preserve"> SEQ level0 \*arabic </w:instrText>
      </w:r>
      <w:r w:rsidRPr="00BD212C">
        <w:rPr>
          <w:lang w:val="en-GB"/>
        </w:rPr>
        <w:fldChar w:fldCharType="separate"/>
      </w:r>
      <w:r w:rsidRPr="00BD212C" w:rsidR="00BD212C">
        <w:rPr>
          <w:noProof/>
          <w:lang w:val="en-GB"/>
        </w:rPr>
        <w:t>99</w:t>
      </w:r>
      <w:r w:rsidRPr="00BD212C">
        <w:rPr>
          <w:lang w:val="en-GB"/>
        </w:rPr>
        <w:fldChar w:fldCharType="end"/>
      </w:r>
      <w:r w:rsidRPr="00BD212C">
        <w:rPr>
          <w:lang w:val="en-GB"/>
        </w:rPr>
        <w:t>.  </w:t>
      </w:r>
      <w:r w:rsidRPr="00BD212C" w:rsidR="00014566">
        <w:rPr>
          <w:lang w:val="en-GB"/>
        </w:rPr>
        <w:t xml:space="preserve">There has accordingly been a violation of </w:t>
      </w:r>
      <w:r w:rsidRPr="00BD212C">
        <w:rPr>
          <w:lang w:val="en-GB"/>
        </w:rPr>
        <w:t>Article 14 of the Convention taken in conjunction with A</w:t>
      </w:r>
      <w:r w:rsidRPr="00BD212C" w:rsidR="00C400F2">
        <w:rPr>
          <w:lang w:val="en-GB"/>
        </w:rPr>
        <w:t>rticle 8.</w:t>
      </w:r>
    </w:p>
    <w:p w:rsidRPr="00BD212C" w:rsidR="003E637D" w:rsidP="00BD212C" w:rsidRDefault="00242129">
      <w:pPr>
        <w:pStyle w:val="ECHRPara"/>
        <w:rPr>
          <w:lang w:val="en-GB"/>
        </w:rPr>
      </w:pPr>
      <w:r w:rsidRPr="00BD212C">
        <w:rPr>
          <w:lang w:val="en-GB"/>
        </w:rPr>
        <w:t>...</w:t>
      </w:r>
    </w:p>
    <w:p w:rsidRPr="00BD212C" w:rsidR="00014566" w:rsidP="00BD212C" w:rsidRDefault="00BB5883">
      <w:pPr>
        <w:pStyle w:val="ECHRTitle1"/>
        <w:rPr>
          <w:lang w:val="en-GB"/>
        </w:rPr>
      </w:pPr>
      <w:r w:rsidRPr="00BD212C">
        <w:rPr>
          <w:lang w:val="en-GB"/>
        </w:rPr>
        <w:t>FOR THESE REASONS, THE COURT</w:t>
      </w:r>
    </w:p>
    <w:p w:rsidRPr="00BD212C" w:rsidR="003E637D" w:rsidP="00BD212C" w:rsidRDefault="00242129">
      <w:pPr>
        <w:pStyle w:val="ECHRPara"/>
        <w:rPr>
          <w:lang w:val="en-GB"/>
        </w:rPr>
      </w:pPr>
      <w:r w:rsidRPr="00BD212C">
        <w:rPr>
          <w:lang w:val="en-GB"/>
        </w:rPr>
        <w:t>...</w:t>
      </w:r>
    </w:p>
    <w:p w:rsidRPr="00BD212C" w:rsidR="00014566" w:rsidP="00BD212C" w:rsidRDefault="00014566">
      <w:pPr>
        <w:pStyle w:val="JuList"/>
        <w:ind w:left="0" w:firstLine="0"/>
        <w:rPr>
          <w:lang w:val="en-GB"/>
        </w:rPr>
      </w:pPr>
    </w:p>
    <w:p w:rsidRPr="00BD212C" w:rsidR="00014566" w:rsidP="00BD212C" w:rsidRDefault="009E5327">
      <w:pPr>
        <w:pStyle w:val="JuList"/>
        <w:rPr>
          <w:lang w:val="en-GB"/>
        </w:rPr>
      </w:pPr>
      <w:r w:rsidRPr="00BD212C">
        <w:rPr>
          <w:lang w:val="en-GB"/>
        </w:rPr>
        <w:t>2</w:t>
      </w:r>
      <w:r w:rsidRPr="00BD212C" w:rsidR="00014566">
        <w:rPr>
          <w:lang w:val="en-GB"/>
        </w:rPr>
        <w:t>.  </w:t>
      </w:r>
      <w:r w:rsidRPr="00BD212C" w:rsidR="00014566">
        <w:rPr>
          <w:i/>
          <w:lang w:val="en-GB"/>
        </w:rPr>
        <w:t>Holds</w:t>
      </w:r>
      <w:r w:rsidRPr="00BD212C" w:rsidR="00960206">
        <w:rPr>
          <w:lang w:val="en-GB"/>
        </w:rPr>
        <w:t xml:space="preserve">, by </w:t>
      </w:r>
      <w:r w:rsidRPr="00BD212C">
        <w:rPr>
          <w:lang w:val="en-GB"/>
        </w:rPr>
        <w:t>six</w:t>
      </w:r>
      <w:r w:rsidRPr="00BD212C" w:rsidR="00960206">
        <w:rPr>
          <w:lang w:val="en-GB"/>
        </w:rPr>
        <w:t xml:space="preserve"> votes to </w:t>
      </w:r>
      <w:r w:rsidRPr="00BD212C">
        <w:rPr>
          <w:lang w:val="en-GB"/>
        </w:rPr>
        <w:t>one</w:t>
      </w:r>
      <w:r w:rsidRPr="00BD212C" w:rsidR="00960206">
        <w:rPr>
          <w:lang w:val="en-GB"/>
        </w:rPr>
        <w:t>,</w:t>
      </w:r>
      <w:r w:rsidRPr="00BD212C" w:rsidR="00014566">
        <w:rPr>
          <w:color w:val="000000"/>
          <w:lang w:val="en-GB"/>
        </w:rPr>
        <w:t xml:space="preserve"> </w:t>
      </w:r>
      <w:r w:rsidRPr="00BD212C" w:rsidR="00014566">
        <w:rPr>
          <w:lang w:val="en-GB"/>
        </w:rPr>
        <w:t xml:space="preserve">that there has been a violation of Article </w:t>
      </w:r>
      <w:r w:rsidRPr="00BD212C">
        <w:rPr>
          <w:lang w:val="en-GB"/>
        </w:rPr>
        <w:t>14</w:t>
      </w:r>
      <w:r w:rsidRPr="00BD212C" w:rsidR="00014566">
        <w:rPr>
          <w:lang w:val="en-GB"/>
        </w:rPr>
        <w:t xml:space="preserve"> of the Convention</w:t>
      </w:r>
      <w:r w:rsidRPr="00BD212C">
        <w:rPr>
          <w:lang w:val="en-GB"/>
        </w:rPr>
        <w:t xml:space="preserve"> taken in conjunction with Article 8</w:t>
      </w:r>
      <w:r w:rsidRPr="00BD212C" w:rsidR="00014566">
        <w:rPr>
          <w:lang w:val="en-GB"/>
        </w:rPr>
        <w:t>;</w:t>
      </w:r>
    </w:p>
    <w:p w:rsidRPr="00BD212C" w:rsidR="00014566" w:rsidP="00BD212C" w:rsidRDefault="00014566">
      <w:pPr>
        <w:pStyle w:val="JuList"/>
        <w:rPr>
          <w:lang w:val="en-GB"/>
        </w:rPr>
      </w:pPr>
    </w:p>
    <w:p w:rsidRPr="00BD212C" w:rsidR="00014566" w:rsidP="00BD212C" w:rsidRDefault="00242129">
      <w:pPr>
        <w:pStyle w:val="JuList"/>
        <w:ind w:hanging="56"/>
        <w:rPr>
          <w:lang w:val="en-GB"/>
        </w:rPr>
      </w:pPr>
      <w:r w:rsidRPr="00BD212C">
        <w:rPr>
          <w:lang w:val="en-GB"/>
        </w:rPr>
        <w:t>...</w:t>
      </w:r>
    </w:p>
    <w:p w:rsidRPr="00BD212C" w:rsidR="00014566" w:rsidP="00BD212C" w:rsidRDefault="00014566">
      <w:pPr>
        <w:pStyle w:val="JuParaLast"/>
        <w:rPr>
          <w:lang w:val="en-GB"/>
        </w:rPr>
      </w:pPr>
      <w:r w:rsidRPr="00BD212C">
        <w:rPr>
          <w:lang w:val="en-GB"/>
        </w:rPr>
        <w:t xml:space="preserve">Done in </w:t>
      </w:r>
      <w:r w:rsidRPr="00BD212C" w:rsidR="009E5327">
        <w:rPr>
          <w:lang w:val="en-GB"/>
        </w:rPr>
        <w:t>French</w:t>
      </w:r>
      <w:r w:rsidRPr="00BD212C">
        <w:rPr>
          <w:lang w:val="en-GB"/>
        </w:rPr>
        <w:t xml:space="preserve">, and notified in writing on </w:t>
      </w:r>
      <w:r w:rsidRPr="00BD212C" w:rsidR="009E5327">
        <w:rPr>
          <w:lang w:val="en-GB"/>
        </w:rPr>
        <w:t>30 June 2016</w:t>
      </w:r>
      <w:r w:rsidRPr="00BD212C">
        <w:rPr>
          <w:lang w:val="en-GB"/>
        </w:rPr>
        <w:t>, pursuant to Rule 77 §§ 2 and 3 of the Rules of Court.</w:t>
      </w:r>
    </w:p>
    <w:p w:rsidRPr="00BD212C" w:rsidR="00014566" w:rsidP="00BD212C" w:rsidRDefault="00014566">
      <w:pPr>
        <w:pStyle w:val="JuSigned"/>
        <w:rPr>
          <w:lang w:val="en-GB"/>
        </w:rPr>
      </w:pPr>
      <w:r w:rsidRPr="00BD212C">
        <w:rPr>
          <w:lang w:val="en-GB"/>
        </w:rPr>
        <w:tab/>
      </w:r>
      <w:r w:rsidRPr="00BD212C" w:rsidR="00960206">
        <w:rPr>
          <w:lang w:val="en-GB"/>
        </w:rPr>
        <w:t>Abel Campos</w:t>
      </w:r>
      <w:r w:rsidRPr="00BD212C">
        <w:rPr>
          <w:lang w:val="en-GB"/>
        </w:rPr>
        <w:tab/>
      </w:r>
      <w:r w:rsidRPr="00BD212C" w:rsidR="00960206">
        <w:rPr>
          <w:szCs w:val="24"/>
          <w:lang w:val="en-GB"/>
        </w:rPr>
        <w:t>Mirjana Lazarova Trajkovska</w:t>
      </w:r>
      <w:r w:rsidRPr="00BD212C" w:rsidR="00E1557C">
        <w:rPr>
          <w:szCs w:val="24"/>
          <w:lang w:val="en-GB"/>
        </w:rPr>
        <w:br/>
      </w:r>
      <w:r w:rsidRPr="00BD212C">
        <w:rPr>
          <w:lang w:val="en-GB"/>
        </w:rPr>
        <w:tab/>
      </w:r>
      <w:r w:rsidRPr="00BD212C" w:rsidR="00960206">
        <w:rPr>
          <w:iCs/>
          <w:lang w:val="en-GB"/>
        </w:rPr>
        <w:t>Registrar</w:t>
      </w:r>
      <w:r w:rsidRPr="00BD212C">
        <w:rPr>
          <w:lang w:val="en-GB"/>
        </w:rPr>
        <w:tab/>
        <w:t>President</w:t>
      </w:r>
    </w:p>
    <w:p w:rsidRPr="00BD212C" w:rsidR="009E5327" w:rsidP="00BD212C" w:rsidRDefault="009E5327">
      <w:pPr>
        <w:pStyle w:val="JuParaLast"/>
        <w:rPr>
          <w:lang w:val="en-GB"/>
        </w:rPr>
      </w:pPr>
    </w:p>
    <w:p w:rsidRPr="00BD212C" w:rsidR="009E5327" w:rsidP="00BD212C" w:rsidRDefault="009E5327">
      <w:pPr>
        <w:pStyle w:val="ECHRPara"/>
      </w:pPr>
      <w:r w:rsidRPr="00BD212C">
        <w:t>In accordance with Article 45 § 2 of the Convention and Rule 74 § 2 of the Rules of Court, the following separate opinions are annexed to this judgment:</w:t>
      </w:r>
    </w:p>
    <w:p w:rsidRPr="00BD212C" w:rsidR="009E5327" w:rsidP="00BD212C" w:rsidRDefault="009E5327">
      <w:pPr>
        <w:pStyle w:val="ECHRPara"/>
      </w:pPr>
      <w:r w:rsidRPr="00BD212C">
        <w:t>(a) </w:t>
      </w:r>
      <w:r w:rsidRPr="00BD212C" w:rsidR="00CC7197">
        <w:t> </w:t>
      </w:r>
      <w:r w:rsidRPr="00BD212C">
        <w:t>concurring opinion of Judge Spano, joined by Judge Bianku;</w:t>
      </w:r>
    </w:p>
    <w:p w:rsidRPr="00BD212C" w:rsidR="00A24F54" w:rsidP="00BD212C" w:rsidRDefault="00CC7197">
      <w:pPr>
        <w:pStyle w:val="ECHRPara"/>
      </w:pPr>
      <w:r w:rsidRPr="00BD212C">
        <w:t>(b)  </w:t>
      </w:r>
      <w:r w:rsidRPr="00BD212C" w:rsidR="009E5327">
        <w:t>partly dissenting opinion of Judge Sicilianos.</w:t>
      </w:r>
    </w:p>
    <w:p w:rsidRPr="00BD212C" w:rsidR="002754C2" w:rsidP="00BD212C" w:rsidRDefault="00A24F54">
      <w:pPr>
        <w:pStyle w:val="JuInitialled"/>
        <w:rPr>
          <w:lang w:val="en-GB"/>
        </w:rPr>
        <w:sectPr w:rsidRPr="00BD212C" w:rsidR="002754C2" w:rsidSect="00960206">
          <w:headerReference w:type="even" r:id="rId11"/>
          <w:headerReference w:type="default" r:id="rId12"/>
          <w:footnotePr>
            <w:numRestart w:val="eachSect"/>
          </w:footnotePr>
          <w:pgSz w:w="11906" w:h="16838" w:code="9"/>
          <w:pgMar w:top="2274" w:right="2274" w:bottom="2274" w:left="2274" w:header="1701" w:footer="720" w:gutter="0"/>
          <w:pgNumType w:start="1"/>
          <w:cols w:space="720"/>
          <w:docGrid w:linePitch="326"/>
        </w:sectPr>
      </w:pPr>
      <w:r w:rsidRPr="00BD212C">
        <w:rPr>
          <w:lang w:val="en-GB"/>
        </w:rPr>
        <w:t>M.L.T.</w:t>
      </w:r>
      <w:r w:rsidRPr="00BD212C">
        <w:rPr>
          <w:lang w:val="en-GB"/>
        </w:rPr>
        <w:br/>
        <w:t>A.C.</w:t>
      </w:r>
    </w:p>
    <w:p w:rsidRPr="00BD212C" w:rsidR="002754C2" w:rsidP="00BD212C" w:rsidRDefault="002754C2">
      <w:pPr>
        <w:pStyle w:val="ECHRTitleCentre1"/>
        <w:rPr>
          <w:lang w:val="en-GB"/>
        </w:rPr>
      </w:pPr>
      <w:r w:rsidRPr="00BD212C">
        <w:rPr>
          <w:lang w:val="en-GB"/>
        </w:rPr>
        <w:t>CONCURRING OPINION OF JUDGE SPANO,</w:t>
      </w:r>
      <w:r w:rsidRPr="00BD212C">
        <w:rPr>
          <w:lang w:val="en-GB"/>
        </w:rPr>
        <w:br/>
        <w:t>JOINED BY JUDGE BIANKU</w:t>
      </w:r>
    </w:p>
    <w:p w:rsidRPr="00BD212C" w:rsidR="002754C2" w:rsidP="00BD212C" w:rsidRDefault="002754C2">
      <w:pPr>
        <w:pStyle w:val="OpiPara"/>
        <w:rPr>
          <w:lang w:val="en-GB"/>
        </w:rPr>
      </w:pPr>
      <w:r w:rsidRPr="00BD212C">
        <w:rPr>
          <w:lang w:val="en-GB"/>
        </w:rPr>
        <w:t>1.  I will not express a view on the Court</w:t>
      </w:r>
      <w:r w:rsidRPr="00BD212C" w:rsidR="00BD212C">
        <w:rPr>
          <w:lang w:val="en-GB"/>
        </w:rPr>
        <w:t>’</w:t>
      </w:r>
      <w:r w:rsidRPr="00BD212C">
        <w:rPr>
          <w:lang w:val="en-GB"/>
        </w:rPr>
        <w:t xml:space="preserve">s current case-law granting deference to the Member States in deciding whether to legalise same-sex marriage. As things stand, that is the position of the Court, one by which I am bound on the basis of the principle of </w:t>
      </w:r>
      <w:r w:rsidRPr="00BD212C">
        <w:rPr>
          <w:i/>
          <w:lang w:val="en-GB"/>
        </w:rPr>
        <w:t>stare decisis</w:t>
      </w:r>
      <w:r w:rsidRPr="00BD212C">
        <w:rPr>
          <w:lang w:val="en-GB"/>
        </w:rPr>
        <w:t xml:space="preserve">. However, as recognised in </w:t>
      </w:r>
      <w:r w:rsidRPr="00BD212C">
        <w:rPr>
          <w:i/>
          <w:lang w:val="en-GB"/>
        </w:rPr>
        <w:t>Schalk and Kopf v. Austria</w:t>
      </w:r>
      <w:r w:rsidRPr="00BD212C">
        <w:rPr>
          <w:lang w:val="en-GB"/>
        </w:rPr>
        <w:t xml:space="preserve"> (no. 30141/04, § 105, ECHR 2010), things may change.</w:t>
      </w:r>
    </w:p>
    <w:p w:rsidRPr="00BD212C" w:rsidR="002754C2" w:rsidP="00BD212C" w:rsidRDefault="002754C2">
      <w:pPr>
        <w:pStyle w:val="OpiPara"/>
        <w:rPr>
          <w:lang w:val="en-GB"/>
        </w:rPr>
      </w:pPr>
      <w:r w:rsidRPr="00BD212C">
        <w:rPr>
          <w:lang w:val="en-GB"/>
        </w:rPr>
        <w:t>2.  I am writing separately to highlight the fact that although States are not under an obligation to afford same-sex couples access to the institution of marriage, that does not mean that these individuals are unable to find sanctuary in this Court when invoking the right to respect for their family lives in particular contexts. On the contrary, if States decide to exclude same-sex couples from being able to marry, such a decision may have consequences when this Court is called upon to examine a claim of unjustified discrimi</w:t>
      </w:r>
      <w:r w:rsidRPr="00BD212C">
        <w:rPr>
          <w:lang w:val="en-GB"/>
        </w:rPr>
        <w:softHyphen/>
        <w:t>nation within a specific context that falls within the ambit of the right to respect for family life under Article 8 taken in conjunction with Article 14 of the Convention.</w:t>
      </w:r>
    </w:p>
    <w:p w:rsidRPr="00BD212C" w:rsidR="00242129" w:rsidP="00BD212C" w:rsidRDefault="002754C2">
      <w:pPr>
        <w:pStyle w:val="OpiPara"/>
        <w:rPr>
          <w:lang w:val="en-GB"/>
        </w:rPr>
      </w:pPr>
      <w:r w:rsidRPr="00BD212C">
        <w:rPr>
          <w:lang w:val="en-GB"/>
        </w:rPr>
        <w:t xml:space="preserve">3.  As Italy decided to afford foreign nationals the ability to request residence permits if they were “family members” of citizens, the application of that system of domestic law could not be discriminatory (see </w:t>
      </w:r>
      <w:r w:rsidRPr="00BD212C">
        <w:rPr>
          <w:i/>
          <w:lang w:val="en-GB"/>
        </w:rPr>
        <w:t>E.B. v. France</w:t>
      </w:r>
      <w:r w:rsidRPr="00BD212C">
        <w:rPr>
          <w:lang w:val="en-GB"/>
        </w:rPr>
        <w:t xml:space="preserve"> [GC], no. 43546/02, § 49, 22 January 2008). It follows that the impossibility in Italy at the material time for same-sex couples to acquire marital status or other legal recognition of their relationship could not, under any reasonable interpretation of Article 8 taken in conjunction with Article 14 of the Convention, have made their relationships any less worthy of being treated as constituting a family unit within the particular context of immigration proceedings. The judgment does nothing more than require Italy to take due account of the existence of a serious and stable same-sex relation</w:t>
      </w:r>
      <w:r w:rsidRPr="00BD212C">
        <w:rPr>
          <w:lang w:val="en-GB"/>
        </w:rPr>
        <w:softHyphen/>
        <w:t>ship in this specific context. The Court thus firmly rejects the argument that States can legitimately invoke the concept of the “traditional family” as a basis for denying a request for a residence permit made by a foreign national who is in a relationship with a citizen of the same sex.</w:t>
      </w:r>
    </w:p>
    <w:p w:rsidRPr="00BD212C" w:rsidR="00242129" w:rsidP="00BD212C" w:rsidRDefault="002754C2">
      <w:pPr>
        <w:pStyle w:val="OpiPara"/>
        <w:rPr>
          <w:lang w:val="en-GB"/>
        </w:rPr>
      </w:pPr>
      <w:r w:rsidRPr="00BD212C">
        <w:rPr>
          <w:lang w:val="en-GB"/>
        </w:rPr>
        <w:t>4.  In conclusion, the fundamental principle of human dignity, which is one of the cornerstones of Article 8 of the Convention, guarantees to each and every individual the right to found a family with whomever they choose, irrespective of their sexual identity or sexual orientation.</w:t>
      </w:r>
    </w:p>
    <w:p w:rsidRPr="00BD212C" w:rsidR="00FA3F87" w:rsidP="00BD212C" w:rsidRDefault="002754C2">
      <w:pPr>
        <w:pStyle w:val="OpiPara"/>
        <w:rPr>
          <w:lang w:val="en-GB"/>
        </w:rPr>
      </w:pPr>
      <w:r w:rsidRPr="00BD212C">
        <w:rPr>
          <w:lang w:val="en-GB"/>
        </w:rPr>
        <w:t>I concur in the judgment.</w:t>
      </w:r>
    </w:p>
    <w:p w:rsidRPr="00BD212C" w:rsidR="00FA3F87" w:rsidP="00BD212C" w:rsidRDefault="00FA3F87">
      <w:pPr>
        <w:jc w:val="left"/>
        <w:rPr>
          <w:lang w:val="en-GB"/>
        </w:rPr>
      </w:pPr>
      <w:r w:rsidRPr="00BD212C">
        <w:rPr>
          <w:lang w:val="en-GB"/>
        </w:rPr>
        <w:br w:type="page"/>
      </w:r>
    </w:p>
    <w:p w:rsidRPr="00BD212C" w:rsidR="00653C1F" w:rsidP="00BD212C" w:rsidRDefault="00653C1F">
      <w:pPr>
        <w:pStyle w:val="ECHRTitleCentre1"/>
      </w:pPr>
      <w:r w:rsidRPr="00BD212C">
        <w:t>PARTLY DISSENTING OPINION OF JUDGE SICILIANOS</w:t>
      </w:r>
    </w:p>
    <w:p w:rsidRPr="00BD212C" w:rsidR="00653C1F" w:rsidP="00BD212C" w:rsidRDefault="00097624">
      <w:pPr>
        <w:pStyle w:val="OpiPara"/>
      </w:pPr>
      <w:r w:rsidRPr="00BD212C">
        <w:t>1.  Much to my</w:t>
      </w:r>
      <w:r w:rsidRPr="00BD212C" w:rsidR="00653C1F">
        <w:t xml:space="preserve"> regret, </w:t>
      </w:r>
      <w:r w:rsidRPr="00BD212C">
        <w:t xml:space="preserve">I cannot agree with the </w:t>
      </w:r>
      <w:r w:rsidRPr="00BD212C" w:rsidR="00653C1F">
        <w:t>majorit</w:t>
      </w:r>
      <w:r w:rsidRPr="00BD212C">
        <w:t>y that there has been a</w:t>
      </w:r>
      <w:r w:rsidRPr="00BD212C" w:rsidR="00653C1F">
        <w:t xml:space="preserve"> violation</w:t>
      </w:r>
      <w:r w:rsidRPr="00BD212C">
        <w:t xml:space="preserve"> of A</w:t>
      </w:r>
      <w:r w:rsidRPr="00BD212C" w:rsidR="00653C1F">
        <w:t xml:space="preserve">rticle 8 </w:t>
      </w:r>
      <w:r w:rsidRPr="00BD212C">
        <w:t>taken together with A</w:t>
      </w:r>
      <w:r w:rsidRPr="00BD212C" w:rsidR="00653C1F">
        <w:t xml:space="preserve">rticle 14 </w:t>
      </w:r>
      <w:r w:rsidRPr="00BD212C">
        <w:t>of the</w:t>
      </w:r>
      <w:r w:rsidRPr="00BD212C" w:rsidR="00653C1F">
        <w:t xml:space="preserve"> Convention. </w:t>
      </w:r>
      <w:r w:rsidRPr="00BD212C">
        <w:t>I do not think that the present case amounts to a case of</w:t>
      </w:r>
      <w:r w:rsidRPr="00BD212C" w:rsidR="00653C1F">
        <w:t xml:space="preserve"> discrimination prohib</w:t>
      </w:r>
      <w:r w:rsidRPr="00BD212C">
        <w:t>ited by the</w:t>
      </w:r>
      <w:r w:rsidRPr="00BD212C" w:rsidR="00653C1F">
        <w:t xml:space="preserve"> Convention (I). </w:t>
      </w:r>
      <w:r w:rsidRPr="00BD212C">
        <w:t>In my view,</w:t>
      </w:r>
      <w:r w:rsidRPr="00BD212C" w:rsidR="00653C1F">
        <w:t xml:space="preserve"> </w:t>
      </w:r>
      <w:r w:rsidRPr="00BD212C">
        <w:t xml:space="preserve">we </w:t>
      </w:r>
      <w:r w:rsidRPr="00BD212C" w:rsidR="00A13747">
        <w:t>are rather</w:t>
      </w:r>
      <w:r w:rsidRPr="00BD212C">
        <w:t xml:space="preserve"> dealing here with a</w:t>
      </w:r>
      <w:r w:rsidRPr="00BD212C" w:rsidR="00441BE2">
        <w:t xml:space="preserve"> possible</w:t>
      </w:r>
      <w:r w:rsidRPr="00BD212C" w:rsidR="00653C1F">
        <w:t xml:space="preserve"> violation </w:t>
      </w:r>
      <w:r w:rsidRPr="00BD212C">
        <w:t>of the right to</w:t>
      </w:r>
      <w:r w:rsidRPr="00BD212C" w:rsidR="00653C1F">
        <w:t xml:space="preserve"> respect </w:t>
      </w:r>
      <w:r w:rsidRPr="00BD212C">
        <w:t>for family lif</w:t>
      </w:r>
      <w:r w:rsidRPr="00BD212C" w:rsidR="00653C1F">
        <w:t xml:space="preserve">e </w:t>
      </w:r>
      <w:r w:rsidRPr="00BD212C">
        <w:t>guaranteed by A</w:t>
      </w:r>
      <w:r w:rsidRPr="00BD212C" w:rsidR="00653C1F">
        <w:t xml:space="preserve">rticle 8 </w:t>
      </w:r>
      <w:r w:rsidRPr="00BD212C">
        <w:t xml:space="preserve">of the </w:t>
      </w:r>
      <w:r w:rsidRPr="00BD212C" w:rsidR="00653C1F">
        <w:t xml:space="preserve">Convention </w:t>
      </w:r>
      <w:r w:rsidRPr="00BD212C">
        <w:t>taken alone</w:t>
      </w:r>
      <w:r w:rsidRPr="00BD212C" w:rsidR="00653C1F">
        <w:t> (II).</w:t>
      </w:r>
    </w:p>
    <w:p w:rsidRPr="00BD212C" w:rsidR="00653C1F" w:rsidP="00BD212C" w:rsidRDefault="00653C1F">
      <w:pPr>
        <w:pStyle w:val="OpiHA"/>
      </w:pPr>
      <w:r w:rsidRPr="00BD212C">
        <w:t>I.  </w:t>
      </w:r>
      <w:r w:rsidRPr="00BD212C" w:rsidR="001C0FC1">
        <w:t>The</w:t>
      </w:r>
      <w:r w:rsidRPr="00BD212C">
        <w:t xml:space="preserve"> pr</w:t>
      </w:r>
      <w:r w:rsidRPr="00BD212C" w:rsidR="001C0FC1">
        <w:t>e</w:t>
      </w:r>
      <w:r w:rsidRPr="00BD212C">
        <w:t>sent</w:t>
      </w:r>
      <w:r w:rsidRPr="00BD212C" w:rsidR="001C0FC1">
        <w:t xml:space="preserve"> cas</w:t>
      </w:r>
      <w:r w:rsidRPr="00BD212C">
        <w:t xml:space="preserve">e </w:t>
      </w:r>
      <w:r w:rsidRPr="00BD212C" w:rsidR="001C0FC1">
        <w:t xml:space="preserve">does not involve </w:t>
      </w:r>
      <w:r w:rsidRPr="00BD212C">
        <w:t>discrimination</w:t>
      </w:r>
    </w:p>
    <w:p w:rsidRPr="00BD212C" w:rsidR="00653C1F" w:rsidP="00BD212C" w:rsidRDefault="00653C1F">
      <w:pPr>
        <w:pStyle w:val="OpiH1"/>
      </w:pPr>
      <w:r w:rsidRPr="00BD212C">
        <w:t>A.  </w:t>
      </w:r>
      <w:r w:rsidRPr="00BD212C" w:rsidR="001C0FC1">
        <w:t>Admissibility</w:t>
      </w:r>
    </w:p>
    <w:p w:rsidRPr="00BD212C" w:rsidR="00653C1F" w:rsidP="00BD212C" w:rsidRDefault="00653C1F">
      <w:pPr>
        <w:pStyle w:val="OpiPara"/>
      </w:pPr>
      <w:r w:rsidRPr="00BD212C">
        <w:t>2.  </w:t>
      </w:r>
      <w:r w:rsidRPr="00BD212C" w:rsidR="001C0FC1">
        <w:t>It should be observed, at the outset, that the judgment</w:t>
      </w:r>
      <w:r w:rsidRPr="00BD212C" w:rsidR="004F57FB">
        <w:t xml:space="preserve"> </w:t>
      </w:r>
      <w:r w:rsidRPr="00BD212C">
        <w:t>correct</w:t>
      </w:r>
      <w:r w:rsidRPr="00BD212C" w:rsidR="001C0FC1">
        <w:t>ly</w:t>
      </w:r>
      <w:r w:rsidRPr="00BD212C">
        <w:t xml:space="preserve"> </w:t>
      </w:r>
      <w:r w:rsidRPr="00BD212C" w:rsidR="001C0FC1">
        <w:t>establishe</w:t>
      </w:r>
      <w:r w:rsidRPr="00BD212C" w:rsidR="00A13747">
        <w:t>s</w:t>
      </w:r>
      <w:r w:rsidRPr="00BD212C" w:rsidR="001C0FC1">
        <w:t xml:space="preserve"> that “the facts of the case, </w:t>
      </w:r>
      <w:r w:rsidRPr="00BD212C" w:rsidR="001C0FC1">
        <w:rPr>
          <w:lang w:val="en-GB"/>
        </w:rPr>
        <w:t xml:space="preserve">as established between 18 October 2004 and July 2009, </w:t>
      </w:r>
      <w:r w:rsidRPr="00BD212C" w:rsidR="004F57FB">
        <w:rPr>
          <w:lang w:val="en-GB"/>
        </w:rPr>
        <w:t>fall</w:t>
      </w:r>
      <w:r w:rsidRPr="00BD212C" w:rsidR="001C0FC1">
        <w:rPr>
          <w:lang w:val="en-GB"/>
        </w:rPr>
        <w:t xml:space="preserve"> within the scope of Article 8 of the Convention and that Article 14, taken together with Article 8, </w:t>
      </w:r>
      <w:r w:rsidRPr="00BD212C" w:rsidR="004F57FB">
        <w:rPr>
          <w:lang w:val="en-GB"/>
        </w:rPr>
        <w:t>i</w:t>
      </w:r>
      <w:r w:rsidRPr="00BD212C" w:rsidR="001C0FC1">
        <w:rPr>
          <w:lang w:val="en-GB"/>
        </w:rPr>
        <w:t>s applicable</w:t>
      </w:r>
      <w:r w:rsidRPr="00BD212C" w:rsidR="001C0FC1">
        <w:t>”</w:t>
      </w:r>
      <w:r w:rsidRPr="00BD212C">
        <w:t xml:space="preserve"> (</w:t>
      </w:r>
      <w:r w:rsidRPr="00BD212C" w:rsidR="001C0FC1">
        <w:t xml:space="preserve">see </w:t>
      </w:r>
      <w:r w:rsidRPr="00BD212C">
        <w:t xml:space="preserve">paragraph 63). </w:t>
      </w:r>
      <w:r w:rsidRPr="00BD212C" w:rsidR="001C0FC1">
        <w:t>In other words</w:t>
      </w:r>
      <w:r w:rsidRPr="00BD212C">
        <w:t xml:space="preserve">, </w:t>
      </w:r>
      <w:r w:rsidRPr="00BD212C" w:rsidR="001C0FC1">
        <w:t xml:space="preserve">I </w:t>
      </w:r>
      <w:r w:rsidRPr="00BD212C" w:rsidR="004F57FB">
        <w:t>readily concur</w:t>
      </w:r>
      <w:r w:rsidRPr="00BD212C" w:rsidR="001C0FC1">
        <w:t xml:space="preserve"> with the finding </w:t>
      </w:r>
      <w:r w:rsidRPr="00BD212C" w:rsidR="00A13747">
        <w:t>that</w:t>
      </w:r>
      <w:r w:rsidRPr="00BD212C" w:rsidR="001C0FC1">
        <w:t xml:space="preserve"> A</w:t>
      </w:r>
      <w:r w:rsidRPr="00BD212C">
        <w:t xml:space="preserve">rticle 14 </w:t>
      </w:r>
      <w:r w:rsidRPr="00BD212C" w:rsidR="001C0FC1">
        <w:t>of the</w:t>
      </w:r>
      <w:r w:rsidRPr="00BD212C">
        <w:t xml:space="preserve"> Convention </w:t>
      </w:r>
      <w:r w:rsidRPr="00BD212C" w:rsidR="001C0FC1">
        <w:t>taken together with Ar</w:t>
      </w:r>
      <w:r w:rsidRPr="00BD212C">
        <w:t>ticle 8</w:t>
      </w:r>
      <w:r w:rsidRPr="00BD212C" w:rsidR="00A13747">
        <w:t xml:space="preserve"> is applicable</w:t>
      </w:r>
      <w:r w:rsidRPr="00BD212C">
        <w:t>.</w:t>
      </w:r>
    </w:p>
    <w:p w:rsidRPr="00BD212C" w:rsidR="00653C1F" w:rsidP="00BD212C" w:rsidRDefault="00653C1F">
      <w:pPr>
        <w:pStyle w:val="OpiH1"/>
      </w:pPr>
      <w:r w:rsidRPr="00BD212C">
        <w:t>B.  </w:t>
      </w:r>
      <w:r w:rsidRPr="00BD212C" w:rsidR="00500D65">
        <w:t>Merits</w:t>
      </w:r>
    </w:p>
    <w:p w:rsidRPr="00BD212C" w:rsidR="00653C1F" w:rsidP="00BD212C" w:rsidRDefault="00653C1F">
      <w:pPr>
        <w:pStyle w:val="OpiHa0"/>
      </w:pPr>
      <w:r w:rsidRPr="00BD212C">
        <w:t>1.  </w:t>
      </w:r>
      <w:r w:rsidRPr="00BD212C" w:rsidR="00DC03D4">
        <w:t>The two facets</w:t>
      </w:r>
      <w:r w:rsidRPr="00BD212C">
        <w:rPr>
          <w:color w:val="FF0000"/>
        </w:rPr>
        <w:t xml:space="preserve"> </w:t>
      </w:r>
      <w:r w:rsidRPr="00BD212C" w:rsidR="00500D65">
        <w:t>of the</w:t>
      </w:r>
      <w:r w:rsidRPr="00BD212C">
        <w:t xml:space="preserve"> princip</w:t>
      </w:r>
      <w:r w:rsidRPr="00BD212C" w:rsidR="00500D65">
        <w:t>l</w:t>
      </w:r>
      <w:r w:rsidRPr="00BD212C">
        <w:t xml:space="preserve">e </w:t>
      </w:r>
      <w:r w:rsidRPr="00BD212C" w:rsidR="00500D65">
        <w:t>of</w:t>
      </w:r>
      <w:r w:rsidRPr="00BD212C">
        <w:t xml:space="preserve"> non-discrimination</w:t>
      </w:r>
    </w:p>
    <w:p w:rsidRPr="00BD212C" w:rsidR="00653C1F" w:rsidP="00BD212C" w:rsidRDefault="00653C1F">
      <w:pPr>
        <w:pStyle w:val="ECHRPara"/>
        <w:rPr>
          <w:lang w:val="pt-PT"/>
        </w:rPr>
      </w:pPr>
      <w:r w:rsidRPr="00BD212C">
        <w:t>3.  </w:t>
      </w:r>
      <w:r w:rsidRPr="00BD212C" w:rsidR="00500D65">
        <w:t>With regard to the merits of this</w:t>
      </w:r>
      <w:r w:rsidRPr="00BD212C">
        <w:t xml:space="preserve"> question, </w:t>
      </w:r>
      <w:r w:rsidRPr="00BD212C" w:rsidR="00500D65">
        <w:t>the judgment</w:t>
      </w:r>
      <w:r w:rsidRPr="00BD212C">
        <w:t xml:space="preserve"> </w:t>
      </w:r>
      <w:r w:rsidRPr="00BD212C" w:rsidR="00500D65">
        <w:t xml:space="preserve">reiterates </w:t>
      </w:r>
      <w:r w:rsidRPr="00BD212C" w:rsidR="00DC03D4">
        <w:t>the two facets of the p</w:t>
      </w:r>
      <w:r w:rsidRPr="00BD212C">
        <w:t>rincip</w:t>
      </w:r>
      <w:r w:rsidRPr="00BD212C" w:rsidR="00DC03D4">
        <w:t>l</w:t>
      </w:r>
      <w:r w:rsidRPr="00BD212C">
        <w:t xml:space="preserve">e </w:t>
      </w:r>
      <w:r w:rsidRPr="00BD212C" w:rsidR="00DC03D4">
        <w:t>of</w:t>
      </w:r>
      <w:r w:rsidRPr="00BD212C">
        <w:t xml:space="preserve"> non-discrimination </w:t>
      </w:r>
      <w:r w:rsidRPr="00BD212C" w:rsidR="00DC03D4">
        <w:t>as</w:t>
      </w:r>
      <w:r w:rsidRPr="00BD212C">
        <w:t xml:space="preserve"> </w:t>
      </w:r>
      <w:r w:rsidRPr="00BD212C" w:rsidR="00FE7CB5">
        <w:t>established in</w:t>
      </w:r>
      <w:r w:rsidRPr="00BD212C" w:rsidR="00DC03D4">
        <w:t xml:space="preserve"> the Court</w:t>
      </w:r>
      <w:r w:rsidRPr="00BD212C" w:rsidR="00BD212C">
        <w:t>’</w:t>
      </w:r>
      <w:r w:rsidRPr="00BD212C" w:rsidR="00DC03D4">
        <w:t>s case-law. We know that an issue may arise under A</w:t>
      </w:r>
      <w:r w:rsidRPr="00BD212C">
        <w:t xml:space="preserve">rticle 14 </w:t>
      </w:r>
      <w:r w:rsidRPr="00BD212C" w:rsidR="00DC03D4">
        <w:t xml:space="preserve">where there is </w:t>
      </w:r>
      <w:r w:rsidRPr="00BD212C" w:rsidR="004F57FB">
        <w:t xml:space="preserve">a) </w:t>
      </w:r>
      <w:r w:rsidRPr="00BD212C" w:rsidR="00DC03D4">
        <w:t>a difference in treatment of persons in relevantly similar situations</w:t>
      </w:r>
      <w:r w:rsidRPr="00BD212C" w:rsidR="00DC03D4">
        <w:rPr>
          <w:lang w:val="en-GB"/>
        </w:rPr>
        <w:t xml:space="preserve"> or b) </w:t>
      </w:r>
      <w:r w:rsidRPr="00BD212C" w:rsidR="00DC03D4">
        <w:t>identical treatment of persons whose situations are different</w:t>
      </w:r>
      <w:r w:rsidRPr="00BD212C">
        <w:t> (</w:t>
      </w:r>
      <w:r w:rsidRPr="00BD212C" w:rsidR="00DC03D4">
        <w:t>see paragraph</w:t>
      </w:r>
      <w:r w:rsidRPr="00BD212C" w:rsidR="00FE7CB5">
        <w:t> 81</w:t>
      </w:r>
      <w:r w:rsidRPr="00BD212C" w:rsidR="00DC03D4">
        <w:t>of the judgment and the</w:t>
      </w:r>
      <w:r w:rsidRPr="00BD212C">
        <w:t xml:space="preserve"> r</w:t>
      </w:r>
      <w:r w:rsidRPr="00BD212C" w:rsidR="00DC03D4">
        <w:t>efe</w:t>
      </w:r>
      <w:r w:rsidRPr="00BD212C">
        <w:t xml:space="preserve">rences </w:t>
      </w:r>
      <w:r w:rsidRPr="00BD212C" w:rsidR="00DC03D4">
        <w:t>cited therein</w:t>
      </w:r>
      <w:r w:rsidRPr="00BD212C">
        <w:t xml:space="preserve">). </w:t>
      </w:r>
      <w:r w:rsidRPr="00BD212C" w:rsidR="00FE7CB5">
        <w:t>When applying those principles to the instant case</w:t>
      </w:r>
      <w:r w:rsidRPr="00BD212C">
        <w:t>,</w:t>
      </w:r>
      <w:r w:rsidRPr="00BD212C" w:rsidR="00FE7CB5">
        <w:t xml:space="preserve"> the judgment</w:t>
      </w:r>
      <w:r w:rsidRPr="00BD212C">
        <w:t xml:space="preserve"> </w:t>
      </w:r>
      <w:r w:rsidRPr="00BD212C" w:rsidR="00FE7CB5">
        <w:t>considers the case under the</w:t>
      </w:r>
      <w:r w:rsidRPr="00BD212C">
        <w:t xml:space="preserve"> second </w:t>
      </w:r>
      <w:r w:rsidRPr="00BD212C" w:rsidR="00FE7CB5">
        <w:t>aspect of the</w:t>
      </w:r>
      <w:r w:rsidRPr="00BD212C">
        <w:t xml:space="preserve"> princip</w:t>
      </w:r>
      <w:r w:rsidRPr="00BD212C" w:rsidR="00FE7CB5">
        <w:t>l</w:t>
      </w:r>
      <w:r w:rsidRPr="00BD212C">
        <w:t xml:space="preserve">e </w:t>
      </w:r>
      <w:r w:rsidRPr="00BD212C" w:rsidR="00FE7CB5">
        <w:t>of</w:t>
      </w:r>
      <w:r w:rsidRPr="00BD212C">
        <w:t xml:space="preserve"> non-discrimination, </w:t>
      </w:r>
      <w:r w:rsidRPr="00BD212C" w:rsidR="00FE7CB5">
        <w:t xml:space="preserve">established for the first time </w:t>
      </w:r>
      <w:r w:rsidRPr="00BD212C" w:rsidR="00DC03D4">
        <w:t>in</w:t>
      </w:r>
      <w:r w:rsidRPr="00BD212C">
        <w:t xml:space="preserve"> </w:t>
      </w:r>
      <w:r w:rsidRPr="00BD212C" w:rsidR="00DC03D4">
        <w:t xml:space="preserve">the judgment </w:t>
      </w:r>
      <w:r w:rsidRPr="00BD212C" w:rsidR="00DC03D4">
        <w:rPr>
          <w:rStyle w:val="CLLItalic"/>
          <w:lang w:val="pt-PT"/>
        </w:rPr>
        <w:t>Thlimmenos v. Greece</w:t>
      </w:r>
      <w:r w:rsidRPr="00BD212C" w:rsidR="00DC03D4">
        <w:rPr>
          <w:lang w:val="pt-PT"/>
        </w:rPr>
        <w:t xml:space="preserve"> </w:t>
      </w:r>
      <w:r w:rsidRPr="00BD212C" w:rsidR="004F57FB">
        <w:rPr>
          <w:lang w:val="pt-PT"/>
        </w:rPr>
        <w:t>(</w:t>
      </w:r>
      <w:r w:rsidRPr="00BD212C" w:rsidR="00DC03D4">
        <w:rPr>
          <w:lang w:val="pt-PT"/>
        </w:rPr>
        <w:t>[GC], no. 34369/97, § 44, ECHR 2000</w:t>
      </w:r>
      <w:r w:rsidRPr="00BD212C" w:rsidR="00DC03D4">
        <w:rPr>
          <w:lang w:val="pt-PT"/>
        </w:rPr>
        <w:noBreakHyphen/>
        <w:t>IV</w:t>
      </w:r>
      <w:r w:rsidRPr="00BD212C">
        <w:t xml:space="preserve">) </w:t>
      </w:r>
      <w:r w:rsidRPr="00BD212C" w:rsidR="00FE7CB5">
        <w:t>and re</w:t>
      </w:r>
      <w:r w:rsidRPr="00BD212C" w:rsidR="004F57FB">
        <w:t>iter</w:t>
      </w:r>
      <w:r w:rsidRPr="00BD212C" w:rsidR="00FE7CB5">
        <w:t>ated several times since then</w:t>
      </w:r>
      <w:r w:rsidRPr="00BD212C">
        <w:t>.</w:t>
      </w:r>
    </w:p>
    <w:p w:rsidRPr="00BD212C" w:rsidR="00653C1F" w:rsidP="00BD212C" w:rsidRDefault="00653C1F">
      <w:pPr>
        <w:pStyle w:val="OpiHa0"/>
      </w:pPr>
      <w:r w:rsidRPr="00BD212C">
        <w:t>2.  </w:t>
      </w:r>
      <w:r w:rsidRPr="00BD212C" w:rsidR="00FE7CB5">
        <w:t>According to the</w:t>
      </w:r>
      <w:r w:rsidRPr="00BD212C">
        <w:t xml:space="preserve"> majorit</w:t>
      </w:r>
      <w:r w:rsidRPr="00BD212C" w:rsidR="00FE7CB5">
        <w:t>y</w:t>
      </w:r>
      <w:r w:rsidRPr="00BD212C">
        <w:t xml:space="preserve">, </w:t>
      </w:r>
      <w:r w:rsidRPr="00BD212C" w:rsidR="00FE7CB5">
        <w:t>the</w:t>
      </w:r>
      <w:r w:rsidRPr="00BD212C">
        <w:t xml:space="preserve"> situation </w:t>
      </w:r>
      <w:r w:rsidRPr="00BD212C" w:rsidR="00FE7CB5">
        <w:t>of unmarried homosexual</w:t>
      </w:r>
      <w:r w:rsidRPr="00BD212C">
        <w:t xml:space="preserve"> couples </w:t>
      </w:r>
      <w:r w:rsidRPr="00BD212C" w:rsidR="00FE7CB5">
        <w:t>is not</w:t>
      </w:r>
      <w:r w:rsidRPr="00BD212C">
        <w:t xml:space="preserve"> comparable </w:t>
      </w:r>
      <w:r w:rsidRPr="00BD212C" w:rsidR="00FE7CB5">
        <w:t>to that of unmarried hete</w:t>
      </w:r>
      <w:r w:rsidRPr="00BD212C">
        <w:t>rosexu</w:t>
      </w:r>
      <w:r w:rsidRPr="00BD212C" w:rsidR="00FE7CB5">
        <w:t>a</w:t>
      </w:r>
      <w:r w:rsidRPr="00BD212C">
        <w:t>l</w:t>
      </w:r>
      <w:r w:rsidRPr="00BD212C" w:rsidR="00FE7CB5">
        <w:t xml:space="preserve"> couple</w:t>
      </w:r>
      <w:r w:rsidRPr="00BD212C">
        <w:t>s</w:t>
      </w:r>
    </w:p>
    <w:p w:rsidRPr="00BD212C" w:rsidR="00653C1F" w:rsidP="00BD212C" w:rsidRDefault="00653C1F">
      <w:pPr>
        <w:pStyle w:val="OpiPara"/>
      </w:pPr>
      <w:r w:rsidRPr="00BD212C">
        <w:t>4.  </w:t>
      </w:r>
      <w:r w:rsidRPr="00BD212C" w:rsidR="00FE7CB5">
        <w:t xml:space="preserve">The judgment states in paragraph 82 that “it does not appear that the applicants, an unmarried homosexual couple, were treated differently from an unmarried heterosexual couple </w:t>
      </w:r>
      <w:r w:rsidRPr="00BD212C">
        <w:t xml:space="preserve">... </w:t>
      </w:r>
      <w:r w:rsidRPr="00BD212C" w:rsidR="00FE7CB5">
        <w:rPr>
          <w:lang w:val="en-GB"/>
        </w:rPr>
        <w:t>the non-eligibility of unmarried partners for the residence permit in question concerned both same-sex couples and opposite-sex couples</w:t>
      </w:r>
      <w:r w:rsidRPr="00BD212C" w:rsidR="00FE7CB5">
        <w:t>”</w:t>
      </w:r>
      <w:r w:rsidRPr="00BD212C">
        <w:t xml:space="preserve">. </w:t>
      </w:r>
      <w:r w:rsidRPr="00BD212C" w:rsidR="00FE7CB5">
        <w:t>However</w:t>
      </w:r>
      <w:r w:rsidRPr="00BD212C">
        <w:t>,</w:t>
      </w:r>
      <w:r w:rsidRPr="00BD212C" w:rsidR="00FE7CB5">
        <w:t xml:space="preserve"> the judgment adds that the applicants</w:t>
      </w:r>
      <w:r w:rsidRPr="00BD212C" w:rsidR="00BD212C">
        <w:t>’</w:t>
      </w:r>
      <w:r w:rsidRPr="00BD212C" w:rsidR="00FE7CB5">
        <w:t xml:space="preserve"> </w:t>
      </w:r>
      <w:r w:rsidRPr="00BD212C">
        <w:t xml:space="preserve">situation </w:t>
      </w:r>
      <w:r w:rsidRPr="00BD212C" w:rsidR="00FE7CB5">
        <w:t>was</w:t>
      </w:r>
      <w:r w:rsidRPr="00BD212C">
        <w:t xml:space="preserve"> diff</w:t>
      </w:r>
      <w:r w:rsidRPr="00BD212C" w:rsidR="00FE7CB5">
        <w:t>e</w:t>
      </w:r>
      <w:r w:rsidRPr="00BD212C">
        <w:t>rent</w:t>
      </w:r>
      <w:r w:rsidRPr="00BD212C" w:rsidR="00FE7CB5">
        <w:t xml:space="preserve"> from that of an unmarried heterosexual</w:t>
      </w:r>
      <w:r w:rsidRPr="00BD212C">
        <w:t xml:space="preserve"> couple</w:t>
      </w:r>
      <w:r w:rsidRPr="00BD212C" w:rsidR="004F57FB">
        <w:t xml:space="preserve"> because the latter had the option of </w:t>
      </w:r>
      <w:r w:rsidRPr="00BD212C" w:rsidR="009A603F">
        <w:t>marr</w:t>
      </w:r>
      <w:r w:rsidRPr="00BD212C" w:rsidR="004F57FB">
        <w:t>ying</w:t>
      </w:r>
      <w:r w:rsidRPr="00BD212C" w:rsidR="009A603F">
        <w:t xml:space="preserve"> – and thus</w:t>
      </w:r>
      <w:r w:rsidRPr="00BD212C">
        <w:t> </w:t>
      </w:r>
      <w:r w:rsidRPr="00BD212C" w:rsidR="009A603F">
        <w:t>“regularis</w:t>
      </w:r>
      <w:r w:rsidRPr="00BD212C" w:rsidR="004F57FB">
        <w:t>ing</w:t>
      </w:r>
      <w:r w:rsidRPr="00BD212C" w:rsidR="009A603F">
        <w:t>”</w:t>
      </w:r>
      <w:r w:rsidRPr="00BD212C">
        <w:t xml:space="preserve"> </w:t>
      </w:r>
      <w:r w:rsidRPr="00BD212C" w:rsidR="009A603F">
        <w:t>their</w:t>
      </w:r>
      <w:r w:rsidRPr="00BD212C">
        <w:t xml:space="preserve"> relation</w:t>
      </w:r>
      <w:r w:rsidRPr="00BD212C" w:rsidR="009A603F">
        <w:t>ship</w:t>
      </w:r>
      <w:r w:rsidRPr="00BD212C">
        <w:t xml:space="preserve"> – </w:t>
      </w:r>
      <w:r w:rsidRPr="00BD212C" w:rsidR="0050607A">
        <w:t>whereas</w:t>
      </w:r>
      <w:r w:rsidRPr="00BD212C" w:rsidR="009A603F">
        <w:t xml:space="preserve"> a </w:t>
      </w:r>
      <w:r w:rsidRPr="00BD212C">
        <w:t>homosexu</w:t>
      </w:r>
      <w:r w:rsidRPr="00BD212C" w:rsidR="009A603F">
        <w:t>a</w:t>
      </w:r>
      <w:r w:rsidRPr="00BD212C">
        <w:t>l</w:t>
      </w:r>
      <w:r w:rsidRPr="00BD212C" w:rsidR="009A603F">
        <w:t xml:space="preserve"> couple</w:t>
      </w:r>
      <w:r w:rsidRPr="00BD212C" w:rsidR="0050607A">
        <w:t xml:space="preserve"> did not</w:t>
      </w:r>
      <w:r w:rsidRPr="00BD212C">
        <w:t xml:space="preserve">. </w:t>
      </w:r>
      <w:r w:rsidRPr="00BD212C" w:rsidR="009A603F">
        <w:t>The</w:t>
      </w:r>
      <w:r w:rsidRPr="00BD212C">
        <w:t xml:space="preserve"> majorit</w:t>
      </w:r>
      <w:r w:rsidRPr="00BD212C" w:rsidR="009A603F">
        <w:t>y also point out that during the period in question</w:t>
      </w:r>
      <w:r w:rsidRPr="00BD212C">
        <w:t xml:space="preserve"> (</w:t>
      </w:r>
      <w:r w:rsidRPr="00BD212C" w:rsidR="009A603F">
        <w:t>namely, between</w:t>
      </w:r>
      <w:r w:rsidRPr="00BD212C">
        <w:t xml:space="preserve"> 2004 </w:t>
      </w:r>
      <w:r w:rsidRPr="00BD212C" w:rsidR="009A603F">
        <w:t>and 2009)</w:t>
      </w:r>
      <w:r w:rsidRPr="00BD212C">
        <w:t xml:space="preserve"> </w:t>
      </w:r>
      <w:r w:rsidRPr="00BD212C" w:rsidR="009A603F">
        <w:t>neither heterosexual</w:t>
      </w:r>
      <w:r w:rsidRPr="00BD212C">
        <w:t xml:space="preserve"> couples </w:t>
      </w:r>
      <w:r w:rsidRPr="00BD212C" w:rsidR="009A603F">
        <w:t>nor</w:t>
      </w:r>
      <w:r w:rsidRPr="00BD212C">
        <w:t xml:space="preserve"> homosexu</w:t>
      </w:r>
      <w:r w:rsidRPr="00BD212C" w:rsidR="009A603F">
        <w:t>a</w:t>
      </w:r>
      <w:r w:rsidRPr="00BD212C">
        <w:t>l</w:t>
      </w:r>
      <w:r w:rsidRPr="00BD212C" w:rsidR="009A603F">
        <w:t xml:space="preserve"> couples could enter into a</w:t>
      </w:r>
      <w:r w:rsidRPr="00BD212C">
        <w:t xml:space="preserve"> civil</w:t>
      </w:r>
      <w:r w:rsidRPr="00BD212C" w:rsidR="009A603F">
        <w:t xml:space="preserve"> partnership or a registered partnership </w:t>
      </w:r>
      <w:r w:rsidRPr="00BD212C">
        <w:t>(</w:t>
      </w:r>
      <w:r w:rsidRPr="00BD212C" w:rsidR="009A603F">
        <w:t>see paragraph</w:t>
      </w:r>
      <w:r w:rsidRPr="00BD212C">
        <w:t xml:space="preserve"> 83 </w:t>
      </w:r>
      <w:r w:rsidRPr="00BD212C" w:rsidR="009A603F">
        <w:t>of the judgmen</w:t>
      </w:r>
      <w:r w:rsidRPr="00BD212C">
        <w:t xml:space="preserve">t). </w:t>
      </w:r>
      <w:r w:rsidRPr="00BD212C" w:rsidR="009A603F">
        <w:t>Moreover</w:t>
      </w:r>
      <w:r w:rsidRPr="00BD212C">
        <w:t>,</w:t>
      </w:r>
      <w:r w:rsidRPr="00BD212C" w:rsidR="009A603F">
        <w:t xml:space="preserve"> the applic</w:t>
      </w:r>
      <w:r w:rsidRPr="00BD212C">
        <w:t xml:space="preserve">ants, </w:t>
      </w:r>
      <w:r w:rsidRPr="00BD212C" w:rsidR="009A603F">
        <w:t xml:space="preserve">once </w:t>
      </w:r>
      <w:r w:rsidRPr="00BD212C" w:rsidR="00946B0B">
        <w:t>they had moved to</w:t>
      </w:r>
      <w:r w:rsidRPr="00BD212C" w:rsidR="009A603F">
        <w:t xml:space="preserve"> the Netherlands</w:t>
      </w:r>
      <w:r w:rsidRPr="00BD212C">
        <w:t xml:space="preserve"> – </w:t>
      </w:r>
      <w:r w:rsidRPr="00BD212C" w:rsidR="00946B0B">
        <w:t xml:space="preserve">a State which allows </w:t>
      </w:r>
      <w:r w:rsidRPr="00BD212C">
        <w:t>homosexu</w:t>
      </w:r>
      <w:r w:rsidRPr="00BD212C" w:rsidR="00946B0B">
        <w:t>a</w:t>
      </w:r>
      <w:r w:rsidRPr="00BD212C">
        <w:t>l</w:t>
      </w:r>
      <w:r w:rsidRPr="00BD212C" w:rsidR="00946B0B">
        <w:t xml:space="preserve"> marriage</w:t>
      </w:r>
      <w:r w:rsidRPr="00BD212C">
        <w:t xml:space="preserve"> – </w:t>
      </w:r>
      <w:r w:rsidRPr="00BD212C" w:rsidR="00946B0B">
        <w:t>decided to marry</w:t>
      </w:r>
      <w:r w:rsidRPr="00BD212C">
        <w:t xml:space="preserve">. </w:t>
      </w:r>
      <w:r w:rsidRPr="00BD212C" w:rsidR="00946B0B">
        <w:t>Indeed the marriage took place on</w:t>
      </w:r>
      <w:r w:rsidRPr="00BD212C">
        <w:t xml:space="preserve"> 8</w:t>
      </w:r>
      <w:r w:rsidRPr="00BD212C" w:rsidR="00946B0B">
        <w:t xml:space="preserve"> May</w:t>
      </w:r>
      <w:r w:rsidRPr="00BD212C">
        <w:t xml:space="preserve"> 2010. </w:t>
      </w:r>
      <w:r w:rsidRPr="00BD212C" w:rsidR="00946B0B">
        <w:t>In the circumstances the</w:t>
      </w:r>
      <w:r w:rsidRPr="00BD212C">
        <w:t xml:space="preserve"> majorit</w:t>
      </w:r>
      <w:r w:rsidRPr="00BD212C" w:rsidR="00946B0B">
        <w:t>y consider that the applicants</w:t>
      </w:r>
      <w:r w:rsidRPr="00BD212C" w:rsidR="00BD212C">
        <w:t>’</w:t>
      </w:r>
      <w:r w:rsidRPr="00BD212C" w:rsidR="00946B0B">
        <w:t xml:space="preserve"> situation “cannot be compared </w:t>
      </w:r>
      <w:r w:rsidRPr="00BD212C" w:rsidR="00946B0B">
        <w:rPr>
          <w:lang w:val="en-GB"/>
        </w:rPr>
        <w:t>to that of a heterosexual couple who, for personal reasons, do not wish to contract a marriage or a civil partnership</w:t>
      </w:r>
      <w:r w:rsidRPr="00BD212C" w:rsidR="00946B0B">
        <w:t>”</w:t>
      </w:r>
      <w:r w:rsidRPr="00BD212C">
        <w:t xml:space="preserve"> (</w:t>
      </w:r>
      <w:r w:rsidRPr="00BD212C" w:rsidR="00946B0B">
        <w:t>see paragraph</w:t>
      </w:r>
      <w:r w:rsidRPr="00BD212C">
        <w:t xml:space="preserve"> 84 </w:t>
      </w:r>
      <w:r w:rsidRPr="00BD212C" w:rsidR="00946B0B">
        <w:t>of the judgmen</w:t>
      </w:r>
      <w:r w:rsidRPr="00BD212C">
        <w:t>t).</w:t>
      </w:r>
    </w:p>
    <w:p w:rsidRPr="00BD212C" w:rsidR="00653C1F" w:rsidP="00BD212C" w:rsidRDefault="00653C1F">
      <w:pPr>
        <w:pStyle w:val="OpiHa0"/>
      </w:pPr>
      <w:r w:rsidRPr="00BD212C">
        <w:t>3.  </w:t>
      </w:r>
      <w:r w:rsidRPr="00BD212C" w:rsidR="00946B0B">
        <w:t>The</w:t>
      </w:r>
      <w:r w:rsidRPr="00BD212C">
        <w:t xml:space="preserve"> position </w:t>
      </w:r>
      <w:r w:rsidRPr="00BD212C" w:rsidR="00946B0B">
        <w:t>of the</w:t>
      </w:r>
      <w:r w:rsidRPr="00BD212C">
        <w:t xml:space="preserve"> majorit</w:t>
      </w:r>
      <w:r w:rsidRPr="00BD212C" w:rsidR="00946B0B">
        <w:t>y</w:t>
      </w:r>
      <w:r w:rsidRPr="00BD212C">
        <w:t xml:space="preserve"> </w:t>
      </w:r>
      <w:r w:rsidRPr="00BD212C" w:rsidR="00EE1D00">
        <w:t>is tantamount</w:t>
      </w:r>
      <w:r w:rsidRPr="00BD212C" w:rsidR="00946B0B">
        <w:t xml:space="preserve"> to</w:t>
      </w:r>
      <w:r w:rsidRPr="00BD212C">
        <w:t xml:space="preserve"> accept</w:t>
      </w:r>
      <w:r w:rsidRPr="00BD212C" w:rsidR="00946B0B">
        <w:t>ing that the</w:t>
      </w:r>
      <w:r w:rsidRPr="00BD212C">
        <w:t xml:space="preserve"> situation </w:t>
      </w:r>
      <w:r w:rsidRPr="00BD212C" w:rsidR="00946B0B">
        <w:t>of</w:t>
      </w:r>
      <w:r w:rsidRPr="00BD212C">
        <w:t xml:space="preserve"> </w:t>
      </w:r>
      <w:r w:rsidRPr="00BD212C" w:rsidR="00946B0B">
        <w:t xml:space="preserve">unmarried </w:t>
      </w:r>
      <w:r w:rsidRPr="00BD212C">
        <w:t>homosexu</w:t>
      </w:r>
      <w:r w:rsidRPr="00BD212C" w:rsidR="00946B0B">
        <w:t>a</w:t>
      </w:r>
      <w:r w:rsidRPr="00BD212C">
        <w:t>l</w:t>
      </w:r>
      <w:r w:rsidRPr="00BD212C" w:rsidR="00946B0B">
        <w:t xml:space="preserve"> couples is</w:t>
      </w:r>
      <w:r w:rsidRPr="00BD212C">
        <w:t xml:space="preserve"> comparable </w:t>
      </w:r>
      <w:r w:rsidRPr="00BD212C" w:rsidR="00946B0B">
        <w:t>to that of married heterosexua</w:t>
      </w:r>
      <w:r w:rsidRPr="00BD212C">
        <w:t>l</w:t>
      </w:r>
      <w:r w:rsidRPr="00BD212C" w:rsidR="00946B0B">
        <w:t xml:space="preserve"> couples</w:t>
      </w:r>
    </w:p>
    <w:p w:rsidRPr="00BD212C" w:rsidR="00653C1F" w:rsidP="00BD212C" w:rsidRDefault="00653C1F">
      <w:pPr>
        <w:pStyle w:val="OpiPara"/>
      </w:pPr>
      <w:r w:rsidRPr="00BD212C">
        <w:t>5.  </w:t>
      </w:r>
      <w:r w:rsidRPr="00BD212C" w:rsidR="00946B0B">
        <w:t xml:space="preserve">Before attempting to </w:t>
      </w:r>
      <w:r w:rsidRPr="00BD212C" w:rsidR="00441BE2">
        <w:t>comment on</w:t>
      </w:r>
      <w:r w:rsidRPr="00BD212C" w:rsidR="00946B0B">
        <w:t xml:space="preserve"> </w:t>
      </w:r>
      <w:r w:rsidRPr="00BD212C" w:rsidR="0050607A">
        <w:t>this</w:t>
      </w:r>
      <w:r w:rsidRPr="00BD212C" w:rsidR="00946B0B">
        <w:t xml:space="preserve"> </w:t>
      </w:r>
      <w:r w:rsidRPr="00BD212C" w:rsidR="00441BE2">
        <w:t>issue</w:t>
      </w:r>
      <w:r w:rsidRPr="00BD212C" w:rsidR="00946B0B">
        <w:t xml:space="preserve"> it is</w:t>
      </w:r>
      <w:r w:rsidRPr="00BD212C">
        <w:t xml:space="preserve"> import</w:t>
      </w:r>
      <w:r w:rsidRPr="00BD212C" w:rsidR="00946B0B">
        <w:t>ant to</w:t>
      </w:r>
      <w:r w:rsidRPr="00BD212C">
        <w:t xml:space="preserve"> </w:t>
      </w:r>
      <w:r w:rsidRPr="00BD212C" w:rsidR="00EE1D00">
        <w:t>note</w:t>
      </w:r>
      <w:r w:rsidRPr="00BD212C">
        <w:t xml:space="preserve"> </w:t>
      </w:r>
      <w:r w:rsidRPr="00BD212C" w:rsidR="00946B0B">
        <w:t>the applicants</w:t>
      </w:r>
      <w:r w:rsidRPr="00BD212C" w:rsidR="00BD212C">
        <w:t>’</w:t>
      </w:r>
      <w:r w:rsidRPr="00BD212C" w:rsidR="00946B0B">
        <w:t xml:space="preserve"> argument that “</w:t>
      </w:r>
      <w:r w:rsidRPr="00BD212C" w:rsidR="00946B0B">
        <w:rPr>
          <w:bCs/>
        </w:rPr>
        <w:t xml:space="preserve">a consensus was emerging in democratic societies, which </w:t>
      </w:r>
      <w:r w:rsidRPr="00BD212C" w:rsidR="00242129">
        <w:rPr>
          <w:bCs/>
        </w:rPr>
        <w:t>...</w:t>
      </w:r>
      <w:r w:rsidRPr="00BD212C" w:rsidR="00946B0B">
        <w:rPr>
          <w:bCs/>
        </w:rPr>
        <w:t xml:space="preserve"> was against a government being able to reserve a certain right or advantage to married couples while denying it to same-sex couples on the pretext that the persons in question were not married”</w:t>
      </w:r>
      <w:r w:rsidRPr="00BD212C">
        <w:t xml:space="preserve"> (</w:t>
      </w:r>
      <w:r w:rsidRPr="00BD212C" w:rsidR="00946B0B">
        <w:t>see paragraph</w:t>
      </w:r>
      <w:r w:rsidRPr="00BD212C">
        <w:t xml:space="preserve"> 71 </w:t>
      </w:r>
      <w:r w:rsidRPr="00BD212C" w:rsidR="00946B0B">
        <w:t>of the judgmen</w:t>
      </w:r>
      <w:r w:rsidRPr="00BD212C">
        <w:t xml:space="preserve">t). </w:t>
      </w:r>
      <w:r w:rsidRPr="00BD212C" w:rsidR="00946B0B">
        <w:t>In other word</w:t>
      </w:r>
      <w:r w:rsidRPr="00BD212C">
        <w:t xml:space="preserve">s, </w:t>
      </w:r>
      <w:r w:rsidRPr="00BD212C" w:rsidR="00946B0B">
        <w:t>in the applicants</w:t>
      </w:r>
      <w:r w:rsidRPr="00BD212C" w:rsidR="00BD212C">
        <w:t>’</w:t>
      </w:r>
      <w:r w:rsidRPr="00BD212C" w:rsidR="00946B0B">
        <w:t xml:space="preserve"> view</w:t>
      </w:r>
      <w:r w:rsidRPr="00BD212C">
        <w:t xml:space="preserve">, </w:t>
      </w:r>
      <w:r w:rsidRPr="00BD212C" w:rsidR="00946B0B">
        <w:t>the</w:t>
      </w:r>
      <w:r w:rsidRPr="00BD212C">
        <w:t xml:space="preserve"> situation </w:t>
      </w:r>
      <w:r w:rsidRPr="00BD212C" w:rsidR="00946B0B">
        <w:t>of unmarried</w:t>
      </w:r>
      <w:r w:rsidRPr="00BD212C">
        <w:t xml:space="preserve"> homosexu</w:t>
      </w:r>
      <w:r w:rsidRPr="00BD212C" w:rsidR="00946B0B">
        <w:t>a</w:t>
      </w:r>
      <w:r w:rsidRPr="00BD212C">
        <w:t>l</w:t>
      </w:r>
      <w:r w:rsidRPr="00BD212C" w:rsidR="00946B0B">
        <w:t xml:space="preserve"> couples should be</w:t>
      </w:r>
      <w:r w:rsidRPr="00BD212C">
        <w:t xml:space="preserve"> compar</w:t>
      </w:r>
      <w:r w:rsidRPr="00BD212C" w:rsidR="00946B0B">
        <w:t xml:space="preserve">ed to that of </w:t>
      </w:r>
      <w:r w:rsidRPr="00BD212C">
        <w:t>(h</w:t>
      </w:r>
      <w:r w:rsidRPr="00BD212C" w:rsidR="00946B0B">
        <w:t>eter</w:t>
      </w:r>
      <w:r w:rsidRPr="00BD212C">
        <w:t>osexu</w:t>
      </w:r>
      <w:r w:rsidRPr="00BD212C" w:rsidR="00946B0B">
        <w:t>a</w:t>
      </w:r>
      <w:r w:rsidRPr="00BD212C">
        <w:t>l o</w:t>
      </w:r>
      <w:r w:rsidRPr="00BD212C" w:rsidR="00946B0B">
        <w:t>r homosexual</w:t>
      </w:r>
      <w:r w:rsidRPr="00BD212C">
        <w:t>)</w:t>
      </w:r>
      <w:r w:rsidRPr="00BD212C" w:rsidR="00946B0B">
        <w:t xml:space="preserve"> married couples</w:t>
      </w:r>
      <w:r w:rsidRPr="00BD212C">
        <w:t xml:space="preserve">. </w:t>
      </w:r>
      <w:r w:rsidRPr="00BD212C" w:rsidR="00306D57">
        <w:t>Any difference of treatment between th</w:t>
      </w:r>
      <w:r w:rsidRPr="00BD212C" w:rsidR="00EE1D00">
        <w:t>os</w:t>
      </w:r>
      <w:r w:rsidRPr="00BD212C" w:rsidR="00306D57">
        <w:t>e two</w:t>
      </w:r>
      <w:r w:rsidRPr="00BD212C">
        <w:t xml:space="preserve"> cat</w:t>
      </w:r>
      <w:r w:rsidRPr="00BD212C" w:rsidR="00306D57">
        <w:t>e</w:t>
      </w:r>
      <w:r w:rsidRPr="00BD212C">
        <w:t>gories –</w:t>
      </w:r>
      <w:r w:rsidRPr="00BD212C" w:rsidR="00BE2BD8">
        <w:t xml:space="preserve"> unmarried </w:t>
      </w:r>
      <w:r w:rsidRPr="00BD212C">
        <w:t>homosexu</w:t>
      </w:r>
      <w:r w:rsidRPr="00BD212C" w:rsidR="00306D57">
        <w:t>a</w:t>
      </w:r>
      <w:r w:rsidRPr="00BD212C">
        <w:t>l</w:t>
      </w:r>
      <w:r w:rsidRPr="00BD212C" w:rsidR="00306D57">
        <w:t xml:space="preserve"> couples </w:t>
      </w:r>
      <w:r w:rsidRPr="00BD212C" w:rsidR="00BE2BD8">
        <w:t>and</w:t>
      </w:r>
      <w:r w:rsidRPr="00BD212C">
        <w:t xml:space="preserve"> </w:t>
      </w:r>
      <w:r w:rsidRPr="00BD212C" w:rsidR="00BE2BD8">
        <w:t xml:space="preserve">married </w:t>
      </w:r>
      <w:r w:rsidRPr="00BD212C">
        <w:t>couples</w:t>
      </w:r>
      <w:r w:rsidRPr="00BD212C" w:rsidR="00BE2BD8">
        <w:t xml:space="preserve"> </w:t>
      </w:r>
      <w:r w:rsidRPr="00BD212C">
        <w:t xml:space="preserve">– </w:t>
      </w:r>
      <w:r w:rsidRPr="00BD212C" w:rsidR="00BE2BD8">
        <w:t>is</w:t>
      </w:r>
      <w:r w:rsidRPr="00BD212C">
        <w:t xml:space="preserve"> </w:t>
      </w:r>
      <w:r w:rsidRPr="00BD212C" w:rsidR="00EE1D00">
        <w:t xml:space="preserve">allegedly </w:t>
      </w:r>
      <w:r w:rsidRPr="00BD212C">
        <w:t>discriminato</w:t>
      </w:r>
      <w:r w:rsidRPr="00BD212C" w:rsidR="00BE2BD8">
        <w:t>ry</w:t>
      </w:r>
      <w:r w:rsidRPr="00BD212C">
        <w:t>.</w:t>
      </w:r>
    </w:p>
    <w:p w:rsidRPr="00BD212C" w:rsidR="00653C1F" w:rsidP="00BD212C" w:rsidRDefault="00653C1F">
      <w:pPr>
        <w:pStyle w:val="OpiPara"/>
      </w:pPr>
      <w:r w:rsidRPr="00BD212C">
        <w:t>6.  </w:t>
      </w:r>
      <w:r w:rsidRPr="00BD212C" w:rsidR="00BE2BD8">
        <w:t>Whilst formulated differently</w:t>
      </w:r>
      <w:r w:rsidRPr="00BD212C">
        <w:t xml:space="preserve">, </w:t>
      </w:r>
      <w:r w:rsidRPr="00BD212C" w:rsidR="00BE2BD8">
        <w:t xml:space="preserve">the </w:t>
      </w:r>
      <w:r w:rsidRPr="00BD212C">
        <w:t>majorit</w:t>
      </w:r>
      <w:r w:rsidRPr="00BD212C" w:rsidR="00BE2BD8">
        <w:t>y</w:t>
      </w:r>
      <w:r w:rsidRPr="00BD212C" w:rsidR="00BD212C">
        <w:t>’</w:t>
      </w:r>
      <w:r w:rsidRPr="00BD212C" w:rsidR="00BE2BD8">
        <w:t>s approach</w:t>
      </w:r>
      <w:r w:rsidRPr="00BD212C">
        <w:t xml:space="preserve"> </w:t>
      </w:r>
      <w:r w:rsidRPr="00BD212C" w:rsidR="00BE2BD8">
        <w:t>is i</w:t>
      </w:r>
      <w:r w:rsidRPr="00BD212C">
        <w:t xml:space="preserve">n substance </w:t>
      </w:r>
      <w:r w:rsidRPr="00BD212C" w:rsidR="00BE2BD8">
        <w:t>the same as that of the applican</w:t>
      </w:r>
      <w:r w:rsidRPr="00BD212C">
        <w:t xml:space="preserve">ts. </w:t>
      </w:r>
      <w:r w:rsidRPr="00BD212C" w:rsidR="00BE2BD8">
        <w:t xml:space="preserve">To say that the situation of unmarried homosexual </w:t>
      </w:r>
      <w:r w:rsidRPr="00BD212C">
        <w:t xml:space="preserve">couples </w:t>
      </w:r>
      <w:r w:rsidRPr="00BD212C" w:rsidR="00BE2BD8">
        <w:t>is not</w:t>
      </w:r>
      <w:r w:rsidRPr="00BD212C">
        <w:t xml:space="preserve"> comparable </w:t>
      </w:r>
      <w:r w:rsidRPr="00BD212C" w:rsidR="00C647CF">
        <w:t>to</w:t>
      </w:r>
      <w:r w:rsidRPr="00BD212C" w:rsidR="00BE2BD8">
        <w:t xml:space="preserve"> that of unmarried heterosexual</w:t>
      </w:r>
      <w:r w:rsidRPr="00BD212C">
        <w:t xml:space="preserve"> couples </w:t>
      </w:r>
      <w:r w:rsidRPr="00BD212C" w:rsidR="00BE2BD8">
        <w:t>on the grounds that the latter can marry is tantamount to a</w:t>
      </w:r>
      <w:r w:rsidRPr="00BD212C">
        <w:t>ccept</w:t>
      </w:r>
      <w:r w:rsidRPr="00BD212C" w:rsidR="00BE2BD8">
        <w:t>ing</w:t>
      </w:r>
      <w:r w:rsidRPr="00BD212C">
        <w:t xml:space="preserve"> </w:t>
      </w:r>
      <w:r w:rsidRPr="00BD212C">
        <w:rPr>
          <w:i/>
        </w:rPr>
        <w:t>a contrario</w:t>
      </w:r>
      <w:r w:rsidRPr="00BD212C">
        <w:t xml:space="preserve"> </w:t>
      </w:r>
      <w:r w:rsidRPr="00BD212C" w:rsidR="00BE2BD8">
        <w:t>that</w:t>
      </w:r>
      <w:r w:rsidRPr="00BD212C">
        <w:t xml:space="preserve">, </w:t>
      </w:r>
      <w:r w:rsidRPr="00BD212C" w:rsidR="00BE2BD8">
        <w:t>within the meaning of A</w:t>
      </w:r>
      <w:r w:rsidRPr="00BD212C">
        <w:t xml:space="preserve">rticle 14 </w:t>
      </w:r>
      <w:r w:rsidRPr="00BD212C" w:rsidR="00BE2BD8">
        <w:t>of the</w:t>
      </w:r>
      <w:r w:rsidRPr="00BD212C">
        <w:t xml:space="preserve"> Convention, </w:t>
      </w:r>
      <w:r w:rsidRPr="00BD212C" w:rsidR="00BE2BD8">
        <w:t>the</w:t>
      </w:r>
      <w:r w:rsidRPr="00BD212C">
        <w:t xml:space="preserve"> situation </w:t>
      </w:r>
      <w:r w:rsidRPr="00BD212C" w:rsidR="00BE2BD8">
        <w:t>of unmarried</w:t>
      </w:r>
      <w:r w:rsidRPr="00BD212C">
        <w:t xml:space="preserve"> </w:t>
      </w:r>
      <w:r w:rsidRPr="00BD212C" w:rsidR="00BE2BD8">
        <w:t xml:space="preserve">homosexual </w:t>
      </w:r>
      <w:r w:rsidRPr="00BD212C">
        <w:t xml:space="preserve">couples </w:t>
      </w:r>
      <w:r w:rsidRPr="00BD212C" w:rsidR="00BE2BD8">
        <w:t>is comparable to that of married</w:t>
      </w:r>
      <w:r w:rsidRPr="00BD212C">
        <w:t xml:space="preserve"> couples. </w:t>
      </w:r>
      <w:r w:rsidRPr="00BD212C" w:rsidR="00BE2BD8">
        <w:t xml:space="preserve">This perception appears to be </w:t>
      </w:r>
      <w:r w:rsidRPr="00BD212C">
        <w:t>corrobor</w:t>
      </w:r>
      <w:r w:rsidRPr="00BD212C" w:rsidR="00BE2BD8">
        <w:t>ated by paragraph</w:t>
      </w:r>
      <w:r w:rsidRPr="00BD212C">
        <w:t xml:space="preserve"> 91 </w:t>
      </w:r>
      <w:r w:rsidRPr="00BD212C" w:rsidR="00BE2BD8">
        <w:t>of the judgmen</w:t>
      </w:r>
      <w:r w:rsidRPr="00BD212C">
        <w:t>t,</w:t>
      </w:r>
      <w:r w:rsidRPr="00BD212C" w:rsidR="00BE2BD8">
        <w:t xml:space="preserve"> where it is said that</w:t>
      </w:r>
      <w:r w:rsidRPr="00BD212C">
        <w:t> </w:t>
      </w:r>
      <w:r w:rsidRPr="00BD212C" w:rsidR="00BE2BD8">
        <w:t>“[t]</w:t>
      </w:r>
      <w:r w:rsidRPr="00BD212C" w:rsidR="00BE2BD8">
        <w:rPr>
          <w:lang w:val="en-GB"/>
        </w:rPr>
        <w:t xml:space="preserve">he Court must </w:t>
      </w:r>
      <w:r w:rsidRPr="00BD212C" w:rsidR="00242129">
        <w:rPr>
          <w:lang w:val="en-GB"/>
        </w:rPr>
        <w:t>...</w:t>
      </w:r>
      <w:r w:rsidRPr="00BD212C" w:rsidR="00BE2BD8">
        <w:rPr>
          <w:lang w:val="en-GB"/>
        </w:rPr>
        <w:t xml:space="preserve"> determine whether, in the context of the proceedings regarding an application for a residence permit for family reasons, the fact that the applicants were not treated differently from heterosexual couples who had not regularised their situation pursued a legitimate aim”</w:t>
      </w:r>
      <w:r w:rsidRPr="00BD212C">
        <w:t xml:space="preserve">. </w:t>
      </w:r>
      <w:r w:rsidRPr="00BD212C" w:rsidR="00BE2BD8">
        <w:t xml:space="preserve">Given that, in </w:t>
      </w:r>
      <w:r w:rsidRPr="00BD212C">
        <w:t>Ital</w:t>
      </w:r>
      <w:r w:rsidRPr="00BD212C" w:rsidR="00BE2BD8">
        <w:t>y</w:t>
      </w:r>
      <w:r w:rsidRPr="00BD212C">
        <w:t xml:space="preserve">, </w:t>
      </w:r>
      <w:r w:rsidRPr="00BD212C" w:rsidR="00BE2BD8">
        <w:t>the only means whereby heterosexual</w:t>
      </w:r>
      <w:r w:rsidRPr="00BD212C">
        <w:t xml:space="preserve"> couples </w:t>
      </w:r>
      <w:r w:rsidRPr="00BD212C" w:rsidR="00BE2BD8">
        <w:t xml:space="preserve">can </w:t>
      </w:r>
      <w:r w:rsidRPr="00BD212C" w:rsidR="00F10A08">
        <w:t>“</w:t>
      </w:r>
      <w:r w:rsidRPr="00BD212C" w:rsidR="00BE2BD8">
        <w:t>regularise thei</w:t>
      </w:r>
      <w:r w:rsidRPr="00BD212C" w:rsidR="00F10A08">
        <w:t>r situation”</w:t>
      </w:r>
      <w:r w:rsidRPr="00BD212C">
        <w:t xml:space="preserve"> </w:t>
      </w:r>
      <w:r w:rsidRPr="00BD212C" w:rsidR="00BE2BD8">
        <w:t>is by marrying</w:t>
      </w:r>
      <w:r w:rsidRPr="00BD212C">
        <w:t xml:space="preserve">, </w:t>
      </w:r>
      <w:r w:rsidRPr="00BD212C" w:rsidR="00BE2BD8">
        <w:t>the above-cited</w:t>
      </w:r>
      <w:r w:rsidRPr="00BD212C">
        <w:t xml:space="preserve"> passage </w:t>
      </w:r>
      <w:r w:rsidRPr="00BD212C" w:rsidR="00F10A08">
        <w:t>leads to the (re)</w:t>
      </w:r>
      <w:r w:rsidRPr="00BD212C">
        <w:t>affirm</w:t>
      </w:r>
      <w:r w:rsidRPr="00BD212C" w:rsidR="00F10A08">
        <w:t>ation that</w:t>
      </w:r>
      <w:r w:rsidRPr="00BD212C">
        <w:t xml:space="preserve">, </w:t>
      </w:r>
      <w:r w:rsidRPr="00BD212C" w:rsidR="00F10A08">
        <w:t>in the proceedings in question</w:t>
      </w:r>
      <w:r w:rsidRPr="00BD212C">
        <w:t xml:space="preserve">, </w:t>
      </w:r>
      <w:r w:rsidRPr="00BD212C" w:rsidR="00BE2BD8">
        <w:t>unmarried homosexual couples</w:t>
      </w:r>
      <w:r w:rsidRPr="00BD212C">
        <w:t xml:space="preserve">, </w:t>
      </w:r>
      <w:r w:rsidRPr="00BD212C" w:rsidR="00BE2BD8">
        <w:t>such as the applicant</w:t>
      </w:r>
      <w:r w:rsidRPr="00BD212C">
        <w:t xml:space="preserve">s, </w:t>
      </w:r>
      <w:r w:rsidRPr="00BD212C" w:rsidR="00F10A08">
        <w:t xml:space="preserve">should be compared not </w:t>
      </w:r>
      <w:r w:rsidRPr="00BD212C" w:rsidR="0050607A">
        <w:t>with</w:t>
      </w:r>
      <w:r w:rsidRPr="00BD212C" w:rsidR="00F10A08">
        <w:t xml:space="preserve"> unmarried heterosexual</w:t>
      </w:r>
      <w:r w:rsidRPr="00BD212C">
        <w:t xml:space="preserve"> couples </w:t>
      </w:r>
      <w:r w:rsidRPr="00BD212C" w:rsidR="00F10A08">
        <w:t xml:space="preserve">but </w:t>
      </w:r>
      <w:r w:rsidRPr="00BD212C" w:rsidR="0050607A">
        <w:t>with</w:t>
      </w:r>
      <w:r w:rsidRPr="00BD212C" w:rsidR="00F10A08">
        <w:t xml:space="preserve"> married heterosexual</w:t>
      </w:r>
      <w:r w:rsidRPr="00BD212C">
        <w:t xml:space="preserve"> couples.</w:t>
      </w:r>
    </w:p>
    <w:p w:rsidRPr="00BD212C" w:rsidR="00653C1F" w:rsidP="00BD212C" w:rsidRDefault="00653C1F">
      <w:pPr>
        <w:pStyle w:val="OpiPara"/>
      </w:pPr>
      <w:r w:rsidRPr="00BD212C">
        <w:t>7.  </w:t>
      </w:r>
      <w:r w:rsidRPr="00BD212C" w:rsidR="00F10A08">
        <w:t>In my view</w:t>
      </w:r>
      <w:r w:rsidRPr="00BD212C">
        <w:t xml:space="preserve">, </w:t>
      </w:r>
      <w:r w:rsidRPr="00BD212C" w:rsidR="00F10A08">
        <w:t>a</w:t>
      </w:r>
      <w:r w:rsidRPr="00BD212C">
        <w:t xml:space="preserve"> question </w:t>
      </w:r>
      <w:r w:rsidRPr="00BD212C" w:rsidR="00F10A08">
        <w:t>arises as to whether this approach</w:t>
      </w:r>
      <w:r w:rsidRPr="00BD212C">
        <w:t xml:space="preserve"> </w:t>
      </w:r>
      <w:r w:rsidRPr="00BD212C" w:rsidR="00F10A08">
        <w:t>is</w:t>
      </w:r>
      <w:r w:rsidRPr="00BD212C">
        <w:t xml:space="preserve"> </w:t>
      </w:r>
      <w:r w:rsidRPr="00BD212C" w:rsidR="00EE1D00">
        <w:t>consistent</w:t>
      </w:r>
      <w:r w:rsidRPr="00BD212C">
        <w:t xml:space="preserve"> </w:t>
      </w:r>
      <w:r w:rsidRPr="00BD212C" w:rsidR="00F10A08">
        <w:t>with the case-law hitherto established by the</w:t>
      </w:r>
      <w:r w:rsidRPr="00BD212C">
        <w:t xml:space="preserve"> Cour</w:t>
      </w:r>
      <w:r w:rsidRPr="00BD212C" w:rsidR="00F10A08">
        <w:t>t</w:t>
      </w:r>
      <w:r w:rsidRPr="00BD212C">
        <w:t xml:space="preserve"> </w:t>
      </w:r>
      <w:r w:rsidRPr="00BD212C" w:rsidR="00F10A08">
        <w:t>or whether</w:t>
      </w:r>
      <w:r w:rsidRPr="00BD212C">
        <w:t xml:space="preserve"> </w:t>
      </w:r>
      <w:r w:rsidRPr="00BD212C" w:rsidR="00F10A08">
        <w:t>it is a departure from the precedent followed up until now both by the Chambers and the</w:t>
      </w:r>
      <w:r w:rsidRPr="00BD212C">
        <w:t xml:space="preserve"> Grand Chamb</w:t>
      </w:r>
      <w:r w:rsidRPr="00BD212C" w:rsidR="00F10A08">
        <w:t>er</w:t>
      </w:r>
      <w:r w:rsidRPr="00BD212C">
        <w:t>.</w:t>
      </w:r>
    </w:p>
    <w:p w:rsidRPr="00BD212C" w:rsidR="00653C1F" w:rsidP="00BD212C" w:rsidRDefault="00653C1F">
      <w:pPr>
        <w:pStyle w:val="OpiHa0"/>
      </w:pPr>
      <w:r w:rsidRPr="00BD212C">
        <w:t>4.  </w:t>
      </w:r>
      <w:r w:rsidRPr="00BD212C" w:rsidR="00717AD3">
        <w:t xml:space="preserve">Is this approach </w:t>
      </w:r>
      <w:r w:rsidRPr="00BD212C" w:rsidR="00EE1D00">
        <w:t>consistent</w:t>
      </w:r>
      <w:r w:rsidRPr="00BD212C" w:rsidR="00717AD3">
        <w:t xml:space="preserve"> with the Court</w:t>
      </w:r>
      <w:r w:rsidRPr="00BD212C" w:rsidR="00BD212C">
        <w:t>’</w:t>
      </w:r>
      <w:r w:rsidRPr="00BD212C" w:rsidR="00717AD3">
        <w:t>s case-law</w:t>
      </w:r>
      <w:r w:rsidRPr="00BD212C">
        <w:t>?</w:t>
      </w:r>
    </w:p>
    <w:p w:rsidRPr="00BD212C" w:rsidR="00242129" w:rsidP="00BD212C" w:rsidRDefault="00653C1F">
      <w:pPr>
        <w:pStyle w:val="OpiHi"/>
      </w:pPr>
      <w:r w:rsidRPr="00BD212C">
        <w:t>a)  </w:t>
      </w:r>
      <w:r w:rsidRPr="00BD212C" w:rsidR="00717AD3">
        <w:t>The</w:t>
      </w:r>
      <w:r w:rsidRPr="00BD212C">
        <w:t xml:space="preserve"> situation </w:t>
      </w:r>
      <w:r w:rsidRPr="00BD212C" w:rsidR="00717AD3">
        <w:t>of married</w:t>
      </w:r>
      <w:r w:rsidRPr="00BD212C">
        <w:t xml:space="preserve"> couples </w:t>
      </w:r>
      <w:r w:rsidRPr="00BD212C" w:rsidR="00717AD3">
        <w:t>is not</w:t>
      </w:r>
      <w:r w:rsidRPr="00BD212C">
        <w:t xml:space="preserve"> comparable </w:t>
      </w:r>
      <w:r w:rsidRPr="00BD212C" w:rsidR="00717AD3">
        <w:t>to that of unmarried</w:t>
      </w:r>
      <w:r w:rsidRPr="00BD212C">
        <w:t xml:space="preserve"> couples</w:t>
      </w:r>
    </w:p>
    <w:p w:rsidRPr="00BD212C" w:rsidR="00653C1F" w:rsidP="00BD212C" w:rsidRDefault="00653C1F">
      <w:pPr>
        <w:pStyle w:val="OpiPara"/>
      </w:pPr>
      <w:r w:rsidRPr="00BD212C">
        <w:t>8.  </w:t>
      </w:r>
      <w:r w:rsidRPr="00BD212C" w:rsidR="00717AD3">
        <w:t>In order to attempt to answer this</w:t>
      </w:r>
      <w:r w:rsidRPr="00BD212C">
        <w:t xml:space="preserve"> question, </w:t>
      </w:r>
      <w:r w:rsidRPr="00BD212C" w:rsidR="00717AD3">
        <w:t xml:space="preserve">I will first reiterate the </w:t>
      </w:r>
      <w:r w:rsidRPr="00BD212C" w:rsidR="00EE1D00">
        <w:t>term</w:t>
      </w:r>
      <w:r w:rsidRPr="00BD212C">
        <w:t xml:space="preserve">s </w:t>
      </w:r>
      <w:r w:rsidRPr="00BD212C" w:rsidR="00717AD3">
        <w:t>used by the Grand</w:t>
      </w:r>
      <w:r w:rsidRPr="00BD212C">
        <w:t xml:space="preserve"> Chamb</w:t>
      </w:r>
      <w:r w:rsidRPr="00BD212C" w:rsidR="00717AD3">
        <w:t>er in</w:t>
      </w:r>
      <w:r w:rsidRPr="00BD212C">
        <w:t xml:space="preserve"> </w:t>
      </w:r>
      <w:r w:rsidRPr="00BD212C">
        <w:rPr>
          <w:i/>
        </w:rPr>
        <w:t xml:space="preserve">X </w:t>
      </w:r>
      <w:r w:rsidRPr="00BD212C" w:rsidR="00717AD3">
        <w:rPr>
          <w:i/>
        </w:rPr>
        <w:t>and Others</w:t>
      </w:r>
      <w:r w:rsidRPr="00BD212C">
        <w:rPr>
          <w:i/>
        </w:rPr>
        <w:t xml:space="preserve"> </w:t>
      </w:r>
      <w:r w:rsidRPr="00BD212C" w:rsidR="00717AD3">
        <w:rPr>
          <w:i/>
        </w:rPr>
        <w:t>v</w:t>
      </w:r>
      <w:r w:rsidRPr="00BD212C">
        <w:rPr>
          <w:i/>
        </w:rPr>
        <w:t>. Au</w:t>
      </w:r>
      <w:r w:rsidRPr="00BD212C" w:rsidR="00717AD3">
        <w:rPr>
          <w:i/>
        </w:rPr>
        <w:t>s</w:t>
      </w:r>
      <w:r w:rsidRPr="00BD212C">
        <w:rPr>
          <w:i/>
        </w:rPr>
        <w:t>tri</w:t>
      </w:r>
      <w:r w:rsidRPr="00BD212C" w:rsidR="00717AD3">
        <w:rPr>
          <w:i/>
        </w:rPr>
        <w:t>a</w:t>
      </w:r>
      <w:r w:rsidRPr="00BD212C">
        <w:t xml:space="preserve"> ([GC], </w:t>
      </w:r>
      <w:r w:rsidRPr="00BD212C" w:rsidR="00717AD3">
        <w:t>no. 19010/07, §§ 105-</w:t>
      </w:r>
      <w:r w:rsidRPr="00BD212C">
        <w:t xml:space="preserve">10, </w:t>
      </w:r>
      <w:r w:rsidRPr="00BD212C" w:rsidR="00717AD3">
        <w:t>ECHR</w:t>
      </w:r>
      <w:r w:rsidRPr="00BD212C">
        <w:t> 2013):</w:t>
      </w:r>
    </w:p>
    <w:p w:rsidRPr="00BD212C" w:rsidR="00717AD3" w:rsidP="00BD212C" w:rsidRDefault="00EC7239">
      <w:pPr>
        <w:pStyle w:val="OpiQuot"/>
        <w:rPr>
          <w:i/>
        </w:rPr>
      </w:pPr>
      <w:r w:rsidRPr="00BD212C">
        <w:rPr>
          <w:i/>
        </w:rPr>
        <w:t>“</w:t>
      </w:r>
      <w:r w:rsidRPr="00BD212C" w:rsidR="00717AD3">
        <w:rPr>
          <w:i/>
        </w:rPr>
        <w:t>(α) Comparison with a married couple in which one spouse wishes to adopt the other spouse</w:t>
      </w:r>
      <w:r w:rsidRPr="00BD212C" w:rsidR="00BD212C">
        <w:rPr>
          <w:i/>
        </w:rPr>
        <w:t>’</w:t>
      </w:r>
      <w:r w:rsidRPr="00BD212C" w:rsidR="00717AD3">
        <w:rPr>
          <w:i/>
        </w:rPr>
        <w:t>s child</w:t>
      </w:r>
    </w:p>
    <w:p w:rsidRPr="00BD212C" w:rsidR="00717AD3" w:rsidP="00BD212C" w:rsidRDefault="00717AD3">
      <w:pPr>
        <w:pStyle w:val="OpiQuot"/>
      </w:pPr>
      <w:r w:rsidRPr="00BD212C">
        <w:t>105. The first issue to be addressed is whether the applicants, namely the first and third applicants, who are living together as a same-sex couple, and the third applicant</w:t>
      </w:r>
      <w:r w:rsidRPr="00BD212C" w:rsidR="00BD212C">
        <w:t>’</w:t>
      </w:r>
      <w:r w:rsidRPr="00BD212C">
        <w:t>s son, are in a situation which is relevantly similar to that of a married different-sex couple in which one spouse wishes to adopt the other spouse</w:t>
      </w:r>
      <w:r w:rsidRPr="00BD212C" w:rsidR="00BD212C">
        <w:t>’</w:t>
      </w:r>
      <w:r w:rsidRPr="00BD212C">
        <w:t>s biological child.</w:t>
      </w:r>
    </w:p>
    <w:p w:rsidRPr="00BD212C" w:rsidR="00717AD3" w:rsidP="00BD212C" w:rsidRDefault="00717AD3">
      <w:pPr>
        <w:pStyle w:val="OpiQuot"/>
      </w:pPr>
      <w:r w:rsidRPr="00BD212C">
        <w:t xml:space="preserve">106. The Court has recently answered this question in the negative in </w:t>
      </w:r>
      <w:r w:rsidRPr="00BD212C">
        <w:rPr>
          <w:i/>
        </w:rPr>
        <w:t>Gas and Dubois</w:t>
      </w:r>
      <w:r w:rsidRPr="00BD212C">
        <w:t xml:space="preserve">. The Court finds it appropriate to repeat and confirm the relevant considerations here. It reiterates in the first place that Article 12 of the Convention does not impose an obligation on the Contracting States to grant same-sex couples access to marriage (see </w:t>
      </w:r>
      <w:r w:rsidRPr="00BD212C">
        <w:rPr>
          <w:i/>
        </w:rPr>
        <w:t>Schalk and Kopf</w:t>
      </w:r>
      <w:r w:rsidRPr="00BD212C">
        <w:t xml:space="preserve">, cited above, §§ 54-64). Nor can a right to same-sex marriage be derived from Article 14 taken in conjunction with Article 8 (ibid., § 101). Where a State chooses to provide same-sex couples with an alternative means of legal recognition, it enjoys a certain margin of appreciation as regards the exact status conferred (ibid., § 108; see also </w:t>
      </w:r>
      <w:r w:rsidRPr="00BD212C">
        <w:rPr>
          <w:i/>
        </w:rPr>
        <w:t>Gas and Dubois</w:t>
      </w:r>
      <w:r w:rsidRPr="00BD212C">
        <w:t xml:space="preserve">, cited above, § 66). Furthermore, the Court has repeatedly held that marriage confers a special status on those who enter into it. The exercise of the right to marry is protected by Article 12 of the Convention and gives rise to social, personal and legal consequences (see, among other authorities, </w:t>
      </w:r>
      <w:r w:rsidRPr="00BD212C">
        <w:rPr>
          <w:i/>
        </w:rPr>
        <w:t>Gas and Dubois</w:t>
      </w:r>
      <w:r w:rsidRPr="00BD212C">
        <w:t xml:space="preserve">, cited above, § 68, and </w:t>
      </w:r>
      <w:r w:rsidRPr="00BD212C">
        <w:rPr>
          <w:i/>
        </w:rPr>
        <w:t>Burden</w:t>
      </w:r>
      <w:r w:rsidRPr="00BD212C">
        <w:t>, cited above, § 63).</w:t>
      </w:r>
    </w:p>
    <w:p w:rsidRPr="00BD212C" w:rsidR="00717AD3" w:rsidP="00BD212C" w:rsidRDefault="00717AD3">
      <w:pPr>
        <w:pStyle w:val="OpiQuot"/>
      </w:pPr>
      <w:r w:rsidRPr="00BD212C">
        <w:t>107. Austrian law indeed creates a special regime for married couples in respect of adoption. Under Article 179 § 2 of the Civil Code, joint adoption is open to married couples only. In turn, married couples may, as a rule, only adopt jointly. Second-parent adoption of the other spouse</w:t>
      </w:r>
      <w:r w:rsidRPr="00BD212C" w:rsidR="00BD212C">
        <w:t>’</w:t>
      </w:r>
      <w:r w:rsidRPr="00BD212C">
        <w:t>s child is provided for in the above-mentioned Article as an exception to that rule.</w:t>
      </w:r>
    </w:p>
    <w:p w:rsidRPr="00BD212C" w:rsidR="00717AD3" w:rsidP="00BD212C" w:rsidRDefault="00717AD3">
      <w:pPr>
        <w:pStyle w:val="OpiQuot"/>
      </w:pPr>
      <w:r w:rsidRPr="00BD212C">
        <w:t>108. The Government, relying on the Court</w:t>
      </w:r>
      <w:r w:rsidRPr="00BD212C" w:rsidR="00BD212C">
        <w:t>’</w:t>
      </w:r>
      <w:r w:rsidRPr="00BD212C">
        <w:t xml:space="preserve">s </w:t>
      </w:r>
      <w:r w:rsidRPr="00BD212C">
        <w:rPr>
          <w:i/>
        </w:rPr>
        <w:t>Gas and Dubois</w:t>
      </w:r>
      <w:r w:rsidRPr="00BD212C">
        <w:t xml:space="preserve"> judgment, argued that the applicants were not in a relevantly similar situation to a married couple. For their part, the applicants stressed that they did not wish to assert a right that was reserved to married couples. The Court does not see any reason to deviate from its case-law in this regard.</w:t>
      </w:r>
    </w:p>
    <w:p w:rsidRPr="00BD212C" w:rsidR="00717AD3" w:rsidP="00BD212C" w:rsidRDefault="00717AD3">
      <w:pPr>
        <w:pStyle w:val="OpiQuot"/>
      </w:pPr>
      <w:r w:rsidRPr="00BD212C">
        <w:t>109. In the light of these considerations, the Court concludes that the first and third applicants are not in a relevantly similar situation to a married couple in respect of second-parent adoption.</w:t>
      </w:r>
    </w:p>
    <w:p w:rsidRPr="00BD212C" w:rsidR="00717AD3" w:rsidP="00BD212C" w:rsidRDefault="00717AD3">
      <w:pPr>
        <w:pStyle w:val="OpiQuot"/>
      </w:pPr>
      <w:r w:rsidRPr="00BD212C">
        <w:t>110. Consequently, there has been no violation of Article 14 of the Convention taken in conjunction with Article 8 when the applicants</w:t>
      </w:r>
      <w:r w:rsidRPr="00BD212C" w:rsidR="00BD212C">
        <w:t>’</w:t>
      </w:r>
      <w:r w:rsidRPr="00BD212C">
        <w:t xml:space="preserve"> situation is compared with that of a married couple in which one spouse wishes to adopt the other spouse</w:t>
      </w:r>
      <w:r w:rsidRPr="00BD212C" w:rsidR="00BD212C">
        <w:t>’</w:t>
      </w:r>
      <w:r w:rsidRPr="00BD212C">
        <w:t>s child</w:t>
      </w:r>
      <w:r w:rsidRPr="00BD212C" w:rsidR="00EC7239">
        <w:t>”</w:t>
      </w:r>
      <w:r w:rsidRPr="00BD212C">
        <w:t>.</w:t>
      </w:r>
    </w:p>
    <w:p w:rsidRPr="00BD212C" w:rsidR="00653C1F" w:rsidP="00BD212C" w:rsidRDefault="00653C1F">
      <w:pPr>
        <w:pStyle w:val="ECHRPara"/>
        <w:rPr>
          <w:i/>
          <w:iCs/>
        </w:rPr>
      </w:pPr>
      <w:r w:rsidRPr="00BD212C">
        <w:t>9.  I</w:t>
      </w:r>
      <w:r w:rsidRPr="00BD212C" w:rsidR="00EC7239">
        <w:t>t thus appears that the</w:t>
      </w:r>
      <w:r w:rsidRPr="00BD212C">
        <w:t xml:space="preserve"> Grand Chamb</w:t>
      </w:r>
      <w:r w:rsidRPr="00BD212C" w:rsidR="00EC7239">
        <w:t>er</w:t>
      </w:r>
      <w:r w:rsidRPr="00BD212C">
        <w:t xml:space="preserve"> distingu</w:t>
      </w:r>
      <w:r w:rsidRPr="00BD212C" w:rsidR="00EC7239">
        <w:t>ishes clearly</w:t>
      </w:r>
      <w:r w:rsidRPr="00BD212C">
        <w:t xml:space="preserve"> – </w:t>
      </w:r>
      <w:r w:rsidRPr="00BD212C" w:rsidR="00EC7239">
        <w:t>and</w:t>
      </w:r>
      <w:r w:rsidRPr="00BD212C">
        <w:t xml:space="preserve"> unanim</w:t>
      </w:r>
      <w:r w:rsidRPr="00BD212C" w:rsidR="00EC7239">
        <w:t>ously</w:t>
      </w:r>
      <w:r w:rsidRPr="00BD212C">
        <w:t xml:space="preserve"> (</w:t>
      </w:r>
      <w:r w:rsidRPr="00BD212C" w:rsidR="00EC7239">
        <w:t xml:space="preserve">see </w:t>
      </w:r>
      <w:r w:rsidRPr="00BD212C">
        <w:t xml:space="preserve">point 2 </w:t>
      </w:r>
      <w:r w:rsidRPr="00BD212C" w:rsidR="00EE1D00">
        <w:t>of the operative</w:t>
      </w:r>
      <w:r w:rsidRPr="00BD212C" w:rsidR="00EC7239">
        <w:t xml:space="preserve"> provisions of</w:t>
      </w:r>
      <w:r w:rsidRPr="00BD212C">
        <w:t xml:space="preserve"> </w:t>
      </w:r>
      <w:r w:rsidRPr="00BD212C">
        <w:rPr>
          <w:i/>
        </w:rPr>
        <w:t xml:space="preserve">X </w:t>
      </w:r>
      <w:r w:rsidRPr="00BD212C" w:rsidR="00EC7239">
        <w:rPr>
          <w:i/>
        </w:rPr>
        <w:t>and Other</w:t>
      </w:r>
      <w:r w:rsidRPr="00BD212C">
        <w:rPr>
          <w:i/>
        </w:rPr>
        <w:t xml:space="preserve">s </w:t>
      </w:r>
      <w:r w:rsidRPr="00BD212C" w:rsidR="00EC7239">
        <w:rPr>
          <w:i/>
        </w:rPr>
        <w:t>v. Austria</w:t>
      </w:r>
      <w:r w:rsidRPr="00BD212C">
        <w:t xml:space="preserve">, </w:t>
      </w:r>
      <w:r w:rsidRPr="00BD212C" w:rsidR="00EC7239">
        <w:t>cited above</w:t>
      </w:r>
      <w:r w:rsidRPr="00BD212C">
        <w:t xml:space="preserve">) – </w:t>
      </w:r>
      <w:r w:rsidRPr="00BD212C" w:rsidR="00EC7239">
        <w:t>between the</w:t>
      </w:r>
      <w:r w:rsidRPr="00BD212C">
        <w:t xml:space="preserve"> situation</w:t>
      </w:r>
      <w:r w:rsidRPr="00BD212C" w:rsidR="00EC7239">
        <w:t xml:space="preserve"> of a married</w:t>
      </w:r>
      <w:r w:rsidRPr="00BD212C">
        <w:t xml:space="preserve"> couple</w:t>
      </w:r>
      <w:r w:rsidRPr="00BD212C" w:rsidR="00EC7239">
        <w:t xml:space="preserve"> and that of an unmarried</w:t>
      </w:r>
      <w:r w:rsidRPr="00BD212C">
        <w:t xml:space="preserve"> homosexu</w:t>
      </w:r>
      <w:r w:rsidRPr="00BD212C" w:rsidR="00EC7239">
        <w:t>a</w:t>
      </w:r>
      <w:r w:rsidRPr="00BD212C">
        <w:t xml:space="preserve">l </w:t>
      </w:r>
      <w:r w:rsidRPr="00BD212C" w:rsidR="00EC7239">
        <w:t>couple</w:t>
      </w:r>
      <w:r w:rsidRPr="00BD212C">
        <w:t xml:space="preserve">. </w:t>
      </w:r>
      <w:r w:rsidRPr="00BD212C" w:rsidR="00EC7239">
        <w:t xml:space="preserve">It may of course be argued that the </w:t>
      </w:r>
      <w:r w:rsidRPr="00BD212C">
        <w:t xml:space="preserve">distinction </w:t>
      </w:r>
      <w:r w:rsidRPr="00BD212C" w:rsidR="00EC7239">
        <w:t>in</w:t>
      </w:r>
      <w:r w:rsidRPr="00BD212C">
        <w:t xml:space="preserve"> question </w:t>
      </w:r>
      <w:r w:rsidRPr="00BD212C" w:rsidR="00EC7239">
        <w:t>is valid only for that particular cas</w:t>
      </w:r>
      <w:r w:rsidRPr="00BD212C">
        <w:t xml:space="preserve">e, </w:t>
      </w:r>
      <w:r w:rsidRPr="00BD212C" w:rsidR="00EC7239">
        <w:t xml:space="preserve">namely, the </w:t>
      </w:r>
      <w:r w:rsidRPr="00BD212C">
        <w:t xml:space="preserve">question </w:t>
      </w:r>
      <w:r w:rsidRPr="00BD212C" w:rsidR="00EC7239">
        <w:t xml:space="preserve">of second-parent </w:t>
      </w:r>
      <w:r w:rsidRPr="00BD212C">
        <w:t xml:space="preserve">adoption. </w:t>
      </w:r>
      <w:r w:rsidRPr="00BD212C" w:rsidR="00EC7239">
        <w:t>That is not so, however</w:t>
      </w:r>
      <w:r w:rsidRPr="00BD212C">
        <w:t xml:space="preserve">. </w:t>
      </w:r>
      <w:r w:rsidRPr="00BD212C" w:rsidR="00EC7239">
        <w:t>As also appears in the cases referred to in the</w:t>
      </w:r>
      <w:r w:rsidRPr="00BD212C">
        <w:t xml:space="preserve"> passage </w:t>
      </w:r>
      <w:r w:rsidRPr="00BD212C" w:rsidR="00EC7239">
        <w:t>cited above</w:t>
      </w:r>
      <w:r w:rsidRPr="00BD212C">
        <w:t>,</w:t>
      </w:r>
      <w:r w:rsidRPr="00BD212C" w:rsidR="00EC7239">
        <w:t xml:space="preserve"> that</w:t>
      </w:r>
      <w:r w:rsidRPr="00BD212C">
        <w:t xml:space="preserve"> distinction </w:t>
      </w:r>
      <w:r w:rsidRPr="00BD212C" w:rsidR="00EC7239">
        <w:t>reflects a consistent interpretation in the Court</w:t>
      </w:r>
      <w:r w:rsidRPr="00BD212C" w:rsidR="00BD212C">
        <w:t>’</w:t>
      </w:r>
      <w:r w:rsidRPr="00BD212C" w:rsidR="00EC7239">
        <w:t>s</w:t>
      </w:r>
      <w:r w:rsidRPr="00BD212C">
        <w:t xml:space="preserve"> </w:t>
      </w:r>
      <w:r w:rsidRPr="00BD212C" w:rsidR="00EC7239">
        <w:t>case-law</w:t>
      </w:r>
      <w:r w:rsidRPr="00BD212C">
        <w:t xml:space="preserve">. </w:t>
      </w:r>
      <w:r w:rsidRPr="00BD212C" w:rsidR="00EC7239">
        <w:t>The Court has repeatedly found</w:t>
      </w:r>
      <w:r w:rsidRPr="00BD212C" w:rsidR="00EE1D00">
        <w:t>,</w:t>
      </w:r>
      <w:r w:rsidRPr="00BD212C" w:rsidR="00EC7239">
        <w:t xml:space="preserve"> in </w:t>
      </w:r>
      <w:r w:rsidRPr="00BD212C">
        <w:t>cas</w:t>
      </w:r>
      <w:r w:rsidRPr="00BD212C" w:rsidR="00EC7239">
        <w:t xml:space="preserve">es concerning a </w:t>
      </w:r>
      <w:r w:rsidRPr="00BD212C" w:rsidR="00EE1D00">
        <w:t>wide</w:t>
      </w:r>
      <w:r w:rsidRPr="00BD212C" w:rsidR="00EC7239">
        <w:t xml:space="preserve"> range of</w:t>
      </w:r>
      <w:r w:rsidRPr="00BD212C">
        <w:t xml:space="preserve"> person</w:t>
      </w:r>
      <w:r w:rsidRPr="00BD212C" w:rsidR="005F4CAD">
        <w:t>a</w:t>
      </w:r>
      <w:r w:rsidRPr="00BD212C">
        <w:t xml:space="preserve">l, </w:t>
      </w:r>
      <w:r w:rsidRPr="00BD212C" w:rsidR="005F4CAD">
        <w:t>economic or soc</w:t>
      </w:r>
      <w:r w:rsidRPr="00BD212C">
        <w:t>ial</w:t>
      </w:r>
      <w:r w:rsidRPr="00BD212C" w:rsidR="005F4CAD">
        <w:t xml:space="preserve"> matters</w:t>
      </w:r>
      <w:r w:rsidRPr="00BD212C" w:rsidR="00EE1D00">
        <w:t>,</w:t>
      </w:r>
      <w:r w:rsidRPr="00BD212C" w:rsidR="005F4CAD">
        <w:t xml:space="preserve"> that the </w:t>
      </w:r>
      <w:r w:rsidRPr="00BD212C">
        <w:t>institution</w:t>
      </w:r>
      <w:r w:rsidRPr="00BD212C" w:rsidR="005F4CAD">
        <w:t xml:space="preserve"> of</w:t>
      </w:r>
      <w:r w:rsidRPr="00BD212C">
        <w:t xml:space="preserve"> mar</w:t>
      </w:r>
      <w:r w:rsidRPr="00BD212C" w:rsidR="005F4CAD">
        <w:t>r</w:t>
      </w:r>
      <w:r w:rsidRPr="00BD212C">
        <w:t>iage cr</w:t>
      </w:r>
      <w:r w:rsidRPr="00BD212C" w:rsidR="005F4CAD">
        <w:t xml:space="preserve">eates a special </w:t>
      </w:r>
      <w:r w:rsidRPr="00BD212C" w:rsidR="00EE1D00">
        <w:t xml:space="preserve">regime </w:t>
      </w:r>
      <w:r w:rsidRPr="00BD212C" w:rsidR="005F4CAD">
        <w:t>in favour of the persons concerned</w:t>
      </w:r>
      <w:r w:rsidRPr="00BD212C">
        <w:t xml:space="preserve">. </w:t>
      </w:r>
      <w:r w:rsidRPr="00BD212C" w:rsidR="005F4CAD">
        <w:t>M</w:t>
      </w:r>
      <w:r w:rsidRPr="00BD212C">
        <w:t>ar</w:t>
      </w:r>
      <w:r w:rsidRPr="00BD212C" w:rsidR="005F4CAD">
        <w:t>r</w:t>
      </w:r>
      <w:r w:rsidRPr="00BD212C">
        <w:t>iage</w:t>
      </w:r>
      <w:r w:rsidRPr="00BD212C" w:rsidR="005F4CAD">
        <w:t xml:space="preserve"> is characterised by a corpus of rights and </w:t>
      </w:r>
      <w:r w:rsidRPr="00BD212C">
        <w:t>obligations</w:t>
      </w:r>
      <w:r w:rsidRPr="00BD212C" w:rsidR="005F4CAD">
        <w:t xml:space="preserve"> that differentiate it markedly from the</w:t>
      </w:r>
      <w:r w:rsidRPr="00BD212C">
        <w:t xml:space="preserve"> </w:t>
      </w:r>
      <w:r w:rsidRPr="00BD212C" w:rsidR="005F4CAD">
        <w:t>situation of a</w:t>
      </w:r>
      <w:r w:rsidRPr="00BD212C">
        <w:t xml:space="preserve"> </w:t>
      </w:r>
      <w:r w:rsidRPr="00BD212C" w:rsidR="005F4CAD">
        <w:t xml:space="preserve">stable </w:t>
      </w:r>
      <w:r w:rsidRPr="00BD212C">
        <w:t xml:space="preserve">couple </w:t>
      </w:r>
      <w:r w:rsidRPr="00BD212C" w:rsidR="005F4CAD">
        <w:t xml:space="preserve">who are </w:t>
      </w:r>
      <w:r w:rsidRPr="00BD212C">
        <w:t>cohabit</w:t>
      </w:r>
      <w:r w:rsidRPr="00BD212C" w:rsidR="005F4CAD">
        <w:t>ing without being married</w:t>
      </w:r>
      <w:r w:rsidRPr="00BD212C">
        <w:t xml:space="preserve">. </w:t>
      </w:r>
      <w:r w:rsidRPr="00BD212C" w:rsidR="005F4CAD">
        <w:t>That established principle in the Court</w:t>
      </w:r>
      <w:r w:rsidRPr="00BD212C" w:rsidR="00BD212C">
        <w:t>’</w:t>
      </w:r>
      <w:r w:rsidRPr="00BD212C" w:rsidR="005F4CAD">
        <w:t xml:space="preserve">s case-law was </w:t>
      </w:r>
      <w:r w:rsidRPr="00BD212C" w:rsidR="00EE1D00">
        <w:t xml:space="preserve">also </w:t>
      </w:r>
      <w:r w:rsidRPr="00BD212C" w:rsidR="005F4CAD">
        <w:t>summarised by the</w:t>
      </w:r>
      <w:r w:rsidRPr="00BD212C">
        <w:t xml:space="preserve"> Grand</w:t>
      </w:r>
      <w:r w:rsidRPr="00BD212C" w:rsidR="005F4CAD">
        <w:t xml:space="preserve"> Chamb</w:t>
      </w:r>
      <w:r w:rsidRPr="00BD212C">
        <w:t>e</w:t>
      </w:r>
      <w:r w:rsidRPr="00BD212C" w:rsidR="005F4CAD">
        <w:t>r in a case concerning welfare benefits</w:t>
      </w:r>
      <w:r w:rsidRPr="00BD212C">
        <w:t>,</w:t>
      </w:r>
      <w:r w:rsidRPr="00BD212C" w:rsidR="005F4CAD">
        <w:t xml:space="preserve"> which raised a very different </w:t>
      </w:r>
      <w:r w:rsidRPr="00BD212C">
        <w:t>question</w:t>
      </w:r>
      <w:r w:rsidRPr="00BD212C" w:rsidR="00EC7239">
        <w:t xml:space="preserve"> </w:t>
      </w:r>
      <w:r w:rsidRPr="00BD212C" w:rsidR="005F4CAD">
        <w:t>from that of</w:t>
      </w:r>
      <w:r w:rsidRPr="00BD212C" w:rsidR="00EC7239">
        <w:t xml:space="preserve"> second-parent a</w:t>
      </w:r>
      <w:r w:rsidRPr="00BD212C">
        <w:t xml:space="preserve">doption. </w:t>
      </w:r>
      <w:r w:rsidRPr="00BD212C" w:rsidR="005F4CAD">
        <w:t>Thus, in the case of</w:t>
      </w:r>
      <w:r w:rsidRPr="00BD212C">
        <w:t xml:space="preserve"> </w:t>
      </w:r>
      <w:r w:rsidRPr="00BD212C" w:rsidR="00EC7239">
        <w:rPr>
          <w:rStyle w:val="CLLItalic"/>
          <w:lang w:val="en-US"/>
        </w:rPr>
        <w:t xml:space="preserve">Şerife Yiğit v. Turkey </w:t>
      </w:r>
      <w:r w:rsidRPr="00BD212C" w:rsidR="005F4CAD">
        <w:t xml:space="preserve">[GC], no. 3976/05, </w:t>
      </w:r>
      <w:r w:rsidRPr="00BD212C" w:rsidR="00EC7239">
        <w:t>2 November 2010</w:t>
      </w:r>
      <w:r w:rsidRPr="00BD212C">
        <w:rPr>
          <w:szCs w:val="20"/>
        </w:rPr>
        <w:t xml:space="preserve">), </w:t>
      </w:r>
      <w:r w:rsidRPr="00BD212C" w:rsidR="005F4CAD">
        <w:t>the</w:t>
      </w:r>
      <w:r w:rsidRPr="00BD212C">
        <w:t xml:space="preserve"> Cour</w:t>
      </w:r>
      <w:r w:rsidRPr="00BD212C" w:rsidR="005F4CAD">
        <w:t>t observed as follows</w:t>
      </w:r>
      <w:r w:rsidRPr="00BD212C">
        <w:t>:</w:t>
      </w:r>
    </w:p>
    <w:p w:rsidRPr="00BD212C" w:rsidR="00653C1F" w:rsidP="00BD212C" w:rsidRDefault="005F4CAD">
      <w:pPr>
        <w:pStyle w:val="OpiQuot"/>
      </w:pPr>
      <w:r w:rsidRPr="00BD212C">
        <w:rPr>
          <w:szCs w:val="20"/>
        </w:rPr>
        <w:t>“</w:t>
      </w:r>
      <w:r w:rsidRPr="00BD212C" w:rsidR="00653C1F">
        <w:t>72.  </w:t>
      </w:r>
      <w:r w:rsidRPr="00BD212C">
        <w:t xml:space="preserve">With regard to Article 12 of the Convention, the Court has already ruled that marriage is widely accepted as conferring a particular status and particular rights on those who enter it (see </w:t>
      </w:r>
      <w:r w:rsidRPr="00BD212C">
        <w:rPr>
          <w:i/>
        </w:rPr>
        <w:t>Burden</w:t>
      </w:r>
      <w:r w:rsidRPr="00BD212C">
        <w:t xml:space="preserve">, cited above, § 63, and </w:t>
      </w:r>
      <w:r w:rsidRPr="00BD212C">
        <w:rPr>
          <w:i/>
        </w:rPr>
        <w:t>Shackell v. the United Kingdom</w:t>
      </w:r>
      <w:r w:rsidRPr="00BD212C">
        <w:t xml:space="preserve"> (dec.), no. </w:t>
      </w:r>
      <w:hyperlink w:tgtFrame="_blank" w:history="1" w:anchor="{&quot;appno&quot;:[&quot;45851/99&quot;]}" r:id="rId13">
        <w:r w:rsidRPr="00BD212C">
          <w:rPr>
            <w:rStyle w:val="Hyperlink"/>
          </w:rPr>
          <w:t>45851/99</w:t>
        </w:r>
      </w:hyperlink>
      <w:r w:rsidRPr="00BD212C">
        <w:t xml:space="preserve">, 27 April 2000). The protection of marriage constitutes, in principle, an important and legitimate reason which may justify a difference in treatment between married and unmarried couples (see </w:t>
      </w:r>
      <w:r w:rsidRPr="00BD212C">
        <w:rPr>
          <w:i/>
        </w:rPr>
        <w:t>Quintana Zapata v. Spain</w:t>
      </w:r>
      <w:r w:rsidRPr="00BD212C">
        <w:t xml:space="preserve">, Commission decision of 4 March 1998, Decisions and Reports (DR) 92, p. 139). Marriage is characterised by a corpus of rights and obligations that differentiate it markedly from the situation of a man and woman who cohabit (see </w:t>
      </w:r>
      <w:r w:rsidRPr="00BD212C">
        <w:rPr>
          <w:i/>
        </w:rPr>
        <w:t>Nylund v. Finland</w:t>
      </w:r>
      <w:r w:rsidRPr="00BD212C">
        <w:t xml:space="preserve"> (dec.), no. </w:t>
      </w:r>
      <w:hyperlink w:tgtFrame="_blank" w:history="1" w:anchor="{&quot;appno&quot;:[&quot;27110/95&quot;]}" r:id="rId14">
        <w:r w:rsidRPr="00BD212C">
          <w:rPr>
            <w:rStyle w:val="Hyperlink"/>
          </w:rPr>
          <w:t>27110/95</w:t>
        </w:r>
      </w:hyperlink>
      <w:r w:rsidRPr="00BD212C">
        <w:t>, ECHR 1999</w:t>
      </w:r>
      <w:r w:rsidRPr="00BD212C">
        <w:noBreakHyphen/>
        <w:t xml:space="preserve">VI, and </w:t>
      </w:r>
      <w:r w:rsidRPr="00BD212C">
        <w:rPr>
          <w:i/>
        </w:rPr>
        <w:t>Lindsay v. the United Kingdom</w:t>
      </w:r>
      <w:r w:rsidRPr="00BD212C">
        <w:t xml:space="preserve"> (dec.), no. </w:t>
      </w:r>
      <w:hyperlink w:tgtFrame="_blank" w:history="1" w:anchor="{&quot;appno&quot;:[&quot;11089/84&quot;]}" r:id="rId15">
        <w:r w:rsidRPr="00BD212C">
          <w:rPr>
            <w:rStyle w:val="Hyperlink"/>
          </w:rPr>
          <w:t>11089/84</w:t>
        </w:r>
      </w:hyperlink>
      <w:r w:rsidRPr="00BD212C">
        <w:t xml:space="preserve">, 11 November 1986). Thus, States have a certain margin of appreciation to treat differently married and unmarried couples, particularly in matters falling within the realm of social and fiscal policy such as taxation, pensions and social security (see, </w:t>
      </w:r>
      <w:r w:rsidRPr="00BD212C">
        <w:rPr>
          <w:i/>
        </w:rPr>
        <w:t>mutatis mutandis</w:t>
      </w:r>
      <w:r w:rsidRPr="00BD212C">
        <w:t xml:space="preserve">, </w:t>
      </w:r>
      <w:r w:rsidRPr="00BD212C">
        <w:rPr>
          <w:i/>
        </w:rPr>
        <w:t>Burden</w:t>
      </w:r>
      <w:r w:rsidRPr="00BD212C">
        <w:t>, cited above, § 65).</w:t>
      </w:r>
      <w:r w:rsidRPr="00BD212C" w:rsidR="00EE1D00">
        <w:t>”</w:t>
      </w:r>
    </w:p>
    <w:p w:rsidRPr="00BD212C" w:rsidR="00653C1F" w:rsidP="00BD212C" w:rsidRDefault="005F4CAD">
      <w:pPr>
        <w:pStyle w:val="ECHRPara"/>
        <w:rPr>
          <w:i/>
          <w:iCs/>
          <w:lang w:val="pt-PT"/>
        </w:rPr>
      </w:pPr>
      <w:r w:rsidRPr="00BD212C">
        <w:t>See also the judgment</w:t>
      </w:r>
      <w:r w:rsidRPr="00BD212C" w:rsidR="00653C1F">
        <w:t xml:space="preserve"> </w:t>
      </w:r>
      <w:r w:rsidRPr="00BD212C">
        <w:rPr>
          <w:rStyle w:val="CLLItalic"/>
          <w:lang w:val="pt-PT"/>
        </w:rPr>
        <w:t>Korosidou v. Greece</w:t>
      </w:r>
      <w:r w:rsidRPr="00BD212C">
        <w:rPr>
          <w:lang w:val="pt-PT"/>
        </w:rPr>
        <w:t xml:space="preserve"> </w:t>
      </w:r>
      <w:r w:rsidRPr="00BD212C" w:rsidR="00D9425D">
        <w:rPr>
          <w:lang w:val="pt-PT"/>
        </w:rPr>
        <w:t>(</w:t>
      </w:r>
      <w:r w:rsidRPr="00BD212C">
        <w:rPr>
          <w:lang w:val="pt-PT"/>
        </w:rPr>
        <w:t>no. 9957/08</w:t>
      </w:r>
      <w:r w:rsidRPr="00BD212C">
        <w:rPr>
          <w:snapToGrid w:val="0"/>
          <w:lang w:val="pt-PT"/>
        </w:rPr>
        <w:t>, 10 February 2011</w:t>
      </w:r>
      <w:r w:rsidRPr="00BD212C" w:rsidR="00653C1F">
        <w:t>).</w:t>
      </w:r>
    </w:p>
    <w:p w:rsidRPr="00BD212C" w:rsidR="00653C1F" w:rsidP="00BD212C" w:rsidRDefault="00653C1F">
      <w:pPr>
        <w:pStyle w:val="OpiPara"/>
      </w:pPr>
      <w:r w:rsidRPr="00BD212C">
        <w:t>10.  </w:t>
      </w:r>
      <w:r w:rsidRPr="00BD212C" w:rsidR="00D9425D">
        <w:t>It would therefore appear that there is clear</w:t>
      </w:r>
      <w:r w:rsidRPr="00BD212C">
        <w:t xml:space="preserve"> </w:t>
      </w:r>
      <w:r w:rsidRPr="00BD212C" w:rsidR="00D9425D">
        <w:t>case-law authority</w:t>
      </w:r>
      <w:r w:rsidRPr="00BD212C" w:rsidR="00EE1D00">
        <w:t>,</w:t>
      </w:r>
      <w:r w:rsidRPr="00BD212C" w:rsidR="00D9425D">
        <w:t xml:space="preserve"> </w:t>
      </w:r>
      <w:r w:rsidRPr="00BD212C" w:rsidR="00EE1D00">
        <w:t>recurring</w:t>
      </w:r>
      <w:r w:rsidRPr="00BD212C" w:rsidR="00D9425D">
        <w:t xml:space="preserve"> like</w:t>
      </w:r>
      <w:r w:rsidRPr="00BD212C">
        <w:t xml:space="preserve"> </w:t>
      </w:r>
      <w:r w:rsidRPr="00BD212C" w:rsidR="00D9425D">
        <w:t>a</w:t>
      </w:r>
      <w:r w:rsidRPr="00BD212C">
        <w:t xml:space="preserve"> leitmotiv</w:t>
      </w:r>
      <w:r w:rsidRPr="00BD212C" w:rsidR="00EE1D00">
        <w:t>,</w:t>
      </w:r>
      <w:r w:rsidRPr="00BD212C">
        <w:t xml:space="preserve"> </w:t>
      </w:r>
      <w:r w:rsidRPr="00BD212C" w:rsidR="00EE1D00">
        <w:t>o</w:t>
      </w:r>
      <w:r w:rsidRPr="00BD212C" w:rsidR="00D9425D">
        <w:t xml:space="preserve">n cases covering a </w:t>
      </w:r>
      <w:r w:rsidRPr="00BD212C" w:rsidR="00EE1D00">
        <w:t>wide</w:t>
      </w:r>
      <w:r w:rsidRPr="00BD212C" w:rsidR="00D9425D">
        <w:t xml:space="preserve"> range of</w:t>
      </w:r>
      <w:r w:rsidRPr="00BD212C">
        <w:t xml:space="preserve"> </w:t>
      </w:r>
      <w:r w:rsidRPr="00BD212C" w:rsidR="00620A6E">
        <w:t>issues</w:t>
      </w:r>
      <w:r w:rsidRPr="00BD212C">
        <w:t xml:space="preserve">, </w:t>
      </w:r>
      <w:r w:rsidRPr="00BD212C" w:rsidR="00D9425D">
        <w:t>whether this be under Ar</w:t>
      </w:r>
      <w:r w:rsidRPr="00BD212C">
        <w:t>ticle 8 o</w:t>
      </w:r>
      <w:r w:rsidRPr="00BD212C" w:rsidR="00D9425D">
        <w:t>r under A</w:t>
      </w:r>
      <w:r w:rsidRPr="00BD212C">
        <w:t xml:space="preserve">rticle 1 </w:t>
      </w:r>
      <w:r w:rsidRPr="00BD212C" w:rsidR="00D9425D">
        <w:t>of</w:t>
      </w:r>
      <w:r w:rsidRPr="00BD212C">
        <w:t xml:space="preserve"> Protocol</w:t>
      </w:r>
      <w:r w:rsidRPr="00BD212C" w:rsidR="00D9425D">
        <w:t xml:space="preserve"> No. </w:t>
      </w:r>
      <w:r w:rsidRPr="00BD212C">
        <w:t xml:space="preserve">1 </w:t>
      </w:r>
      <w:r w:rsidRPr="00BD212C" w:rsidR="00D9425D">
        <w:t>taken in conjunction with</w:t>
      </w:r>
      <w:r w:rsidRPr="00BD212C" w:rsidR="00620A6E">
        <w:t xml:space="preserve"> Article 14 of</w:t>
      </w:r>
      <w:r w:rsidRPr="00BD212C" w:rsidR="00D9425D">
        <w:t xml:space="preserve"> the </w:t>
      </w:r>
      <w:r w:rsidRPr="00BD212C">
        <w:t xml:space="preserve">Convention, </w:t>
      </w:r>
      <w:r w:rsidRPr="00BD212C" w:rsidR="00D9425D">
        <w:t>and which</w:t>
      </w:r>
      <w:r w:rsidRPr="00BD212C">
        <w:t xml:space="preserve"> consist</w:t>
      </w:r>
      <w:r w:rsidRPr="00BD212C" w:rsidR="00D9425D">
        <w:t>s in</w:t>
      </w:r>
      <w:r w:rsidRPr="00BD212C">
        <w:t xml:space="preserve"> distingu</w:t>
      </w:r>
      <w:r w:rsidRPr="00BD212C" w:rsidR="00D9425D">
        <w:t>ishing between married</w:t>
      </w:r>
      <w:r w:rsidRPr="00BD212C">
        <w:t xml:space="preserve"> couples, </w:t>
      </w:r>
      <w:r w:rsidRPr="00BD212C" w:rsidR="00D9425D">
        <w:t xml:space="preserve">be they </w:t>
      </w:r>
      <w:r w:rsidRPr="00BD212C">
        <w:t>homosexu</w:t>
      </w:r>
      <w:r w:rsidRPr="00BD212C" w:rsidR="00D9425D">
        <w:t>a</w:t>
      </w:r>
      <w:r w:rsidRPr="00BD212C">
        <w:t>l</w:t>
      </w:r>
      <w:r w:rsidRPr="00BD212C" w:rsidR="00D9425D">
        <w:t xml:space="preserve"> or heterosexua</w:t>
      </w:r>
      <w:r w:rsidRPr="00BD212C">
        <w:t xml:space="preserve">l, </w:t>
      </w:r>
      <w:r w:rsidRPr="00BD212C" w:rsidR="00D9425D">
        <w:t>and unmarried</w:t>
      </w:r>
      <w:r w:rsidRPr="00BD212C">
        <w:t xml:space="preserve"> couples</w:t>
      </w:r>
      <w:r w:rsidRPr="00BD212C" w:rsidR="00D9425D">
        <w:t>, be they</w:t>
      </w:r>
      <w:r w:rsidRPr="00BD212C">
        <w:t xml:space="preserve"> homosexu</w:t>
      </w:r>
      <w:r w:rsidRPr="00BD212C" w:rsidR="00D9425D">
        <w:t>a</w:t>
      </w:r>
      <w:r w:rsidRPr="00BD212C">
        <w:t>l</w:t>
      </w:r>
      <w:r w:rsidRPr="00BD212C" w:rsidR="00D9425D">
        <w:t xml:space="preserve"> or hete</w:t>
      </w:r>
      <w:r w:rsidRPr="00BD212C">
        <w:t>rosexu</w:t>
      </w:r>
      <w:r w:rsidRPr="00BD212C" w:rsidR="00D9425D">
        <w:t>a</w:t>
      </w:r>
      <w:r w:rsidRPr="00BD212C">
        <w:t xml:space="preserve">l. </w:t>
      </w:r>
      <w:r w:rsidRPr="00BD212C" w:rsidR="00D9425D">
        <w:t>Accordingly</w:t>
      </w:r>
      <w:r w:rsidRPr="00BD212C">
        <w:t xml:space="preserve">, </w:t>
      </w:r>
      <w:r w:rsidRPr="00BD212C" w:rsidR="00D9425D">
        <w:t xml:space="preserve">to </w:t>
      </w:r>
      <w:r w:rsidRPr="00BD212C" w:rsidR="00620A6E">
        <w:t>accept</w:t>
      </w:r>
      <w:r w:rsidRPr="00BD212C" w:rsidR="00D9425D">
        <w:t>, albeit implicitly or indirectly,</w:t>
      </w:r>
      <w:r w:rsidRPr="00BD212C">
        <w:t xml:space="preserve"> </w:t>
      </w:r>
      <w:r w:rsidRPr="00BD212C" w:rsidR="00D9425D">
        <w:t>that an unmarried stable</w:t>
      </w:r>
      <w:r w:rsidRPr="00BD212C">
        <w:t xml:space="preserve"> couple </w:t>
      </w:r>
      <w:r w:rsidRPr="00BD212C" w:rsidR="00D9425D">
        <w:t>is in a comparable</w:t>
      </w:r>
      <w:r w:rsidRPr="00BD212C">
        <w:t xml:space="preserve"> situation</w:t>
      </w:r>
      <w:r w:rsidRPr="00BD212C" w:rsidR="00D9425D">
        <w:t xml:space="preserve"> to that of a married</w:t>
      </w:r>
      <w:r w:rsidRPr="00BD212C">
        <w:t xml:space="preserve"> couple </w:t>
      </w:r>
      <w:r w:rsidRPr="00BD212C" w:rsidR="00D9425D">
        <w:t>does not appear to be</w:t>
      </w:r>
      <w:r w:rsidRPr="00BD212C">
        <w:t xml:space="preserve"> </w:t>
      </w:r>
      <w:r w:rsidRPr="00BD212C" w:rsidR="00EE1D00">
        <w:t>consistent</w:t>
      </w:r>
      <w:r w:rsidRPr="00BD212C" w:rsidR="00D9425D">
        <w:t xml:space="preserve"> with the Court</w:t>
      </w:r>
      <w:r w:rsidRPr="00BD212C" w:rsidR="00BD212C">
        <w:t>’</w:t>
      </w:r>
      <w:r w:rsidRPr="00BD212C" w:rsidR="00D9425D">
        <w:t>s case-law</w:t>
      </w:r>
      <w:r w:rsidRPr="00BD212C">
        <w:t>.</w:t>
      </w:r>
    </w:p>
    <w:p w:rsidRPr="00BD212C" w:rsidR="00653C1F" w:rsidP="00BD212C" w:rsidRDefault="00653C1F">
      <w:pPr>
        <w:pStyle w:val="OpiHi"/>
      </w:pPr>
      <w:r w:rsidRPr="00BD212C">
        <w:t>b)  </w:t>
      </w:r>
      <w:r w:rsidRPr="00BD212C" w:rsidR="00D9425D">
        <w:t>The</w:t>
      </w:r>
      <w:r w:rsidRPr="00BD212C">
        <w:t xml:space="preserve"> situation </w:t>
      </w:r>
      <w:r w:rsidRPr="00BD212C" w:rsidR="00D9425D">
        <w:t>of</w:t>
      </w:r>
      <w:r w:rsidRPr="00BD212C" w:rsidR="00CF0D0E">
        <w:t xml:space="preserve"> unmarried homosexual</w:t>
      </w:r>
      <w:r w:rsidRPr="00BD212C">
        <w:t xml:space="preserve"> couples </w:t>
      </w:r>
      <w:r w:rsidRPr="00BD212C" w:rsidR="00CF0D0E">
        <w:t>is</w:t>
      </w:r>
      <w:r w:rsidRPr="00BD212C">
        <w:t xml:space="preserve"> comparable</w:t>
      </w:r>
      <w:r w:rsidRPr="00BD212C" w:rsidR="00CF0D0E">
        <w:t xml:space="preserve"> to that of unmarried heterosexual couples</w:t>
      </w:r>
    </w:p>
    <w:p w:rsidRPr="00BD212C" w:rsidR="00653C1F" w:rsidP="00BD212C" w:rsidRDefault="00CF0D0E">
      <w:pPr>
        <w:pStyle w:val="OpiPara"/>
      </w:pPr>
      <w:r w:rsidRPr="00BD212C">
        <w:t>11.  It now remains to be determined</w:t>
      </w:r>
      <w:r w:rsidRPr="00BD212C" w:rsidR="00653C1F">
        <w:t xml:space="preserve"> </w:t>
      </w:r>
      <w:r w:rsidRPr="00BD212C">
        <w:t xml:space="preserve">whether what is explicitly stated by the </w:t>
      </w:r>
      <w:r w:rsidRPr="00BD212C" w:rsidR="00653C1F">
        <w:t>majorit</w:t>
      </w:r>
      <w:r w:rsidRPr="00BD212C">
        <w:t>y</w:t>
      </w:r>
      <w:r w:rsidRPr="00BD212C" w:rsidR="00653C1F">
        <w:t xml:space="preserve"> </w:t>
      </w:r>
      <w:r w:rsidRPr="00BD212C">
        <w:t>in the pre</w:t>
      </w:r>
      <w:r w:rsidRPr="00BD212C" w:rsidR="00653C1F">
        <w:t xml:space="preserve">sent </w:t>
      </w:r>
      <w:r w:rsidRPr="00BD212C">
        <w:t>judgment – namely, that the applicants</w:t>
      </w:r>
      <w:r w:rsidRPr="00BD212C" w:rsidR="00BD212C">
        <w:t>’</w:t>
      </w:r>
      <w:r w:rsidRPr="00BD212C">
        <w:t xml:space="preserve"> </w:t>
      </w:r>
      <w:r w:rsidRPr="00BD212C" w:rsidR="00653C1F">
        <w:t xml:space="preserve">situation </w:t>
      </w:r>
      <w:r w:rsidRPr="00BD212C">
        <w:t>is</w:t>
      </w:r>
      <w:r w:rsidRPr="00BD212C" w:rsidR="00653C1F">
        <w:t xml:space="preserve"> </w:t>
      </w:r>
      <w:r w:rsidRPr="00BD212C">
        <w:rPr>
          <w:i/>
        </w:rPr>
        <w:t>not</w:t>
      </w:r>
      <w:r w:rsidRPr="00BD212C" w:rsidR="00653C1F">
        <w:t xml:space="preserve"> comparable </w:t>
      </w:r>
      <w:r w:rsidRPr="00BD212C">
        <w:t>to that of an unmarried stable heterosexual couple</w:t>
      </w:r>
      <w:r w:rsidRPr="00BD212C" w:rsidR="00653C1F">
        <w:t xml:space="preserve"> – </w:t>
      </w:r>
      <w:r w:rsidRPr="00BD212C">
        <w:t>is</w:t>
      </w:r>
      <w:r w:rsidRPr="00BD212C" w:rsidR="00653C1F">
        <w:t xml:space="preserve"> </w:t>
      </w:r>
      <w:r w:rsidRPr="00BD212C" w:rsidR="00EE1D00">
        <w:t>consistent</w:t>
      </w:r>
      <w:r w:rsidRPr="00BD212C" w:rsidR="00653C1F">
        <w:t xml:space="preserve"> </w:t>
      </w:r>
      <w:r w:rsidRPr="00BD212C">
        <w:t>with the Court</w:t>
      </w:r>
      <w:r w:rsidRPr="00BD212C" w:rsidR="00BD212C">
        <w:t>’</w:t>
      </w:r>
      <w:r w:rsidRPr="00BD212C">
        <w:t>s case-law.</w:t>
      </w:r>
      <w:r w:rsidRPr="00BD212C" w:rsidR="00653C1F">
        <w:t xml:space="preserve"> </w:t>
      </w:r>
      <w:r w:rsidRPr="00BD212C">
        <w:t>In that connection</w:t>
      </w:r>
      <w:r w:rsidRPr="00BD212C" w:rsidR="00653C1F">
        <w:t xml:space="preserve"> </w:t>
      </w:r>
      <w:r w:rsidRPr="00BD212C">
        <w:t>reference should again be made to the above-cited judgmen</w:t>
      </w:r>
      <w:r w:rsidRPr="00BD212C" w:rsidR="00653C1F">
        <w:t xml:space="preserve">t </w:t>
      </w:r>
      <w:r w:rsidRPr="00BD212C" w:rsidR="00653C1F">
        <w:rPr>
          <w:i/>
        </w:rPr>
        <w:t>X</w:t>
      </w:r>
      <w:r w:rsidRPr="00BD212C">
        <w:rPr>
          <w:i/>
        </w:rPr>
        <w:t xml:space="preserve"> and Other</w:t>
      </w:r>
      <w:r w:rsidRPr="00BD212C" w:rsidR="00653C1F">
        <w:rPr>
          <w:i/>
        </w:rPr>
        <w:t xml:space="preserve">s </w:t>
      </w:r>
      <w:r w:rsidRPr="00BD212C">
        <w:rPr>
          <w:i/>
        </w:rPr>
        <w:t>v</w:t>
      </w:r>
      <w:r w:rsidRPr="00BD212C" w:rsidR="00653C1F">
        <w:rPr>
          <w:i/>
        </w:rPr>
        <w:t>. Au</w:t>
      </w:r>
      <w:r w:rsidRPr="00BD212C">
        <w:rPr>
          <w:i/>
        </w:rPr>
        <w:t>stria</w:t>
      </w:r>
      <w:r w:rsidRPr="00BD212C" w:rsidR="00653C1F">
        <w:t xml:space="preserve">. </w:t>
      </w:r>
      <w:r w:rsidRPr="00BD212C">
        <w:t>In that judgment the</w:t>
      </w:r>
      <w:r w:rsidRPr="00BD212C" w:rsidR="00653C1F">
        <w:t xml:space="preserve"> Grand Chamb</w:t>
      </w:r>
      <w:r w:rsidRPr="00BD212C">
        <w:t>er</w:t>
      </w:r>
      <w:r w:rsidRPr="00BD212C" w:rsidR="00653C1F">
        <w:t xml:space="preserve"> adopt</w:t>
      </w:r>
      <w:r w:rsidRPr="00BD212C">
        <w:t>ed a</w:t>
      </w:r>
      <w:r w:rsidRPr="00BD212C" w:rsidR="00653C1F">
        <w:t xml:space="preserve"> position </w:t>
      </w:r>
      <w:r w:rsidRPr="00BD212C">
        <w:t>which appears to be completely at odds with th</w:t>
      </w:r>
      <w:r w:rsidRPr="00BD212C" w:rsidR="00EE1D00">
        <w:t>e one</w:t>
      </w:r>
      <w:r w:rsidRPr="00BD212C" w:rsidR="00653C1F">
        <w:t xml:space="preserve"> </w:t>
      </w:r>
      <w:r w:rsidRPr="00BD212C">
        <w:t>adopted by the</w:t>
      </w:r>
      <w:r w:rsidRPr="00BD212C" w:rsidR="00653C1F">
        <w:t xml:space="preserve"> Cour</w:t>
      </w:r>
      <w:r w:rsidRPr="00BD212C">
        <w:t>t in the pre</w:t>
      </w:r>
      <w:r w:rsidRPr="00BD212C" w:rsidR="00653C1F">
        <w:t xml:space="preserve">sent </w:t>
      </w:r>
      <w:r w:rsidRPr="00BD212C">
        <w:t>judgment</w:t>
      </w:r>
      <w:r w:rsidRPr="00BD212C" w:rsidR="00653C1F">
        <w:t xml:space="preserve"> </w:t>
      </w:r>
      <w:r w:rsidRPr="00BD212C">
        <w:t xml:space="preserve">since it </w:t>
      </w:r>
      <w:r w:rsidRPr="00BD212C" w:rsidR="00653C1F">
        <w:t>compare</w:t>
      </w:r>
      <w:r w:rsidRPr="00BD212C">
        <w:t>s</w:t>
      </w:r>
      <w:r w:rsidRPr="00BD212C" w:rsidR="00653C1F">
        <w:t xml:space="preserve"> </w:t>
      </w:r>
      <w:r w:rsidRPr="00BD212C">
        <w:t xml:space="preserve">the </w:t>
      </w:r>
      <w:r w:rsidRPr="00BD212C" w:rsidR="00653C1F">
        <w:t xml:space="preserve">situation </w:t>
      </w:r>
      <w:r w:rsidRPr="00BD212C">
        <w:t>of the applica</w:t>
      </w:r>
      <w:r w:rsidRPr="00BD212C" w:rsidR="00653C1F">
        <w:t xml:space="preserve">nts – </w:t>
      </w:r>
      <w:r w:rsidRPr="00BD212C">
        <w:t>an unmarried stable homosexual</w:t>
      </w:r>
      <w:r w:rsidRPr="00BD212C" w:rsidR="00653C1F">
        <w:t xml:space="preserve"> couple</w:t>
      </w:r>
      <w:r w:rsidRPr="00BD212C" w:rsidR="00242129">
        <w:t xml:space="preserve"> </w:t>
      </w:r>
      <w:r w:rsidRPr="00BD212C" w:rsidR="00653C1F">
        <w:t xml:space="preserve">– </w:t>
      </w:r>
      <w:r w:rsidRPr="00BD212C">
        <w:t xml:space="preserve">to that of an unmarried stable heterosexual </w:t>
      </w:r>
      <w:r w:rsidRPr="00BD212C" w:rsidR="00653C1F">
        <w:t>couple (</w:t>
      </w:r>
      <w:r w:rsidRPr="00BD212C">
        <w:t xml:space="preserve">see </w:t>
      </w:r>
      <w:r w:rsidRPr="00BD212C" w:rsidR="00653C1F">
        <w:rPr>
          <w:i/>
        </w:rPr>
        <w:t xml:space="preserve">X </w:t>
      </w:r>
      <w:r w:rsidRPr="00BD212C">
        <w:rPr>
          <w:i/>
        </w:rPr>
        <w:t>and Other</w:t>
      </w:r>
      <w:r w:rsidRPr="00BD212C" w:rsidR="00653C1F">
        <w:rPr>
          <w:i/>
        </w:rPr>
        <w:t xml:space="preserve">s </w:t>
      </w:r>
      <w:r w:rsidRPr="00BD212C">
        <w:rPr>
          <w:i/>
        </w:rPr>
        <w:t>v</w:t>
      </w:r>
      <w:r w:rsidRPr="00BD212C" w:rsidR="00653C1F">
        <w:rPr>
          <w:i/>
        </w:rPr>
        <w:t>. Au</w:t>
      </w:r>
      <w:r w:rsidRPr="00BD212C">
        <w:rPr>
          <w:i/>
        </w:rPr>
        <w:t>s</w:t>
      </w:r>
      <w:r w:rsidRPr="00BD212C" w:rsidR="00653C1F">
        <w:rPr>
          <w:i/>
        </w:rPr>
        <w:t>tri</w:t>
      </w:r>
      <w:r w:rsidRPr="00BD212C">
        <w:rPr>
          <w:i/>
        </w:rPr>
        <w:t>a</w:t>
      </w:r>
      <w:r w:rsidRPr="00BD212C">
        <w:t>, cited above, §§ 111-</w:t>
      </w:r>
      <w:r w:rsidRPr="00BD212C" w:rsidR="00EE1D00">
        <w:t>12)</w:t>
      </w:r>
      <w:r w:rsidRPr="00BD212C" w:rsidR="00653C1F">
        <w:t>:</w:t>
      </w:r>
    </w:p>
    <w:p w:rsidRPr="00BD212C" w:rsidR="00653C1F" w:rsidP="00BD212C" w:rsidRDefault="00CF0D0E">
      <w:pPr>
        <w:pStyle w:val="OpiQuot"/>
      </w:pPr>
      <w:r w:rsidRPr="00BD212C">
        <w:t>“</w:t>
      </w:r>
      <w:r w:rsidRPr="00BD212C" w:rsidR="00653C1F">
        <w:rPr>
          <w:i/>
          <w:lang w:val="fr-FR"/>
        </w:rPr>
        <w:t>β</w:t>
      </w:r>
      <w:r w:rsidRPr="00BD212C" w:rsidR="00653C1F">
        <w:rPr>
          <w:i/>
        </w:rPr>
        <w:t xml:space="preserve">) </w:t>
      </w:r>
      <w:r w:rsidRPr="00BD212C">
        <w:rPr>
          <w:i/>
        </w:rPr>
        <w:t>Comparison with an unmarried different-sex couple in which one partner wishes to adopt the other partner</w:t>
      </w:r>
      <w:r w:rsidRPr="00BD212C" w:rsidR="00BD212C">
        <w:rPr>
          <w:i/>
        </w:rPr>
        <w:t>’</w:t>
      </w:r>
      <w:r w:rsidRPr="00BD212C">
        <w:rPr>
          <w:i/>
        </w:rPr>
        <w:t>s child</w:t>
      </w:r>
    </w:p>
    <w:p w:rsidRPr="00BD212C" w:rsidR="00653C1F" w:rsidP="00BD212C" w:rsidRDefault="00653C1F">
      <w:pPr>
        <w:pStyle w:val="OpiQuot"/>
      </w:pPr>
      <w:r w:rsidRPr="00BD212C">
        <w:t>111.  </w:t>
      </w:r>
      <w:r w:rsidRPr="00BD212C" w:rsidR="00CF0D0E">
        <w:t>The Court notes that the applicants</w:t>
      </w:r>
      <w:r w:rsidRPr="00BD212C" w:rsidR="00BD212C">
        <w:t>’</w:t>
      </w:r>
      <w:r w:rsidRPr="00BD212C" w:rsidR="00CF0D0E">
        <w:t xml:space="preserve"> submissions concentrated on the comparison with an unmarried different-sex couple. They pointed out that under Austrian law second-parent adoption was open not only to married couples, but also to unmarried heterosexual couples, while it was legally impossible for same-sex couples</w:t>
      </w:r>
      <w:r w:rsidRPr="00BD212C">
        <w:t>.</w:t>
      </w:r>
    </w:p>
    <w:p w:rsidRPr="00BD212C" w:rsidR="00242129" w:rsidP="00BD212C" w:rsidRDefault="00653C1F">
      <w:pPr>
        <w:pStyle w:val="OpiQuot"/>
      </w:pPr>
      <w:r w:rsidRPr="00BD212C">
        <w:t xml:space="preserve">– </w:t>
      </w:r>
      <w:r w:rsidRPr="00BD212C" w:rsidR="00CF0D0E">
        <w:t>Relevantly similar s</w:t>
      </w:r>
      <w:r w:rsidRPr="00BD212C">
        <w:t>ituation</w:t>
      </w:r>
    </w:p>
    <w:p w:rsidRPr="00BD212C" w:rsidR="00653C1F" w:rsidP="00BD212C" w:rsidRDefault="00653C1F">
      <w:pPr>
        <w:pStyle w:val="OpiQuot"/>
      </w:pPr>
      <w:r w:rsidRPr="00BD212C">
        <w:t>112.  </w:t>
      </w:r>
      <w:r w:rsidRPr="00BD212C" w:rsidR="00CF0D0E">
        <w:t>The Court observes that, in contrast to the comparison with a married couple, it has not been argued that a special legal status exists which would distinguish an unmarried heterosexual couple from a same-sex couple. Indeed, the Government did not dispute that the situations were comparable, conceding that, in personal terms, same-sex couples could in principle be as suitable or unsuitable for adoption, including second-parent adoption, as different-sex couples. The Court accepts that the applicants, who wished to create a legal relationship between the first and second applicants, were in a relevantly similar situation to a different-sex couple in which one partner wished to adopt the other partner</w:t>
      </w:r>
      <w:r w:rsidRPr="00BD212C" w:rsidR="00BD212C">
        <w:t>’</w:t>
      </w:r>
      <w:r w:rsidRPr="00BD212C" w:rsidR="00CF0D0E">
        <w:t>s child.”</w:t>
      </w:r>
    </w:p>
    <w:p w:rsidRPr="00BD212C" w:rsidR="00653C1F" w:rsidP="00BD212C" w:rsidRDefault="00653C1F">
      <w:pPr>
        <w:pStyle w:val="OpiPara"/>
      </w:pPr>
      <w:r w:rsidRPr="00BD212C">
        <w:t>12.  </w:t>
      </w:r>
      <w:r w:rsidRPr="00BD212C" w:rsidR="00CF0D0E">
        <w:t>Once again</w:t>
      </w:r>
      <w:r w:rsidRPr="00BD212C">
        <w:t>,</w:t>
      </w:r>
      <w:r w:rsidRPr="00BD212C" w:rsidR="00CF0D0E">
        <w:t xml:space="preserve"> it could be argued that these assertion</w:t>
      </w:r>
      <w:r w:rsidRPr="00BD212C">
        <w:t>s</w:t>
      </w:r>
      <w:r w:rsidRPr="00BD212C" w:rsidR="00CF0D0E">
        <w:t xml:space="preserve"> concern</w:t>
      </w:r>
      <w:r w:rsidRPr="00BD212C">
        <w:t xml:space="preserve"> </w:t>
      </w:r>
      <w:r w:rsidRPr="00BD212C" w:rsidR="00CF0D0E">
        <w:t>only</w:t>
      </w:r>
      <w:r w:rsidRPr="00BD212C">
        <w:t xml:space="preserve"> </w:t>
      </w:r>
      <w:r w:rsidRPr="00BD212C" w:rsidR="00CF0D0E">
        <w:t>the</w:t>
      </w:r>
      <w:r w:rsidRPr="00BD212C">
        <w:t xml:space="preserve"> </w:t>
      </w:r>
      <w:r w:rsidRPr="00BD212C" w:rsidR="00CF0D0E">
        <w:t xml:space="preserve">matter of second-parent </w:t>
      </w:r>
      <w:r w:rsidRPr="00BD212C">
        <w:t>adoption</w:t>
      </w:r>
      <w:r w:rsidRPr="00BD212C" w:rsidR="00CF0D0E">
        <w:t xml:space="preserve"> and that a comparison between unmarried </w:t>
      </w:r>
      <w:r w:rsidRPr="00BD212C">
        <w:t>homosexu</w:t>
      </w:r>
      <w:r w:rsidRPr="00BD212C" w:rsidR="00CF0D0E">
        <w:t>a</w:t>
      </w:r>
      <w:r w:rsidRPr="00BD212C">
        <w:t>l</w:t>
      </w:r>
      <w:r w:rsidRPr="00BD212C" w:rsidR="00CF0D0E">
        <w:t xml:space="preserve"> and</w:t>
      </w:r>
      <w:r w:rsidRPr="00BD212C">
        <w:t xml:space="preserve"> </w:t>
      </w:r>
      <w:r w:rsidRPr="00BD212C" w:rsidR="00CF0D0E">
        <w:t>he</w:t>
      </w:r>
      <w:r w:rsidRPr="00BD212C">
        <w:t>t</w:t>
      </w:r>
      <w:r w:rsidRPr="00BD212C" w:rsidR="00CF0D0E">
        <w:t>e</w:t>
      </w:r>
      <w:r w:rsidRPr="00BD212C">
        <w:t>rosexu</w:t>
      </w:r>
      <w:r w:rsidRPr="00BD212C" w:rsidR="00CF0D0E">
        <w:t>a</w:t>
      </w:r>
      <w:r w:rsidRPr="00BD212C">
        <w:t>l</w:t>
      </w:r>
      <w:r w:rsidRPr="00BD212C" w:rsidR="00CF0D0E">
        <w:t xml:space="preserve"> couples</w:t>
      </w:r>
      <w:r w:rsidRPr="00BD212C">
        <w:t xml:space="preserve"> </w:t>
      </w:r>
      <w:r w:rsidRPr="00BD212C" w:rsidR="00CF0D0E">
        <w:t>is not relevant in other</w:t>
      </w:r>
      <w:r w:rsidRPr="00BD212C">
        <w:t xml:space="preserve"> </w:t>
      </w:r>
      <w:r w:rsidRPr="00BD212C" w:rsidR="00CF0D0E">
        <w:t>contexts</w:t>
      </w:r>
      <w:r w:rsidRPr="00BD212C">
        <w:t xml:space="preserve">. </w:t>
      </w:r>
      <w:r w:rsidRPr="00BD212C" w:rsidR="00EE1D00">
        <w:t>I do not find s</w:t>
      </w:r>
      <w:r w:rsidRPr="00BD212C" w:rsidR="00CF0D0E">
        <w:t xml:space="preserve">uch an </w:t>
      </w:r>
      <w:r w:rsidRPr="00BD212C">
        <w:t>appro</w:t>
      </w:r>
      <w:r w:rsidRPr="00BD212C" w:rsidR="00CF0D0E">
        <w:t>a</w:t>
      </w:r>
      <w:r w:rsidRPr="00BD212C">
        <w:t>ch</w:t>
      </w:r>
      <w:r w:rsidRPr="00BD212C" w:rsidR="00CF0D0E">
        <w:t xml:space="preserve"> convincing, however, for a number of reason</w:t>
      </w:r>
      <w:r w:rsidRPr="00BD212C">
        <w:t xml:space="preserve">s. </w:t>
      </w:r>
      <w:r w:rsidRPr="00BD212C" w:rsidR="00CF0D0E">
        <w:t>The first is on grounds of pure logic</w:t>
      </w:r>
      <w:r w:rsidRPr="00BD212C">
        <w:t xml:space="preserve">. </w:t>
      </w:r>
      <w:r w:rsidRPr="00BD212C" w:rsidR="00CF0D0E">
        <w:t>Both assertions contained in the two above-mentioned p</w:t>
      </w:r>
      <w:r w:rsidRPr="00BD212C">
        <w:t xml:space="preserve">assages </w:t>
      </w:r>
      <w:r w:rsidRPr="00BD212C" w:rsidR="00CF0D0E">
        <w:t>of the judgment</w:t>
      </w:r>
      <w:r w:rsidRPr="00BD212C">
        <w:t xml:space="preserve"> </w:t>
      </w:r>
      <w:r w:rsidRPr="00BD212C">
        <w:rPr>
          <w:i/>
        </w:rPr>
        <w:t>X</w:t>
      </w:r>
      <w:r w:rsidRPr="00BD212C" w:rsidR="00CF0D0E">
        <w:rPr>
          <w:i/>
        </w:rPr>
        <w:t xml:space="preserve"> and Other</w:t>
      </w:r>
      <w:r w:rsidRPr="00BD212C">
        <w:rPr>
          <w:i/>
        </w:rPr>
        <w:t xml:space="preserve">s </w:t>
      </w:r>
      <w:r w:rsidRPr="00BD212C" w:rsidR="00CF0D0E">
        <w:rPr>
          <w:i/>
        </w:rPr>
        <w:t>v</w:t>
      </w:r>
      <w:r w:rsidRPr="00BD212C">
        <w:rPr>
          <w:i/>
        </w:rPr>
        <w:t xml:space="preserve">. </w:t>
      </w:r>
      <w:r w:rsidRPr="00BD212C" w:rsidR="00CF0D0E">
        <w:rPr>
          <w:i/>
        </w:rPr>
        <w:t>Austria</w:t>
      </w:r>
      <w:r w:rsidRPr="00BD212C">
        <w:t xml:space="preserve"> </w:t>
      </w:r>
      <w:r w:rsidRPr="00BD212C" w:rsidR="00CF0D0E">
        <w:t>cited above</w:t>
      </w:r>
      <w:r w:rsidRPr="00BD212C">
        <w:t xml:space="preserve"> </w:t>
      </w:r>
      <w:r w:rsidRPr="00BD212C" w:rsidR="00620A6E">
        <w:t>are</w:t>
      </w:r>
      <w:r w:rsidRPr="00BD212C" w:rsidR="00CF0D0E">
        <w:t xml:space="preserve"> two sides of the same coin</w:t>
      </w:r>
      <w:r w:rsidRPr="00BD212C">
        <w:t xml:space="preserve">. </w:t>
      </w:r>
      <w:r w:rsidRPr="00BD212C" w:rsidR="00CF0D0E">
        <w:t>To say, firstly</w:t>
      </w:r>
      <w:r w:rsidRPr="00BD212C">
        <w:t>,</w:t>
      </w:r>
      <w:r w:rsidRPr="00BD212C" w:rsidR="00CF0D0E">
        <w:t xml:space="preserve"> that the</w:t>
      </w:r>
      <w:r w:rsidRPr="00BD212C">
        <w:t xml:space="preserve"> situation </w:t>
      </w:r>
      <w:r w:rsidRPr="00BD212C" w:rsidR="00CF0D0E">
        <w:t>of married and unmarried</w:t>
      </w:r>
      <w:r w:rsidRPr="00BD212C">
        <w:t xml:space="preserve"> couples </w:t>
      </w:r>
      <w:r w:rsidRPr="00BD212C" w:rsidR="00CF0D0E">
        <w:t>is in</w:t>
      </w:r>
      <w:r w:rsidRPr="00BD212C">
        <w:t xml:space="preserve">comparable, </w:t>
      </w:r>
      <w:r w:rsidRPr="00BD212C" w:rsidR="00CF0D0E">
        <w:t xml:space="preserve">and then to </w:t>
      </w:r>
      <w:r w:rsidRPr="00BD212C" w:rsidR="00EE1D00">
        <w:t>affirm</w:t>
      </w:r>
      <w:r w:rsidRPr="00BD212C" w:rsidR="00CF0D0E">
        <w:t xml:space="preserve"> that unmarried stable homosexual or hete</w:t>
      </w:r>
      <w:r w:rsidRPr="00BD212C">
        <w:t>rosexu</w:t>
      </w:r>
      <w:r w:rsidRPr="00BD212C" w:rsidR="00CF0D0E">
        <w:t>a</w:t>
      </w:r>
      <w:r w:rsidRPr="00BD212C">
        <w:t xml:space="preserve">l </w:t>
      </w:r>
      <w:r w:rsidRPr="00BD212C" w:rsidR="00CF0D0E">
        <w:t xml:space="preserve">couples are in a similar </w:t>
      </w:r>
      <w:r w:rsidRPr="00BD212C">
        <w:t>situation</w:t>
      </w:r>
      <w:r w:rsidRPr="00BD212C" w:rsidR="00CF0D0E">
        <w:t xml:space="preserve"> seems perfectly consistent</w:t>
      </w:r>
      <w:r w:rsidRPr="00BD212C">
        <w:t xml:space="preserve">. </w:t>
      </w:r>
      <w:r w:rsidRPr="00BD212C" w:rsidR="00CF0D0E">
        <w:t>Each assertion is the logical sequitur of the other</w:t>
      </w:r>
      <w:r w:rsidRPr="00BD212C">
        <w:t xml:space="preserve"> </w:t>
      </w:r>
      <w:r w:rsidRPr="00BD212C" w:rsidR="00CF0D0E">
        <w:t>and they are complementary</w:t>
      </w:r>
      <w:r w:rsidRPr="00BD212C">
        <w:t xml:space="preserve">. </w:t>
      </w:r>
      <w:r w:rsidRPr="00BD212C" w:rsidR="00CF0D0E">
        <w:t xml:space="preserve">This perception is corroborated by another </w:t>
      </w:r>
      <w:r w:rsidRPr="00BD212C">
        <w:t xml:space="preserve">important </w:t>
      </w:r>
      <w:r w:rsidRPr="00BD212C" w:rsidR="00CF0D0E">
        <w:t>and more recent judgment of the</w:t>
      </w:r>
      <w:r w:rsidRPr="00BD212C">
        <w:t xml:space="preserve"> Grand</w:t>
      </w:r>
      <w:r w:rsidRPr="00BD212C" w:rsidR="00CF0D0E">
        <w:t xml:space="preserve"> Chamb</w:t>
      </w:r>
      <w:r w:rsidRPr="00BD212C">
        <w:t>e</w:t>
      </w:r>
      <w:r w:rsidRPr="00BD212C" w:rsidR="00CF0D0E">
        <w:t>r</w:t>
      </w:r>
      <w:r w:rsidRPr="00BD212C">
        <w:t xml:space="preserve">, </w:t>
      </w:r>
      <w:r w:rsidRPr="00BD212C">
        <w:rPr>
          <w:i/>
        </w:rPr>
        <w:t xml:space="preserve">Vallianatos </w:t>
      </w:r>
      <w:r w:rsidRPr="00BD212C" w:rsidR="00CF0D0E">
        <w:rPr>
          <w:i/>
        </w:rPr>
        <w:t>and Other</w:t>
      </w:r>
      <w:r w:rsidRPr="00BD212C">
        <w:rPr>
          <w:i/>
        </w:rPr>
        <w:t xml:space="preserve">s </w:t>
      </w:r>
      <w:r w:rsidRPr="00BD212C" w:rsidR="00CF0D0E">
        <w:rPr>
          <w:i/>
        </w:rPr>
        <w:t>v</w:t>
      </w:r>
      <w:r w:rsidRPr="00BD212C">
        <w:rPr>
          <w:i/>
        </w:rPr>
        <w:t>. Gr</w:t>
      </w:r>
      <w:r w:rsidRPr="00BD212C" w:rsidR="00CF0D0E">
        <w:rPr>
          <w:i/>
        </w:rPr>
        <w:t>ee</w:t>
      </w:r>
      <w:r w:rsidRPr="00BD212C">
        <w:rPr>
          <w:i/>
        </w:rPr>
        <w:t>ce</w:t>
      </w:r>
      <w:r w:rsidRPr="00BD212C">
        <w:t xml:space="preserve"> </w:t>
      </w:r>
      <w:r w:rsidRPr="00BD212C" w:rsidR="00EE1D00">
        <w:t>(</w:t>
      </w:r>
      <w:r w:rsidRPr="00BD212C">
        <w:t xml:space="preserve">[GC], </w:t>
      </w:r>
      <w:r w:rsidRPr="00BD212C" w:rsidR="00CF0D0E">
        <w:t>nos.</w:t>
      </w:r>
      <w:r w:rsidRPr="00BD212C">
        <w:t xml:space="preserve"> 29381/09 </w:t>
      </w:r>
      <w:r w:rsidRPr="00BD212C" w:rsidR="00CF0D0E">
        <w:t>and</w:t>
      </w:r>
      <w:r w:rsidRPr="00BD212C">
        <w:t xml:space="preserve"> 32684/09, </w:t>
      </w:r>
      <w:r w:rsidRPr="00BD212C" w:rsidR="00CF0D0E">
        <w:t>ECHR</w:t>
      </w:r>
      <w:r w:rsidRPr="00BD212C">
        <w:t> 2013 (extra</w:t>
      </w:r>
      <w:r w:rsidRPr="00BD212C" w:rsidR="00CF0D0E">
        <w:t>c</w:t>
      </w:r>
      <w:r w:rsidRPr="00BD212C">
        <w:t>ts)), concern</w:t>
      </w:r>
      <w:r w:rsidRPr="00BD212C" w:rsidR="00CF0D0E">
        <w:t>ing “civil unions” which</w:t>
      </w:r>
      <w:r w:rsidRPr="00BD212C" w:rsidR="00EE1D00">
        <w:t>, under</w:t>
      </w:r>
      <w:r w:rsidRPr="00BD212C" w:rsidR="00CF0D0E">
        <w:t xml:space="preserve"> Greek law</w:t>
      </w:r>
      <w:r w:rsidRPr="00BD212C">
        <w:t xml:space="preserve"> </w:t>
      </w:r>
      <w:r w:rsidRPr="00BD212C" w:rsidR="00CF0D0E">
        <w:t>in force at the time</w:t>
      </w:r>
      <w:r w:rsidRPr="00BD212C">
        <w:t xml:space="preserve"> (</w:t>
      </w:r>
      <w:r w:rsidRPr="00BD212C" w:rsidR="00CF0D0E">
        <w:t>and since amended</w:t>
      </w:r>
      <w:r w:rsidRPr="00BD212C">
        <w:t>)</w:t>
      </w:r>
      <w:r w:rsidRPr="00BD212C" w:rsidR="00EE1D00">
        <w:t xml:space="preserve">, were </w:t>
      </w:r>
      <w:r w:rsidRPr="00BD212C">
        <w:t>r</w:t>
      </w:r>
      <w:r w:rsidRPr="00BD212C" w:rsidR="00CF0D0E">
        <w:t>e</w:t>
      </w:r>
      <w:r w:rsidRPr="00BD212C">
        <w:t>serv</w:t>
      </w:r>
      <w:r w:rsidRPr="00BD212C" w:rsidR="00CF0D0E">
        <w:t>ed to heterosexual</w:t>
      </w:r>
      <w:r w:rsidRPr="00BD212C">
        <w:t xml:space="preserve"> couples. </w:t>
      </w:r>
      <w:r w:rsidRPr="00BD212C" w:rsidR="00EE1D00">
        <w:t xml:space="preserve">Examining </w:t>
      </w:r>
      <w:r w:rsidRPr="00BD212C" w:rsidR="00CF0D0E">
        <w:t>the dispute in its</w:t>
      </w:r>
      <w:r w:rsidRPr="00BD212C">
        <w:t xml:space="preserve"> context, </w:t>
      </w:r>
      <w:r w:rsidRPr="00BD212C" w:rsidR="00CF0D0E">
        <w:t>the</w:t>
      </w:r>
      <w:r w:rsidRPr="00BD212C">
        <w:t xml:space="preserve"> Cour</w:t>
      </w:r>
      <w:r w:rsidRPr="00BD212C" w:rsidR="00CF0D0E">
        <w:t>t again</w:t>
      </w:r>
      <w:r w:rsidRPr="00BD212C" w:rsidR="00EE1D00">
        <w:t xml:space="preserve"> stated</w:t>
      </w:r>
      <w:r w:rsidRPr="00BD212C" w:rsidR="00CF0D0E">
        <w:t xml:space="preserve"> that the situation of unmarried heterosexua</w:t>
      </w:r>
      <w:r w:rsidRPr="00BD212C">
        <w:t>l</w:t>
      </w:r>
      <w:r w:rsidRPr="00BD212C" w:rsidR="00CF0D0E">
        <w:t xml:space="preserve"> couples was</w:t>
      </w:r>
      <w:r w:rsidRPr="00BD212C">
        <w:t xml:space="preserve"> comparable </w:t>
      </w:r>
      <w:r w:rsidRPr="00BD212C" w:rsidR="00CF0D0E">
        <w:t>to that of unmarried homosexual</w:t>
      </w:r>
      <w:r w:rsidRPr="00BD212C">
        <w:t xml:space="preserve"> couples</w:t>
      </w:r>
      <w:r w:rsidRPr="00BD212C" w:rsidR="00CF0D0E">
        <w:t xml:space="preserve"> </w:t>
      </w:r>
      <w:r w:rsidRPr="00BD212C">
        <w:t>(</w:t>
      </w:r>
      <w:r w:rsidRPr="00BD212C" w:rsidR="00CF0D0E">
        <w:t xml:space="preserve">see </w:t>
      </w:r>
      <w:r w:rsidRPr="00BD212C">
        <w:rPr>
          <w:i/>
        </w:rPr>
        <w:t xml:space="preserve">Vallianatos </w:t>
      </w:r>
      <w:r w:rsidRPr="00BD212C" w:rsidR="00CF0D0E">
        <w:rPr>
          <w:i/>
        </w:rPr>
        <w:t>and Others v</w:t>
      </w:r>
      <w:r w:rsidRPr="00BD212C">
        <w:rPr>
          <w:i/>
        </w:rPr>
        <w:t>. Gr</w:t>
      </w:r>
      <w:r w:rsidRPr="00BD212C" w:rsidR="00CF0D0E">
        <w:rPr>
          <w:i/>
        </w:rPr>
        <w:t>ee</w:t>
      </w:r>
      <w:r w:rsidRPr="00BD212C">
        <w:rPr>
          <w:i/>
        </w:rPr>
        <w:t>ce</w:t>
      </w:r>
      <w:r w:rsidRPr="00BD212C">
        <w:t xml:space="preserve">, </w:t>
      </w:r>
      <w:r w:rsidRPr="00BD212C" w:rsidR="00CF0D0E">
        <w:t>cited above</w:t>
      </w:r>
      <w:r w:rsidRPr="00BD212C">
        <w:t>, § 72):</w:t>
      </w:r>
    </w:p>
    <w:p w:rsidRPr="00BD212C" w:rsidR="00653C1F" w:rsidP="00BD212C" w:rsidRDefault="00CF0D0E">
      <w:pPr>
        <w:pStyle w:val="OpiQuot"/>
      </w:pPr>
      <w:r w:rsidRPr="00BD212C">
        <w:t>“</w:t>
      </w:r>
      <w:r w:rsidRPr="00BD212C" w:rsidR="00653C1F">
        <w:rPr>
          <w:i/>
          <w:lang w:val="fr-FR"/>
        </w:rPr>
        <w:t>α</w:t>
      </w:r>
      <w:r w:rsidRPr="00BD212C" w:rsidR="00653C1F">
        <w:rPr>
          <w:i/>
        </w:rPr>
        <w:t>)  </w:t>
      </w:r>
      <w:r w:rsidRPr="00BD212C">
        <w:rPr>
          <w:i/>
        </w:rPr>
        <w:t>Comparison of the applicants</w:t>
      </w:r>
      <w:r w:rsidRPr="00BD212C" w:rsidR="00BD212C">
        <w:rPr>
          <w:i/>
        </w:rPr>
        <w:t>’</w:t>
      </w:r>
      <w:r w:rsidRPr="00BD212C">
        <w:rPr>
          <w:i/>
        </w:rPr>
        <w:t xml:space="preserve"> situation with that of different-sex couples and existence of a difference in treatment</w:t>
      </w:r>
    </w:p>
    <w:p w:rsidRPr="00BD212C" w:rsidR="00653C1F" w:rsidP="00BD212C" w:rsidRDefault="00653C1F">
      <w:pPr>
        <w:pStyle w:val="OpiQuot"/>
      </w:pPr>
      <w:r w:rsidRPr="00BD212C">
        <w:t>78.  </w:t>
      </w:r>
      <w:r w:rsidRPr="00BD212C" w:rsidR="00CF0D0E">
        <w:t>The first question to be addressed by the Court is whether the applicants</w:t>
      </w:r>
      <w:r w:rsidRPr="00BD212C" w:rsidR="00BD212C">
        <w:t>’</w:t>
      </w:r>
      <w:r w:rsidRPr="00BD212C" w:rsidR="00CF0D0E">
        <w:t xml:space="preserve"> situation is comparable to that of different-sex couples wishing to enter into a civil union under Law no. 3719/2008. The Court reiterates that same-sex couples are just as capable as different-sex couples of entering into stable committed relationships (see </w:t>
      </w:r>
      <w:r w:rsidRPr="00BD212C" w:rsidR="00CF0D0E">
        <w:rPr>
          <w:i/>
        </w:rPr>
        <w:t>Schalk and Kopf</w:t>
      </w:r>
      <w:r w:rsidRPr="00BD212C" w:rsidR="00CF0D0E">
        <w:t>, cited above, § 99). It therefore considers that the applicants are in a comparable situation to different-sex couples as regards their need for legal recognition and protection of their relationship (ibid.)”</w:t>
      </w:r>
    </w:p>
    <w:p w:rsidRPr="00BD212C" w:rsidR="00653C1F" w:rsidP="00BD212C" w:rsidRDefault="0034298C">
      <w:pPr>
        <w:pStyle w:val="OpiPara"/>
      </w:pPr>
      <w:r w:rsidRPr="00BD212C">
        <w:t>That</w:t>
      </w:r>
      <w:r w:rsidRPr="00BD212C" w:rsidR="00653C1F">
        <w:t xml:space="preserve"> position </w:t>
      </w:r>
      <w:r w:rsidRPr="00BD212C">
        <w:t xml:space="preserve">is the </w:t>
      </w:r>
      <w:r w:rsidRPr="00BD212C" w:rsidR="00EE1D00">
        <w:t>crux of</w:t>
      </w:r>
      <w:r w:rsidRPr="00BD212C">
        <w:t xml:space="preserve"> the Court</w:t>
      </w:r>
      <w:r w:rsidRPr="00BD212C" w:rsidR="00BD212C">
        <w:t>’</w:t>
      </w:r>
      <w:r w:rsidRPr="00BD212C">
        <w:t>s entire reasoning in th</w:t>
      </w:r>
      <w:r w:rsidRPr="00BD212C" w:rsidR="00EE1D00">
        <w:t>at</w:t>
      </w:r>
      <w:r w:rsidRPr="00BD212C">
        <w:t xml:space="preserve"> case</w:t>
      </w:r>
      <w:r w:rsidRPr="00BD212C" w:rsidR="00653C1F">
        <w:t>.</w:t>
      </w:r>
    </w:p>
    <w:p w:rsidRPr="00BD212C" w:rsidR="00441BE2" w:rsidP="00BD212C" w:rsidRDefault="00441BE2">
      <w:pPr>
        <w:pStyle w:val="OpiPara"/>
        <w:rPr>
          <w:sz w:val="20"/>
          <w:szCs w:val="20"/>
        </w:rPr>
      </w:pPr>
    </w:p>
    <w:p w:rsidRPr="00BD212C" w:rsidR="00653C1F" w:rsidP="00BD212C" w:rsidRDefault="00653C1F">
      <w:pPr>
        <w:pStyle w:val="OpiPara"/>
      </w:pPr>
      <w:r w:rsidRPr="00BD212C">
        <w:t>13.  </w:t>
      </w:r>
      <w:r w:rsidRPr="00BD212C" w:rsidR="0034298C">
        <w:t>Moreover</w:t>
      </w:r>
      <w:r w:rsidRPr="00BD212C">
        <w:t>,</w:t>
      </w:r>
      <w:r w:rsidRPr="00BD212C" w:rsidR="0034298C">
        <w:t xml:space="preserve"> the arguments used by the maj</w:t>
      </w:r>
      <w:r w:rsidRPr="00BD212C">
        <w:t>orit</w:t>
      </w:r>
      <w:r w:rsidRPr="00BD212C" w:rsidR="0034298C">
        <w:t>y to support the</w:t>
      </w:r>
      <w:r w:rsidRPr="00BD212C" w:rsidR="00EE1D00">
        <w:t>ir</w:t>
      </w:r>
      <w:r w:rsidRPr="00BD212C" w:rsidR="0034298C">
        <w:t xml:space="preserve"> asserti</w:t>
      </w:r>
      <w:r w:rsidRPr="00BD212C">
        <w:t xml:space="preserve">on – </w:t>
      </w:r>
      <w:r w:rsidRPr="00BD212C" w:rsidR="0034298C">
        <w:t>unprecedented in the Court</w:t>
      </w:r>
      <w:r w:rsidRPr="00BD212C" w:rsidR="00BD212C">
        <w:t>’</w:t>
      </w:r>
      <w:r w:rsidRPr="00BD212C" w:rsidR="0034298C">
        <w:t>s case-law</w:t>
      </w:r>
      <w:r w:rsidRPr="00BD212C">
        <w:t xml:space="preserve"> – </w:t>
      </w:r>
      <w:r w:rsidRPr="00BD212C" w:rsidR="0034298C">
        <w:t>that the situation of a stable homosexual</w:t>
      </w:r>
      <w:r w:rsidRPr="00BD212C">
        <w:t xml:space="preserve"> couple </w:t>
      </w:r>
      <w:r w:rsidRPr="00BD212C" w:rsidR="0034298C">
        <w:t xml:space="preserve">is not comparable to that of a </w:t>
      </w:r>
      <w:r w:rsidRPr="00BD212C">
        <w:t xml:space="preserve">stable </w:t>
      </w:r>
      <w:r w:rsidRPr="00BD212C" w:rsidR="0034298C">
        <w:t>heterosexual couple appear unconvincing</w:t>
      </w:r>
      <w:r w:rsidRPr="00BD212C">
        <w:t xml:space="preserve">. </w:t>
      </w:r>
      <w:r w:rsidRPr="00BD212C" w:rsidR="0034298C">
        <w:t>The first</w:t>
      </w:r>
      <w:r w:rsidRPr="00BD212C">
        <w:t xml:space="preserve"> argument consist</w:t>
      </w:r>
      <w:r w:rsidRPr="00BD212C" w:rsidR="0034298C">
        <w:t>s in stating that the two</w:t>
      </w:r>
      <w:r w:rsidRPr="00BD212C">
        <w:t xml:space="preserve"> situations </w:t>
      </w:r>
      <w:r w:rsidRPr="00BD212C" w:rsidR="0034298C">
        <w:t>are diffe</w:t>
      </w:r>
      <w:r w:rsidRPr="00BD212C">
        <w:t xml:space="preserve">rent </w:t>
      </w:r>
      <w:r w:rsidRPr="00BD212C" w:rsidR="0034298C">
        <w:t>from the point of view of obtaining a residence permit in Italy because heterosexual</w:t>
      </w:r>
      <w:r w:rsidRPr="00BD212C">
        <w:t xml:space="preserve"> couples </w:t>
      </w:r>
      <w:r w:rsidRPr="00BD212C" w:rsidR="0034298C">
        <w:t>are able to marry</w:t>
      </w:r>
      <w:r w:rsidRPr="00BD212C">
        <w:t xml:space="preserve"> </w:t>
      </w:r>
      <w:r w:rsidRPr="00BD212C" w:rsidR="0034298C">
        <w:t>and therefore “regularise” their</w:t>
      </w:r>
      <w:r w:rsidRPr="00BD212C">
        <w:t xml:space="preserve"> situation </w:t>
      </w:r>
      <w:r w:rsidRPr="00BD212C" w:rsidR="0034298C">
        <w:t>under the relevant provisions of Italian law, wh</w:t>
      </w:r>
      <w:r w:rsidRPr="00BD212C" w:rsidR="00EE1D00">
        <w:t>ereas</w:t>
      </w:r>
      <w:r w:rsidRPr="00BD212C" w:rsidR="0034298C">
        <w:t xml:space="preserve"> homosexual</w:t>
      </w:r>
      <w:r w:rsidRPr="00BD212C">
        <w:t xml:space="preserve"> couple</w:t>
      </w:r>
      <w:r w:rsidRPr="00BD212C" w:rsidR="00EE1D00">
        <w:t>s are not</w:t>
      </w:r>
      <w:r w:rsidRPr="00BD212C">
        <w:t xml:space="preserve"> (</w:t>
      </w:r>
      <w:r w:rsidRPr="00BD212C" w:rsidR="0034298C">
        <w:t xml:space="preserve">see </w:t>
      </w:r>
      <w:r w:rsidRPr="00BD212C">
        <w:t xml:space="preserve">paragraph 83 </w:t>
      </w:r>
      <w:r w:rsidRPr="00BD212C" w:rsidR="0034298C">
        <w:t>of the judgment</w:t>
      </w:r>
      <w:r w:rsidRPr="00BD212C">
        <w:t xml:space="preserve">). </w:t>
      </w:r>
      <w:r w:rsidRPr="00BD212C" w:rsidR="0034298C">
        <w:t>That</w:t>
      </w:r>
      <w:r w:rsidRPr="00BD212C">
        <w:t xml:space="preserve"> argument </w:t>
      </w:r>
      <w:r w:rsidRPr="00BD212C" w:rsidR="0034298C">
        <w:t>could be</w:t>
      </w:r>
      <w:r w:rsidRPr="00BD212C">
        <w:t xml:space="preserve"> applicable </w:t>
      </w:r>
      <w:r w:rsidRPr="00BD212C">
        <w:rPr>
          <w:i/>
        </w:rPr>
        <w:t>mutatis mutandis</w:t>
      </w:r>
      <w:r w:rsidRPr="00BD212C" w:rsidR="0034298C">
        <w:t xml:space="preserve"> in a number of other</w:t>
      </w:r>
      <w:r w:rsidRPr="00BD212C">
        <w:t xml:space="preserve"> cas</w:t>
      </w:r>
      <w:r w:rsidRPr="00BD212C" w:rsidR="0034298C">
        <w:t>es</w:t>
      </w:r>
      <w:r w:rsidRPr="00BD212C">
        <w:t xml:space="preserve">, </w:t>
      </w:r>
      <w:r w:rsidRPr="00BD212C" w:rsidR="0034298C">
        <w:t>thus seriously undermining, as we have seen</w:t>
      </w:r>
      <w:r w:rsidRPr="00BD212C">
        <w:t xml:space="preserve">, </w:t>
      </w:r>
      <w:r w:rsidRPr="00BD212C" w:rsidR="0034298C">
        <w:t>the special status of</w:t>
      </w:r>
      <w:r w:rsidRPr="00BD212C">
        <w:t xml:space="preserve"> ma</w:t>
      </w:r>
      <w:r w:rsidRPr="00BD212C" w:rsidR="0034298C">
        <w:t>r</w:t>
      </w:r>
      <w:r w:rsidRPr="00BD212C">
        <w:t>riage</w:t>
      </w:r>
      <w:r w:rsidRPr="00BD212C" w:rsidR="0034298C">
        <w:t xml:space="preserve"> </w:t>
      </w:r>
      <w:r w:rsidRPr="00BD212C" w:rsidR="00EE1D00">
        <w:t>under</w:t>
      </w:r>
      <w:r w:rsidRPr="00BD212C" w:rsidR="0034298C">
        <w:t xml:space="preserve"> the</w:t>
      </w:r>
      <w:r w:rsidRPr="00BD212C">
        <w:t xml:space="preserve"> Convention </w:t>
      </w:r>
      <w:r w:rsidRPr="00BD212C" w:rsidR="0034298C">
        <w:t>and the Court</w:t>
      </w:r>
      <w:r w:rsidRPr="00BD212C" w:rsidR="00BD212C">
        <w:t>’</w:t>
      </w:r>
      <w:r w:rsidRPr="00BD212C" w:rsidR="0034298C">
        <w:t>s case-law</w:t>
      </w:r>
      <w:r w:rsidRPr="00BD212C">
        <w:t xml:space="preserve"> (</w:t>
      </w:r>
      <w:r w:rsidRPr="00BD212C" w:rsidR="0034298C">
        <w:t>see above</w:t>
      </w:r>
      <w:r w:rsidRPr="00BD212C">
        <w:t xml:space="preserve">). </w:t>
      </w:r>
      <w:r w:rsidRPr="00BD212C" w:rsidR="0034298C">
        <w:t>Moreover</w:t>
      </w:r>
      <w:r w:rsidRPr="00BD212C">
        <w:t xml:space="preserve">, </w:t>
      </w:r>
      <w:r w:rsidRPr="00BD212C" w:rsidR="0034298C">
        <w:t xml:space="preserve">the </w:t>
      </w:r>
      <w:r w:rsidRPr="00BD212C">
        <w:t xml:space="preserve">argument </w:t>
      </w:r>
      <w:r w:rsidRPr="00BD212C" w:rsidR="0034298C">
        <w:t>i</w:t>
      </w:r>
      <w:r w:rsidRPr="00BD212C">
        <w:t>n question</w:t>
      </w:r>
      <w:r w:rsidRPr="00BD212C" w:rsidR="0034298C">
        <w:t xml:space="preserve"> is tantamount to asserting in </w:t>
      </w:r>
      <w:r w:rsidRPr="00BD212C">
        <w:t xml:space="preserve">substance </w:t>
      </w:r>
      <w:r w:rsidRPr="00BD212C" w:rsidR="0034298C">
        <w:t>that a heterosexual</w:t>
      </w:r>
      <w:r w:rsidRPr="00BD212C">
        <w:t xml:space="preserve"> couple </w:t>
      </w:r>
      <w:r w:rsidRPr="00BD212C" w:rsidR="0034298C">
        <w:t>of which one member wishes to obtain a residence permit is obliged to marry</w:t>
      </w:r>
      <w:r w:rsidRPr="00BD212C">
        <w:t xml:space="preserve"> </w:t>
      </w:r>
      <w:r w:rsidRPr="00BD212C">
        <w:rPr>
          <w:i/>
        </w:rPr>
        <w:t>nolens volens</w:t>
      </w:r>
      <w:r w:rsidRPr="00BD212C">
        <w:t xml:space="preserve">, </w:t>
      </w:r>
      <w:r w:rsidRPr="00BD212C" w:rsidR="0034298C">
        <w:t xml:space="preserve">which is not the case of a homosexual </w:t>
      </w:r>
      <w:r w:rsidRPr="00BD212C">
        <w:t xml:space="preserve">couple. </w:t>
      </w:r>
      <w:r w:rsidRPr="00BD212C" w:rsidR="00EE1D00">
        <w:t>I</w:t>
      </w:r>
      <w:r w:rsidRPr="00BD212C" w:rsidR="0034298C">
        <w:t xml:space="preserve">f we accept that argument, </w:t>
      </w:r>
      <w:r w:rsidRPr="00BD212C" w:rsidR="00EE1D00">
        <w:t xml:space="preserve">however, </w:t>
      </w:r>
      <w:r w:rsidRPr="00BD212C" w:rsidR="0034298C">
        <w:t>it is likely that in the future an application will be brought before the</w:t>
      </w:r>
      <w:r w:rsidRPr="00BD212C">
        <w:t xml:space="preserve"> Cour</w:t>
      </w:r>
      <w:r w:rsidRPr="00BD212C" w:rsidR="0034298C">
        <w:t xml:space="preserve">t by a heterosexual </w:t>
      </w:r>
      <w:r w:rsidRPr="00BD212C">
        <w:t xml:space="preserve">couple </w:t>
      </w:r>
      <w:r w:rsidRPr="00BD212C" w:rsidR="0034298C">
        <w:t>relying on that differ</w:t>
      </w:r>
      <w:r w:rsidRPr="00BD212C">
        <w:t xml:space="preserve">ence </w:t>
      </w:r>
      <w:r w:rsidRPr="00BD212C" w:rsidR="0034298C">
        <w:t>of treatment to support their submission that they have suffered d</w:t>
      </w:r>
      <w:r w:rsidRPr="00BD212C">
        <w:t xml:space="preserve">iscrimination. </w:t>
      </w:r>
      <w:r w:rsidRPr="00BD212C" w:rsidR="0034298C">
        <w:t xml:space="preserve">We therefore risk losing our way amongst </w:t>
      </w:r>
      <w:r w:rsidRPr="00BD212C" w:rsidR="0065628B">
        <w:t>syllogistic meanderings that</w:t>
      </w:r>
      <w:r w:rsidRPr="00BD212C">
        <w:t xml:space="preserve"> </w:t>
      </w:r>
      <w:r w:rsidRPr="00BD212C" w:rsidR="0034298C">
        <w:t xml:space="preserve">lead to somewhat complex </w:t>
      </w:r>
      <w:r w:rsidRPr="00BD212C" w:rsidR="005C53FE">
        <w:t>results</w:t>
      </w:r>
      <w:r w:rsidRPr="00BD212C">
        <w:t xml:space="preserve"> </w:t>
      </w:r>
      <w:r w:rsidRPr="00BD212C" w:rsidR="0034298C">
        <w:t>that are difficult to follow</w:t>
      </w:r>
      <w:r w:rsidRPr="00BD212C">
        <w:t>.</w:t>
      </w:r>
    </w:p>
    <w:p w:rsidRPr="00BD212C" w:rsidR="00653C1F" w:rsidP="00BD212C" w:rsidRDefault="00653C1F">
      <w:pPr>
        <w:pStyle w:val="OpiPara"/>
        <w:rPr>
          <w:lang w:val="en-GB"/>
        </w:rPr>
      </w:pPr>
      <w:r w:rsidRPr="00BD212C">
        <w:t>14.  </w:t>
      </w:r>
      <w:r w:rsidRPr="00BD212C" w:rsidR="0034298C">
        <w:t>The</w:t>
      </w:r>
      <w:r w:rsidRPr="00BD212C" w:rsidR="00691516">
        <w:t xml:space="preserve"> majority</w:t>
      </w:r>
      <w:r w:rsidRPr="00BD212C" w:rsidR="00BD212C">
        <w:t>’</w:t>
      </w:r>
      <w:r w:rsidRPr="00BD212C" w:rsidR="00691516">
        <w:t>s</w:t>
      </w:r>
      <w:r w:rsidRPr="00BD212C" w:rsidR="0034298C">
        <w:t xml:space="preserve"> second</w:t>
      </w:r>
      <w:r w:rsidRPr="00BD212C">
        <w:t xml:space="preserve"> argument, </w:t>
      </w:r>
      <w:r w:rsidRPr="00BD212C" w:rsidR="005C53FE">
        <w:t>seeking to differentiate betwee</w:t>
      </w:r>
      <w:r w:rsidRPr="00BD212C" w:rsidR="0034298C">
        <w:t xml:space="preserve">n unmarried heterosexual and homosexual </w:t>
      </w:r>
      <w:r w:rsidRPr="00BD212C">
        <w:t xml:space="preserve">couples, </w:t>
      </w:r>
      <w:r w:rsidRPr="00BD212C" w:rsidR="0034298C">
        <w:t>appears at first sight to be spe</w:t>
      </w:r>
      <w:r w:rsidRPr="00BD212C">
        <w:t>cifi</w:t>
      </w:r>
      <w:r w:rsidRPr="00BD212C" w:rsidR="0034298C">
        <w:t>c to the present case</w:t>
      </w:r>
      <w:r w:rsidRPr="00BD212C">
        <w:t xml:space="preserve">. </w:t>
      </w:r>
      <w:r w:rsidRPr="00BD212C" w:rsidR="00B529D8">
        <w:t>They</w:t>
      </w:r>
      <w:r w:rsidRPr="00BD212C">
        <w:t xml:space="preserve"> </w:t>
      </w:r>
      <w:r w:rsidRPr="00BD212C" w:rsidR="00691516">
        <w:t>maintain</w:t>
      </w:r>
      <w:r w:rsidRPr="00BD212C" w:rsidR="00B529D8">
        <w:t xml:space="preserve"> that the applica</w:t>
      </w:r>
      <w:r w:rsidRPr="00BD212C">
        <w:t>nts prov</w:t>
      </w:r>
      <w:r w:rsidRPr="00BD212C" w:rsidR="00B529D8">
        <w:t>ed their</w:t>
      </w:r>
      <w:r w:rsidRPr="00BD212C">
        <w:t xml:space="preserve"> intention </w:t>
      </w:r>
      <w:r w:rsidRPr="00BD212C" w:rsidR="00B529D8">
        <w:t>to marry because they finally did so in the Netherlands</w:t>
      </w:r>
      <w:r w:rsidRPr="00BD212C">
        <w:t xml:space="preserve"> </w:t>
      </w:r>
      <w:r w:rsidRPr="00BD212C" w:rsidR="00B529D8">
        <w:t>and therefore</w:t>
      </w:r>
      <w:r w:rsidRPr="00BD212C">
        <w:t xml:space="preserve"> </w:t>
      </w:r>
      <w:r w:rsidRPr="00BD212C" w:rsidR="00B529D8">
        <w:t>their situation “cannot be</w:t>
      </w:r>
      <w:r w:rsidRPr="00BD212C">
        <w:t xml:space="preserve"> compar</w:t>
      </w:r>
      <w:r w:rsidRPr="00BD212C" w:rsidR="00B529D8">
        <w:t>ed</w:t>
      </w:r>
      <w:r w:rsidRPr="00BD212C">
        <w:t xml:space="preserve"> </w:t>
      </w:r>
      <w:r w:rsidRPr="00BD212C" w:rsidR="00B529D8">
        <w:rPr>
          <w:lang w:val="en-GB"/>
        </w:rPr>
        <w:t>to that of a heterosexual couple who, for personal reasons, do not wish to contract a marriage or a civil partnership”</w:t>
      </w:r>
      <w:r w:rsidRPr="00BD212C">
        <w:t xml:space="preserve"> (</w:t>
      </w:r>
      <w:r w:rsidRPr="00BD212C" w:rsidR="0034298C">
        <w:t xml:space="preserve">see </w:t>
      </w:r>
      <w:r w:rsidRPr="00BD212C">
        <w:t xml:space="preserve">paragraph 84). </w:t>
      </w:r>
      <w:r w:rsidRPr="00BD212C" w:rsidR="00691516">
        <w:rPr>
          <w:lang w:val="en-GB"/>
        </w:rPr>
        <w:t>It should be borne in mind</w:t>
      </w:r>
      <w:r w:rsidRPr="00BD212C" w:rsidR="00B529D8">
        <w:rPr>
          <w:lang w:val="en-GB"/>
        </w:rPr>
        <w:t>, though, that the applicants</w:t>
      </w:r>
      <w:r w:rsidRPr="00BD212C">
        <w:rPr>
          <w:lang w:val="en-GB"/>
        </w:rPr>
        <w:t xml:space="preserve"> </w:t>
      </w:r>
      <w:r w:rsidRPr="00BD212C" w:rsidR="00B529D8">
        <w:rPr>
          <w:lang w:val="en-GB"/>
        </w:rPr>
        <w:t>married on</w:t>
      </w:r>
      <w:r w:rsidRPr="00BD212C">
        <w:rPr>
          <w:lang w:val="en-GB"/>
        </w:rPr>
        <w:t xml:space="preserve"> 8 </w:t>
      </w:r>
      <w:r w:rsidRPr="00BD212C" w:rsidR="00B529D8">
        <w:rPr>
          <w:lang w:val="en-GB"/>
        </w:rPr>
        <w:t>May</w:t>
      </w:r>
      <w:r w:rsidRPr="00BD212C">
        <w:rPr>
          <w:lang w:val="en-GB"/>
        </w:rPr>
        <w:t xml:space="preserve"> 2010, </w:t>
      </w:r>
      <w:r w:rsidRPr="00BD212C" w:rsidR="00B529D8">
        <w:rPr>
          <w:lang w:val="en-GB"/>
        </w:rPr>
        <w:t>that is, after the pe</w:t>
      </w:r>
      <w:r w:rsidRPr="00BD212C">
        <w:rPr>
          <w:lang w:val="en-GB"/>
        </w:rPr>
        <w:t>riod</w:t>
      </w:r>
      <w:r w:rsidRPr="00BD212C" w:rsidR="00B529D8">
        <w:rPr>
          <w:lang w:val="en-GB"/>
        </w:rPr>
        <w:t xml:space="preserve"> </w:t>
      </w:r>
      <w:r w:rsidRPr="00BD212C" w:rsidR="00441BE2">
        <w:rPr>
          <w:lang w:val="en-GB"/>
        </w:rPr>
        <w:t>under examination</w:t>
      </w:r>
      <w:r w:rsidRPr="00BD212C">
        <w:rPr>
          <w:lang w:val="en-GB"/>
        </w:rPr>
        <w:t xml:space="preserve">, </w:t>
      </w:r>
      <w:r w:rsidRPr="00BD212C" w:rsidR="00B529D8">
        <w:rPr>
          <w:lang w:val="en-GB"/>
        </w:rPr>
        <w:t>when they were no longer in Italy</w:t>
      </w:r>
      <w:r w:rsidRPr="00BD212C">
        <w:rPr>
          <w:lang w:val="en-GB"/>
        </w:rPr>
        <w:t xml:space="preserve">. </w:t>
      </w:r>
      <w:r w:rsidRPr="00BD212C" w:rsidR="00D713BE">
        <w:rPr>
          <w:lang w:val="en-GB"/>
        </w:rPr>
        <w:t>C</w:t>
      </w:r>
      <w:r w:rsidRPr="00BD212C" w:rsidR="00B529D8">
        <w:rPr>
          <w:lang w:val="en-GB"/>
        </w:rPr>
        <w:t>an we</w:t>
      </w:r>
      <w:r w:rsidRPr="00BD212C" w:rsidR="00D713BE">
        <w:rPr>
          <w:lang w:val="en-GB"/>
        </w:rPr>
        <w:t xml:space="preserve"> therefore</w:t>
      </w:r>
      <w:r w:rsidRPr="00BD212C" w:rsidR="00B529D8">
        <w:rPr>
          <w:lang w:val="en-GB"/>
        </w:rPr>
        <w:t xml:space="preserve"> deduce from that event, which the national</w:t>
      </w:r>
      <w:r w:rsidRPr="00BD212C">
        <w:rPr>
          <w:lang w:val="en-GB"/>
        </w:rPr>
        <w:t xml:space="preserve"> aut</w:t>
      </w:r>
      <w:r w:rsidRPr="00BD212C" w:rsidR="00B529D8">
        <w:rPr>
          <w:lang w:val="en-GB"/>
        </w:rPr>
        <w:t>h</w:t>
      </w:r>
      <w:r w:rsidRPr="00BD212C">
        <w:rPr>
          <w:lang w:val="en-GB"/>
        </w:rPr>
        <w:t>orit</w:t>
      </w:r>
      <w:r w:rsidRPr="00BD212C" w:rsidR="00B529D8">
        <w:rPr>
          <w:lang w:val="en-GB"/>
        </w:rPr>
        <w:t>ie</w:t>
      </w:r>
      <w:r w:rsidRPr="00BD212C">
        <w:rPr>
          <w:lang w:val="en-GB"/>
        </w:rPr>
        <w:t xml:space="preserve">s </w:t>
      </w:r>
      <w:r w:rsidRPr="00BD212C" w:rsidR="00B529D8">
        <w:rPr>
          <w:lang w:val="en-GB"/>
        </w:rPr>
        <w:t>could not even</w:t>
      </w:r>
      <w:r w:rsidRPr="00BD212C">
        <w:rPr>
          <w:lang w:val="en-GB"/>
        </w:rPr>
        <w:t xml:space="preserve"> </w:t>
      </w:r>
      <w:r w:rsidRPr="00BD212C" w:rsidR="00B529D8">
        <w:rPr>
          <w:lang w:val="en-GB"/>
        </w:rPr>
        <w:t>foresee</w:t>
      </w:r>
      <w:r w:rsidRPr="00BD212C">
        <w:rPr>
          <w:lang w:val="en-GB"/>
        </w:rPr>
        <w:t xml:space="preserve">, </w:t>
      </w:r>
      <w:r w:rsidRPr="00BD212C" w:rsidR="00B529D8">
        <w:rPr>
          <w:lang w:val="en-GB"/>
        </w:rPr>
        <w:t>a legal</w:t>
      </w:r>
      <w:r w:rsidRPr="00BD212C">
        <w:rPr>
          <w:lang w:val="en-GB"/>
        </w:rPr>
        <w:t xml:space="preserve"> cons</w:t>
      </w:r>
      <w:r w:rsidRPr="00BD212C" w:rsidR="00B529D8">
        <w:rPr>
          <w:lang w:val="en-GB"/>
        </w:rPr>
        <w:t>e</w:t>
      </w:r>
      <w:r w:rsidRPr="00BD212C">
        <w:rPr>
          <w:lang w:val="en-GB"/>
        </w:rPr>
        <w:t xml:space="preserve">quence </w:t>
      </w:r>
      <w:r w:rsidRPr="00BD212C" w:rsidR="00B529D8">
        <w:rPr>
          <w:lang w:val="en-GB"/>
        </w:rPr>
        <w:t xml:space="preserve">of </w:t>
      </w:r>
      <w:r w:rsidRPr="00BD212C">
        <w:rPr>
          <w:lang w:val="en-GB"/>
        </w:rPr>
        <w:t xml:space="preserve">importance </w:t>
      </w:r>
      <w:r w:rsidRPr="00BD212C" w:rsidR="00B529D8">
        <w:rPr>
          <w:lang w:val="en-GB"/>
        </w:rPr>
        <w:t>regarding the</w:t>
      </w:r>
      <w:r w:rsidRPr="00BD212C">
        <w:rPr>
          <w:lang w:val="en-GB"/>
        </w:rPr>
        <w:t xml:space="preserve"> comparab</w:t>
      </w:r>
      <w:r w:rsidRPr="00BD212C" w:rsidR="00B529D8">
        <w:rPr>
          <w:lang w:val="en-GB"/>
        </w:rPr>
        <w:t>ility of the resulting legal</w:t>
      </w:r>
      <w:r w:rsidRPr="00BD212C">
        <w:rPr>
          <w:lang w:val="en-GB"/>
        </w:rPr>
        <w:t xml:space="preserve"> situations </w:t>
      </w:r>
      <w:r w:rsidRPr="00BD212C" w:rsidR="00B529D8">
        <w:rPr>
          <w:lang w:val="en-GB"/>
        </w:rPr>
        <w:t>and</w:t>
      </w:r>
      <w:r w:rsidRPr="00BD212C">
        <w:rPr>
          <w:lang w:val="en-GB"/>
        </w:rPr>
        <w:t xml:space="preserve"> obligations </w:t>
      </w:r>
      <w:r w:rsidRPr="00BD212C" w:rsidR="00B529D8">
        <w:rPr>
          <w:lang w:val="en-GB"/>
        </w:rPr>
        <w:t>for a State party</w:t>
      </w:r>
      <w:r w:rsidRPr="00BD212C">
        <w:rPr>
          <w:lang w:val="en-GB"/>
        </w:rPr>
        <w:t xml:space="preserve">? </w:t>
      </w:r>
      <w:r w:rsidRPr="00BD212C" w:rsidR="00B529D8">
        <w:rPr>
          <w:lang w:val="en-GB"/>
        </w:rPr>
        <w:t>Is it wise to</w:t>
      </w:r>
      <w:r w:rsidRPr="00BD212C">
        <w:rPr>
          <w:lang w:val="en-GB"/>
        </w:rPr>
        <w:t xml:space="preserve"> </w:t>
      </w:r>
      <w:r w:rsidRPr="00BD212C" w:rsidR="00955F9D">
        <w:rPr>
          <w:lang w:val="en-GB"/>
        </w:rPr>
        <w:t>rely on individual</w:t>
      </w:r>
      <w:r w:rsidRPr="00BD212C">
        <w:rPr>
          <w:lang w:val="en-GB"/>
        </w:rPr>
        <w:t xml:space="preserve"> intentions </w:t>
      </w:r>
      <w:r w:rsidRPr="00BD212C" w:rsidR="00955F9D">
        <w:rPr>
          <w:lang w:val="en-GB"/>
        </w:rPr>
        <w:t>to reach general</w:t>
      </w:r>
      <w:r w:rsidRPr="00BD212C">
        <w:rPr>
          <w:lang w:val="en-GB"/>
        </w:rPr>
        <w:t xml:space="preserve"> conclusions?</w:t>
      </w:r>
    </w:p>
    <w:p w:rsidRPr="00BD212C" w:rsidR="00653C1F" w:rsidP="00BD212C" w:rsidRDefault="00653C1F">
      <w:pPr>
        <w:pStyle w:val="OpiHa0"/>
        <w:rPr>
          <w:lang w:val="en-GB"/>
        </w:rPr>
      </w:pPr>
      <w:r w:rsidRPr="00BD212C">
        <w:rPr>
          <w:lang w:val="en-GB"/>
        </w:rPr>
        <w:t>5.  Conclusion</w:t>
      </w:r>
    </w:p>
    <w:p w:rsidRPr="00BD212C" w:rsidR="00653C1F" w:rsidP="00BD212C" w:rsidRDefault="00653C1F">
      <w:pPr>
        <w:pStyle w:val="OpiPara"/>
        <w:rPr>
          <w:lang w:val="en-GB"/>
        </w:rPr>
      </w:pPr>
      <w:r w:rsidRPr="00BD212C">
        <w:rPr>
          <w:lang w:val="en-GB"/>
        </w:rPr>
        <w:t>15.  </w:t>
      </w:r>
      <w:r w:rsidRPr="00BD212C" w:rsidR="00955F9D">
        <w:rPr>
          <w:lang w:val="en-GB"/>
        </w:rPr>
        <w:t xml:space="preserve">The </w:t>
      </w:r>
      <w:r w:rsidRPr="00BD212C">
        <w:rPr>
          <w:lang w:val="en-GB"/>
        </w:rPr>
        <w:t>majorit</w:t>
      </w:r>
      <w:r w:rsidRPr="00BD212C" w:rsidR="00955F9D">
        <w:rPr>
          <w:lang w:val="en-GB"/>
        </w:rPr>
        <w:t>y</w:t>
      </w:r>
      <w:r w:rsidRPr="00BD212C" w:rsidR="00BD212C">
        <w:rPr>
          <w:lang w:val="en-GB"/>
        </w:rPr>
        <w:t>’</w:t>
      </w:r>
      <w:r w:rsidRPr="00BD212C" w:rsidR="00955F9D">
        <w:rPr>
          <w:lang w:val="en-GB"/>
        </w:rPr>
        <w:t>s approach regarding</w:t>
      </w:r>
      <w:r w:rsidRPr="00BD212C">
        <w:rPr>
          <w:lang w:val="en-GB"/>
        </w:rPr>
        <w:t xml:space="preserve"> comparable</w:t>
      </w:r>
      <w:r w:rsidRPr="00BD212C" w:rsidR="00955F9D">
        <w:rPr>
          <w:lang w:val="en-GB"/>
        </w:rPr>
        <w:t xml:space="preserve"> situations does not appear to me to be</w:t>
      </w:r>
      <w:r w:rsidRPr="00BD212C">
        <w:rPr>
          <w:lang w:val="en-GB"/>
        </w:rPr>
        <w:t xml:space="preserve"> </w:t>
      </w:r>
      <w:r w:rsidRPr="00BD212C" w:rsidR="00955F9D">
        <w:rPr>
          <w:lang w:val="en-GB"/>
        </w:rPr>
        <w:t>consistent with the</w:t>
      </w:r>
      <w:r w:rsidRPr="00BD212C">
        <w:rPr>
          <w:lang w:val="en-GB"/>
        </w:rPr>
        <w:t xml:space="preserve"> Cour</w:t>
      </w:r>
      <w:r w:rsidRPr="00BD212C" w:rsidR="00955F9D">
        <w:rPr>
          <w:lang w:val="en-GB"/>
        </w:rPr>
        <w:t>t</w:t>
      </w:r>
      <w:r w:rsidRPr="00BD212C" w:rsidR="00BD212C">
        <w:rPr>
          <w:lang w:val="en-GB"/>
        </w:rPr>
        <w:t>’</w:t>
      </w:r>
      <w:r w:rsidRPr="00BD212C" w:rsidR="00955F9D">
        <w:rPr>
          <w:lang w:val="en-GB"/>
        </w:rPr>
        <w:t>s case-law</w:t>
      </w:r>
      <w:r w:rsidRPr="00BD212C">
        <w:rPr>
          <w:lang w:val="en-GB"/>
        </w:rPr>
        <w:t xml:space="preserve">. </w:t>
      </w:r>
      <w:r w:rsidRPr="00BD212C" w:rsidR="00955F9D">
        <w:rPr>
          <w:lang w:val="en-GB"/>
        </w:rPr>
        <w:t>More specifically</w:t>
      </w:r>
      <w:r w:rsidRPr="00BD212C">
        <w:rPr>
          <w:lang w:val="en-GB"/>
        </w:rPr>
        <w:t xml:space="preserve">, </w:t>
      </w:r>
      <w:r w:rsidRPr="00BD212C" w:rsidR="00955F9D">
        <w:rPr>
          <w:lang w:val="en-GB"/>
        </w:rPr>
        <w:t>I do not subscribe to the majority</w:t>
      </w:r>
      <w:r w:rsidRPr="00BD212C" w:rsidR="00BD212C">
        <w:rPr>
          <w:lang w:val="en-GB"/>
        </w:rPr>
        <w:t>’</w:t>
      </w:r>
      <w:r w:rsidRPr="00BD212C" w:rsidR="00955F9D">
        <w:rPr>
          <w:lang w:val="en-GB"/>
        </w:rPr>
        <w:t>s view that the applicants</w:t>
      </w:r>
      <w:r w:rsidRPr="00BD212C" w:rsidR="00BD212C">
        <w:rPr>
          <w:lang w:val="en-GB"/>
        </w:rPr>
        <w:t>’</w:t>
      </w:r>
      <w:r w:rsidRPr="00BD212C">
        <w:rPr>
          <w:lang w:val="en-GB"/>
        </w:rPr>
        <w:t xml:space="preserve"> situation </w:t>
      </w:r>
      <w:r w:rsidRPr="00BD212C" w:rsidR="00955F9D">
        <w:rPr>
          <w:lang w:val="en-GB"/>
        </w:rPr>
        <w:t>was not</w:t>
      </w:r>
      <w:r w:rsidRPr="00BD212C">
        <w:rPr>
          <w:lang w:val="en-GB"/>
        </w:rPr>
        <w:t xml:space="preserve"> comparable </w:t>
      </w:r>
      <w:r w:rsidRPr="00BD212C" w:rsidR="00955F9D">
        <w:rPr>
          <w:lang w:val="en-GB"/>
        </w:rPr>
        <w:t>to that of an unmarried stable</w:t>
      </w:r>
      <w:r w:rsidRPr="00BD212C">
        <w:rPr>
          <w:lang w:val="en-GB"/>
        </w:rPr>
        <w:t xml:space="preserve"> h</w:t>
      </w:r>
      <w:r w:rsidRPr="00BD212C" w:rsidR="00955F9D">
        <w:rPr>
          <w:lang w:val="en-GB"/>
        </w:rPr>
        <w:t>eter</w:t>
      </w:r>
      <w:r w:rsidRPr="00BD212C">
        <w:rPr>
          <w:lang w:val="en-GB"/>
        </w:rPr>
        <w:t>osexu</w:t>
      </w:r>
      <w:r w:rsidRPr="00BD212C" w:rsidR="00955F9D">
        <w:rPr>
          <w:lang w:val="en-GB"/>
        </w:rPr>
        <w:t>a</w:t>
      </w:r>
      <w:r w:rsidRPr="00BD212C">
        <w:rPr>
          <w:lang w:val="en-GB"/>
        </w:rPr>
        <w:t xml:space="preserve">l </w:t>
      </w:r>
      <w:r w:rsidRPr="00BD212C" w:rsidR="00955F9D">
        <w:rPr>
          <w:lang w:val="en-GB"/>
        </w:rPr>
        <w:t>couple</w:t>
      </w:r>
      <w:r w:rsidRPr="00BD212C">
        <w:rPr>
          <w:lang w:val="en-GB"/>
        </w:rPr>
        <w:t xml:space="preserve">. </w:t>
      </w:r>
      <w:r w:rsidRPr="00BD212C" w:rsidR="00607753">
        <w:rPr>
          <w:lang w:val="en-GB"/>
        </w:rPr>
        <w:t>Consequently</w:t>
      </w:r>
      <w:r w:rsidRPr="00BD212C">
        <w:rPr>
          <w:lang w:val="en-GB"/>
        </w:rPr>
        <w:t>,</w:t>
      </w:r>
      <w:r w:rsidRPr="00BD212C" w:rsidR="00607753">
        <w:rPr>
          <w:lang w:val="en-GB"/>
        </w:rPr>
        <w:t xml:space="preserve"> it is not necessary to address the </w:t>
      </w:r>
      <w:r w:rsidRPr="00BD212C">
        <w:rPr>
          <w:lang w:val="en-GB"/>
        </w:rPr>
        <w:t>part</w:t>
      </w:r>
      <w:r w:rsidRPr="00BD212C" w:rsidR="00607753">
        <w:rPr>
          <w:lang w:val="en-GB"/>
        </w:rPr>
        <w:t xml:space="preserve"> of the judgment concerning the </w:t>
      </w:r>
      <w:r w:rsidRPr="00BD212C">
        <w:rPr>
          <w:lang w:val="en-GB"/>
        </w:rPr>
        <w:t>question</w:t>
      </w:r>
      <w:r w:rsidRPr="00BD212C" w:rsidR="00607753">
        <w:rPr>
          <w:lang w:val="en-GB"/>
        </w:rPr>
        <w:t xml:space="preserve"> whether or not there was</w:t>
      </w:r>
      <w:r w:rsidRPr="00BD212C">
        <w:rPr>
          <w:lang w:val="en-GB"/>
        </w:rPr>
        <w:t xml:space="preserve"> objective </w:t>
      </w:r>
      <w:r w:rsidRPr="00BD212C" w:rsidR="00607753">
        <w:rPr>
          <w:lang w:val="en-GB"/>
        </w:rPr>
        <w:t>and reasona</w:t>
      </w:r>
      <w:r w:rsidRPr="00BD212C">
        <w:rPr>
          <w:lang w:val="en-GB"/>
        </w:rPr>
        <w:t xml:space="preserve">ble </w:t>
      </w:r>
      <w:r w:rsidRPr="00BD212C" w:rsidR="00607753">
        <w:rPr>
          <w:lang w:val="en-GB"/>
        </w:rPr>
        <w:t xml:space="preserve">justification </w:t>
      </w:r>
      <w:r w:rsidRPr="00BD212C">
        <w:rPr>
          <w:lang w:val="en-GB"/>
        </w:rPr>
        <w:t>(</w:t>
      </w:r>
      <w:r w:rsidRPr="00BD212C" w:rsidR="00607753">
        <w:rPr>
          <w:lang w:val="en-GB"/>
        </w:rPr>
        <w:t>see paragraph</w:t>
      </w:r>
      <w:r w:rsidRPr="00BD212C">
        <w:rPr>
          <w:lang w:val="en-GB"/>
        </w:rPr>
        <w:t>s 87 et s</w:t>
      </w:r>
      <w:r w:rsidRPr="00BD212C" w:rsidR="00607753">
        <w:rPr>
          <w:lang w:val="en-GB"/>
        </w:rPr>
        <w:t>eq.</w:t>
      </w:r>
      <w:r w:rsidRPr="00BD212C">
        <w:rPr>
          <w:lang w:val="en-GB"/>
        </w:rPr>
        <w:t xml:space="preserve"> </w:t>
      </w:r>
      <w:r w:rsidRPr="00BD212C" w:rsidR="00607753">
        <w:rPr>
          <w:lang w:val="en-GB"/>
        </w:rPr>
        <w:t>of the judgmen</w:t>
      </w:r>
      <w:r w:rsidRPr="00BD212C">
        <w:rPr>
          <w:lang w:val="en-GB"/>
        </w:rPr>
        <w:t xml:space="preserve">t). </w:t>
      </w:r>
      <w:r w:rsidRPr="00BD212C" w:rsidR="00607753">
        <w:rPr>
          <w:lang w:val="en-GB"/>
        </w:rPr>
        <w:t>As the two above-mentioned</w:t>
      </w:r>
      <w:r w:rsidRPr="00BD212C">
        <w:rPr>
          <w:lang w:val="en-GB"/>
        </w:rPr>
        <w:t xml:space="preserve"> situations </w:t>
      </w:r>
      <w:r w:rsidRPr="00BD212C" w:rsidR="00607753">
        <w:rPr>
          <w:lang w:val="en-GB"/>
        </w:rPr>
        <w:t>are comparable</w:t>
      </w:r>
      <w:r w:rsidRPr="00BD212C">
        <w:rPr>
          <w:lang w:val="en-GB"/>
        </w:rPr>
        <w:t>,</w:t>
      </w:r>
      <w:r w:rsidRPr="00BD212C" w:rsidR="00607753">
        <w:rPr>
          <w:lang w:val="en-GB"/>
        </w:rPr>
        <w:t xml:space="preserve"> the fact that they were treated identically does not amount to</w:t>
      </w:r>
      <w:r w:rsidRPr="00BD212C">
        <w:rPr>
          <w:lang w:val="en-GB"/>
        </w:rPr>
        <w:t xml:space="preserve"> discrimination </w:t>
      </w:r>
      <w:r w:rsidRPr="00BD212C" w:rsidR="00607753">
        <w:rPr>
          <w:lang w:val="en-GB"/>
        </w:rPr>
        <w:t>under A</w:t>
      </w:r>
      <w:r w:rsidRPr="00BD212C">
        <w:rPr>
          <w:lang w:val="en-GB"/>
        </w:rPr>
        <w:t xml:space="preserve">rticle 14 </w:t>
      </w:r>
      <w:r w:rsidRPr="00BD212C" w:rsidR="00607753">
        <w:rPr>
          <w:lang w:val="en-GB"/>
        </w:rPr>
        <w:t>taken in conjunction with A</w:t>
      </w:r>
      <w:r w:rsidRPr="00BD212C">
        <w:rPr>
          <w:lang w:val="en-GB"/>
        </w:rPr>
        <w:t xml:space="preserve">rticle 8 </w:t>
      </w:r>
      <w:r w:rsidRPr="00BD212C" w:rsidR="00607753">
        <w:rPr>
          <w:lang w:val="en-GB"/>
        </w:rPr>
        <w:t>of the</w:t>
      </w:r>
      <w:r w:rsidRPr="00BD212C">
        <w:rPr>
          <w:lang w:val="en-GB"/>
        </w:rPr>
        <w:t xml:space="preserve"> Convention.</w:t>
      </w:r>
    </w:p>
    <w:p w:rsidRPr="00BD212C" w:rsidR="00653C1F" w:rsidP="00BD212C" w:rsidRDefault="00653C1F">
      <w:pPr>
        <w:pStyle w:val="OpiHA"/>
        <w:rPr>
          <w:lang w:val="en-GB"/>
        </w:rPr>
      </w:pPr>
      <w:r w:rsidRPr="00BD212C">
        <w:rPr>
          <w:lang w:val="en-GB"/>
        </w:rPr>
        <w:t>II.  </w:t>
      </w:r>
      <w:r w:rsidRPr="00BD212C" w:rsidR="00C86052">
        <w:rPr>
          <w:lang w:val="en-GB"/>
        </w:rPr>
        <w:t>The</w:t>
      </w:r>
      <w:r w:rsidRPr="00BD212C">
        <w:rPr>
          <w:lang w:val="en-GB"/>
        </w:rPr>
        <w:t xml:space="preserve"> pr</w:t>
      </w:r>
      <w:r w:rsidRPr="00BD212C" w:rsidR="00C86052">
        <w:rPr>
          <w:lang w:val="en-GB"/>
        </w:rPr>
        <w:t>e</w:t>
      </w:r>
      <w:r w:rsidRPr="00BD212C">
        <w:rPr>
          <w:lang w:val="en-GB"/>
        </w:rPr>
        <w:t>sent</w:t>
      </w:r>
      <w:r w:rsidRPr="00BD212C" w:rsidR="00C86052">
        <w:rPr>
          <w:lang w:val="en-GB"/>
        </w:rPr>
        <w:t xml:space="preserve"> cas</w:t>
      </w:r>
      <w:r w:rsidRPr="00BD212C">
        <w:rPr>
          <w:lang w:val="en-GB"/>
        </w:rPr>
        <w:t xml:space="preserve">e </w:t>
      </w:r>
      <w:r w:rsidRPr="00BD212C" w:rsidR="00C86052">
        <w:rPr>
          <w:lang w:val="en-GB"/>
        </w:rPr>
        <w:t xml:space="preserve">may raise an issue </w:t>
      </w:r>
      <w:r w:rsidRPr="00BD212C">
        <w:rPr>
          <w:lang w:val="en-GB"/>
        </w:rPr>
        <w:t>regard</w:t>
      </w:r>
      <w:r w:rsidRPr="00BD212C" w:rsidR="00C86052">
        <w:rPr>
          <w:lang w:val="en-GB"/>
        </w:rPr>
        <w:t>ing A</w:t>
      </w:r>
      <w:r w:rsidRPr="00BD212C">
        <w:rPr>
          <w:lang w:val="en-GB"/>
        </w:rPr>
        <w:t xml:space="preserve">rticle 8 </w:t>
      </w:r>
      <w:r w:rsidRPr="00BD212C" w:rsidR="00C86052">
        <w:rPr>
          <w:lang w:val="en-GB"/>
        </w:rPr>
        <w:t>taken alone</w:t>
      </w:r>
    </w:p>
    <w:p w:rsidRPr="00BD212C" w:rsidR="00653C1F" w:rsidP="00BD212C" w:rsidRDefault="00653C1F">
      <w:pPr>
        <w:pStyle w:val="ECHRPara"/>
        <w:rPr>
          <w:i/>
          <w:iCs/>
          <w:lang w:val="de-DE"/>
        </w:rPr>
      </w:pPr>
      <w:r w:rsidRPr="00BD212C">
        <w:rPr>
          <w:lang w:val="en-GB"/>
        </w:rPr>
        <w:t>16.  </w:t>
      </w:r>
      <w:r w:rsidRPr="00BD212C" w:rsidR="00C86052">
        <w:rPr>
          <w:lang w:val="en-GB"/>
        </w:rPr>
        <w:t>We know that, since the famous case of</w:t>
      </w:r>
      <w:r w:rsidRPr="00BD212C">
        <w:rPr>
          <w:lang w:val="en-GB"/>
        </w:rPr>
        <w:t xml:space="preserve"> </w:t>
      </w:r>
      <w:r w:rsidRPr="00BD212C" w:rsidR="00C86052">
        <w:rPr>
          <w:rStyle w:val="CLLItalic"/>
          <w:lang w:val="pl-PL"/>
        </w:rPr>
        <w:t>Marckx v. Belgium</w:t>
      </w:r>
      <w:r w:rsidRPr="00BD212C" w:rsidR="00C86052">
        <w:rPr>
          <w:lang w:val="pl-PL"/>
        </w:rPr>
        <w:t xml:space="preserve"> (13 June 1979, Series A no. 31</w:t>
      </w:r>
      <w:r w:rsidRPr="00BD212C">
        <w:rPr>
          <w:lang w:val="en-GB"/>
        </w:rPr>
        <w:t xml:space="preserve">), </w:t>
      </w:r>
      <w:r w:rsidRPr="00BD212C" w:rsidR="00C86052">
        <w:rPr>
          <w:lang w:val="en-GB"/>
        </w:rPr>
        <w:t>the</w:t>
      </w:r>
      <w:r w:rsidRPr="00BD212C">
        <w:rPr>
          <w:lang w:val="en-GB"/>
        </w:rPr>
        <w:t xml:space="preserve"> Cour</w:t>
      </w:r>
      <w:r w:rsidRPr="00BD212C" w:rsidR="00C86052">
        <w:rPr>
          <w:lang w:val="en-GB"/>
        </w:rPr>
        <w:t>t has gradually extended the concept of “family life”</w:t>
      </w:r>
      <w:r w:rsidRPr="00BD212C">
        <w:rPr>
          <w:lang w:val="en-GB"/>
        </w:rPr>
        <w:t xml:space="preserve">, </w:t>
      </w:r>
      <w:r w:rsidRPr="00BD212C" w:rsidR="00C86052">
        <w:rPr>
          <w:lang w:val="en-GB"/>
        </w:rPr>
        <w:t>explicitly defined</w:t>
      </w:r>
      <w:r w:rsidRPr="00BD212C">
        <w:rPr>
          <w:lang w:val="en-GB"/>
        </w:rPr>
        <w:t xml:space="preserve"> </w:t>
      </w:r>
      <w:r w:rsidRPr="00BD212C" w:rsidR="00C86052">
        <w:rPr>
          <w:lang w:val="en-GB"/>
        </w:rPr>
        <w:t>as an autonomous concept</w:t>
      </w:r>
      <w:r w:rsidRPr="00BD212C">
        <w:rPr>
          <w:lang w:val="en-GB"/>
        </w:rPr>
        <w:t xml:space="preserve"> (</w:t>
      </w:r>
      <w:r w:rsidRPr="00BD212C" w:rsidR="00BD7E72">
        <w:rPr>
          <w:lang w:val="en-GB"/>
        </w:rPr>
        <w:t xml:space="preserve">see </w:t>
      </w:r>
      <w:r w:rsidRPr="00BD212C">
        <w:rPr>
          <w:lang w:val="en-GB"/>
        </w:rPr>
        <w:t xml:space="preserve">L.-A. </w:t>
      </w:r>
      <w:r w:rsidRPr="00BD212C">
        <w:rPr>
          <w:spacing w:val="-3"/>
          <w:lang w:val="en-GB"/>
        </w:rPr>
        <w:t>Sicil</w:t>
      </w:r>
      <w:r w:rsidRPr="00BD212C" w:rsidR="00C86052">
        <w:rPr>
          <w:spacing w:val="-3"/>
          <w:lang w:val="en-GB"/>
        </w:rPr>
        <w:t xml:space="preserve">ianos, </w:t>
      </w:r>
      <w:r w:rsidRPr="00BD212C" w:rsidR="008A1C5F">
        <w:rPr>
          <w:spacing w:val="-3"/>
          <w:lang w:val="en-GB"/>
        </w:rPr>
        <w:t>“</w:t>
      </w:r>
      <w:r w:rsidRPr="00BD212C">
        <w:rPr>
          <w:i/>
          <w:spacing w:val="-3"/>
          <w:lang w:val="en-GB"/>
        </w:rPr>
        <w:t xml:space="preserve">La </w:t>
      </w:r>
      <w:r w:rsidRPr="00BD212C" w:rsidR="00BD212C">
        <w:rPr>
          <w:i/>
          <w:spacing w:val="-3"/>
          <w:lang w:val="en-GB"/>
        </w:rPr>
        <w:t>‘</w:t>
      </w:r>
      <w:r w:rsidRPr="00BD212C">
        <w:rPr>
          <w:i/>
          <w:spacing w:val="-3"/>
          <w:lang w:val="en-GB"/>
        </w:rPr>
        <w:t>vie familiale</w:t>
      </w:r>
      <w:r w:rsidRPr="00BD212C" w:rsidR="00BD212C">
        <w:rPr>
          <w:i/>
          <w:spacing w:val="-3"/>
          <w:lang w:val="en-GB"/>
        </w:rPr>
        <w:t>’</w:t>
      </w:r>
      <w:r w:rsidRPr="00BD212C">
        <w:rPr>
          <w:i/>
          <w:spacing w:val="-3"/>
          <w:lang w:val="en-GB"/>
        </w:rPr>
        <w:t xml:space="preserve"> en tant que notion autonome au regard de la CEDH</w:t>
      </w:r>
      <w:r w:rsidRPr="00BD212C" w:rsidR="008A1C5F">
        <w:rPr>
          <w:spacing w:val="-3"/>
          <w:lang w:val="en-GB"/>
        </w:rPr>
        <w:t>”</w:t>
      </w:r>
      <w:r w:rsidRPr="00BD212C">
        <w:rPr>
          <w:spacing w:val="-3"/>
          <w:lang w:val="en-GB"/>
        </w:rPr>
        <w:t xml:space="preserve">, in Casadevall, J., Raimondi, G. </w:t>
      </w:r>
      <w:r w:rsidRPr="00BD212C">
        <w:rPr>
          <w:i/>
          <w:spacing w:val="-3"/>
          <w:lang w:val="en-GB"/>
        </w:rPr>
        <w:t>et al</w:t>
      </w:r>
      <w:r w:rsidRPr="00BD212C">
        <w:rPr>
          <w:spacing w:val="-3"/>
          <w:lang w:val="en-GB"/>
        </w:rPr>
        <w:t xml:space="preserve">. (eds), </w:t>
      </w:r>
      <w:r w:rsidRPr="00BD212C">
        <w:rPr>
          <w:i/>
          <w:spacing w:val="-3"/>
          <w:lang w:val="en-GB"/>
        </w:rPr>
        <w:t>Mélanges en l</w:t>
      </w:r>
      <w:r w:rsidRPr="00BD212C" w:rsidR="00BD212C">
        <w:rPr>
          <w:i/>
          <w:spacing w:val="-3"/>
          <w:lang w:val="en-GB"/>
        </w:rPr>
        <w:t>’</w:t>
      </w:r>
      <w:r w:rsidRPr="00BD212C">
        <w:rPr>
          <w:i/>
          <w:spacing w:val="-3"/>
          <w:lang w:val="en-GB"/>
        </w:rPr>
        <w:t>honneur de Dean Spielmann</w:t>
      </w:r>
      <w:r w:rsidRPr="00BD212C">
        <w:rPr>
          <w:spacing w:val="-3"/>
          <w:lang w:val="en-GB"/>
        </w:rPr>
        <w:t xml:space="preserve">, Oisterwijk: Wolf Legal Publishers, 2015, pp. 595-602), </w:t>
      </w:r>
      <w:r w:rsidRPr="00BD212C" w:rsidR="00C86052">
        <w:rPr>
          <w:spacing w:val="-3"/>
          <w:lang w:val="en-GB"/>
        </w:rPr>
        <w:t xml:space="preserve">to </w:t>
      </w:r>
      <w:r w:rsidRPr="00BD212C">
        <w:rPr>
          <w:spacing w:val="-3"/>
          <w:lang w:val="en-GB"/>
        </w:rPr>
        <w:t>inclu</w:t>
      </w:r>
      <w:r w:rsidRPr="00BD212C" w:rsidR="00C86052">
        <w:rPr>
          <w:spacing w:val="-3"/>
          <w:lang w:val="en-GB"/>
        </w:rPr>
        <w:t>d</w:t>
      </w:r>
      <w:r w:rsidRPr="00BD212C">
        <w:rPr>
          <w:spacing w:val="-3"/>
          <w:lang w:val="en-GB"/>
        </w:rPr>
        <w:t xml:space="preserve">e </w:t>
      </w:r>
      <w:r w:rsidRPr="00BD212C" w:rsidR="00BD7E72">
        <w:rPr>
          <w:spacing w:val="-3"/>
          <w:lang w:val="en-GB"/>
        </w:rPr>
        <w:t>among</w:t>
      </w:r>
      <w:r w:rsidRPr="00BD212C" w:rsidR="00CF55CF">
        <w:rPr>
          <w:spacing w:val="-3"/>
          <w:lang w:val="en-GB"/>
        </w:rPr>
        <w:t xml:space="preserve"> others</w:t>
      </w:r>
      <w:r w:rsidRPr="00BD212C">
        <w:rPr>
          <w:spacing w:val="-3"/>
          <w:lang w:val="en-GB"/>
        </w:rPr>
        <w:t xml:space="preserve"> – </w:t>
      </w:r>
      <w:r w:rsidRPr="00BD212C" w:rsidR="00C86052">
        <w:rPr>
          <w:spacing w:val="-3"/>
          <w:lang w:val="en-GB"/>
        </w:rPr>
        <w:t xml:space="preserve">beyond the </w:t>
      </w:r>
      <w:r w:rsidRPr="00BD212C">
        <w:rPr>
          <w:spacing w:val="-3"/>
          <w:lang w:val="en-GB"/>
        </w:rPr>
        <w:t>tradition</w:t>
      </w:r>
      <w:r w:rsidRPr="00BD212C" w:rsidR="00C86052">
        <w:rPr>
          <w:spacing w:val="-3"/>
          <w:lang w:val="en-GB"/>
        </w:rPr>
        <w:t>al family</w:t>
      </w:r>
      <w:r w:rsidRPr="00BD212C">
        <w:rPr>
          <w:spacing w:val="-3"/>
          <w:lang w:val="en-GB"/>
        </w:rPr>
        <w:t xml:space="preserve"> – certain</w:t>
      </w:r>
      <w:r w:rsidRPr="00BD212C" w:rsidR="00C86052">
        <w:rPr>
          <w:spacing w:val="-3"/>
          <w:lang w:val="en-GB"/>
        </w:rPr>
        <w:t xml:space="preserve"> form</w:t>
      </w:r>
      <w:r w:rsidRPr="00BD212C">
        <w:rPr>
          <w:spacing w:val="-3"/>
          <w:lang w:val="en-GB"/>
        </w:rPr>
        <w:t xml:space="preserve">s </w:t>
      </w:r>
      <w:r w:rsidRPr="00BD212C" w:rsidR="00C86052">
        <w:rPr>
          <w:spacing w:val="-3"/>
          <w:lang w:val="en-GB"/>
        </w:rPr>
        <w:t>of</w:t>
      </w:r>
      <w:r w:rsidRPr="00BD212C">
        <w:rPr>
          <w:spacing w:val="-3"/>
          <w:lang w:val="en-GB"/>
        </w:rPr>
        <w:t xml:space="preserve"> </w:t>
      </w:r>
      <w:r w:rsidRPr="00BD212C">
        <w:rPr>
          <w:i/>
          <w:spacing w:val="-3"/>
          <w:lang w:val="en-GB"/>
        </w:rPr>
        <w:t>de facto</w:t>
      </w:r>
      <w:r w:rsidRPr="00BD212C">
        <w:rPr>
          <w:spacing w:val="-3"/>
          <w:lang w:val="en-GB"/>
        </w:rPr>
        <w:t xml:space="preserve"> </w:t>
      </w:r>
      <w:r w:rsidRPr="00BD212C" w:rsidR="00C86052">
        <w:rPr>
          <w:spacing w:val="-3"/>
          <w:lang w:val="en-GB"/>
        </w:rPr>
        <w:t>relationships between opposite</w:t>
      </w:r>
      <w:r w:rsidRPr="00BD212C" w:rsidR="0005289D">
        <w:rPr>
          <w:spacing w:val="-3"/>
          <w:lang w:val="en-GB"/>
        </w:rPr>
        <w:t>-</w:t>
      </w:r>
      <w:r w:rsidRPr="00BD212C">
        <w:rPr>
          <w:spacing w:val="-3"/>
          <w:lang w:val="en-GB"/>
        </w:rPr>
        <w:t xml:space="preserve">sex </w:t>
      </w:r>
      <w:r w:rsidRPr="00BD212C" w:rsidR="00C86052">
        <w:rPr>
          <w:spacing w:val="-3"/>
          <w:lang w:val="en-GB"/>
        </w:rPr>
        <w:t>or same</w:t>
      </w:r>
      <w:r w:rsidRPr="00BD212C" w:rsidR="0005289D">
        <w:rPr>
          <w:spacing w:val="-3"/>
          <w:lang w:val="en-GB"/>
        </w:rPr>
        <w:t>-</w:t>
      </w:r>
      <w:r w:rsidRPr="00BD212C" w:rsidR="00C86052">
        <w:rPr>
          <w:spacing w:val="-3"/>
          <w:lang w:val="en-GB"/>
        </w:rPr>
        <w:t>sex</w:t>
      </w:r>
      <w:r w:rsidRPr="00BD212C" w:rsidR="0005289D">
        <w:rPr>
          <w:spacing w:val="-3"/>
          <w:lang w:val="en-GB"/>
        </w:rPr>
        <w:t xml:space="preserve"> couples</w:t>
      </w:r>
      <w:r w:rsidRPr="00BD212C">
        <w:rPr>
          <w:spacing w:val="-3"/>
          <w:lang w:val="en-GB"/>
        </w:rPr>
        <w:t xml:space="preserve"> (</w:t>
      </w:r>
      <w:r w:rsidRPr="00BD212C" w:rsidR="00C86052">
        <w:rPr>
          <w:spacing w:val="-3"/>
          <w:lang w:val="en-GB"/>
        </w:rPr>
        <w:t xml:space="preserve">see, </w:t>
      </w:r>
      <w:r w:rsidRPr="00BD212C" w:rsidR="00C86052">
        <w:rPr>
          <w:i/>
          <w:spacing w:val="-3"/>
          <w:lang w:val="en-GB"/>
        </w:rPr>
        <w:t>inter alia</w:t>
      </w:r>
      <w:r w:rsidRPr="00BD212C" w:rsidR="00C86052">
        <w:rPr>
          <w:spacing w:val="-3"/>
          <w:lang w:val="en-GB"/>
        </w:rPr>
        <w:t>,</w:t>
      </w:r>
      <w:r w:rsidRPr="00BD212C">
        <w:rPr>
          <w:spacing w:val="-3"/>
          <w:lang w:val="en-GB"/>
        </w:rPr>
        <w:t xml:space="preserve"> </w:t>
      </w:r>
      <w:r w:rsidRPr="00BD212C" w:rsidR="0005289D">
        <w:rPr>
          <w:rStyle w:val="CLLItalic"/>
          <w:lang w:val="de-DE"/>
        </w:rPr>
        <w:t>Schalk and Kopf v. Austria</w:t>
      </w:r>
      <w:r w:rsidRPr="00BD212C" w:rsidR="0005289D">
        <w:rPr>
          <w:lang w:val="de-DE"/>
        </w:rPr>
        <w:t>, no. 30141/04, § 91 et seq., ECHR 2010</w:t>
      </w:r>
      <w:r w:rsidRPr="00BD212C">
        <w:rPr>
          <w:spacing w:val="-3"/>
          <w:lang w:val="en-GB"/>
        </w:rPr>
        <w:t xml:space="preserve">, </w:t>
      </w:r>
      <w:r w:rsidRPr="00BD212C" w:rsidR="0005289D">
        <w:rPr>
          <w:spacing w:val="-3"/>
          <w:lang w:val="en-GB"/>
        </w:rPr>
        <w:t>and</w:t>
      </w:r>
      <w:r w:rsidRPr="00BD212C">
        <w:rPr>
          <w:spacing w:val="-3"/>
          <w:lang w:val="en-GB"/>
        </w:rPr>
        <w:t xml:space="preserve"> </w:t>
      </w:r>
      <w:r w:rsidRPr="00BD212C">
        <w:rPr>
          <w:i/>
          <w:spacing w:val="-3"/>
          <w:lang w:val="en-GB"/>
        </w:rPr>
        <w:t xml:space="preserve">Vallianatos </w:t>
      </w:r>
      <w:r w:rsidRPr="00BD212C" w:rsidR="0005289D">
        <w:rPr>
          <w:i/>
          <w:spacing w:val="-3"/>
          <w:lang w:val="en-GB"/>
        </w:rPr>
        <w:t>and Others v</w:t>
      </w:r>
      <w:r w:rsidRPr="00BD212C">
        <w:rPr>
          <w:i/>
          <w:spacing w:val="-3"/>
          <w:lang w:val="en-GB"/>
        </w:rPr>
        <w:t xml:space="preserve">. </w:t>
      </w:r>
      <w:r w:rsidRPr="00BD212C" w:rsidR="0005289D">
        <w:rPr>
          <w:i/>
          <w:spacing w:val="-3"/>
          <w:lang w:val="en-GB"/>
        </w:rPr>
        <w:t>Greece</w:t>
      </w:r>
      <w:r w:rsidRPr="00BD212C" w:rsidR="0005289D">
        <w:rPr>
          <w:spacing w:val="-3"/>
          <w:lang w:val="en-GB"/>
        </w:rPr>
        <w:t>, cited above</w:t>
      </w:r>
      <w:r w:rsidRPr="00BD212C">
        <w:rPr>
          <w:spacing w:val="-3"/>
          <w:lang w:val="en-GB"/>
        </w:rPr>
        <w:t xml:space="preserve">, </w:t>
      </w:r>
      <w:r w:rsidRPr="00BD212C">
        <w:rPr>
          <w:sz w:val="20"/>
          <w:szCs w:val="20"/>
          <w:lang w:val="en-GB"/>
        </w:rPr>
        <w:t>§ </w:t>
      </w:r>
      <w:r w:rsidRPr="00BD212C">
        <w:rPr>
          <w:spacing w:val="-3"/>
          <w:lang w:val="en-GB"/>
        </w:rPr>
        <w:t>73).</w:t>
      </w:r>
    </w:p>
    <w:p w:rsidRPr="00BD212C" w:rsidR="00653C1F" w:rsidP="00BD212C" w:rsidRDefault="00653C1F">
      <w:pPr>
        <w:pStyle w:val="ECHRPara"/>
        <w:rPr>
          <w:i/>
          <w:iCs/>
          <w:lang w:val="en-GB"/>
        </w:rPr>
      </w:pPr>
      <w:r w:rsidRPr="00BD212C">
        <w:rPr>
          <w:szCs w:val="24"/>
          <w:lang w:val="en-GB"/>
        </w:rPr>
        <w:t>17.  </w:t>
      </w:r>
      <w:r w:rsidRPr="00BD212C" w:rsidR="00CF55CF">
        <w:rPr>
          <w:szCs w:val="24"/>
          <w:lang w:val="en-GB"/>
        </w:rPr>
        <w:t>On the other hand</w:t>
      </w:r>
      <w:r w:rsidRPr="00BD212C">
        <w:rPr>
          <w:szCs w:val="24"/>
          <w:lang w:val="en-GB"/>
        </w:rPr>
        <w:t>,</w:t>
      </w:r>
      <w:r w:rsidRPr="00BD212C" w:rsidR="00CF55CF">
        <w:rPr>
          <w:szCs w:val="24"/>
          <w:lang w:val="en-GB"/>
        </w:rPr>
        <w:t xml:space="preserve"> as reiterated in the</w:t>
      </w:r>
      <w:r w:rsidRPr="00BD212C">
        <w:rPr>
          <w:szCs w:val="24"/>
          <w:lang w:val="en-GB"/>
        </w:rPr>
        <w:t xml:space="preserve"> pr</w:t>
      </w:r>
      <w:r w:rsidRPr="00BD212C" w:rsidR="00CF55CF">
        <w:rPr>
          <w:szCs w:val="24"/>
          <w:lang w:val="en-GB"/>
        </w:rPr>
        <w:t>e</w:t>
      </w:r>
      <w:r w:rsidRPr="00BD212C">
        <w:rPr>
          <w:szCs w:val="24"/>
          <w:lang w:val="en-GB"/>
        </w:rPr>
        <w:t xml:space="preserve">sent </w:t>
      </w:r>
      <w:r w:rsidRPr="00BD212C" w:rsidR="00CF55CF">
        <w:rPr>
          <w:szCs w:val="24"/>
          <w:lang w:val="en-GB"/>
        </w:rPr>
        <w:t>judgment, “</w:t>
      </w:r>
      <w:r w:rsidRPr="00BD212C" w:rsidR="00CF55CF">
        <w:rPr>
          <w:lang w:val="en-GB"/>
        </w:rPr>
        <w:t>a State is entitled, as a matter of well-established international law and subject to its treaty obligations, to control the entry of aliens into its territory and their residence there”</w:t>
      </w:r>
      <w:r w:rsidRPr="00BD212C">
        <w:rPr>
          <w:szCs w:val="24"/>
          <w:lang w:val="en-GB"/>
        </w:rPr>
        <w:t xml:space="preserve"> (</w:t>
      </w:r>
      <w:r w:rsidRPr="00BD212C" w:rsidR="00CF55CF">
        <w:rPr>
          <w:szCs w:val="24"/>
          <w:lang w:val="en-GB"/>
        </w:rPr>
        <w:t>see paragraph</w:t>
      </w:r>
      <w:r w:rsidRPr="00BD212C">
        <w:rPr>
          <w:szCs w:val="24"/>
          <w:lang w:val="en-GB"/>
        </w:rPr>
        <w:t xml:space="preserve"> 55 </w:t>
      </w:r>
      <w:r w:rsidRPr="00BD212C" w:rsidR="00CF55CF">
        <w:rPr>
          <w:szCs w:val="24"/>
          <w:lang w:val="en-GB"/>
        </w:rPr>
        <w:t>of the judgmen</w:t>
      </w:r>
      <w:r w:rsidRPr="00BD212C">
        <w:rPr>
          <w:szCs w:val="24"/>
          <w:lang w:val="en-GB"/>
        </w:rPr>
        <w:t xml:space="preserve">t). </w:t>
      </w:r>
      <w:r w:rsidRPr="00BD212C" w:rsidR="00CF55CF">
        <w:rPr>
          <w:szCs w:val="24"/>
          <w:lang w:val="en-GB"/>
        </w:rPr>
        <w:t>Whilst it is true that</w:t>
      </w:r>
      <w:r w:rsidRPr="00BD212C" w:rsidR="00CF55CF">
        <w:rPr>
          <w:szCs w:val="24"/>
          <w:u w:val="single"/>
          <w:lang w:val="en-GB"/>
        </w:rPr>
        <w:t xml:space="preserve"> </w:t>
      </w:r>
      <w:r w:rsidRPr="00BD212C" w:rsidR="00CF55CF">
        <w:rPr>
          <w:lang w:val="en-GB"/>
        </w:rPr>
        <w:t xml:space="preserve">the Convention does not guarantee the right of a foreign national to enter or to reside in a particular country </w:t>
      </w:r>
      <w:r w:rsidRPr="00BD212C">
        <w:rPr>
          <w:szCs w:val="24"/>
          <w:lang w:val="en-GB"/>
        </w:rPr>
        <w:t>(</w:t>
      </w:r>
      <w:r w:rsidRPr="00BD212C" w:rsidR="00CF55CF">
        <w:rPr>
          <w:szCs w:val="24"/>
          <w:lang w:val="en-GB"/>
        </w:rPr>
        <w:t>see</w:t>
      </w:r>
      <w:r w:rsidRPr="00BD212C">
        <w:rPr>
          <w:szCs w:val="24"/>
          <w:lang w:val="en-GB"/>
        </w:rPr>
        <w:t xml:space="preserve">, </w:t>
      </w:r>
      <w:r w:rsidRPr="00BD212C" w:rsidR="00CF55CF">
        <w:rPr>
          <w:szCs w:val="24"/>
          <w:lang w:val="en-GB"/>
        </w:rPr>
        <w:t>among other authoritie</w:t>
      </w:r>
      <w:r w:rsidRPr="00BD212C">
        <w:rPr>
          <w:szCs w:val="24"/>
          <w:lang w:val="en-GB"/>
        </w:rPr>
        <w:t xml:space="preserve">s, </w:t>
      </w:r>
      <w:r w:rsidRPr="00BD212C" w:rsidR="000E64BA">
        <w:rPr>
          <w:rStyle w:val="CLLItalic"/>
          <w:lang w:val="pt-PT"/>
        </w:rPr>
        <w:t>Nunez v. Norway</w:t>
      </w:r>
      <w:r w:rsidRPr="00BD212C" w:rsidR="000E64BA">
        <w:rPr>
          <w:lang w:val="pt-PT"/>
        </w:rPr>
        <w:t>, no. 55597/09, § 66, 28 June 2011</w:t>
      </w:r>
      <w:r w:rsidRPr="00BD212C" w:rsidR="000E64BA">
        <w:rPr>
          <w:szCs w:val="24"/>
          <w:lang w:val="en-GB"/>
        </w:rPr>
        <w:t>,</w:t>
      </w:r>
      <w:r w:rsidRPr="00BD212C">
        <w:rPr>
          <w:szCs w:val="24"/>
          <w:lang w:val="en-GB"/>
        </w:rPr>
        <w:t xml:space="preserve"> </w:t>
      </w:r>
      <w:r w:rsidRPr="00BD212C" w:rsidR="00CF55CF">
        <w:rPr>
          <w:szCs w:val="24"/>
          <w:lang w:val="en-GB"/>
        </w:rPr>
        <w:t>and</w:t>
      </w:r>
      <w:r w:rsidRPr="00BD212C">
        <w:rPr>
          <w:szCs w:val="24"/>
          <w:lang w:val="en-GB"/>
        </w:rPr>
        <w:t xml:space="preserve"> </w:t>
      </w:r>
      <w:r w:rsidRPr="00BD212C" w:rsidR="00CF55CF">
        <w:rPr>
          <w:rStyle w:val="CLLItalic"/>
        </w:rPr>
        <w:t>Jeunesse</w:t>
      </w:r>
      <w:r w:rsidRPr="00BD212C" w:rsidR="00CF55CF">
        <w:rPr>
          <w:lang w:val="en-GB"/>
        </w:rPr>
        <w:t xml:space="preserve"> </w:t>
      </w:r>
      <w:r w:rsidRPr="00BD212C" w:rsidR="00CF55CF">
        <w:rPr>
          <w:rStyle w:val="CLLItalic"/>
        </w:rPr>
        <w:t xml:space="preserve">v. the Netherlands </w:t>
      </w:r>
      <w:r w:rsidRPr="00BD212C" w:rsidR="00CF55CF">
        <w:rPr>
          <w:lang w:val="en-GB"/>
        </w:rPr>
        <w:t>[GC], no. 12738/10, § 100,</w:t>
      </w:r>
      <w:r w:rsidRPr="00BD212C" w:rsidR="00CF55CF">
        <w:rPr>
          <w:snapToGrid w:val="0"/>
          <w:lang w:val="en-GB"/>
        </w:rPr>
        <w:t xml:space="preserve"> </w:t>
      </w:r>
      <w:r w:rsidRPr="00BD212C" w:rsidR="00CF55CF">
        <w:rPr>
          <w:lang w:val="en-GB"/>
        </w:rPr>
        <w:t>3</w:t>
      </w:r>
      <w:r w:rsidRPr="00BD212C" w:rsidR="00CF55CF">
        <w:rPr>
          <w:snapToGrid w:val="0"/>
          <w:lang w:val="en-GB"/>
        </w:rPr>
        <w:t xml:space="preserve"> October 2014</w:t>
      </w:r>
      <w:r w:rsidRPr="00BD212C">
        <w:rPr>
          <w:szCs w:val="24"/>
          <w:lang w:val="en-GB"/>
        </w:rPr>
        <w:t xml:space="preserve">), </w:t>
      </w:r>
      <w:r w:rsidRPr="00BD212C" w:rsidR="000E64BA">
        <w:rPr>
          <w:szCs w:val="24"/>
          <w:lang w:val="en-GB"/>
        </w:rPr>
        <w:t>the</w:t>
      </w:r>
      <w:r w:rsidRPr="00BD212C">
        <w:rPr>
          <w:szCs w:val="24"/>
          <w:lang w:val="en-GB"/>
        </w:rPr>
        <w:t xml:space="preserve"> Cour</w:t>
      </w:r>
      <w:r w:rsidRPr="00BD212C" w:rsidR="000E64BA">
        <w:rPr>
          <w:szCs w:val="24"/>
          <w:lang w:val="en-GB"/>
        </w:rPr>
        <w:t xml:space="preserve">t has acknowledged that, in </w:t>
      </w:r>
      <w:r w:rsidRPr="00BD212C">
        <w:rPr>
          <w:szCs w:val="24"/>
          <w:lang w:val="en-GB"/>
        </w:rPr>
        <w:t>certain circ</w:t>
      </w:r>
      <w:r w:rsidRPr="00BD212C" w:rsidR="000E64BA">
        <w:rPr>
          <w:szCs w:val="24"/>
          <w:lang w:val="en-GB"/>
        </w:rPr>
        <w:t>um</w:t>
      </w:r>
      <w:r w:rsidRPr="00BD212C">
        <w:rPr>
          <w:szCs w:val="24"/>
          <w:lang w:val="en-GB"/>
        </w:rPr>
        <w:t xml:space="preserve">stances, </w:t>
      </w:r>
      <w:r w:rsidRPr="00BD212C" w:rsidR="000E64BA">
        <w:rPr>
          <w:szCs w:val="24"/>
          <w:lang w:val="en-GB"/>
        </w:rPr>
        <w:t>the removal of non-nationals may</w:t>
      </w:r>
      <w:r w:rsidRPr="00BD212C">
        <w:rPr>
          <w:szCs w:val="24"/>
          <w:lang w:val="en-GB"/>
        </w:rPr>
        <w:t xml:space="preserve"> </w:t>
      </w:r>
      <w:r w:rsidRPr="00BD212C" w:rsidR="00F648BC">
        <w:rPr>
          <w:szCs w:val="24"/>
          <w:lang w:val="en-GB"/>
        </w:rPr>
        <w:t>result in</w:t>
      </w:r>
      <w:r w:rsidRPr="00BD212C">
        <w:rPr>
          <w:szCs w:val="24"/>
          <w:lang w:val="en-GB"/>
        </w:rPr>
        <w:t xml:space="preserve"> </w:t>
      </w:r>
      <w:r w:rsidRPr="00BD212C" w:rsidR="000E64BA">
        <w:rPr>
          <w:szCs w:val="24"/>
          <w:lang w:val="en-GB"/>
        </w:rPr>
        <w:t>a</w:t>
      </w:r>
      <w:r w:rsidRPr="00BD212C">
        <w:rPr>
          <w:szCs w:val="24"/>
          <w:lang w:val="en-GB"/>
        </w:rPr>
        <w:t xml:space="preserve"> violation </w:t>
      </w:r>
      <w:r w:rsidRPr="00BD212C" w:rsidR="000E64BA">
        <w:rPr>
          <w:szCs w:val="24"/>
          <w:lang w:val="en-GB"/>
        </w:rPr>
        <w:t>of A</w:t>
      </w:r>
      <w:r w:rsidRPr="00BD212C">
        <w:rPr>
          <w:szCs w:val="24"/>
          <w:lang w:val="en-GB"/>
        </w:rPr>
        <w:t xml:space="preserve">rticle 8 </w:t>
      </w:r>
      <w:r w:rsidRPr="00BD212C" w:rsidR="000E64BA">
        <w:rPr>
          <w:szCs w:val="24"/>
          <w:lang w:val="en-GB"/>
        </w:rPr>
        <w:t>of the</w:t>
      </w:r>
      <w:r w:rsidRPr="00BD212C">
        <w:rPr>
          <w:szCs w:val="24"/>
          <w:lang w:val="en-GB"/>
        </w:rPr>
        <w:t xml:space="preserve"> Convention, </w:t>
      </w:r>
      <w:r w:rsidRPr="00BD212C" w:rsidR="000E64BA">
        <w:rPr>
          <w:szCs w:val="24"/>
          <w:lang w:val="en-GB"/>
        </w:rPr>
        <w:t>and has provided</w:t>
      </w:r>
      <w:r w:rsidRPr="00BD212C">
        <w:rPr>
          <w:szCs w:val="24"/>
          <w:lang w:val="en-GB"/>
        </w:rPr>
        <w:t xml:space="preserve"> </w:t>
      </w:r>
      <w:r w:rsidRPr="00BD212C" w:rsidR="000E64BA">
        <w:rPr>
          <w:szCs w:val="24"/>
          <w:lang w:val="en-GB"/>
        </w:rPr>
        <w:t>a set of criteria in that regar</w:t>
      </w:r>
      <w:r w:rsidRPr="00BD212C">
        <w:rPr>
          <w:szCs w:val="24"/>
          <w:lang w:val="en-GB"/>
        </w:rPr>
        <w:t>d (</w:t>
      </w:r>
      <w:r w:rsidRPr="00BD212C" w:rsidR="000E64BA">
        <w:rPr>
          <w:szCs w:val="24"/>
          <w:lang w:val="en-GB"/>
        </w:rPr>
        <w:t xml:space="preserve">see, </w:t>
      </w:r>
      <w:r w:rsidRPr="00BD212C" w:rsidR="000E64BA">
        <w:rPr>
          <w:i/>
          <w:szCs w:val="24"/>
          <w:lang w:val="en-GB"/>
        </w:rPr>
        <w:t>inter alia</w:t>
      </w:r>
      <w:r w:rsidRPr="00BD212C" w:rsidR="000E64BA">
        <w:rPr>
          <w:szCs w:val="24"/>
          <w:lang w:val="en-GB"/>
        </w:rPr>
        <w:t>,</w:t>
      </w:r>
      <w:r w:rsidRPr="00BD212C">
        <w:rPr>
          <w:szCs w:val="24"/>
          <w:lang w:val="en-GB"/>
        </w:rPr>
        <w:t xml:space="preserve"> </w:t>
      </w:r>
      <w:r w:rsidRPr="00BD212C" w:rsidR="000E64BA">
        <w:rPr>
          <w:rStyle w:val="CLLItalic"/>
        </w:rPr>
        <w:t>Üner v. the Netherlands</w:t>
      </w:r>
      <w:r w:rsidRPr="00BD212C" w:rsidR="000E64BA">
        <w:t xml:space="preserve"> [GC], no. 46410/99, §§ 54-60, ECHR 2006</w:t>
      </w:r>
      <w:r w:rsidRPr="00BD212C" w:rsidR="000E64BA">
        <w:noBreakHyphen/>
        <w:t>XII</w:t>
      </w:r>
      <w:r w:rsidRPr="00BD212C" w:rsidR="00F648BC">
        <w:rPr>
          <w:szCs w:val="24"/>
          <w:lang w:val="en-GB"/>
        </w:rPr>
        <w:t>). Those</w:t>
      </w:r>
      <w:r w:rsidRPr="00BD212C">
        <w:rPr>
          <w:szCs w:val="24"/>
          <w:lang w:val="en-GB"/>
        </w:rPr>
        <w:t xml:space="preserve"> </w:t>
      </w:r>
      <w:r w:rsidRPr="00BD212C" w:rsidR="000E64BA">
        <w:rPr>
          <w:szCs w:val="24"/>
          <w:lang w:val="en-GB"/>
        </w:rPr>
        <w:t>criteria</w:t>
      </w:r>
      <w:r w:rsidRPr="00BD212C">
        <w:rPr>
          <w:szCs w:val="24"/>
          <w:lang w:val="en-GB"/>
        </w:rPr>
        <w:t xml:space="preserve"> </w:t>
      </w:r>
      <w:r w:rsidRPr="00BD212C" w:rsidR="000E64BA">
        <w:rPr>
          <w:szCs w:val="24"/>
          <w:lang w:val="en-GB"/>
        </w:rPr>
        <w:t>were recapitulated</w:t>
      </w:r>
      <w:r w:rsidRPr="00BD212C">
        <w:rPr>
          <w:szCs w:val="24"/>
          <w:lang w:val="en-GB"/>
        </w:rPr>
        <w:t xml:space="preserve"> </w:t>
      </w:r>
      <w:r w:rsidRPr="00BD212C" w:rsidR="000E64BA">
        <w:rPr>
          <w:szCs w:val="24"/>
          <w:lang w:val="en-GB"/>
        </w:rPr>
        <w:t>and applied recently in</w:t>
      </w:r>
      <w:r w:rsidRPr="00BD212C">
        <w:rPr>
          <w:szCs w:val="24"/>
          <w:lang w:val="en-GB"/>
        </w:rPr>
        <w:t xml:space="preserve"> </w:t>
      </w:r>
      <w:r w:rsidRPr="00BD212C" w:rsidR="000E64BA">
        <w:rPr>
          <w:szCs w:val="24"/>
          <w:lang w:val="en-GB"/>
        </w:rPr>
        <w:t xml:space="preserve">the judgment </w:t>
      </w:r>
      <w:r w:rsidRPr="00BD212C" w:rsidR="000E64BA">
        <w:rPr>
          <w:rStyle w:val="CLLItalic"/>
        </w:rPr>
        <w:t>Kolonja v. Greece</w:t>
      </w:r>
      <w:r w:rsidRPr="00BD212C" w:rsidR="000E64BA">
        <w:t xml:space="preserve"> (no. 49441/12, § 48 et seq., 19 May 2016</w:t>
      </w:r>
      <w:r w:rsidRPr="00BD212C">
        <w:rPr>
          <w:szCs w:val="24"/>
          <w:lang w:val="en-GB"/>
        </w:rPr>
        <w:t>). I</w:t>
      </w:r>
      <w:r w:rsidRPr="00BD212C" w:rsidR="00F648BC">
        <w:rPr>
          <w:szCs w:val="24"/>
          <w:lang w:val="en-GB"/>
        </w:rPr>
        <w:t xml:space="preserve">t is </w:t>
      </w:r>
      <w:r w:rsidRPr="00BD212C">
        <w:rPr>
          <w:szCs w:val="24"/>
          <w:lang w:val="en-GB"/>
        </w:rPr>
        <w:t>note</w:t>
      </w:r>
      <w:r w:rsidRPr="00BD212C" w:rsidR="00F648BC">
        <w:rPr>
          <w:szCs w:val="24"/>
          <w:lang w:val="en-GB"/>
        </w:rPr>
        <w:t>worthy that the</w:t>
      </w:r>
      <w:r w:rsidRPr="00BD212C">
        <w:rPr>
          <w:szCs w:val="24"/>
          <w:lang w:val="en-GB"/>
        </w:rPr>
        <w:t xml:space="preserve"> Cour</w:t>
      </w:r>
      <w:r w:rsidRPr="00BD212C" w:rsidR="00F648BC">
        <w:rPr>
          <w:szCs w:val="24"/>
          <w:lang w:val="en-GB"/>
        </w:rPr>
        <w:t>t</w:t>
      </w:r>
      <w:r w:rsidRPr="00BD212C" w:rsidR="00BD212C">
        <w:rPr>
          <w:szCs w:val="24"/>
          <w:lang w:val="en-GB"/>
        </w:rPr>
        <w:t>’</w:t>
      </w:r>
      <w:r w:rsidRPr="00BD212C" w:rsidR="00F648BC">
        <w:rPr>
          <w:szCs w:val="24"/>
          <w:lang w:val="en-GB"/>
        </w:rPr>
        <w:t>s case-law</w:t>
      </w:r>
      <w:r w:rsidRPr="00BD212C" w:rsidR="00665FBC">
        <w:rPr>
          <w:szCs w:val="24"/>
          <w:lang w:val="en-GB"/>
        </w:rPr>
        <w:t xml:space="preserve"> on this subject</w:t>
      </w:r>
      <w:r w:rsidRPr="00BD212C" w:rsidR="00F648BC">
        <w:rPr>
          <w:szCs w:val="24"/>
          <w:lang w:val="en-GB"/>
        </w:rPr>
        <w:t xml:space="preserve"> was duly taken into account in the</w:t>
      </w:r>
      <w:r w:rsidRPr="00BD212C">
        <w:rPr>
          <w:szCs w:val="24"/>
          <w:lang w:val="en-GB"/>
        </w:rPr>
        <w:t xml:space="preserve"> </w:t>
      </w:r>
      <w:r w:rsidRPr="00BD212C" w:rsidR="00F648BC">
        <w:rPr>
          <w:szCs w:val="24"/>
          <w:lang w:val="en-GB"/>
        </w:rPr>
        <w:t xml:space="preserve">work </w:t>
      </w:r>
      <w:r w:rsidRPr="00BD212C" w:rsidR="0016051D">
        <w:rPr>
          <w:szCs w:val="24"/>
          <w:lang w:val="en-GB"/>
        </w:rPr>
        <w:t>of</w:t>
      </w:r>
      <w:r w:rsidRPr="00BD212C" w:rsidR="00F648BC">
        <w:rPr>
          <w:szCs w:val="24"/>
          <w:lang w:val="en-GB"/>
        </w:rPr>
        <w:t xml:space="preserve"> the</w:t>
      </w:r>
      <w:r w:rsidRPr="00BD212C">
        <w:rPr>
          <w:szCs w:val="24"/>
          <w:lang w:val="en-GB"/>
        </w:rPr>
        <w:t xml:space="preserve"> </w:t>
      </w:r>
      <w:r w:rsidRPr="00BD212C" w:rsidR="00F648BC">
        <w:rPr>
          <w:szCs w:val="24"/>
          <w:lang w:val="en-GB"/>
        </w:rPr>
        <w:t>I</w:t>
      </w:r>
      <w:r w:rsidRPr="00BD212C">
        <w:rPr>
          <w:szCs w:val="24"/>
          <w:lang w:val="en-GB"/>
        </w:rPr>
        <w:t>nternational</w:t>
      </w:r>
      <w:r w:rsidRPr="00BD212C" w:rsidR="00F648BC">
        <w:rPr>
          <w:szCs w:val="24"/>
          <w:lang w:val="en-GB"/>
        </w:rPr>
        <w:t xml:space="preserve"> Law</w:t>
      </w:r>
      <w:r w:rsidRPr="00BD212C">
        <w:rPr>
          <w:szCs w:val="24"/>
          <w:lang w:val="en-GB"/>
        </w:rPr>
        <w:t xml:space="preserve"> </w:t>
      </w:r>
      <w:r w:rsidRPr="00BD212C" w:rsidR="00F648BC">
        <w:rPr>
          <w:szCs w:val="24"/>
          <w:lang w:val="en-GB"/>
        </w:rPr>
        <w:t xml:space="preserve">Commission </w:t>
      </w:r>
      <w:r w:rsidRPr="00BD212C">
        <w:rPr>
          <w:szCs w:val="24"/>
          <w:lang w:val="en-GB"/>
        </w:rPr>
        <w:t>(</w:t>
      </w:r>
      <w:r w:rsidRPr="00BD212C" w:rsidR="00F648BC">
        <w:rPr>
          <w:szCs w:val="24"/>
          <w:lang w:val="en-GB"/>
        </w:rPr>
        <w:t>ILC</w:t>
      </w:r>
      <w:r w:rsidRPr="00BD212C">
        <w:rPr>
          <w:szCs w:val="24"/>
          <w:lang w:val="en-GB"/>
        </w:rPr>
        <w:t xml:space="preserve">) </w:t>
      </w:r>
      <w:r w:rsidRPr="00BD212C" w:rsidR="00F648BC">
        <w:rPr>
          <w:szCs w:val="24"/>
          <w:lang w:val="en-GB"/>
        </w:rPr>
        <w:t>c</w:t>
      </w:r>
      <w:r w:rsidRPr="00BD212C">
        <w:rPr>
          <w:szCs w:val="24"/>
          <w:lang w:val="en-GB"/>
        </w:rPr>
        <w:t>odif</w:t>
      </w:r>
      <w:r w:rsidRPr="00BD212C" w:rsidR="00F648BC">
        <w:rPr>
          <w:szCs w:val="24"/>
          <w:lang w:val="en-GB"/>
        </w:rPr>
        <w:t>y</w:t>
      </w:r>
      <w:r w:rsidRPr="00BD212C" w:rsidR="0016051D">
        <w:rPr>
          <w:szCs w:val="24"/>
          <w:lang w:val="en-GB"/>
        </w:rPr>
        <w:t>ing</w:t>
      </w:r>
      <w:r w:rsidRPr="00BD212C" w:rsidR="00F648BC">
        <w:rPr>
          <w:szCs w:val="24"/>
          <w:lang w:val="en-GB"/>
        </w:rPr>
        <w:t xml:space="preserve"> the general</w:t>
      </w:r>
      <w:r w:rsidRPr="00BD212C">
        <w:rPr>
          <w:szCs w:val="24"/>
          <w:lang w:val="en-GB"/>
        </w:rPr>
        <w:t xml:space="preserve"> international </w:t>
      </w:r>
      <w:r w:rsidRPr="00BD212C" w:rsidR="00F648BC">
        <w:rPr>
          <w:szCs w:val="24"/>
          <w:lang w:val="en-GB"/>
        </w:rPr>
        <w:t>law</w:t>
      </w:r>
      <w:r w:rsidRPr="00BD212C">
        <w:rPr>
          <w:szCs w:val="24"/>
          <w:lang w:val="en-GB"/>
        </w:rPr>
        <w:t xml:space="preserve"> </w:t>
      </w:r>
      <w:r w:rsidRPr="00BD212C" w:rsidR="00F648BC">
        <w:rPr>
          <w:szCs w:val="24"/>
          <w:lang w:val="en-GB"/>
        </w:rPr>
        <w:t xml:space="preserve">on </w:t>
      </w:r>
      <w:r w:rsidRPr="00BD212C">
        <w:rPr>
          <w:szCs w:val="24"/>
          <w:lang w:val="en-GB"/>
        </w:rPr>
        <w:t>expulsion (</w:t>
      </w:r>
      <w:r w:rsidRPr="00BD212C" w:rsidR="00F648BC">
        <w:rPr>
          <w:szCs w:val="24"/>
          <w:lang w:val="en-GB"/>
        </w:rPr>
        <w:t>see</w:t>
      </w:r>
      <w:r w:rsidRPr="00BD212C">
        <w:rPr>
          <w:szCs w:val="24"/>
          <w:lang w:val="en-GB"/>
        </w:rPr>
        <w:t xml:space="preserve"> </w:t>
      </w:r>
      <w:r w:rsidRPr="00BD212C" w:rsidR="0016051D">
        <w:rPr>
          <w:szCs w:val="24"/>
          <w:lang w:val="en-GB"/>
        </w:rPr>
        <w:t xml:space="preserve">the draft </w:t>
      </w:r>
      <w:r w:rsidRPr="00BD212C">
        <w:rPr>
          <w:szCs w:val="24"/>
          <w:lang w:val="en-GB"/>
        </w:rPr>
        <w:t xml:space="preserve">articles </w:t>
      </w:r>
      <w:r w:rsidRPr="00BD212C" w:rsidR="0016051D">
        <w:rPr>
          <w:szCs w:val="24"/>
          <w:lang w:val="en-GB"/>
        </w:rPr>
        <w:t xml:space="preserve">of the ILC on the </w:t>
      </w:r>
      <w:r w:rsidRPr="00BD212C">
        <w:rPr>
          <w:szCs w:val="24"/>
          <w:lang w:val="en-GB"/>
        </w:rPr>
        <w:t xml:space="preserve">expulsion </w:t>
      </w:r>
      <w:r w:rsidRPr="00BD212C" w:rsidR="0016051D">
        <w:rPr>
          <w:szCs w:val="24"/>
          <w:lang w:val="en-GB"/>
        </w:rPr>
        <w:t>of</w:t>
      </w:r>
      <w:r w:rsidRPr="00BD212C">
        <w:rPr>
          <w:szCs w:val="24"/>
          <w:lang w:val="en-GB"/>
        </w:rPr>
        <w:t xml:space="preserve"> </w:t>
      </w:r>
      <w:r w:rsidRPr="00BD212C" w:rsidR="0016051D">
        <w:rPr>
          <w:szCs w:val="24"/>
          <w:lang w:val="en-GB"/>
        </w:rPr>
        <w:t>aliens</w:t>
      </w:r>
      <w:r w:rsidRPr="00BD212C">
        <w:rPr>
          <w:szCs w:val="24"/>
          <w:lang w:val="en-GB"/>
        </w:rPr>
        <w:t>, adopt</w:t>
      </w:r>
      <w:r w:rsidRPr="00BD212C" w:rsidR="001F296F">
        <w:rPr>
          <w:szCs w:val="24"/>
          <w:lang w:val="en-GB"/>
        </w:rPr>
        <w:t>ed at the</w:t>
      </w:r>
      <w:r w:rsidRPr="00BD212C">
        <w:rPr>
          <w:szCs w:val="24"/>
          <w:lang w:val="en-GB"/>
        </w:rPr>
        <w:t xml:space="preserve"> 66</w:t>
      </w:r>
      <w:r w:rsidRPr="00BD212C" w:rsidR="001F296F">
        <w:rPr>
          <w:szCs w:val="24"/>
          <w:lang w:val="en-GB"/>
        </w:rPr>
        <w:t>th</w:t>
      </w:r>
      <w:r w:rsidRPr="00BD212C">
        <w:rPr>
          <w:szCs w:val="24"/>
          <w:lang w:val="en-GB"/>
        </w:rPr>
        <w:t xml:space="preserve"> session </w:t>
      </w:r>
      <w:r w:rsidRPr="00BD212C" w:rsidR="001F296F">
        <w:rPr>
          <w:szCs w:val="24"/>
          <w:lang w:val="en-GB"/>
        </w:rPr>
        <w:t>of the ILC</w:t>
      </w:r>
      <w:r w:rsidRPr="00BD212C">
        <w:rPr>
          <w:szCs w:val="24"/>
          <w:lang w:val="en-GB"/>
        </w:rPr>
        <w:t xml:space="preserve"> (2014), </w:t>
      </w:r>
      <w:r w:rsidRPr="00BD212C">
        <w:rPr>
          <w:i/>
          <w:szCs w:val="24"/>
          <w:lang w:val="en-GB"/>
        </w:rPr>
        <w:t>R</w:t>
      </w:r>
      <w:r w:rsidRPr="00BD212C" w:rsidR="009D79EB">
        <w:rPr>
          <w:i/>
          <w:szCs w:val="24"/>
          <w:lang w:val="en-GB"/>
        </w:rPr>
        <w:t>eport of the ILC</w:t>
      </w:r>
      <w:r w:rsidRPr="00BD212C">
        <w:rPr>
          <w:szCs w:val="24"/>
          <w:lang w:val="en-GB"/>
        </w:rPr>
        <w:t xml:space="preserve">, UN doc. A/69/10, </w:t>
      </w:r>
      <w:r w:rsidRPr="00BD212C" w:rsidR="00F648BC">
        <w:rPr>
          <w:szCs w:val="24"/>
          <w:lang w:val="en-GB"/>
        </w:rPr>
        <w:t>and</w:t>
      </w:r>
      <w:r w:rsidRPr="00BD212C">
        <w:rPr>
          <w:szCs w:val="24"/>
          <w:lang w:val="en-GB"/>
        </w:rPr>
        <w:t xml:space="preserve"> </w:t>
      </w:r>
      <w:r w:rsidRPr="00BD212C" w:rsidR="009D79EB">
        <w:rPr>
          <w:szCs w:val="24"/>
          <w:lang w:val="en-GB"/>
        </w:rPr>
        <w:t>in particular A</w:t>
      </w:r>
      <w:r w:rsidRPr="00BD212C">
        <w:rPr>
          <w:szCs w:val="24"/>
          <w:lang w:val="en-GB"/>
        </w:rPr>
        <w:t xml:space="preserve">rticle 18, </w:t>
      </w:r>
      <w:r w:rsidRPr="00BD212C" w:rsidR="009D79EB">
        <w:rPr>
          <w:szCs w:val="24"/>
          <w:lang w:val="en-GB"/>
        </w:rPr>
        <w:t>entitled “</w:t>
      </w:r>
      <w:r w:rsidRPr="00BD212C" w:rsidR="00432BA1">
        <w:rPr>
          <w:szCs w:val="24"/>
          <w:lang w:val="en-GB"/>
        </w:rPr>
        <w:t>O</w:t>
      </w:r>
      <w:r w:rsidRPr="00BD212C">
        <w:rPr>
          <w:szCs w:val="24"/>
          <w:lang w:val="en-GB"/>
        </w:rPr>
        <w:t xml:space="preserve">bligation </w:t>
      </w:r>
      <w:r w:rsidRPr="00BD212C" w:rsidR="009D79EB">
        <w:rPr>
          <w:szCs w:val="24"/>
          <w:lang w:val="en-GB"/>
        </w:rPr>
        <w:t>to respect the right to family life”</w:t>
      </w:r>
      <w:r w:rsidRPr="00BD212C" w:rsidR="00665FBC">
        <w:rPr>
          <w:szCs w:val="24"/>
          <w:lang w:val="en-GB"/>
        </w:rPr>
        <w:t>, ibid., p. </w:t>
      </w:r>
      <w:r w:rsidRPr="00BD212C">
        <w:rPr>
          <w:szCs w:val="24"/>
          <w:lang w:val="en-GB"/>
        </w:rPr>
        <w:t xml:space="preserve">46 </w:t>
      </w:r>
      <w:r w:rsidRPr="00BD212C" w:rsidR="009D79EB">
        <w:rPr>
          <w:szCs w:val="24"/>
          <w:lang w:val="en-GB"/>
        </w:rPr>
        <w:t>and the related commenta</w:t>
      </w:r>
      <w:r w:rsidRPr="00BD212C">
        <w:rPr>
          <w:szCs w:val="24"/>
          <w:lang w:val="en-GB"/>
        </w:rPr>
        <w:t>r</w:t>
      </w:r>
      <w:r w:rsidRPr="00BD212C" w:rsidR="009D79EB">
        <w:rPr>
          <w:szCs w:val="24"/>
          <w:lang w:val="en-GB"/>
        </w:rPr>
        <w:t>y</w:t>
      </w:r>
      <w:r w:rsidRPr="00BD212C">
        <w:rPr>
          <w:szCs w:val="24"/>
          <w:lang w:val="en-GB"/>
        </w:rPr>
        <w:t>).</w:t>
      </w:r>
    </w:p>
    <w:p w:rsidRPr="00BD212C" w:rsidR="00653C1F" w:rsidP="00BD212C" w:rsidRDefault="00653C1F">
      <w:pPr>
        <w:pStyle w:val="OpiPara"/>
        <w:rPr>
          <w:lang w:val="en-GB"/>
        </w:rPr>
      </w:pPr>
      <w:r w:rsidRPr="00BD212C">
        <w:rPr>
          <w:lang w:val="en-GB"/>
        </w:rPr>
        <w:t>18.  </w:t>
      </w:r>
      <w:r w:rsidRPr="00BD212C" w:rsidR="001F296F">
        <w:rPr>
          <w:lang w:val="en-GB"/>
        </w:rPr>
        <w:t>The</w:t>
      </w:r>
      <w:r w:rsidRPr="00BD212C">
        <w:rPr>
          <w:lang w:val="en-GB"/>
        </w:rPr>
        <w:t xml:space="preserve"> question </w:t>
      </w:r>
      <w:r w:rsidRPr="00BD212C" w:rsidR="001F296F">
        <w:rPr>
          <w:lang w:val="en-GB"/>
        </w:rPr>
        <w:t>which arises at this stage is whether</w:t>
      </w:r>
      <w:r w:rsidRPr="00BD212C">
        <w:rPr>
          <w:lang w:val="en-GB"/>
        </w:rPr>
        <w:t xml:space="preserve"> </w:t>
      </w:r>
      <w:r w:rsidRPr="00BD212C" w:rsidR="001F296F">
        <w:rPr>
          <w:lang w:val="en-GB"/>
        </w:rPr>
        <w:t>the</w:t>
      </w:r>
      <w:r w:rsidRPr="00BD212C">
        <w:rPr>
          <w:lang w:val="en-GB"/>
        </w:rPr>
        <w:t xml:space="preserve"> logi</w:t>
      </w:r>
      <w:r w:rsidRPr="00BD212C" w:rsidR="001F296F">
        <w:rPr>
          <w:lang w:val="en-GB"/>
        </w:rPr>
        <w:t>c</w:t>
      </w:r>
      <w:r w:rsidRPr="00BD212C">
        <w:rPr>
          <w:lang w:val="en-GB"/>
        </w:rPr>
        <w:t xml:space="preserve"> </w:t>
      </w:r>
      <w:r w:rsidRPr="00BD212C" w:rsidR="001F296F">
        <w:rPr>
          <w:lang w:val="en-GB"/>
        </w:rPr>
        <w:t>underlying that case-law</w:t>
      </w:r>
      <w:r w:rsidRPr="00BD212C">
        <w:rPr>
          <w:lang w:val="en-GB"/>
        </w:rPr>
        <w:t xml:space="preserve"> </w:t>
      </w:r>
      <w:r w:rsidRPr="00BD212C" w:rsidR="001F296F">
        <w:rPr>
          <w:lang w:val="en-GB"/>
        </w:rPr>
        <w:t>can be transposed</w:t>
      </w:r>
      <w:r w:rsidRPr="00BD212C" w:rsidR="001F296F">
        <w:rPr>
          <w:i/>
          <w:lang w:val="en-GB"/>
        </w:rPr>
        <w:t xml:space="preserve"> mutatis mutandis</w:t>
      </w:r>
      <w:r w:rsidRPr="00BD212C" w:rsidR="001F296F">
        <w:rPr>
          <w:lang w:val="en-GB"/>
        </w:rPr>
        <w:t xml:space="preserve"> to the sphere of family</w:t>
      </w:r>
      <w:r w:rsidRPr="00BD212C">
        <w:rPr>
          <w:lang w:val="en-GB"/>
        </w:rPr>
        <w:t xml:space="preserve"> </w:t>
      </w:r>
      <w:r w:rsidRPr="00BD212C" w:rsidR="00432BA1">
        <w:rPr>
          <w:lang w:val="en-GB"/>
        </w:rPr>
        <w:t>reunification</w:t>
      </w:r>
      <w:r w:rsidRPr="00BD212C">
        <w:rPr>
          <w:lang w:val="en-GB"/>
        </w:rPr>
        <w:t xml:space="preserve">. </w:t>
      </w:r>
      <w:r w:rsidRPr="00BD212C" w:rsidR="00665FBC">
        <w:rPr>
          <w:lang w:val="en-GB"/>
        </w:rPr>
        <w:t>Having regard</w:t>
      </w:r>
      <w:r w:rsidRPr="00BD212C" w:rsidR="00432BA1">
        <w:rPr>
          <w:lang w:val="en-GB"/>
        </w:rPr>
        <w:t xml:space="preserve"> to</w:t>
      </w:r>
      <w:r w:rsidRPr="00BD212C" w:rsidR="00665FBC">
        <w:rPr>
          <w:lang w:val="en-GB"/>
        </w:rPr>
        <w:t xml:space="preserve"> the</w:t>
      </w:r>
      <w:r w:rsidRPr="00BD212C" w:rsidR="00432BA1">
        <w:rPr>
          <w:lang w:val="en-GB"/>
        </w:rPr>
        <w:t xml:space="preserve"> materials in the present cas</w:t>
      </w:r>
      <w:r w:rsidRPr="00BD212C" w:rsidR="0016051D">
        <w:rPr>
          <w:lang w:val="en-GB"/>
        </w:rPr>
        <w:t xml:space="preserve">e, </w:t>
      </w:r>
      <w:r w:rsidRPr="00BD212C" w:rsidR="00432BA1">
        <w:rPr>
          <w:lang w:val="en-GB"/>
        </w:rPr>
        <w:t>it will be noted that</w:t>
      </w:r>
      <w:r w:rsidRPr="00BD212C" w:rsidR="0016051D">
        <w:rPr>
          <w:lang w:val="en-GB"/>
        </w:rPr>
        <w:t xml:space="preserve"> </w:t>
      </w:r>
      <w:r w:rsidRPr="00BD212C">
        <w:rPr>
          <w:lang w:val="en-GB"/>
        </w:rPr>
        <w:t xml:space="preserve">ECSOL, </w:t>
      </w:r>
      <w:r w:rsidRPr="00BD212C" w:rsidR="00432BA1">
        <w:rPr>
          <w:lang w:val="en-GB"/>
        </w:rPr>
        <w:t>as</w:t>
      </w:r>
      <w:r w:rsidRPr="00BD212C" w:rsidR="00665FBC">
        <w:rPr>
          <w:lang w:val="en-GB"/>
        </w:rPr>
        <w:t xml:space="preserve"> a</w:t>
      </w:r>
      <w:r w:rsidRPr="00BD212C" w:rsidR="00432BA1">
        <w:rPr>
          <w:lang w:val="en-GB"/>
        </w:rPr>
        <w:t xml:space="preserve"> third-party intervener</w:t>
      </w:r>
      <w:r w:rsidRPr="00BD212C">
        <w:rPr>
          <w:lang w:val="en-GB"/>
        </w:rPr>
        <w:t xml:space="preserve">, </w:t>
      </w:r>
      <w:r w:rsidRPr="00BD212C" w:rsidR="00432BA1">
        <w:rPr>
          <w:lang w:val="en-GB"/>
        </w:rPr>
        <w:t xml:space="preserve">submitted a comparative-law survey of the possibility </w:t>
      </w:r>
      <w:r w:rsidRPr="00BD212C" w:rsidR="00665FBC">
        <w:rPr>
          <w:lang w:val="en-GB"/>
        </w:rPr>
        <w:t>for</w:t>
      </w:r>
      <w:r w:rsidRPr="00BD212C" w:rsidR="00432BA1">
        <w:rPr>
          <w:lang w:val="en-GB"/>
        </w:rPr>
        <w:t xml:space="preserve"> same-gender partners to obtain a residence permit in the host country </w:t>
      </w:r>
      <w:r w:rsidRPr="00BD212C">
        <w:rPr>
          <w:lang w:val="en-GB"/>
        </w:rPr>
        <w:t>(</w:t>
      </w:r>
      <w:r w:rsidRPr="00BD212C" w:rsidR="009D79EB">
        <w:rPr>
          <w:lang w:val="en-GB"/>
        </w:rPr>
        <w:t>see paragraph</w:t>
      </w:r>
      <w:r w:rsidRPr="00BD212C">
        <w:rPr>
          <w:lang w:val="en-GB"/>
        </w:rPr>
        <w:t xml:space="preserve"> 79 </w:t>
      </w:r>
      <w:r w:rsidRPr="00BD212C" w:rsidR="009D79EB">
        <w:rPr>
          <w:lang w:val="en-GB"/>
        </w:rPr>
        <w:t>of the judgmen</w:t>
      </w:r>
      <w:r w:rsidRPr="00BD212C">
        <w:rPr>
          <w:lang w:val="en-GB"/>
        </w:rPr>
        <w:t xml:space="preserve">t), </w:t>
      </w:r>
      <w:r w:rsidRPr="00BD212C" w:rsidR="009D79EB">
        <w:rPr>
          <w:lang w:val="en-GB"/>
        </w:rPr>
        <w:t xml:space="preserve">showing that there </w:t>
      </w:r>
      <w:r w:rsidRPr="00BD212C" w:rsidR="00432BA1">
        <w:rPr>
          <w:lang w:val="en-GB"/>
        </w:rPr>
        <w:t>was</w:t>
      </w:r>
      <w:r w:rsidRPr="00BD212C" w:rsidR="009D79EB">
        <w:rPr>
          <w:lang w:val="en-GB"/>
        </w:rPr>
        <w:t xml:space="preserve"> a </w:t>
      </w:r>
      <w:r w:rsidRPr="00BD212C" w:rsidR="00441BE2">
        <w:rPr>
          <w:lang w:val="en-GB"/>
        </w:rPr>
        <w:t>significant</w:t>
      </w:r>
      <w:r w:rsidRPr="00BD212C">
        <w:rPr>
          <w:lang w:val="en-GB"/>
        </w:rPr>
        <w:t xml:space="preserve"> </w:t>
      </w:r>
      <w:r w:rsidRPr="00BD212C" w:rsidR="009D79EB">
        <w:rPr>
          <w:lang w:val="en-GB"/>
        </w:rPr>
        <w:t>trend</w:t>
      </w:r>
      <w:r w:rsidRPr="00BD212C" w:rsidR="00665FBC">
        <w:rPr>
          <w:lang w:val="en-GB"/>
        </w:rPr>
        <w:t xml:space="preserve"> in that direction</w:t>
      </w:r>
      <w:r w:rsidRPr="00BD212C">
        <w:rPr>
          <w:lang w:val="en-GB"/>
        </w:rPr>
        <w:t xml:space="preserve">. </w:t>
      </w:r>
      <w:r w:rsidRPr="00BD212C" w:rsidR="00432BA1">
        <w:rPr>
          <w:lang w:val="en-GB"/>
        </w:rPr>
        <w:t>That survey also shows that at least</w:t>
      </w:r>
      <w:r w:rsidRPr="00BD212C">
        <w:rPr>
          <w:lang w:val="en-GB"/>
        </w:rPr>
        <w:t xml:space="preserve"> 24 </w:t>
      </w:r>
      <w:r w:rsidRPr="00BD212C" w:rsidR="00432BA1">
        <w:rPr>
          <w:lang w:val="en-GB"/>
        </w:rPr>
        <w:t>States</w:t>
      </w:r>
      <w:r w:rsidRPr="00BD212C">
        <w:rPr>
          <w:lang w:val="en-GB"/>
        </w:rPr>
        <w:t xml:space="preserve"> </w:t>
      </w:r>
      <w:r w:rsidRPr="00BD212C" w:rsidR="00432BA1">
        <w:rPr>
          <w:lang w:val="en-GB"/>
        </w:rPr>
        <w:t>do not</w:t>
      </w:r>
      <w:r w:rsidRPr="00BD212C">
        <w:rPr>
          <w:lang w:val="en-GB"/>
        </w:rPr>
        <w:t xml:space="preserve"> discriminat</w:t>
      </w:r>
      <w:r w:rsidRPr="00BD212C" w:rsidR="00432BA1">
        <w:rPr>
          <w:lang w:val="en-GB"/>
        </w:rPr>
        <w:t xml:space="preserve">e in any way on grounds of sexual </w:t>
      </w:r>
      <w:r w:rsidRPr="00BD212C">
        <w:rPr>
          <w:lang w:val="en-GB"/>
        </w:rPr>
        <w:t xml:space="preserve">orientation </w:t>
      </w:r>
      <w:r w:rsidRPr="00BD212C" w:rsidR="00432BA1">
        <w:rPr>
          <w:lang w:val="en-GB"/>
        </w:rPr>
        <w:t>when granting residence permits</w:t>
      </w:r>
      <w:r w:rsidRPr="00BD212C">
        <w:rPr>
          <w:lang w:val="en-GB"/>
        </w:rPr>
        <w:t xml:space="preserve"> (ibid</w:t>
      </w:r>
      <w:r w:rsidRPr="00BD212C" w:rsidR="003F2515">
        <w:rPr>
          <w:lang w:val="en-GB"/>
        </w:rPr>
        <w:t>.</w:t>
      </w:r>
      <w:r w:rsidRPr="00BD212C">
        <w:rPr>
          <w:lang w:val="en-GB"/>
        </w:rPr>
        <w:t xml:space="preserve">). </w:t>
      </w:r>
      <w:r w:rsidRPr="00BD212C" w:rsidR="001F296F">
        <w:rPr>
          <w:lang w:val="en-GB"/>
        </w:rPr>
        <w:t>The applica</w:t>
      </w:r>
      <w:r w:rsidRPr="00BD212C">
        <w:rPr>
          <w:lang w:val="en-GB"/>
        </w:rPr>
        <w:t xml:space="preserve">nts </w:t>
      </w:r>
      <w:r w:rsidRPr="00BD212C" w:rsidR="001F296F">
        <w:rPr>
          <w:lang w:val="en-GB"/>
        </w:rPr>
        <w:t xml:space="preserve">and the other third-party interveners </w:t>
      </w:r>
      <w:r w:rsidRPr="00BD212C" w:rsidR="00432BA1">
        <w:rPr>
          <w:lang w:val="en-GB"/>
        </w:rPr>
        <w:t>also submitted comparative-law material</w:t>
      </w:r>
      <w:r w:rsidRPr="00BD212C">
        <w:rPr>
          <w:lang w:val="en-GB"/>
        </w:rPr>
        <w:t xml:space="preserve"> </w:t>
      </w:r>
      <w:r w:rsidRPr="00BD212C" w:rsidR="006B3AB2">
        <w:rPr>
          <w:lang w:val="en-GB"/>
        </w:rPr>
        <w:t>supporting that conclusion</w:t>
      </w:r>
      <w:r w:rsidRPr="00BD212C" w:rsidR="00432BA1">
        <w:rPr>
          <w:lang w:val="en-GB"/>
        </w:rPr>
        <w:t xml:space="preserve"> (see paragraph</w:t>
      </w:r>
      <w:r w:rsidRPr="00BD212C">
        <w:rPr>
          <w:lang w:val="en-GB"/>
        </w:rPr>
        <w:t xml:space="preserve">s 72 </w:t>
      </w:r>
      <w:r w:rsidRPr="00BD212C" w:rsidR="001F296F">
        <w:rPr>
          <w:lang w:val="en-GB"/>
        </w:rPr>
        <w:t>and</w:t>
      </w:r>
      <w:r w:rsidRPr="00BD212C">
        <w:rPr>
          <w:lang w:val="en-GB"/>
        </w:rPr>
        <w:t xml:space="preserve"> 75 et s</w:t>
      </w:r>
      <w:r w:rsidRPr="00BD212C" w:rsidR="001F296F">
        <w:rPr>
          <w:lang w:val="en-GB"/>
        </w:rPr>
        <w:t>eq. of the judgmen</w:t>
      </w:r>
      <w:r w:rsidRPr="00BD212C">
        <w:rPr>
          <w:lang w:val="en-GB"/>
        </w:rPr>
        <w:t xml:space="preserve">t). </w:t>
      </w:r>
      <w:r w:rsidRPr="00BD212C" w:rsidR="006B3AB2">
        <w:rPr>
          <w:lang w:val="en-GB"/>
        </w:rPr>
        <w:t>It is also noteworthy that</w:t>
      </w:r>
      <w:r w:rsidRPr="00BD212C">
        <w:rPr>
          <w:lang w:val="en-GB"/>
        </w:rPr>
        <w:t xml:space="preserve"> </w:t>
      </w:r>
      <w:r w:rsidRPr="00BD212C" w:rsidR="006B3AB2">
        <w:rPr>
          <w:lang w:val="en-GB"/>
        </w:rPr>
        <w:t>D</w:t>
      </w:r>
      <w:r w:rsidRPr="00BD212C" w:rsidR="006B3AB2">
        <w:rPr>
          <w:lang w:val="en-GB" w:eastAsia="en-GB"/>
        </w:rPr>
        <w:t xml:space="preserve">irective </w:t>
      </w:r>
      <w:r w:rsidRPr="00BD212C" w:rsidR="006B3AB2">
        <w:rPr>
          <w:lang w:val="en-GB"/>
        </w:rPr>
        <w:t>2004/38/EC</w:t>
      </w:r>
      <w:r w:rsidRPr="00BD212C">
        <w:rPr>
          <w:lang w:val="en-GB"/>
        </w:rPr>
        <w:t xml:space="preserve"> </w:t>
      </w:r>
      <w:r w:rsidRPr="00BD212C" w:rsidR="00242129">
        <w:rPr>
          <w:lang w:val="en-GB"/>
        </w:rPr>
        <w:t>...</w:t>
      </w:r>
      <w:r w:rsidRPr="00BD212C" w:rsidR="0016051D">
        <w:rPr>
          <w:lang w:val="en-GB"/>
        </w:rPr>
        <w:t xml:space="preserve"> gives a wide</w:t>
      </w:r>
      <w:r w:rsidRPr="00BD212C">
        <w:rPr>
          <w:lang w:val="en-GB"/>
        </w:rPr>
        <w:t xml:space="preserve"> d</w:t>
      </w:r>
      <w:r w:rsidRPr="00BD212C" w:rsidR="0016051D">
        <w:rPr>
          <w:lang w:val="en-GB"/>
        </w:rPr>
        <w:t>e</w:t>
      </w:r>
      <w:r w:rsidRPr="00BD212C">
        <w:rPr>
          <w:lang w:val="en-GB"/>
        </w:rPr>
        <w:t xml:space="preserve">finition </w:t>
      </w:r>
      <w:r w:rsidRPr="00BD212C" w:rsidR="0016051D">
        <w:rPr>
          <w:lang w:val="en-GB"/>
        </w:rPr>
        <w:t>of the concept of</w:t>
      </w:r>
      <w:r w:rsidRPr="00BD212C" w:rsidR="006B3AB2">
        <w:rPr>
          <w:lang w:val="en-GB"/>
        </w:rPr>
        <w:t xml:space="preserve"> “</w:t>
      </w:r>
      <w:r w:rsidRPr="00BD212C" w:rsidR="0016051D">
        <w:rPr>
          <w:lang w:val="en-GB"/>
        </w:rPr>
        <w:t xml:space="preserve">family </w:t>
      </w:r>
      <w:r w:rsidRPr="00BD212C">
        <w:rPr>
          <w:lang w:val="en-GB"/>
        </w:rPr>
        <w:t>memb</w:t>
      </w:r>
      <w:r w:rsidRPr="00BD212C" w:rsidR="006B3AB2">
        <w:rPr>
          <w:lang w:val="en-GB"/>
        </w:rPr>
        <w:t>er”,</w:t>
      </w:r>
      <w:r w:rsidRPr="00BD212C">
        <w:rPr>
          <w:lang w:val="en-GB"/>
        </w:rPr>
        <w:t xml:space="preserve"> </w:t>
      </w:r>
      <w:r w:rsidRPr="00BD212C" w:rsidR="0016051D">
        <w:rPr>
          <w:lang w:val="en-GB"/>
        </w:rPr>
        <w:t>encompass</w:t>
      </w:r>
      <w:r w:rsidRPr="00BD212C" w:rsidR="006B3AB2">
        <w:rPr>
          <w:lang w:val="en-GB"/>
        </w:rPr>
        <w:t>ing, in addition to spouses</w:t>
      </w:r>
      <w:r w:rsidRPr="00BD212C">
        <w:rPr>
          <w:lang w:val="en-GB"/>
        </w:rPr>
        <w:t xml:space="preserve">, </w:t>
      </w:r>
      <w:r w:rsidRPr="00BD212C" w:rsidR="006B3AB2">
        <w:rPr>
          <w:lang w:val="en-GB"/>
        </w:rPr>
        <w:t>the</w:t>
      </w:r>
      <w:r w:rsidRPr="00BD212C">
        <w:rPr>
          <w:lang w:val="en-GB"/>
        </w:rPr>
        <w:t xml:space="preserve"> </w:t>
      </w:r>
      <w:r w:rsidRPr="00BD212C" w:rsidR="006B3AB2">
        <w:rPr>
          <w:lang w:val="en-GB"/>
        </w:rPr>
        <w:t>“partner”</w:t>
      </w:r>
      <w:r w:rsidRPr="00BD212C" w:rsidR="00432BA1">
        <w:rPr>
          <w:lang w:val="en-GB"/>
        </w:rPr>
        <w:t xml:space="preserve"> </w:t>
      </w:r>
      <w:r w:rsidRPr="00BD212C" w:rsidR="006B3AB2">
        <w:rPr>
          <w:lang w:val="en-GB"/>
        </w:rPr>
        <w:t xml:space="preserve">of </w:t>
      </w:r>
      <w:r w:rsidRPr="00BD212C">
        <w:rPr>
          <w:lang w:val="en-GB"/>
        </w:rPr>
        <w:t>E</w:t>
      </w:r>
      <w:r w:rsidRPr="00BD212C" w:rsidR="00432BA1">
        <w:rPr>
          <w:lang w:val="en-GB"/>
        </w:rPr>
        <w:t>U</w:t>
      </w:r>
      <w:r w:rsidRPr="00BD212C">
        <w:rPr>
          <w:lang w:val="en-GB"/>
        </w:rPr>
        <w:t xml:space="preserve"> c</w:t>
      </w:r>
      <w:r w:rsidRPr="00BD212C" w:rsidR="006B3AB2">
        <w:rPr>
          <w:lang w:val="en-GB"/>
        </w:rPr>
        <w:t xml:space="preserve">itizens </w:t>
      </w:r>
      <w:r w:rsidRPr="00BD212C" w:rsidR="00BB2047">
        <w:rPr>
          <w:lang w:val="en-GB"/>
        </w:rPr>
        <w:t xml:space="preserve">moving freely within the </w:t>
      </w:r>
      <w:r w:rsidRPr="00BD212C">
        <w:rPr>
          <w:lang w:val="en-GB"/>
        </w:rPr>
        <w:t xml:space="preserve">Union, </w:t>
      </w:r>
      <w:r w:rsidRPr="00BD212C" w:rsidR="00BB2047">
        <w:rPr>
          <w:lang w:val="en-GB"/>
        </w:rPr>
        <w:t>with no</w:t>
      </w:r>
      <w:r w:rsidRPr="00BD212C">
        <w:rPr>
          <w:lang w:val="en-GB"/>
        </w:rPr>
        <w:t xml:space="preserve"> distinction </w:t>
      </w:r>
      <w:r w:rsidRPr="00BD212C" w:rsidR="00BB2047">
        <w:rPr>
          <w:lang w:val="en-GB"/>
        </w:rPr>
        <w:t xml:space="preserve">based on sexual </w:t>
      </w:r>
      <w:r w:rsidRPr="00BD212C">
        <w:rPr>
          <w:lang w:val="en-GB"/>
        </w:rPr>
        <w:t xml:space="preserve">orientation. </w:t>
      </w:r>
      <w:r w:rsidRPr="00BD212C" w:rsidR="00BB2047">
        <w:rPr>
          <w:lang w:val="en-GB"/>
        </w:rPr>
        <w:t>A re</w:t>
      </w:r>
      <w:r w:rsidRPr="00BD212C">
        <w:rPr>
          <w:lang w:val="en-GB"/>
        </w:rPr>
        <w:t xml:space="preserve">solution </w:t>
      </w:r>
      <w:r w:rsidRPr="00BD212C" w:rsidR="00BB2047">
        <w:rPr>
          <w:lang w:val="en-GB"/>
        </w:rPr>
        <w:t>of the</w:t>
      </w:r>
      <w:r w:rsidRPr="00BD212C">
        <w:rPr>
          <w:lang w:val="en-GB"/>
        </w:rPr>
        <w:t xml:space="preserve"> </w:t>
      </w:r>
      <w:r w:rsidRPr="00BD212C" w:rsidR="00BB2047">
        <w:rPr>
          <w:lang w:val="en-GB"/>
        </w:rPr>
        <w:t>European Parliament of</w:t>
      </w:r>
      <w:r w:rsidRPr="00BD212C" w:rsidR="0016051D">
        <w:rPr>
          <w:lang w:val="en-GB"/>
        </w:rPr>
        <w:t xml:space="preserve"> 2 </w:t>
      </w:r>
      <w:r w:rsidRPr="00BD212C" w:rsidR="00BB2047">
        <w:rPr>
          <w:lang w:val="en-GB"/>
        </w:rPr>
        <w:t>April</w:t>
      </w:r>
      <w:r w:rsidRPr="00BD212C" w:rsidR="0016051D">
        <w:rPr>
          <w:lang w:val="en-GB"/>
        </w:rPr>
        <w:t xml:space="preserve"> 2009 </w:t>
      </w:r>
      <w:r w:rsidRPr="00BD212C" w:rsidR="00242129">
        <w:rPr>
          <w:lang w:val="en-GB"/>
        </w:rPr>
        <w:t>...</w:t>
      </w:r>
      <w:r w:rsidRPr="00BD212C">
        <w:rPr>
          <w:lang w:val="en-GB"/>
        </w:rPr>
        <w:t xml:space="preserve"> </w:t>
      </w:r>
      <w:r w:rsidRPr="00BD212C" w:rsidR="00BB2047">
        <w:rPr>
          <w:lang w:val="en-GB"/>
        </w:rPr>
        <w:t xml:space="preserve">recommended an extension of the scope of </w:t>
      </w:r>
      <w:r w:rsidRPr="00BD212C">
        <w:rPr>
          <w:lang w:val="en-GB"/>
        </w:rPr>
        <w:t xml:space="preserve">application </w:t>
      </w:r>
      <w:r w:rsidRPr="00BD212C" w:rsidR="00BB2047">
        <w:rPr>
          <w:lang w:val="en-GB"/>
        </w:rPr>
        <w:t>of the directive i</w:t>
      </w:r>
      <w:r w:rsidRPr="00BD212C">
        <w:rPr>
          <w:lang w:val="en-GB"/>
        </w:rPr>
        <w:t xml:space="preserve">n question, </w:t>
      </w:r>
      <w:r w:rsidRPr="00BD212C" w:rsidR="00BB2047">
        <w:rPr>
          <w:lang w:val="en-GB"/>
        </w:rPr>
        <w:t>following, in particular</w:t>
      </w:r>
      <w:r w:rsidRPr="00BD212C">
        <w:rPr>
          <w:lang w:val="en-GB"/>
        </w:rPr>
        <w:t xml:space="preserve">, </w:t>
      </w:r>
      <w:r w:rsidRPr="00BD212C" w:rsidR="00BB2047">
        <w:rPr>
          <w:lang w:val="en-GB"/>
        </w:rPr>
        <w:t>the judgment</w:t>
      </w:r>
      <w:r w:rsidRPr="00BD212C">
        <w:rPr>
          <w:lang w:val="en-GB"/>
        </w:rPr>
        <w:t xml:space="preserve">s </w:t>
      </w:r>
      <w:r w:rsidRPr="00BD212C" w:rsidR="00BB2047">
        <w:rPr>
          <w:lang w:val="en-GB"/>
        </w:rPr>
        <w:t>of the CJ</w:t>
      </w:r>
      <w:r w:rsidRPr="00BD212C">
        <w:rPr>
          <w:lang w:val="en-GB"/>
        </w:rPr>
        <w:t>E</w:t>
      </w:r>
      <w:r w:rsidRPr="00BD212C" w:rsidR="00BB2047">
        <w:rPr>
          <w:lang w:val="en-GB"/>
        </w:rPr>
        <w:t>U</w:t>
      </w:r>
      <w:r w:rsidRPr="00BD212C">
        <w:rPr>
          <w:lang w:val="en-GB"/>
        </w:rPr>
        <w:t xml:space="preserve"> </w:t>
      </w:r>
      <w:r w:rsidRPr="00BD212C" w:rsidR="00BB2047">
        <w:rPr>
          <w:lang w:val="en-GB"/>
        </w:rPr>
        <w:t>in the cases of</w:t>
      </w:r>
      <w:r w:rsidRPr="00BD212C">
        <w:rPr>
          <w:lang w:val="en-GB"/>
        </w:rPr>
        <w:t xml:space="preserve"> </w:t>
      </w:r>
      <w:r w:rsidRPr="00BD212C">
        <w:rPr>
          <w:i/>
          <w:lang w:val="en-GB"/>
        </w:rPr>
        <w:t>Metock, Jipa</w:t>
      </w:r>
      <w:r w:rsidRPr="00BD212C">
        <w:rPr>
          <w:lang w:val="en-GB"/>
        </w:rPr>
        <w:t xml:space="preserve"> </w:t>
      </w:r>
      <w:r w:rsidRPr="00BD212C" w:rsidR="00BB2047">
        <w:rPr>
          <w:lang w:val="en-GB"/>
        </w:rPr>
        <w:t>and</w:t>
      </w:r>
      <w:r w:rsidRPr="00BD212C">
        <w:rPr>
          <w:lang w:val="en-GB"/>
        </w:rPr>
        <w:t xml:space="preserve"> </w:t>
      </w:r>
      <w:r w:rsidRPr="00BD212C">
        <w:rPr>
          <w:i/>
          <w:lang w:val="en-GB"/>
        </w:rPr>
        <w:t>Huber</w:t>
      </w:r>
      <w:r w:rsidRPr="00BD212C">
        <w:rPr>
          <w:lang w:val="en-GB"/>
        </w:rPr>
        <w:t xml:space="preserve">. </w:t>
      </w:r>
      <w:r w:rsidRPr="00BD212C" w:rsidR="00BB2047">
        <w:rPr>
          <w:lang w:val="en-GB"/>
        </w:rPr>
        <w:t>Similarly</w:t>
      </w:r>
      <w:r w:rsidRPr="00BD212C">
        <w:rPr>
          <w:lang w:val="en-GB"/>
        </w:rPr>
        <w:t xml:space="preserve">, </w:t>
      </w:r>
      <w:r w:rsidRPr="00BD212C" w:rsidR="00BB2047">
        <w:rPr>
          <w:lang w:val="en-GB"/>
        </w:rPr>
        <w:t>the PACE R</w:t>
      </w:r>
      <w:r w:rsidRPr="00BD212C">
        <w:rPr>
          <w:lang w:val="en-GB"/>
        </w:rPr>
        <w:t>ecomm</w:t>
      </w:r>
      <w:r w:rsidRPr="00BD212C" w:rsidR="00BB2047">
        <w:rPr>
          <w:lang w:val="en-GB"/>
        </w:rPr>
        <w:t>e</w:t>
      </w:r>
      <w:r w:rsidRPr="00BD212C">
        <w:rPr>
          <w:lang w:val="en-GB"/>
        </w:rPr>
        <w:t xml:space="preserve">ndation 1686 (2004) </w:t>
      </w:r>
      <w:r w:rsidRPr="00BD212C" w:rsidR="00BB2047">
        <w:rPr>
          <w:lang w:val="en-GB"/>
        </w:rPr>
        <w:t>on</w:t>
      </w:r>
      <w:r w:rsidRPr="00BD212C">
        <w:rPr>
          <w:lang w:val="en-GB"/>
        </w:rPr>
        <w:t xml:space="preserve"> </w:t>
      </w:r>
      <w:r w:rsidRPr="00BD212C" w:rsidR="007A601B">
        <w:rPr>
          <w:lang w:val="en-GB"/>
        </w:rPr>
        <w:t>human</w:t>
      </w:r>
      <w:r w:rsidRPr="00BD212C">
        <w:rPr>
          <w:lang w:val="en-GB"/>
        </w:rPr>
        <w:t xml:space="preserve"> mobilit</w:t>
      </w:r>
      <w:r w:rsidRPr="00BD212C" w:rsidR="007A601B">
        <w:rPr>
          <w:lang w:val="en-GB"/>
        </w:rPr>
        <w:t>y and the right to family reunion</w:t>
      </w:r>
      <w:r w:rsidRPr="00BD212C">
        <w:rPr>
          <w:lang w:val="en-GB"/>
        </w:rPr>
        <w:t xml:space="preserve"> </w:t>
      </w:r>
      <w:r w:rsidRPr="00BD212C" w:rsidR="00242129">
        <w:rPr>
          <w:lang w:val="en-GB"/>
        </w:rPr>
        <w:t>...</w:t>
      </w:r>
      <w:r w:rsidRPr="00BD212C">
        <w:rPr>
          <w:lang w:val="en-GB"/>
        </w:rPr>
        <w:t xml:space="preserve"> recomm</w:t>
      </w:r>
      <w:r w:rsidRPr="00BD212C" w:rsidR="007A601B">
        <w:rPr>
          <w:lang w:val="en-GB"/>
        </w:rPr>
        <w:t>e</w:t>
      </w:r>
      <w:r w:rsidRPr="00BD212C">
        <w:rPr>
          <w:lang w:val="en-GB"/>
        </w:rPr>
        <w:t>nd</w:t>
      </w:r>
      <w:r w:rsidRPr="00BD212C" w:rsidR="007A601B">
        <w:rPr>
          <w:lang w:val="en-GB"/>
        </w:rPr>
        <w:t>s</w:t>
      </w:r>
      <w:r w:rsidRPr="00BD212C">
        <w:rPr>
          <w:lang w:val="en-GB"/>
        </w:rPr>
        <w:t xml:space="preserve">, </w:t>
      </w:r>
      <w:r w:rsidRPr="00BD212C" w:rsidR="007A601B">
        <w:rPr>
          <w:lang w:val="en-GB"/>
        </w:rPr>
        <w:t>among other thing</w:t>
      </w:r>
      <w:r w:rsidRPr="00BD212C">
        <w:rPr>
          <w:lang w:val="en-GB"/>
        </w:rPr>
        <w:t xml:space="preserve">s, </w:t>
      </w:r>
      <w:r w:rsidRPr="00BD212C" w:rsidR="007A601B">
        <w:rPr>
          <w:lang w:val="en-GB"/>
        </w:rPr>
        <w:t>that the Committee of Ministers “apply</w:t>
      </w:r>
      <w:r w:rsidRPr="00BD212C">
        <w:rPr>
          <w:lang w:val="en-GB"/>
        </w:rPr>
        <w:t>,</w:t>
      </w:r>
      <w:r w:rsidRPr="00BD212C" w:rsidR="007A601B">
        <w:rPr>
          <w:lang w:val="en-GB"/>
        </w:rPr>
        <w:t xml:space="preserve"> where possible and appropriate, a broad interpretation of the concept of family and include in particular in that definition members of the natural family, non-married partners, including same-sex partners </w:t>
      </w:r>
      <w:r w:rsidRPr="00BD212C" w:rsidR="00242129">
        <w:rPr>
          <w:lang w:val="en-GB"/>
        </w:rPr>
        <w:t>...</w:t>
      </w:r>
      <w:r w:rsidRPr="00BD212C" w:rsidR="007A601B">
        <w:rPr>
          <w:lang w:val="en-GB"/>
        </w:rPr>
        <w:t>”. All those factor</w:t>
      </w:r>
      <w:r w:rsidRPr="00BD212C">
        <w:rPr>
          <w:lang w:val="en-GB"/>
        </w:rPr>
        <w:t xml:space="preserve">s </w:t>
      </w:r>
      <w:r w:rsidRPr="00BD212C" w:rsidR="003F2515">
        <w:rPr>
          <w:lang w:val="en-GB"/>
        </w:rPr>
        <w:t>give force to</w:t>
      </w:r>
      <w:r w:rsidRPr="00BD212C" w:rsidR="007A601B">
        <w:rPr>
          <w:lang w:val="en-GB"/>
        </w:rPr>
        <w:t xml:space="preserve"> the idea that there is an increasingly significant trend towards allowing family </w:t>
      </w:r>
      <w:r w:rsidRPr="00BD212C" w:rsidR="003F2515">
        <w:rPr>
          <w:lang w:val="en-GB"/>
        </w:rPr>
        <w:t>reunification</w:t>
      </w:r>
      <w:r w:rsidRPr="00BD212C" w:rsidR="007A601B">
        <w:rPr>
          <w:lang w:val="en-GB"/>
        </w:rPr>
        <w:t xml:space="preserve"> and</w:t>
      </w:r>
      <w:r w:rsidRPr="00BD212C">
        <w:rPr>
          <w:lang w:val="en-GB"/>
        </w:rPr>
        <w:t xml:space="preserve"> </w:t>
      </w:r>
      <w:r w:rsidRPr="00BD212C" w:rsidR="007A601B">
        <w:rPr>
          <w:lang w:val="en-GB"/>
        </w:rPr>
        <w:t>granting a residence permit not only to spouses but also to partner</w:t>
      </w:r>
      <w:r w:rsidRPr="00BD212C">
        <w:rPr>
          <w:lang w:val="en-GB"/>
        </w:rPr>
        <w:t xml:space="preserve">s, </w:t>
      </w:r>
      <w:r w:rsidRPr="00BD212C" w:rsidR="007A601B">
        <w:rPr>
          <w:lang w:val="en-GB"/>
        </w:rPr>
        <w:t>with no</w:t>
      </w:r>
      <w:r w:rsidRPr="00BD212C">
        <w:rPr>
          <w:lang w:val="en-GB"/>
        </w:rPr>
        <w:t xml:space="preserve"> distinction </w:t>
      </w:r>
      <w:r w:rsidRPr="00BD212C" w:rsidR="007A601B">
        <w:rPr>
          <w:lang w:val="en-GB"/>
        </w:rPr>
        <w:t xml:space="preserve">based on sexual </w:t>
      </w:r>
      <w:r w:rsidRPr="00BD212C">
        <w:rPr>
          <w:lang w:val="en-GB"/>
        </w:rPr>
        <w:t xml:space="preserve">orientation. </w:t>
      </w:r>
      <w:r w:rsidRPr="00BD212C" w:rsidR="007A601B">
        <w:rPr>
          <w:lang w:val="en-GB"/>
        </w:rPr>
        <w:t xml:space="preserve">Those concerned still have to show that they are </w:t>
      </w:r>
      <w:r w:rsidRPr="00BD212C" w:rsidR="003F2515">
        <w:rPr>
          <w:lang w:val="en-GB"/>
        </w:rPr>
        <w:t>in</w:t>
      </w:r>
      <w:r w:rsidRPr="00BD212C" w:rsidR="007A601B">
        <w:rPr>
          <w:lang w:val="en-GB"/>
        </w:rPr>
        <w:t xml:space="preserve"> a duly attested</w:t>
      </w:r>
      <w:r w:rsidRPr="00BD212C">
        <w:rPr>
          <w:lang w:val="en-GB"/>
        </w:rPr>
        <w:t xml:space="preserve"> durable </w:t>
      </w:r>
      <w:r w:rsidRPr="00BD212C" w:rsidR="007A601B">
        <w:rPr>
          <w:lang w:val="en-GB"/>
        </w:rPr>
        <w:t>relationship</w:t>
      </w:r>
      <w:r w:rsidRPr="00BD212C">
        <w:rPr>
          <w:lang w:val="en-GB"/>
        </w:rPr>
        <w:t>.</w:t>
      </w:r>
    </w:p>
    <w:p w:rsidRPr="00BD212C" w:rsidR="00653C1F" w:rsidP="00BD212C" w:rsidRDefault="00653C1F">
      <w:pPr>
        <w:pStyle w:val="OpiPara"/>
        <w:rPr>
          <w:lang w:val="en-GB"/>
        </w:rPr>
      </w:pPr>
      <w:r w:rsidRPr="00BD212C">
        <w:rPr>
          <w:lang w:val="en-GB"/>
        </w:rPr>
        <w:t>19.  </w:t>
      </w:r>
      <w:r w:rsidRPr="00BD212C" w:rsidR="00916C93">
        <w:rPr>
          <w:lang w:val="en-GB"/>
        </w:rPr>
        <w:t xml:space="preserve">Those factors </w:t>
      </w:r>
      <w:r w:rsidRPr="00BD212C" w:rsidR="00675D7A">
        <w:rPr>
          <w:lang w:val="en-GB"/>
        </w:rPr>
        <w:t>have some bearing in the case</w:t>
      </w:r>
      <w:r w:rsidRPr="00BD212C">
        <w:rPr>
          <w:lang w:val="en-GB"/>
        </w:rPr>
        <w:t xml:space="preserve">. </w:t>
      </w:r>
      <w:r w:rsidRPr="00BD212C" w:rsidR="00916C93">
        <w:rPr>
          <w:lang w:val="en-GB"/>
        </w:rPr>
        <w:t>It would have been worth studying and analysing them further to enable the</w:t>
      </w:r>
      <w:r w:rsidRPr="00BD212C">
        <w:rPr>
          <w:lang w:val="en-GB"/>
        </w:rPr>
        <w:t xml:space="preserve"> Cour</w:t>
      </w:r>
      <w:r w:rsidRPr="00BD212C" w:rsidR="00BB2047">
        <w:rPr>
          <w:lang w:val="en-GB"/>
        </w:rPr>
        <w:t xml:space="preserve">t </w:t>
      </w:r>
      <w:r w:rsidRPr="00BD212C" w:rsidR="00916C93">
        <w:rPr>
          <w:lang w:val="en-GB"/>
        </w:rPr>
        <w:t>to</w:t>
      </w:r>
      <w:r w:rsidRPr="00BD212C" w:rsidR="00BB2047">
        <w:rPr>
          <w:lang w:val="en-GB"/>
        </w:rPr>
        <w:t xml:space="preserve"> determine</w:t>
      </w:r>
      <w:r w:rsidRPr="00BD212C">
        <w:rPr>
          <w:lang w:val="en-GB"/>
        </w:rPr>
        <w:t xml:space="preserve"> </w:t>
      </w:r>
      <w:r w:rsidRPr="00BD212C" w:rsidR="00916C93">
        <w:rPr>
          <w:lang w:val="en-GB"/>
        </w:rPr>
        <w:t>whether the trend in question is sufficiently</w:t>
      </w:r>
      <w:r w:rsidRPr="00BD212C">
        <w:rPr>
          <w:lang w:val="en-GB"/>
        </w:rPr>
        <w:t xml:space="preserve"> </w:t>
      </w:r>
      <w:r w:rsidRPr="00BD212C" w:rsidR="00916C93">
        <w:rPr>
          <w:lang w:val="en-GB"/>
        </w:rPr>
        <w:t>strong at the present time at the pan-European level</w:t>
      </w:r>
      <w:r w:rsidRPr="00BD212C">
        <w:rPr>
          <w:lang w:val="en-GB"/>
        </w:rPr>
        <w:t xml:space="preserve">. </w:t>
      </w:r>
      <w:r w:rsidRPr="00BD212C" w:rsidR="00916C93">
        <w:rPr>
          <w:lang w:val="en-GB"/>
        </w:rPr>
        <w:t>If this is so</w:t>
      </w:r>
      <w:r w:rsidRPr="00BD212C">
        <w:rPr>
          <w:lang w:val="en-GB"/>
        </w:rPr>
        <w:t>,</w:t>
      </w:r>
      <w:r w:rsidRPr="00BD212C" w:rsidR="00916C93">
        <w:rPr>
          <w:lang w:val="en-GB"/>
        </w:rPr>
        <w:t xml:space="preserve"> and in accordance with the me</w:t>
      </w:r>
      <w:r w:rsidRPr="00BD212C">
        <w:rPr>
          <w:lang w:val="en-GB"/>
        </w:rPr>
        <w:t>thodolog</w:t>
      </w:r>
      <w:r w:rsidRPr="00BD212C" w:rsidR="00916C93">
        <w:rPr>
          <w:lang w:val="en-GB"/>
        </w:rPr>
        <w:t>y followed by the</w:t>
      </w:r>
      <w:r w:rsidRPr="00BD212C">
        <w:rPr>
          <w:lang w:val="en-GB"/>
        </w:rPr>
        <w:t xml:space="preserve"> Cour</w:t>
      </w:r>
      <w:r w:rsidRPr="00BD212C" w:rsidR="00916C93">
        <w:rPr>
          <w:lang w:val="en-GB"/>
        </w:rPr>
        <w:t xml:space="preserve">t, the </w:t>
      </w:r>
      <w:r w:rsidRPr="00BD212C">
        <w:rPr>
          <w:lang w:val="en-GB"/>
        </w:rPr>
        <w:t xml:space="preserve">existence </w:t>
      </w:r>
      <w:r w:rsidRPr="00BD212C" w:rsidR="00916C93">
        <w:rPr>
          <w:lang w:val="en-GB"/>
        </w:rPr>
        <w:t>of such a trend would</w:t>
      </w:r>
      <w:r w:rsidRPr="00BD212C">
        <w:rPr>
          <w:lang w:val="en-GB"/>
        </w:rPr>
        <w:t xml:space="preserve"> limit</w:t>
      </w:r>
      <w:r w:rsidRPr="00BD212C" w:rsidR="00916C93">
        <w:rPr>
          <w:lang w:val="en-GB"/>
        </w:rPr>
        <w:t xml:space="preserve"> the margin of </w:t>
      </w:r>
      <w:r w:rsidRPr="00BD212C">
        <w:rPr>
          <w:lang w:val="en-GB"/>
        </w:rPr>
        <w:t>appr</w:t>
      </w:r>
      <w:r w:rsidRPr="00BD212C" w:rsidR="00916C93">
        <w:rPr>
          <w:lang w:val="en-GB"/>
        </w:rPr>
        <w:t>e</w:t>
      </w:r>
      <w:r w:rsidRPr="00BD212C">
        <w:rPr>
          <w:lang w:val="en-GB"/>
        </w:rPr>
        <w:t xml:space="preserve">ciation </w:t>
      </w:r>
      <w:r w:rsidRPr="00BD212C" w:rsidR="00916C93">
        <w:rPr>
          <w:lang w:val="en-GB"/>
        </w:rPr>
        <w:t>of the States in this sphere and would raise the</w:t>
      </w:r>
      <w:r w:rsidRPr="00BD212C">
        <w:rPr>
          <w:lang w:val="en-GB"/>
        </w:rPr>
        <w:t xml:space="preserve"> question </w:t>
      </w:r>
      <w:r w:rsidRPr="00BD212C" w:rsidR="00916C93">
        <w:rPr>
          <w:lang w:val="en-GB"/>
        </w:rPr>
        <w:t>of</w:t>
      </w:r>
      <w:r w:rsidRPr="00BD212C">
        <w:rPr>
          <w:lang w:val="en-GB"/>
        </w:rPr>
        <w:t xml:space="preserve"> </w:t>
      </w:r>
      <w:r w:rsidRPr="00BD212C" w:rsidR="00916C93">
        <w:rPr>
          <w:lang w:val="en-GB"/>
        </w:rPr>
        <w:t>compliance with A</w:t>
      </w:r>
      <w:r w:rsidRPr="00BD212C">
        <w:rPr>
          <w:lang w:val="en-GB"/>
        </w:rPr>
        <w:t xml:space="preserve">rticle 8 </w:t>
      </w:r>
      <w:r w:rsidRPr="00BD212C" w:rsidR="00F648BC">
        <w:rPr>
          <w:lang w:val="en-GB"/>
        </w:rPr>
        <w:t>taken alone</w:t>
      </w:r>
      <w:r w:rsidRPr="00BD212C">
        <w:rPr>
          <w:lang w:val="en-GB"/>
        </w:rPr>
        <w:t>.</w:t>
      </w:r>
    </w:p>
    <w:p w:rsidRPr="00BD212C" w:rsidR="002754C2" w:rsidP="00BD212C" w:rsidRDefault="002754C2">
      <w:pPr>
        <w:pStyle w:val="OpiPara"/>
        <w:rPr>
          <w:lang w:val="en-GB"/>
        </w:rPr>
      </w:pPr>
    </w:p>
    <w:sectPr w:rsidRPr="00BD212C" w:rsidR="002754C2" w:rsidSect="002754C2">
      <w:headerReference w:type="even" r:id="rId16"/>
      <w:headerReference w:type="default" r:id="rId17"/>
      <w:footnotePr>
        <w:numRestart w:val="eachSect"/>
      </w:footnotePr>
      <w:pgSz w:w="11906" w:h="16838"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E72" w:rsidRPr="00512D5D" w:rsidRDefault="00BD7E72" w:rsidP="00014566">
      <w:pPr>
        <w:rPr>
          <w:lang w:val="en-GB"/>
        </w:rPr>
      </w:pPr>
      <w:r w:rsidRPr="00512D5D">
        <w:rPr>
          <w:lang w:val="en-GB"/>
        </w:rPr>
        <w:separator/>
      </w:r>
    </w:p>
  </w:endnote>
  <w:endnote w:type="continuationSeparator" w:id="0">
    <w:p w:rsidR="00BD7E72" w:rsidRPr="00512D5D" w:rsidRDefault="00BD7E72" w:rsidP="00014566">
      <w:pPr>
        <w:rPr>
          <w:lang w:val="en-GB"/>
        </w:rPr>
      </w:pPr>
      <w:r w:rsidRPr="00512D5D">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E72" w:rsidRPr="00150BFA" w:rsidRDefault="00BD7E72" w:rsidP="003C7568">
    <w:pPr>
      <w:jc w:val="center"/>
    </w:pPr>
    <w:r>
      <w:rPr>
        <w:noProof/>
        <w:lang w:eastAsia="ja-JP"/>
      </w:rPr>
      <w:drawing>
        <wp:inline distT="0" distB="0" distL="0" distR="0" wp14:anchorId="2C0AFC9C" wp14:editId="3C89AF82">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BD7E72" w:rsidRDefault="00BD7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E72" w:rsidRPr="00512D5D" w:rsidRDefault="00BD7E72" w:rsidP="00014566">
      <w:pPr>
        <w:rPr>
          <w:lang w:val="en-GB"/>
        </w:rPr>
      </w:pPr>
      <w:r w:rsidRPr="00512D5D">
        <w:rPr>
          <w:lang w:val="en-GB"/>
        </w:rPr>
        <w:separator/>
      </w:r>
    </w:p>
  </w:footnote>
  <w:footnote w:type="continuationSeparator" w:id="0">
    <w:p w:rsidR="00BD7E72" w:rsidRPr="00512D5D" w:rsidRDefault="00BD7E72" w:rsidP="00014566">
      <w:pPr>
        <w:rPr>
          <w:lang w:val="en-GB"/>
        </w:rPr>
      </w:pPr>
      <w:r w:rsidRPr="00512D5D">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E72" w:rsidRPr="00960206" w:rsidRDefault="00BD7E72" w:rsidP="0096020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E72" w:rsidRPr="00A45145" w:rsidRDefault="00BD7E72" w:rsidP="003C7568">
    <w:pPr>
      <w:jc w:val="center"/>
    </w:pPr>
    <w:r>
      <w:rPr>
        <w:noProof/>
        <w:lang w:eastAsia="ja-JP"/>
      </w:rPr>
      <w:drawing>
        <wp:inline distT="0" distB="0" distL="0" distR="0" wp14:anchorId="70B821A7" wp14:editId="62EFFEB3">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BD7E72" w:rsidRDefault="00BD7E7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E72" w:rsidRPr="00512D5D" w:rsidRDefault="00BD7E72"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BD212C">
      <w:rPr>
        <w:rStyle w:val="PageNumber"/>
        <w:noProof/>
        <w:szCs w:val="18"/>
        <w:lang w:val="en-GB"/>
      </w:rPr>
      <w:t>4</w:t>
    </w:r>
    <w:r>
      <w:rPr>
        <w:rStyle w:val="PageNumber"/>
        <w:szCs w:val="18"/>
        <w:lang w:val="en-GB"/>
      </w:rPr>
      <w:fldChar w:fldCharType="end"/>
    </w:r>
    <w:r w:rsidRPr="00512D5D">
      <w:rPr>
        <w:lang w:val="en-GB"/>
      </w:rPr>
      <w:tab/>
    </w:r>
    <w:r>
      <w:rPr>
        <w:lang w:val="en-GB"/>
      </w:rPr>
      <w:t>TADDEUCCI AND M</w:t>
    </w:r>
    <w:r w:rsidR="000A37D2">
      <w:rPr>
        <w:lang w:val="en-GB"/>
      </w:rPr>
      <w:t>c</w:t>
    </w:r>
    <w:r>
      <w:rPr>
        <w:lang w:val="en-GB"/>
      </w:rPr>
      <w:t>CALL v. ITALY</w:t>
    </w:r>
    <w:r w:rsidRPr="00512D5D">
      <w:rPr>
        <w:lang w:val="en-GB"/>
      </w:rPr>
      <w:t xml:space="preserve"> </w:t>
    </w:r>
    <w:r>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E72" w:rsidRPr="00512D5D" w:rsidRDefault="00BD7E72" w:rsidP="00D60D87">
    <w:pPr>
      <w:pStyle w:val="ECHRHeader"/>
      <w:rPr>
        <w:lang w:val="en-GB"/>
      </w:rPr>
    </w:pPr>
    <w:r w:rsidRPr="00512D5D">
      <w:rPr>
        <w:lang w:val="en-GB"/>
      </w:rPr>
      <w:tab/>
    </w:r>
    <w:r>
      <w:rPr>
        <w:lang w:val="en-GB"/>
      </w:rPr>
      <w:t>TADDEUCCI AND M</w:t>
    </w:r>
    <w:r w:rsidR="000A37D2">
      <w:rPr>
        <w:lang w:val="en-GB"/>
      </w:rPr>
      <w:t>c</w:t>
    </w:r>
    <w:r>
      <w:rPr>
        <w:lang w:val="en-GB"/>
      </w:rPr>
      <w:t>CALL v. ITALY</w:t>
    </w:r>
    <w:r w:rsidRPr="00512D5D">
      <w:rPr>
        <w:lang w:val="en-GB"/>
      </w:rPr>
      <w:t xml:space="preserve"> </w:t>
    </w:r>
    <w:r>
      <w:rPr>
        <w:lang w:val="en-GB"/>
      </w:rPr>
      <w:t>JUDGMENT</w:t>
    </w:r>
    <w:r w:rsidR="00242129">
      <w:rPr>
        <w:lang w:val="en-GB"/>
      </w:rPr>
      <w:t xml:space="preserve">  </w:t>
    </w:r>
    <w:r w:rsidRPr="00512D5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BD212C">
      <w:rPr>
        <w:rStyle w:val="PageNumber"/>
        <w:noProof/>
        <w:szCs w:val="18"/>
        <w:lang w:val="en-GB"/>
      </w:rPr>
      <w:t>3</w:t>
    </w:r>
    <w:r>
      <w:rPr>
        <w:rStyle w:val="PageNumber"/>
        <w:szCs w:val="18"/>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E72" w:rsidRPr="00512D5D" w:rsidRDefault="00BD7E72"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BD212C">
      <w:rPr>
        <w:rStyle w:val="PageNumber"/>
        <w:noProof/>
        <w:szCs w:val="18"/>
        <w:lang w:val="en-GB"/>
      </w:rPr>
      <w:t>30</w:t>
    </w:r>
    <w:r>
      <w:rPr>
        <w:rStyle w:val="PageNumber"/>
        <w:szCs w:val="18"/>
        <w:lang w:val="en-GB"/>
      </w:rPr>
      <w:fldChar w:fldCharType="end"/>
    </w:r>
    <w:r w:rsidRPr="00512D5D">
      <w:rPr>
        <w:lang w:val="en-GB"/>
      </w:rPr>
      <w:tab/>
    </w:r>
    <w:r>
      <w:rPr>
        <w:lang w:val="en-GB"/>
      </w:rPr>
      <w:t>TADDEUCCI AND M</w:t>
    </w:r>
    <w:r w:rsidR="00BD212C">
      <w:rPr>
        <w:lang w:val="en-GB"/>
      </w:rPr>
      <w:t>c</w:t>
    </w:r>
    <w:r>
      <w:rPr>
        <w:lang w:val="en-GB"/>
      </w:rPr>
      <w:t>CALL v. ITALY</w:t>
    </w:r>
    <w:r w:rsidRPr="00512D5D">
      <w:rPr>
        <w:lang w:val="en-GB"/>
      </w:rPr>
      <w:t xml:space="preserve"> </w:t>
    </w:r>
    <w:r>
      <w:rPr>
        <w:lang w:val="en-GB"/>
      </w:rPr>
      <w:t xml:space="preserve">JUDGMENT </w:t>
    </w:r>
    <w:r w:rsidRPr="00EF54B9">
      <w:rPr>
        <w:lang w:val="en-GB"/>
      </w:rPr>
      <w:t>– SEPARATE OPINIONS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129" w:rsidRPr="00512D5D" w:rsidRDefault="00242129" w:rsidP="00D60D87">
    <w:pPr>
      <w:pStyle w:val="ECHRHeader"/>
      <w:rPr>
        <w:lang w:val="en-GB"/>
      </w:rPr>
    </w:pPr>
    <w:r w:rsidRPr="00512D5D">
      <w:rPr>
        <w:lang w:val="en-GB"/>
      </w:rPr>
      <w:tab/>
    </w:r>
    <w:r>
      <w:rPr>
        <w:lang w:val="en-GB"/>
      </w:rPr>
      <w:t>TADDEUCCI AND M</w:t>
    </w:r>
    <w:r w:rsidR="00BD212C">
      <w:rPr>
        <w:lang w:val="en-GB"/>
      </w:rPr>
      <w:t>c</w:t>
    </w:r>
    <w:r>
      <w:rPr>
        <w:lang w:val="en-GB"/>
      </w:rPr>
      <w:t>CALL v. ITALY</w:t>
    </w:r>
    <w:r w:rsidRPr="00512D5D">
      <w:rPr>
        <w:lang w:val="en-GB"/>
      </w:rPr>
      <w:t xml:space="preserve"> </w:t>
    </w:r>
    <w:r>
      <w:rPr>
        <w:lang w:val="en-GB"/>
      </w:rPr>
      <w:t>JUDGMENT – SEPARATE OPINIONS</w:t>
    </w:r>
    <w:r w:rsidRPr="00512D5D">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BD212C">
      <w:rPr>
        <w:rStyle w:val="PageNumber"/>
        <w:noProof/>
        <w:szCs w:val="18"/>
        <w:lang w:val="en-GB"/>
      </w:rPr>
      <w:t>29</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2"/>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28673"/>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960206"/>
    <w:rsid w:val="00000067"/>
    <w:rsid w:val="000004B6"/>
    <w:rsid w:val="000010ED"/>
    <w:rsid w:val="000041F8"/>
    <w:rsid w:val="000042A8"/>
    <w:rsid w:val="00004308"/>
    <w:rsid w:val="00005BF0"/>
    <w:rsid w:val="00006EBE"/>
    <w:rsid w:val="00007154"/>
    <w:rsid w:val="000103AE"/>
    <w:rsid w:val="00011D69"/>
    <w:rsid w:val="00012AD3"/>
    <w:rsid w:val="00014566"/>
    <w:rsid w:val="00015C2D"/>
    <w:rsid w:val="00015F00"/>
    <w:rsid w:val="00022C1D"/>
    <w:rsid w:val="00031B8C"/>
    <w:rsid w:val="00034987"/>
    <w:rsid w:val="000350E3"/>
    <w:rsid w:val="000353B5"/>
    <w:rsid w:val="0005289D"/>
    <w:rsid w:val="000602DF"/>
    <w:rsid w:val="00061B05"/>
    <w:rsid w:val="00062973"/>
    <w:rsid w:val="00062D5D"/>
    <w:rsid w:val="000632D5"/>
    <w:rsid w:val="000644EE"/>
    <w:rsid w:val="00071ABC"/>
    <w:rsid w:val="00077D06"/>
    <w:rsid w:val="000810A5"/>
    <w:rsid w:val="000856D7"/>
    <w:rsid w:val="000925AD"/>
    <w:rsid w:val="00097624"/>
    <w:rsid w:val="000A24EB"/>
    <w:rsid w:val="000A37D2"/>
    <w:rsid w:val="000B381A"/>
    <w:rsid w:val="000B6923"/>
    <w:rsid w:val="000C033C"/>
    <w:rsid w:val="000C0454"/>
    <w:rsid w:val="000C2AC5"/>
    <w:rsid w:val="000C5F3C"/>
    <w:rsid w:val="000C6DCC"/>
    <w:rsid w:val="000D47AA"/>
    <w:rsid w:val="000D721F"/>
    <w:rsid w:val="000D7548"/>
    <w:rsid w:val="000E069B"/>
    <w:rsid w:val="000E0E82"/>
    <w:rsid w:val="000E1DC5"/>
    <w:rsid w:val="000E223F"/>
    <w:rsid w:val="000E3381"/>
    <w:rsid w:val="000E35AC"/>
    <w:rsid w:val="000E4E4A"/>
    <w:rsid w:val="000E64BA"/>
    <w:rsid w:val="000E7D45"/>
    <w:rsid w:val="000F7851"/>
    <w:rsid w:val="00104E23"/>
    <w:rsid w:val="00106001"/>
    <w:rsid w:val="00111B0C"/>
    <w:rsid w:val="0011240C"/>
    <w:rsid w:val="00113B78"/>
    <w:rsid w:val="001175A8"/>
    <w:rsid w:val="00120D6C"/>
    <w:rsid w:val="001257EC"/>
    <w:rsid w:val="00132C6A"/>
    <w:rsid w:val="00133D33"/>
    <w:rsid w:val="00134D64"/>
    <w:rsid w:val="0013575F"/>
    <w:rsid w:val="00135A30"/>
    <w:rsid w:val="0013612C"/>
    <w:rsid w:val="00137300"/>
    <w:rsid w:val="00137733"/>
    <w:rsid w:val="00137DB4"/>
    <w:rsid w:val="00137FF6"/>
    <w:rsid w:val="00141650"/>
    <w:rsid w:val="00147108"/>
    <w:rsid w:val="0016051D"/>
    <w:rsid w:val="00162A12"/>
    <w:rsid w:val="00166530"/>
    <w:rsid w:val="00170452"/>
    <w:rsid w:val="001832BD"/>
    <w:rsid w:val="00186436"/>
    <w:rsid w:val="001943B5"/>
    <w:rsid w:val="00195134"/>
    <w:rsid w:val="001A145B"/>
    <w:rsid w:val="001A674C"/>
    <w:rsid w:val="001B2009"/>
    <w:rsid w:val="001B3B24"/>
    <w:rsid w:val="001B4DC9"/>
    <w:rsid w:val="001C0F98"/>
    <w:rsid w:val="001C0FC1"/>
    <w:rsid w:val="001C181F"/>
    <w:rsid w:val="001C2A42"/>
    <w:rsid w:val="001C795A"/>
    <w:rsid w:val="001D25EE"/>
    <w:rsid w:val="001D63ED"/>
    <w:rsid w:val="001D7348"/>
    <w:rsid w:val="001E035B"/>
    <w:rsid w:val="001E0961"/>
    <w:rsid w:val="001E3EAE"/>
    <w:rsid w:val="001E5348"/>
    <w:rsid w:val="001E6F32"/>
    <w:rsid w:val="001E7205"/>
    <w:rsid w:val="001F13F3"/>
    <w:rsid w:val="001F2145"/>
    <w:rsid w:val="001F296F"/>
    <w:rsid w:val="001F3002"/>
    <w:rsid w:val="001F6262"/>
    <w:rsid w:val="001F67B0"/>
    <w:rsid w:val="001F7B3D"/>
    <w:rsid w:val="002001B9"/>
    <w:rsid w:val="00200614"/>
    <w:rsid w:val="00205D08"/>
    <w:rsid w:val="00205F9F"/>
    <w:rsid w:val="00210338"/>
    <w:rsid w:val="002115FC"/>
    <w:rsid w:val="002133F8"/>
    <w:rsid w:val="0021423C"/>
    <w:rsid w:val="0021742C"/>
    <w:rsid w:val="00220BCF"/>
    <w:rsid w:val="00222884"/>
    <w:rsid w:val="00230D00"/>
    <w:rsid w:val="00231DF7"/>
    <w:rsid w:val="00231FD1"/>
    <w:rsid w:val="002339E0"/>
    <w:rsid w:val="00233CF8"/>
    <w:rsid w:val="0023575D"/>
    <w:rsid w:val="00237148"/>
    <w:rsid w:val="0023735C"/>
    <w:rsid w:val="00242129"/>
    <w:rsid w:val="0024222D"/>
    <w:rsid w:val="00244B0E"/>
    <w:rsid w:val="00244D46"/>
    <w:rsid w:val="00244F6C"/>
    <w:rsid w:val="00247622"/>
    <w:rsid w:val="002532C5"/>
    <w:rsid w:val="00260C03"/>
    <w:rsid w:val="0026540E"/>
    <w:rsid w:val="00265B09"/>
    <w:rsid w:val="002715E5"/>
    <w:rsid w:val="0027225C"/>
    <w:rsid w:val="00275123"/>
    <w:rsid w:val="002754C2"/>
    <w:rsid w:val="00282240"/>
    <w:rsid w:val="0028572A"/>
    <w:rsid w:val="00292A06"/>
    <w:rsid w:val="002948AD"/>
    <w:rsid w:val="00294C05"/>
    <w:rsid w:val="00294C92"/>
    <w:rsid w:val="002A01CC"/>
    <w:rsid w:val="002A61B1"/>
    <w:rsid w:val="002A663C"/>
    <w:rsid w:val="002B1E6C"/>
    <w:rsid w:val="002B444B"/>
    <w:rsid w:val="002B5887"/>
    <w:rsid w:val="002C0692"/>
    <w:rsid w:val="002C0E27"/>
    <w:rsid w:val="002C3040"/>
    <w:rsid w:val="002D022D"/>
    <w:rsid w:val="002D24BB"/>
    <w:rsid w:val="002D5211"/>
    <w:rsid w:val="002E048F"/>
    <w:rsid w:val="002F2AF7"/>
    <w:rsid w:val="002F72E2"/>
    <w:rsid w:val="002F7E1C"/>
    <w:rsid w:val="0030011C"/>
    <w:rsid w:val="00301A75"/>
    <w:rsid w:val="00302F70"/>
    <w:rsid w:val="0030336F"/>
    <w:rsid w:val="0030375E"/>
    <w:rsid w:val="00305AD7"/>
    <w:rsid w:val="00306D57"/>
    <w:rsid w:val="00310467"/>
    <w:rsid w:val="00312A30"/>
    <w:rsid w:val="00313EB5"/>
    <w:rsid w:val="003156AE"/>
    <w:rsid w:val="00320F72"/>
    <w:rsid w:val="0032463E"/>
    <w:rsid w:val="00326224"/>
    <w:rsid w:val="0032676F"/>
    <w:rsid w:val="0033424F"/>
    <w:rsid w:val="00337EE4"/>
    <w:rsid w:val="00340FFD"/>
    <w:rsid w:val="0034298C"/>
    <w:rsid w:val="003506B1"/>
    <w:rsid w:val="00356AC7"/>
    <w:rsid w:val="003609FA"/>
    <w:rsid w:val="003662C9"/>
    <w:rsid w:val="003666E3"/>
    <w:rsid w:val="003710C8"/>
    <w:rsid w:val="0037278D"/>
    <w:rsid w:val="003750BE"/>
    <w:rsid w:val="003852F1"/>
    <w:rsid w:val="00387B9D"/>
    <w:rsid w:val="0039364F"/>
    <w:rsid w:val="00396686"/>
    <w:rsid w:val="0039778E"/>
    <w:rsid w:val="00397C10"/>
    <w:rsid w:val="003A441D"/>
    <w:rsid w:val="003B4941"/>
    <w:rsid w:val="003C5714"/>
    <w:rsid w:val="003C6B9F"/>
    <w:rsid w:val="003C6E2A"/>
    <w:rsid w:val="003C7568"/>
    <w:rsid w:val="003D0299"/>
    <w:rsid w:val="003E1448"/>
    <w:rsid w:val="003E45A7"/>
    <w:rsid w:val="003E637D"/>
    <w:rsid w:val="003E6D80"/>
    <w:rsid w:val="003F05FA"/>
    <w:rsid w:val="003F244A"/>
    <w:rsid w:val="003F2515"/>
    <w:rsid w:val="003F30B8"/>
    <w:rsid w:val="003F4C45"/>
    <w:rsid w:val="003F5F7B"/>
    <w:rsid w:val="003F6E67"/>
    <w:rsid w:val="003F7B56"/>
    <w:rsid w:val="003F7D64"/>
    <w:rsid w:val="00414300"/>
    <w:rsid w:val="004162D3"/>
    <w:rsid w:val="00425C67"/>
    <w:rsid w:val="00427E7A"/>
    <w:rsid w:val="00432BA1"/>
    <w:rsid w:val="00436307"/>
    <w:rsid w:val="00436C49"/>
    <w:rsid w:val="00437E34"/>
    <w:rsid w:val="00441BE2"/>
    <w:rsid w:val="00441ED7"/>
    <w:rsid w:val="00441F90"/>
    <w:rsid w:val="00442695"/>
    <w:rsid w:val="00445366"/>
    <w:rsid w:val="00447F5B"/>
    <w:rsid w:val="00461DB0"/>
    <w:rsid w:val="00463926"/>
    <w:rsid w:val="00464097"/>
    <w:rsid w:val="004646E0"/>
    <w:rsid w:val="00464C9A"/>
    <w:rsid w:val="00474F3D"/>
    <w:rsid w:val="004770BC"/>
    <w:rsid w:val="00477E3A"/>
    <w:rsid w:val="00483E5F"/>
    <w:rsid w:val="00485FF9"/>
    <w:rsid w:val="004907F0"/>
    <w:rsid w:val="0049140B"/>
    <w:rsid w:val="004923A5"/>
    <w:rsid w:val="00496BFB"/>
    <w:rsid w:val="004A15C7"/>
    <w:rsid w:val="004B013B"/>
    <w:rsid w:val="004B112B"/>
    <w:rsid w:val="004C01E4"/>
    <w:rsid w:val="004C086C"/>
    <w:rsid w:val="004C1F56"/>
    <w:rsid w:val="004C27BC"/>
    <w:rsid w:val="004D15F3"/>
    <w:rsid w:val="004D4455"/>
    <w:rsid w:val="004D5311"/>
    <w:rsid w:val="004D5DCC"/>
    <w:rsid w:val="004F10AF"/>
    <w:rsid w:val="004F11A4"/>
    <w:rsid w:val="004F2389"/>
    <w:rsid w:val="004F304D"/>
    <w:rsid w:val="004F5178"/>
    <w:rsid w:val="004F57FB"/>
    <w:rsid w:val="004F58AA"/>
    <w:rsid w:val="004F61BE"/>
    <w:rsid w:val="004F66B1"/>
    <w:rsid w:val="004F6BEA"/>
    <w:rsid w:val="00500D65"/>
    <w:rsid w:val="005036B6"/>
    <w:rsid w:val="0050607A"/>
    <w:rsid w:val="00511C07"/>
    <w:rsid w:val="00512D5D"/>
    <w:rsid w:val="00512F64"/>
    <w:rsid w:val="00516E38"/>
    <w:rsid w:val="005173A6"/>
    <w:rsid w:val="00520BAA"/>
    <w:rsid w:val="00525208"/>
    <w:rsid w:val="005257A5"/>
    <w:rsid w:val="005264C0"/>
    <w:rsid w:val="00526A8A"/>
    <w:rsid w:val="00531DF2"/>
    <w:rsid w:val="00535BB8"/>
    <w:rsid w:val="0054353F"/>
    <w:rsid w:val="005442EE"/>
    <w:rsid w:val="00547353"/>
    <w:rsid w:val="005474E7"/>
    <w:rsid w:val="005512A3"/>
    <w:rsid w:val="0055404F"/>
    <w:rsid w:val="005578CE"/>
    <w:rsid w:val="00562781"/>
    <w:rsid w:val="00563E83"/>
    <w:rsid w:val="00566062"/>
    <w:rsid w:val="0057271C"/>
    <w:rsid w:val="00572845"/>
    <w:rsid w:val="005739A2"/>
    <w:rsid w:val="00580887"/>
    <w:rsid w:val="00581F4F"/>
    <w:rsid w:val="00592772"/>
    <w:rsid w:val="0059574A"/>
    <w:rsid w:val="005A1B9B"/>
    <w:rsid w:val="005A59E4"/>
    <w:rsid w:val="005A6751"/>
    <w:rsid w:val="005B092E"/>
    <w:rsid w:val="005B152C"/>
    <w:rsid w:val="005B1EE0"/>
    <w:rsid w:val="005B2B24"/>
    <w:rsid w:val="005B2B45"/>
    <w:rsid w:val="005B4425"/>
    <w:rsid w:val="005B4B94"/>
    <w:rsid w:val="005C3EE8"/>
    <w:rsid w:val="005C53FE"/>
    <w:rsid w:val="005C727F"/>
    <w:rsid w:val="005D34F9"/>
    <w:rsid w:val="005D4190"/>
    <w:rsid w:val="005D67A3"/>
    <w:rsid w:val="005E2988"/>
    <w:rsid w:val="005E2A43"/>
    <w:rsid w:val="005E3085"/>
    <w:rsid w:val="005E438A"/>
    <w:rsid w:val="005F4CAD"/>
    <w:rsid w:val="005F51E1"/>
    <w:rsid w:val="005F6F5D"/>
    <w:rsid w:val="00607753"/>
    <w:rsid w:val="00611C80"/>
    <w:rsid w:val="00620692"/>
    <w:rsid w:val="00620A6E"/>
    <w:rsid w:val="006242CA"/>
    <w:rsid w:val="00627507"/>
    <w:rsid w:val="00633717"/>
    <w:rsid w:val="00633E63"/>
    <w:rsid w:val="006344E1"/>
    <w:rsid w:val="006406C8"/>
    <w:rsid w:val="00642D63"/>
    <w:rsid w:val="006505C5"/>
    <w:rsid w:val="00653C1F"/>
    <w:rsid w:val="006545C4"/>
    <w:rsid w:val="00655A2B"/>
    <w:rsid w:val="0065628B"/>
    <w:rsid w:val="00661971"/>
    <w:rsid w:val="00661CE8"/>
    <w:rsid w:val="006623D9"/>
    <w:rsid w:val="0066550C"/>
    <w:rsid w:val="00665FBC"/>
    <w:rsid w:val="006716F2"/>
    <w:rsid w:val="00675D7A"/>
    <w:rsid w:val="0068179F"/>
    <w:rsid w:val="00682BF2"/>
    <w:rsid w:val="006859CE"/>
    <w:rsid w:val="00691270"/>
    <w:rsid w:val="00691516"/>
    <w:rsid w:val="00694BA8"/>
    <w:rsid w:val="006A037C"/>
    <w:rsid w:val="006A36F4"/>
    <w:rsid w:val="006A406F"/>
    <w:rsid w:val="006A5D3A"/>
    <w:rsid w:val="006B3AB2"/>
    <w:rsid w:val="006B72CB"/>
    <w:rsid w:val="006C23D4"/>
    <w:rsid w:val="006C249F"/>
    <w:rsid w:val="006C7BB0"/>
    <w:rsid w:val="006D3237"/>
    <w:rsid w:val="006D764C"/>
    <w:rsid w:val="006E2E37"/>
    <w:rsid w:val="006E3CF1"/>
    <w:rsid w:val="006E7E80"/>
    <w:rsid w:val="006F1DF9"/>
    <w:rsid w:val="006F24DB"/>
    <w:rsid w:val="006F48CA"/>
    <w:rsid w:val="006F64DD"/>
    <w:rsid w:val="007024E9"/>
    <w:rsid w:val="00714899"/>
    <w:rsid w:val="00715127"/>
    <w:rsid w:val="00715E8E"/>
    <w:rsid w:val="00717AD3"/>
    <w:rsid w:val="00717C6C"/>
    <w:rsid w:val="00722994"/>
    <w:rsid w:val="00723580"/>
    <w:rsid w:val="00723755"/>
    <w:rsid w:val="007246BC"/>
    <w:rsid w:val="0073136C"/>
    <w:rsid w:val="00731F0F"/>
    <w:rsid w:val="00733250"/>
    <w:rsid w:val="00735448"/>
    <w:rsid w:val="00741404"/>
    <w:rsid w:val="007449E5"/>
    <w:rsid w:val="00746C5A"/>
    <w:rsid w:val="00747FF0"/>
    <w:rsid w:val="00757122"/>
    <w:rsid w:val="007649BA"/>
    <w:rsid w:val="00764D4E"/>
    <w:rsid w:val="00765A1F"/>
    <w:rsid w:val="007714BF"/>
    <w:rsid w:val="0077392D"/>
    <w:rsid w:val="00775B6D"/>
    <w:rsid w:val="00776D68"/>
    <w:rsid w:val="007850EE"/>
    <w:rsid w:val="00785B95"/>
    <w:rsid w:val="00790E96"/>
    <w:rsid w:val="00793366"/>
    <w:rsid w:val="007A601B"/>
    <w:rsid w:val="007A716F"/>
    <w:rsid w:val="007A7C9C"/>
    <w:rsid w:val="007B067F"/>
    <w:rsid w:val="007B270A"/>
    <w:rsid w:val="007B62C5"/>
    <w:rsid w:val="007C0695"/>
    <w:rsid w:val="007C419A"/>
    <w:rsid w:val="007C4CC8"/>
    <w:rsid w:val="007C5426"/>
    <w:rsid w:val="007C5798"/>
    <w:rsid w:val="007D0193"/>
    <w:rsid w:val="007D4832"/>
    <w:rsid w:val="007E21B2"/>
    <w:rsid w:val="007E2C4E"/>
    <w:rsid w:val="007F1905"/>
    <w:rsid w:val="007F5E25"/>
    <w:rsid w:val="0080048F"/>
    <w:rsid w:val="00800E8F"/>
    <w:rsid w:val="00801300"/>
    <w:rsid w:val="00802C64"/>
    <w:rsid w:val="008032DD"/>
    <w:rsid w:val="00805E52"/>
    <w:rsid w:val="008061D0"/>
    <w:rsid w:val="00810B38"/>
    <w:rsid w:val="008204C7"/>
    <w:rsid w:val="00820992"/>
    <w:rsid w:val="00820D6B"/>
    <w:rsid w:val="00823602"/>
    <w:rsid w:val="008255F5"/>
    <w:rsid w:val="0083014E"/>
    <w:rsid w:val="0083214A"/>
    <w:rsid w:val="00834220"/>
    <w:rsid w:val="00837E16"/>
    <w:rsid w:val="00842F62"/>
    <w:rsid w:val="00845723"/>
    <w:rsid w:val="00851EF9"/>
    <w:rsid w:val="008577FD"/>
    <w:rsid w:val="008601C3"/>
    <w:rsid w:val="00860B03"/>
    <w:rsid w:val="0086497A"/>
    <w:rsid w:val="008713A1"/>
    <w:rsid w:val="00873DA6"/>
    <w:rsid w:val="008754AB"/>
    <w:rsid w:val="0088060C"/>
    <w:rsid w:val="00893576"/>
    <w:rsid w:val="00893ABA"/>
    <w:rsid w:val="00893E73"/>
    <w:rsid w:val="008A1C5F"/>
    <w:rsid w:val="008A43C4"/>
    <w:rsid w:val="008A6EBC"/>
    <w:rsid w:val="008B02DC"/>
    <w:rsid w:val="008B4B44"/>
    <w:rsid w:val="008B57CE"/>
    <w:rsid w:val="008B659F"/>
    <w:rsid w:val="008C26DE"/>
    <w:rsid w:val="008D2225"/>
    <w:rsid w:val="008D4752"/>
    <w:rsid w:val="008D552A"/>
    <w:rsid w:val="008E271C"/>
    <w:rsid w:val="008E418E"/>
    <w:rsid w:val="008E5BC6"/>
    <w:rsid w:val="008E6A25"/>
    <w:rsid w:val="008F5193"/>
    <w:rsid w:val="009013A7"/>
    <w:rsid w:val="009017FB"/>
    <w:rsid w:val="009017FC"/>
    <w:rsid w:val="00903B43"/>
    <w:rsid w:val="0090506B"/>
    <w:rsid w:val="009050C9"/>
    <w:rsid w:val="009066FC"/>
    <w:rsid w:val="0091146C"/>
    <w:rsid w:val="009140A3"/>
    <w:rsid w:val="009144A2"/>
    <w:rsid w:val="0091510C"/>
    <w:rsid w:val="00916C93"/>
    <w:rsid w:val="009259AC"/>
    <w:rsid w:val="009264FE"/>
    <w:rsid w:val="00926F38"/>
    <w:rsid w:val="00934301"/>
    <w:rsid w:val="00936CD1"/>
    <w:rsid w:val="00941747"/>
    <w:rsid w:val="00941EFB"/>
    <w:rsid w:val="00945F4E"/>
    <w:rsid w:val="00946B0B"/>
    <w:rsid w:val="00947AFB"/>
    <w:rsid w:val="00951D7D"/>
    <w:rsid w:val="00952C12"/>
    <w:rsid w:val="00955F9D"/>
    <w:rsid w:val="009560C6"/>
    <w:rsid w:val="00960206"/>
    <w:rsid w:val="009630C7"/>
    <w:rsid w:val="00972B55"/>
    <w:rsid w:val="009743B7"/>
    <w:rsid w:val="0098228B"/>
    <w:rsid w:val="009828DA"/>
    <w:rsid w:val="00985BAB"/>
    <w:rsid w:val="00992D51"/>
    <w:rsid w:val="00994830"/>
    <w:rsid w:val="00997F03"/>
    <w:rsid w:val="009A46DF"/>
    <w:rsid w:val="009A603F"/>
    <w:rsid w:val="009B1B5F"/>
    <w:rsid w:val="009B2EC2"/>
    <w:rsid w:val="009B6673"/>
    <w:rsid w:val="009C0D22"/>
    <w:rsid w:val="009C191B"/>
    <w:rsid w:val="009C2BD6"/>
    <w:rsid w:val="009C5B22"/>
    <w:rsid w:val="009D0931"/>
    <w:rsid w:val="009D79EB"/>
    <w:rsid w:val="009D7BC6"/>
    <w:rsid w:val="009E1F32"/>
    <w:rsid w:val="009E5327"/>
    <w:rsid w:val="009E5829"/>
    <w:rsid w:val="009E776C"/>
    <w:rsid w:val="00A00337"/>
    <w:rsid w:val="00A122E2"/>
    <w:rsid w:val="00A13747"/>
    <w:rsid w:val="00A1726E"/>
    <w:rsid w:val="00A204CF"/>
    <w:rsid w:val="00A20B54"/>
    <w:rsid w:val="00A23D49"/>
    <w:rsid w:val="00A24D72"/>
    <w:rsid w:val="00A24F54"/>
    <w:rsid w:val="00A27004"/>
    <w:rsid w:val="00A30C29"/>
    <w:rsid w:val="00A34DD6"/>
    <w:rsid w:val="00A36819"/>
    <w:rsid w:val="00A36989"/>
    <w:rsid w:val="00A37AF7"/>
    <w:rsid w:val="00A43628"/>
    <w:rsid w:val="00A50F50"/>
    <w:rsid w:val="00A54192"/>
    <w:rsid w:val="00A6035E"/>
    <w:rsid w:val="00A60ADF"/>
    <w:rsid w:val="00A6144C"/>
    <w:rsid w:val="00A65A61"/>
    <w:rsid w:val="00A66617"/>
    <w:rsid w:val="00A671F8"/>
    <w:rsid w:val="00A673A4"/>
    <w:rsid w:val="00A724AE"/>
    <w:rsid w:val="00A73329"/>
    <w:rsid w:val="00A82359"/>
    <w:rsid w:val="00A865D2"/>
    <w:rsid w:val="00A9262B"/>
    <w:rsid w:val="00A94C20"/>
    <w:rsid w:val="00A95392"/>
    <w:rsid w:val="00A96ED6"/>
    <w:rsid w:val="00AA227F"/>
    <w:rsid w:val="00AA3494"/>
    <w:rsid w:val="00AA3BC7"/>
    <w:rsid w:val="00AA754A"/>
    <w:rsid w:val="00AB099E"/>
    <w:rsid w:val="00AB4328"/>
    <w:rsid w:val="00AB5FA0"/>
    <w:rsid w:val="00AD1DA9"/>
    <w:rsid w:val="00AD2389"/>
    <w:rsid w:val="00AE0A2E"/>
    <w:rsid w:val="00AE354C"/>
    <w:rsid w:val="00AF4B07"/>
    <w:rsid w:val="00AF6186"/>
    <w:rsid w:val="00AF7A3A"/>
    <w:rsid w:val="00B160DB"/>
    <w:rsid w:val="00B1658E"/>
    <w:rsid w:val="00B20836"/>
    <w:rsid w:val="00B20CCB"/>
    <w:rsid w:val="00B235BB"/>
    <w:rsid w:val="00B27A44"/>
    <w:rsid w:val="00B30BBF"/>
    <w:rsid w:val="00B30DFE"/>
    <w:rsid w:val="00B33C03"/>
    <w:rsid w:val="00B43898"/>
    <w:rsid w:val="00B44E56"/>
    <w:rsid w:val="00B46543"/>
    <w:rsid w:val="00B47D33"/>
    <w:rsid w:val="00B529D8"/>
    <w:rsid w:val="00B52BE0"/>
    <w:rsid w:val="00B54133"/>
    <w:rsid w:val="00B637B9"/>
    <w:rsid w:val="00B701ED"/>
    <w:rsid w:val="00B8086C"/>
    <w:rsid w:val="00B861B4"/>
    <w:rsid w:val="00B86DFE"/>
    <w:rsid w:val="00B90990"/>
    <w:rsid w:val="00B922FF"/>
    <w:rsid w:val="00B9281E"/>
    <w:rsid w:val="00B93925"/>
    <w:rsid w:val="00B95187"/>
    <w:rsid w:val="00BA2D55"/>
    <w:rsid w:val="00BA649E"/>
    <w:rsid w:val="00BA71B1"/>
    <w:rsid w:val="00BB0637"/>
    <w:rsid w:val="00BB2047"/>
    <w:rsid w:val="00BB345F"/>
    <w:rsid w:val="00BB3BDA"/>
    <w:rsid w:val="00BB552D"/>
    <w:rsid w:val="00BB5883"/>
    <w:rsid w:val="00BB68EA"/>
    <w:rsid w:val="00BB6B08"/>
    <w:rsid w:val="00BC1C27"/>
    <w:rsid w:val="00BC4EE6"/>
    <w:rsid w:val="00BC6BBF"/>
    <w:rsid w:val="00BD1572"/>
    <w:rsid w:val="00BD212C"/>
    <w:rsid w:val="00BD6F9B"/>
    <w:rsid w:val="00BD742C"/>
    <w:rsid w:val="00BD7E72"/>
    <w:rsid w:val="00BE14E3"/>
    <w:rsid w:val="00BE2BD8"/>
    <w:rsid w:val="00BE3774"/>
    <w:rsid w:val="00BE41E5"/>
    <w:rsid w:val="00BF0BBB"/>
    <w:rsid w:val="00BF27A0"/>
    <w:rsid w:val="00BF4109"/>
    <w:rsid w:val="00BF4CC3"/>
    <w:rsid w:val="00C0123C"/>
    <w:rsid w:val="00C02B17"/>
    <w:rsid w:val="00C054C7"/>
    <w:rsid w:val="00C057B5"/>
    <w:rsid w:val="00C121FE"/>
    <w:rsid w:val="00C22619"/>
    <w:rsid w:val="00C22687"/>
    <w:rsid w:val="00C238BC"/>
    <w:rsid w:val="00C32E4D"/>
    <w:rsid w:val="00C333A0"/>
    <w:rsid w:val="00C36A81"/>
    <w:rsid w:val="00C400F2"/>
    <w:rsid w:val="00C41974"/>
    <w:rsid w:val="00C447AD"/>
    <w:rsid w:val="00C44A3F"/>
    <w:rsid w:val="00C45EB0"/>
    <w:rsid w:val="00C52D84"/>
    <w:rsid w:val="00C53F4A"/>
    <w:rsid w:val="00C54125"/>
    <w:rsid w:val="00C55B54"/>
    <w:rsid w:val="00C6098E"/>
    <w:rsid w:val="00C6152C"/>
    <w:rsid w:val="00C621C2"/>
    <w:rsid w:val="00C647CF"/>
    <w:rsid w:val="00C74810"/>
    <w:rsid w:val="00C86052"/>
    <w:rsid w:val="00C901EB"/>
    <w:rsid w:val="00C90D68"/>
    <w:rsid w:val="00C939FE"/>
    <w:rsid w:val="00C9453C"/>
    <w:rsid w:val="00C97B91"/>
    <w:rsid w:val="00CA4BDA"/>
    <w:rsid w:val="00CB1F66"/>
    <w:rsid w:val="00CB2951"/>
    <w:rsid w:val="00CC7197"/>
    <w:rsid w:val="00CD24EA"/>
    <w:rsid w:val="00CD282B"/>
    <w:rsid w:val="00CD29C3"/>
    <w:rsid w:val="00CD4C35"/>
    <w:rsid w:val="00CD7369"/>
    <w:rsid w:val="00CE0B0E"/>
    <w:rsid w:val="00CE1230"/>
    <w:rsid w:val="00CE3831"/>
    <w:rsid w:val="00CF0D0E"/>
    <w:rsid w:val="00CF4032"/>
    <w:rsid w:val="00CF55CF"/>
    <w:rsid w:val="00CF6D74"/>
    <w:rsid w:val="00D00ABB"/>
    <w:rsid w:val="00D02EEC"/>
    <w:rsid w:val="00D03551"/>
    <w:rsid w:val="00D06A63"/>
    <w:rsid w:val="00D07E0E"/>
    <w:rsid w:val="00D11478"/>
    <w:rsid w:val="00D1172E"/>
    <w:rsid w:val="00D15E9C"/>
    <w:rsid w:val="00D15ED0"/>
    <w:rsid w:val="00D21B3E"/>
    <w:rsid w:val="00D21FED"/>
    <w:rsid w:val="00D24251"/>
    <w:rsid w:val="00D343E2"/>
    <w:rsid w:val="00D361A2"/>
    <w:rsid w:val="00D37405"/>
    <w:rsid w:val="00D44C2E"/>
    <w:rsid w:val="00D45414"/>
    <w:rsid w:val="00D53C0F"/>
    <w:rsid w:val="00D566BD"/>
    <w:rsid w:val="00D5778F"/>
    <w:rsid w:val="00D57A4D"/>
    <w:rsid w:val="00D60AA7"/>
    <w:rsid w:val="00D60D87"/>
    <w:rsid w:val="00D60F11"/>
    <w:rsid w:val="00D6435F"/>
    <w:rsid w:val="00D66CEE"/>
    <w:rsid w:val="00D713BE"/>
    <w:rsid w:val="00D75E28"/>
    <w:rsid w:val="00D772C2"/>
    <w:rsid w:val="00D8008E"/>
    <w:rsid w:val="00D82C45"/>
    <w:rsid w:val="00D835EA"/>
    <w:rsid w:val="00D908A8"/>
    <w:rsid w:val="00D91002"/>
    <w:rsid w:val="00D9425D"/>
    <w:rsid w:val="00D977B6"/>
    <w:rsid w:val="00DA4A31"/>
    <w:rsid w:val="00DA61F2"/>
    <w:rsid w:val="00DA7345"/>
    <w:rsid w:val="00DA7B04"/>
    <w:rsid w:val="00DB36C2"/>
    <w:rsid w:val="00DB7196"/>
    <w:rsid w:val="00DC03D4"/>
    <w:rsid w:val="00DC169B"/>
    <w:rsid w:val="00DC2AB9"/>
    <w:rsid w:val="00DC63F0"/>
    <w:rsid w:val="00DD2F9A"/>
    <w:rsid w:val="00DD6EE5"/>
    <w:rsid w:val="00DD763D"/>
    <w:rsid w:val="00DE1B8E"/>
    <w:rsid w:val="00DE1D5A"/>
    <w:rsid w:val="00DE386C"/>
    <w:rsid w:val="00DE4D35"/>
    <w:rsid w:val="00DF0549"/>
    <w:rsid w:val="00DF098B"/>
    <w:rsid w:val="00DF11C4"/>
    <w:rsid w:val="00DF210C"/>
    <w:rsid w:val="00DF4B6A"/>
    <w:rsid w:val="00DF7FDF"/>
    <w:rsid w:val="00E02C09"/>
    <w:rsid w:val="00E02DAD"/>
    <w:rsid w:val="00E04D59"/>
    <w:rsid w:val="00E07DA1"/>
    <w:rsid w:val="00E123CB"/>
    <w:rsid w:val="00E139E2"/>
    <w:rsid w:val="00E1557C"/>
    <w:rsid w:val="00E20E13"/>
    <w:rsid w:val="00E21DBC"/>
    <w:rsid w:val="00E2351B"/>
    <w:rsid w:val="00E275D7"/>
    <w:rsid w:val="00E27DBE"/>
    <w:rsid w:val="00E32AB1"/>
    <w:rsid w:val="00E332D6"/>
    <w:rsid w:val="00E36C71"/>
    <w:rsid w:val="00E40404"/>
    <w:rsid w:val="00E43D0C"/>
    <w:rsid w:val="00E44D10"/>
    <w:rsid w:val="00E459C6"/>
    <w:rsid w:val="00E47589"/>
    <w:rsid w:val="00E57A2A"/>
    <w:rsid w:val="00E64915"/>
    <w:rsid w:val="00E661D4"/>
    <w:rsid w:val="00E67220"/>
    <w:rsid w:val="00E70091"/>
    <w:rsid w:val="00E720F5"/>
    <w:rsid w:val="00E76D47"/>
    <w:rsid w:val="00E849F7"/>
    <w:rsid w:val="00E90302"/>
    <w:rsid w:val="00E9597F"/>
    <w:rsid w:val="00E97396"/>
    <w:rsid w:val="00EA185E"/>
    <w:rsid w:val="00EA592A"/>
    <w:rsid w:val="00EB14E4"/>
    <w:rsid w:val="00EB32A5"/>
    <w:rsid w:val="00EB34ED"/>
    <w:rsid w:val="00EB7BE0"/>
    <w:rsid w:val="00EC315E"/>
    <w:rsid w:val="00EC7239"/>
    <w:rsid w:val="00ED077C"/>
    <w:rsid w:val="00ED1190"/>
    <w:rsid w:val="00ED1F49"/>
    <w:rsid w:val="00ED5578"/>
    <w:rsid w:val="00ED6544"/>
    <w:rsid w:val="00ED728A"/>
    <w:rsid w:val="00EE0277"/>
    <w:rsid w:val="00EE1D00"/>
    <w:rsid w:val="00EE1DA9"/>
    <w:rsid w:val="00EE3E00"/>
    <w:rsid w:val="00EE5DD2"/>
    <w:rsid w:val="00EF41F1"/>
    <w:rsid w:val="00EF4F08"/>
    <w:rsid w:val="00EF54B9"/>
    <w:rsid w:val="00EF573B"/>
    <w:rsid w:val="00F00A79"/>
    <w:rsid w:val="00F00E86"/>
    <w:rsid w:val="00F00F8B"/>
    <w:rsid w:val="00F03160"/>
    <w:rsid w:val="00F07C1E"/>
    <w:rsid w:val="00F105DB"/>
    <w:rsid w:val="00F10A08"/>
    <w:rsid w:val="00F132BC"/>
    <w:rsid w:val="00F13D80"/>
    <w:rsid w:val="00F164E9"/>
    <w:rsid w:val="00F16AAA"/>
    <w:rsid w:val="00F21161"/>
    <w:rsid w:val="00F218EF"/>
    <w:rsid w:val="00F21BC7"/>
    <w:rsid w:val="00F266A2"/>
    <w:rsid w:val="00F27EF9"/>
    <w:rsid w:val="00F32269"/>
    <w:rsid w:val="00F35502"/>
    <w:rsid w:val="00F37CCA"/>
    <w:rsid w:val="00F37F2D"/>
    <w:rsid w:val="00F4457E"/>
    <w:rsid w:val="00F56A6F"/>
    <w:rsid w:val="00F5709C"/>
    <w:rsid w:val="00F648BC"/>
    <w:rsid w:val="00F64EF1"/>
    <w:rsid w:val="00F72F44"/>
    <w:rsid w:val="00F8765F"/>
    <w:rsid w:val="00F90767"/>
    <w:rsid w:val="00F953E9"/>
    <w:rsid w:val="00F97D71"/>
    <w:rsid w:val="00FA3F87"/>
    <w:rsid w:val="00FA685B"/>
    <w:rsid w:val="00FB0C01"/>
    <w:rsid w:val="00FC18F2"/>
    <w:rsid w:val="00FC3336"/>
    <w:rsid w:val="00FC39E5"/>
    <w:rsid w:val="00FC3A78"/>
    <w:rsid w:val="00FC4B1B"/>
    <w:rsid w:val="00FC53A9"/>
    <w:rsid w:val="00FC5FFE"/>
    <w:rsid w:val="00FD1005"/>
    <w:rsid w:val="00FD3180"/>
    <w:rsid w:val="00FD6C75"/>
    <w:rsid w:val="00FE59B8"/>
    <w:rsid w:val="00FE71B3"/>
    <w:rsid w:val="00FE7CB5"/>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00067"/>
    <w:pPr>
      <w:jc w:val="both"/>
    </w:pPr>
    <w:rPr>
      <w:rFonts w:eastAsiaTheme="minorEastAsia"/>
      <w:sz w:val="24"/>
    </w:rPr>
  </w:style>
  <w:style w:type="paragraph" w:styleId="Heading1">
    <w:name w:val="heading 1"/>
    <w:basedOn w:val="Normal"/>
    <w:next w:val="Normal"/>
    <w:link w:val="Heading1Char"/>
    <w:uiPriority w:val="99"/>
    <w:semiHidden/>
    <w:rsid w:val="00000067"/>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000067"/>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000067"/>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000067"/>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464097"/>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000067"/>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464097"/>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464097"/>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464097"/>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00067"/>
    <w:rPr>
      <w:rFonts w:ascii="Tahoma" w:hAnsi="Tahoma" w:cs="Tahoma"/>
      <w:sz w:val="16"/>
      <w:szCs w:val="16"/>
    </w:rPr>
  </w:style>
  <w:style w:type="character" w:customStyle="1" w:styleId="BalloonTextChar">
    <w:name w:val="Balloon Text Char"/>
    <w:basedOn w:val="DefaultParagraphFont"/>
    <w:link w:val="BalloonText"/>
    <w:uiPriority w:val="99"/>
    <w:semiHidden/>
    <w:rsid w:val="00000067"/>
    <w:rPr>
      <w:rFonts w:ascii="Tahoma" w:eastAsiaTheme="minorEastAsia" w:hAnsi="Tahoma" w:cs="Tahoma"/>
      <w:sz w:val="16"/>
      <w:szCs w:val="16"/>
    </w:rPr>
  </w:style>
  <w:style w:type="character" w:styleId="BookTitle">
    <w:name w:val="Book Title"/>
    <w:uiPriority w:val="99"/>
    <w:semiHidden/>
    <w:qFormat/>
    <w:rsid w:val="00464097"/>
    <w:rPr>
      <w:i/>
      <w:iCs/>
      <w:smallCaps/>
      <w:spacing w:val="5"/>
    </w:rPr>
  </w:style>
  <w:style w:type="paragraph" w:customStyle="1" w:styleId="ECHRHeader">
    <w:name w:val="ECHR_Header"/>
    <w:aliases w:val="Ju_Header"/>
    <w:basedOn w:val="Header"/>
    <w:uiPriority w:val="4"/>
    <w:qFormat/>
    <w:rsid w:val="00464097"/>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000067"/>
    <w:pPr>
      <w:jc w:val="left"/>
    </w:pPr>
    <w:rPr>
      <w:sz w:val="8"/>
    </w:rPr>
  </w:style>
  <w:style w:type="character" w:styleId="Strong">
    <w:name w:val="Strong"/>
    <w:uiPriority w:val="99"/>
    <w:semiHidden/>
    <w:qFormat/>
    <w:rsid w:val="00464097"/>
    <w:rPr>
      <w:b/>
      <w:bCs/>
    </w:rPr>
  </w:style>
  <w:style w:type="paragraph" w:styleId="NoSpacing">
    <w:name w:val="No Spacing"/>
    <w:basedOn w:val="Normal"/>
    <w:link w:val="NoSpacingChar"/>
    <w:semiHidden/>
    <w:qFormat/>
    <w:rsid w:val="00464097"/>
    <w:rPr>
      <w:sz w:val="22"/>
    </w:rPr>
  </w:style>
  <w:style w:type="character" w:customStyle="1" w:styleId="NoSpacingChar">
    <w:name w:val="No Spacing Char"/>
    <w:basedOn w:val="DefaultParagraphFont"/>
    <w:link w:val="NoSpacing"/>
    <w:semiHidden/>
    <w:rsid w:val="00464097"/>
    <w:rPr>
      <w:rFonts w:eastAsiaTheme="minorEastAsia"/>
    </w:rPr>
  </w:style>
  <w:style w:type="paragraph" w:customStyle="1" w:styleId="ECHRFooterLine">
    <w:name w:val="ECHR_Footer_Line"/>
    <w:aliases w:val="Footer_Line"/>
    <w:basedOn w:val="Normal"/>
    <w:next w:val="ECHRFooter"/>
    <w:uiPriority w:val="57"/>
    <w:semiHidden/>
    <w:rsid w:val="00000067"/>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qFormat/>
    <w:rsid w:val="00464097"/>
    <w:pPr>
      <w:numPr>
        <w:numId w:val="16"/>
      </w:numPr>
      <w:jc w:val="left"/>
    </w:pPr>
    <w:rPr>
      <w:b/>
    </w:rPr>
  </w:style>
  <w:style w:type="paragraph" w:customStyle="1" w:styleId="OpiPara">
    <w:name w:val="Opi_Para"/>
    <w:basedOn w:val="ECHRPara"/>
    <w:uiPriority w:val="46"/>
    <w:qFormat/>
    <w:rsid w:val="00464097"/>
  </w:style>
  <w:style w:type="paragraph" w:customStyle="1" w:styleId="JuParaSub">
    <w:name w:val="Ju_Para_Sub"/>
    <w:basedOn w:val="ECHRPara"/>
    <w:uiPriority w:val="13"/>
    <w:qFormat/>
    <w:rsid w:val="00464097"/>
    <w:pPr>
      <w:ind w:left="284"/>
    </w:pPr>
  </w:style>
  <w:style w:type="paragraph" w:customStyle="1" w:styleId="ECHRTitleCentre3">
    <w:name w:val="ECHR_Title_Centre_3"/>
    <w:aliases w:val="Ju_H_Article"/>
    <w:basedOn w:val="Normal"/>
    <w:next w:val="ECHRParaQuote"/>
    <w:uiPriority w:val="27"/>
    <w:qFormat/>
    <w:rsid w:val="00464097"/>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464097"/>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464097"/>
  </w:style>
  <w:style w:type="paragraph" w:customStyle="1" w:styleId="OpiQuot">
    <w:name w:val="Opi_Quot"/>
    <w:basedOn w:val="ECHRParaQuote"/>
    <w:uiPriority w:val="48"/>
    <w:qFormat/>
    <w:rsid w:val="00464097"/>
  </w:style>
  <w:style w:type="paragraph" w:customStyle="1" w:styleId="OpiQuotSub">
    <w:name w:val="Opi_Quot_Sub"/>
    <w:basedOn w:val="JuQuotSub"/>
    <w:uiPriority w:val="49"/>
    <w:qFormat/>
    <w:rsid w:val="00464097"/>
  </w:style>
  <w:style w:type="paragraph" w:customStyle="1" w:styleId="ECHRTitleCentre2">
    <w:name w:val="ECHR_Title_Centre_2"/>
    <w:aliases w:val="Dec_H_Case"/>
    <w:basedOn w:val="Normal"/>
    <w:next w:val="ECHRPara"/>
    <w:uiPriority w:val="8"/>
    <w:qFormat/>
    <w:rsid w:val="00464097"/>
    <w:pPr>
      <w:spacing w:after="240"/>
      <w:jc w:val="center"/>
      <w:outlineLvl w:val="0"/>
    </w:pPr>
    <w:rPr>
      <w:rFonts w:asciiTheme="majorHAnsi" w:hAnsiTheme="majorHAnsi"/>
    </w:rPr>
  </w:style>
  <w:style w:type="paragraph" w:customStyle="1" w:styleId="JuTitle">
    <w:name w:val="Ju_Title"/>
    <w:basedOn w:val="Normal"/>
    <w:next w:val="ECHRPara"/>
    <w:uiPriority w:val="3"/>
    <w:qFormat/>
    <w:rsid w:val="00464097"/>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464097"/>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464097"/>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464097"/>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464097"/>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464097"/>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464097"/>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464097"/>
    <w:pPr>
      <w:keepNext/>
      <w:keepLines/>
      <w:spacing w:before="240" w:after="120"/>
      <w:ind w:left="1236"/>
    </w:pPr>
    <w:rPr>
      <w:sz w:val="20"/>
    </w:rPr>
  </w:style>
  <w:style w:type="paragraph" w:customStyle="1" w:styleId="JuQuotSub">
    <w:name w:val="Ju_Quot_Sub"/>
    <w:basedOn w:val="ECHRParaQuote"/>
    <w:uiPriority w:val="15"/>
    <w:qFormat/>
    <w:rsid w:val="00464097"/>
    <w:pPr>
      <w:ind w:left="567"/>
    </w:pPr>
  </w:style>
  <w:style w:type="paragraph" w:customStyle="1" w:styleId="JuInitialled">
    <w:name w:val="Ju_Initialled"/>
    <w:basedOn w:val="Normal"/>
    <w:uiPriority w:val="31"/>
    <w:qFormat/>
    <w:rsid w:val="00464097"/>
    <w:pPr>
      <w:tabs>
        <w:tab w:val="center" w:pos="6407"/>
      </w:tabs>
      <w:spacing w:before="720"/>
      <w:jc w:val="right"/>
    </w:pPr>
  </w:style>
  <w:style w:type="paragraph" w:customStyle="1" w:styleId="OpiHA">
    <w:name w:val="Opi_H_A"/>
    <w:basedOn w:val="ECHRHeading1"/>
    <w:next w:val="OpiPara"/>
    <w:uiPriority w:val="41"/>
    <w:qFormat/>
    <w:rsid w:val="00464097"/>
    <w:pPr>
      <w:tabs>
        <w:tab w:val="clear" w:pos="357"/>
      </w:tabs>
      <w:outlineLvl w:val="1"/>
    </w:pPr>
    <w:rPr>
      <w:b/>
    </w:rPr>
  </w:style>
  <w:style w:type="paragraph" w:styleId="Header">
    <w:name w:val="header"/>
    <w:basedOn w:val="Normal"/>
    <w:link w:val="HeaderChar"/>
    <w:uiPriority w:val="57"/>
    <w:semiHidden/>
    <w:rsid w:val="00000067"/>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000067"/>
    <w:rPr>
      <w:sz w:val="24"/>
    </w:rPr>
  </w:style>
  <w:style w:type="character" w:customStyle="1" w:styleId="Heading1Char">
    <w:name w:val="Heading 1 Char"/>
    <w:basedOn w:val="DefaultParagraphFont"/>
    <w:link w:val="Heading1"/>
    <w:uiPriority w:val="99"/>
    <w:semiHidden/>
    <w:rsid w:val="00000067"/>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464097"/>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Head_2"/>
    <w:basedOn w:val="Heading2"/>
    <w:next w:val="ECHRPara"/>
    <w:uiPriority w:val="20"/>
    <w:qFormat/>
    <w:rsid w:val="00464097"/>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000067"/>
    <w:rPr>
      <w:rFonts w:asciiTheme="majorHAnsi" w:eastAsiaTheme="majorEastAsia" w:hAnsiTheme="majorHAnsi" w:cstheme="majorBidi"/>
      <w:b/>
      <w:bCs/>
      <w:color w:val="4D4D4D"/>
      <w:sz w:val="26"/>
      <w:szCs w:val="26"/>
    </w:rPr>
  </w:style>
  <w:style w:type="character" w:customStyle="1" w:styleId="JUNAMES">
    <w:name w:val="JU_NAMES"/>
    <w:uiPriority w:val="17"/>
    <w:qFormat/>
    <w:rsid w:val="00464097"/>
    <w:rPr>
      <w:caps w:val="0"/>
      <w:smallCaps/>
    </w:rPr>
  </w:style>
  <w:style w:type="paragraph" w:customStyle="1" w:styleId="JuCase">
    <w:name w:val="Ju_Case"/>
    <w:basedOn w:val="Normal"/>
    <w:next w:val="ECHRPara"/>
    <w:uiPriority w:val="10"/>
    <w:rsid w:val="00000067"/>
    <w:pPr>
      <w:ind w:firstLine="284"/>
    </w:pPr>
    <w:rPr>
      <w:b/>
    </w:rPr>
  </w:style>
  <w:style w:type="character" w:customStyle="1" w:styleId="Heading3Char">
    <w:name w:val="Heading 3 Char"/>
    <w:basedOn w:val="DefaultParagraphFont"/>
    <w:link w:val="Heading3"/>
    <w:uiPriority w:val="99"/>
    <w:semiHidden/>
    <w:rsid w:val="00000067"/>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000067"/>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464097"/>
    <w:rPr>
      <w:rFonts w:asciiTheme="majorHAnsi" w:eastAsiaTheme="majorEastAsia" w:hAnsiTheme="majorHAnsi" w:cstheme="majorBidi"/>
      <w:b/>
      <w:bCs/>
      <w:color w:val="808080"/>
    </w:rPr>
  </w:style>
  <w:style w:type="character" w:styleId="SubtleEmphasis">
    <w:name w:val="Subtle Emphasis"/>
    <w:uiPriority w:val="99"/>
    <w:semiHidden/>
    <w:qFormat/>
    <w:rsid w:val="00464097"/>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464097"/>
    <w:pPr>
      <w:keepNext/>
      <w:keepLines/>
      <w:spacing w:before="720" w:after="240"/>
      <w:outlineLvl w:val="0"/>
    </w:pPr>
    <w:rPr>
      <w:rFonts w:asciiTheme="majorHAnsi" w:hAnsiTheme="majorHAnsi"/>
      <w:sz w:val="28"/>
    </w:rPr>
  </w:style>
  <w:style w:type="character" w:styleId="Emphasis">
    <w:name w:val="Emphasis"/>
    <w:uiPriority w:val="99"/>
    <w:semiHidden/>
    <w:qFormat/>
    <w:rsid w:val="00464097"/>
    <w:rPr>
      <w:b/>
      <w:bCs/>
      <w:i/>
      <w:iCs/>
      <w:spacing w:val="10"/>
      <w:bdr w:val="none" w:sz="0" w:space="0" w:color="auto"/>
      <w:shd w:val="clear" w:color="auto" w:fill="auto"/>
    </w:rPr>
  </w:style>
  <w:style w:type="paragraph" w:styleId="Footer">
    <w:name w:val="footer"/>
    <w:basedOn w:val="Normal"/>
    <w:link w:val="FooterChar"/>
    <w:uiPriority w:val="57"/>
    <w:semiHidden/>
    <w:rsid w:val="00000067"/>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000067"/>
    <w:rPr>
      <w:sz w:val="24"/>
    </w:rPr>
  </w:style>
  <w:style w:type="character" w:styleId="FootnoteReference">
    <w:name w:val="footnote reference"/>
    <w:basedOn w:val="DefaultParagraphFont"/>
    <w:uiPriority w:val="99"/>
    <w:semiHidden/>
    <w:rsid w:val="00000067"/>
    <w:rPr>
      <w:vertAlign w:val="superscript"/>
    </w:rPr>
  </w:style>
  <w:style w:type="paragraph" w:styleId="FootnoteText">
    <w:name w:val="footnote text"/>
    <w:basedOn w:val="Normal"/>
    <w:link w:val="FootnoteTextChar"/>
    <w:uiPriority w:val="99"/>
    <w:semiHidden/>
    <w:rsid w:val="00000067"/>
    <w:rPr>
      <w:sz w:val="20"/>
      <w:szCs w:val="20"/>
    </w:rPr>
  </w:style>
  <w:style w:type="character" w:customStyle="1" w:styleId="FootnoteTextChar">
    <w:name w:val="Footnote Text Char"/>
    <w:basedOn w:val="DefaultParagraphFont"/>
    <w:link w:val="FootnoteText"/>
    <w:uiPriority w:val="99"/>
    <w:semiHidden/>
    <w:rsid w:val="00000067"/>
    <w:rPr>
      <w:rFonts w:eastAsiaTheme="minorEastAsia"/>
      <w:sz w:val="20"/>
      <w:szCs w:val="20"/>
    </w:rPr>
  </w:style>
  <w:style w:type="character" w:customStyle="1" w:styleId="Heading6Char">
    <w:name w:val="Heading 6 Char"/>
    <w:basedOn w:val="DefaultParagraphFont"/>
    <w:link w:val="Heading6"/>
    <w:uiPriority w:val="99"/>
    <w:semiHidden/>
    <w:rsid w:val="00000067"/>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464097"/>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464097"/>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464097"/>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000067"/>
    <w:rPr>
      <w:color w:val="0072BC" w:themeColor="hyperlink"/>
      <w:u w:val="single"/>
    </w:rPr>
  </w:style>
  <w:style w:type="character" w:styleId="IntenseEmphasis">
    <w:name w:val="Intense Emphasis"/>
    <w:uiPriority w:val="99"/>
    <w:semiHidden/>
    <w:qFormat/>
    <w:rsid w:val="00464097"/>
    <w:rPr>
      <w:b/>
      <w:bCs/>
    </w:rPr>
  </w:style>
  <w:style w:type="paragraph" w:styleId="IntenseQuote">
    <w:name w:val="Intense Quote"/>
    <w:basedOn w:val="Normal"/>
    <w:next w:val="Normal"/>
    <w:link w:val="IntenseQuoteChar"/>
    <w:uiPriority w:val="99"/>
    <w:semiHidden/>
    <w:qFormat/>
    <w:rsid w:val="00464097"/>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464097"/>
    <w:rPr>
      <w:rFonts w:eastAsiaTheme="minorEastAsia"/>
      <w:b/>
      <w:bCs/>
      <w:i/>
      <w:iCs/>
      <w:lang w:bidi="en-US"/>
    </w:rPr>
  </w:style>
  <w:style w:type="character" w:styleId="IntenseReference">
    <w:name w:val="Intense Reference"/>
    <w:uiPriority w:val="99"/>
    <w:semiHidden/>
    <w:qFormat/>
    <w:rsid w:val="00464097"/>
    <w:rPr>
      <w:smallCaps/>
      <w:spacing w:val="5"/>
      <w:u w:val="single"/>
    </w:rPr>
  </w:style>
  <w:style w:type="paragraph" w:styleId="ListParagraph">
    <w:name w:val="List Paragraph"/>
    <w:basedOn w:val="Normal"/>
    <w:uiPriority w:val="99"/>
    <w:semiHidden/>
    <w:qFormat/>
    <w:rsid w:val="00464097"/>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464097"/>
    <w:pPr>
      <w:spacing w:before="200"/>
      <w:ind w:left="360" w:right="360"/>
    </w:pPr>
    <w:rPr>
      <w:i/>
      <w:iCs/>
      <w:sz w:val="22"/>
      <w:lang w:bidi="en-US"/>
    </w:rPr>
  </w:style>
  <w:style w:type="character" w:customStyle="1" w:styleId="QuoteChar">
    <w:name w:val="Quote Char"/>
    <w:basedOn w:val="DefaultParagraphFont"/>
    <w:link w:val="Quote"/>
    <w:uiPriority w:val="99"/>
    <w:semiHidden/>
    <w:rsid w:val="00464097"/>
    <w:rPr>
      <w:rFonts w:eastAsiaTheme="minorEastAsia"/>
      <w:i/>
      <w:iCs/>
      <w:lang w:bidi="en-US"/>
    </w:rPr>
  </w:style>
  <w:style w:type="character" w:styleId="SubtleReference">
    <w:name w:val="Subtle Reference"/>
    <w:uiPriority w:val="99"/>
    <w:semiHidden/>
    <w:qFormat/>
    <w:rsid w:val="00464097"/>
    <w:rPr>
      <w:smallCaps/>
    </w:rPr>
  </w:style>
  <w:style w:type="table" w:styleId="TableGrid">
    <w:name w:val="Table Grid"/>
    <w:basedOn w:val="TableNormal"/>
    <w:uiPriority w:val="59"/>
    <w:semiHidden/>
    <w:rsid w:val="00000067"/>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000067"/>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000067"/>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000067"/>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000067"/>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000067"/>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464097"/>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000067"/>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paragraph" w:customStyle="1" w:styleId="ECHRParaQuote">
    <w:name w:val="ECHR_Para_Quote"/>
    <w:aliases w:val="Ju_Quot"/>
    <w:basedOn w:val="Normal"/>
    <w:qFormat/>
    <w:rsid w:val="00464097"/>
    <w:pPr>
      <w:spacing w:before="120" w:after="120"/>
      <w:ind w:left="425" w:firstLine="142"/>
    </w:pPr>
    <w:rPr>
      <w:sz w:val="20"/>
    </w:rPr>
  </w:style>
  <w:style w:type="paragraph" w:customStyle="1" w:styleId="ECHRPara">
    <w:name w:val="ECHR_Para"/>
    <w:aliases w:val="Ju_Para,Para"/>
    <w:basedOn w:val="Normal"/>
    <w:link w:val="ECHRParaChar"/>
    <w:uiPriority w:val="12"/>
    <w:qFormat/>
    <w:rsid w:val="00464097"/>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000067"/>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464097"/>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464097"/>
    <w:pPr>
      <w:ind w:left="340" w:hanging="340"/>
    </w:pPr>
  </w:style>
  <w:style w:type="paragraph" w:customStyle="1" w:styleId="JuSigned">
    <w:name w:val="Ju_Signed"/>
    <w:basedOn w:val="Normal"/>
    <w:next w:val="JuParaLast"/>
    <w:uiPriority w:val="32"/>
    <w:qFormat/>
    <w:rsid w:val="00464097"/>
    <w:pPr>
      <w:tabs>
        <w:tab w:val="center" w:pos="851"/>
        <w:tab w:val="center" w:pos="6407"/>
      </w:tabs>
      <w:spacing w:before="720"/>
      <w:jc w:val="left"/>
    </w:pPr>
  </w:style>
  <w:style w:type="paragraph" w:customStyle="1" w:styleId="JuParaLast">
    <w:name w:val="Ju_Para_Last"/>
    <w:basedOn w:val="Normal"/>
    <w:next w:val="ECHRPara"/>
    <w:uiPriority w:val="30"/>
    <w:qFormat/>
    <w:rsid w:val="00464097"/>
    <w:pPr>
      <w:keepNext/>
      <w:keepLines/>
      <w:spacing w:before="240"/>
      <w:ind w:firstLine="284"/>
    </w:pPr>
  </w:style>
  <w:style w:type="paragraph" w:customStyle="1" w:styleId="JuCourt">
    <w:name w:val="Ju_Court"/>
    <w:basedOn w:val="Normal"/>
    <w:next w:val="Normal"/>
    <w:uiPriority w:val="16"/>
    <w:qFormat/>
    <w:rsid w:val="00464097"/>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464097"/>
    <w:pPr>
      <w:ind w:left="346" w:firstLine="0"/>
    </w:pPr>
  </w:style>
  <w:style w:type="paragraph" w:customStyle="1" w:styleId="JuListi">
    <w:name w:val="Ju_List_i"/>
    <w:basedOn w:val="Normal"/>
    <w:next w:val="JuLista"/>
    <w:uiPriority w:val="28"/>
    <w:qFormat/>
    <w:rsid w:val="00464097"/>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0">
    <w:name w:val="Ju_Names"/>
    <w:rsid w:val="00014566"/>
    <w:rPr>
      <w:smallCaps/>
    </w:rPr>
  </w:style>
  <w:style w:type="paragraph" w:styleId="ListBullet">
    <w:name w:val="List Bullet"/>
    <w:basedOn w:val="Normal"/>
    <w:uiPriority w:val="99"/>
    <w:semiHidden/>
    <w:rsid w:val="00014566"/>
    <w:pPr>
      <w:numPr>
        <w:numId w:val="1"/>
      </w:numPr>
    </w:pPr>
  </w:style>
  <w:style w:type="character" w:customStyle="1" w:styleId="JuITMark">
    <w:name w:val="Ju_ITMark"/>
    <w:basedOn w:val="DefaultParagraphFont"/>
    <w:uiPriority w:val="38"/>
    <w:qFormat/>
    <w:rsid w:val="00464097"/>
    <w:rPr>
      <w:vanish w:val="0"/>
      <w:color w:val="auto"/>
      <w:sz w:val="14"/>
      <w:bdr w:val="none" w:sz="0" w:space="0" w:color="auto"/>
      <w:shd w:val="clear" w:color="auto" w:fill="BEE5FF" w:themeFill="background1" w:themeFillTint="33"/>
    </w:rPr>
  </w:style>
  <w:style w:type="paragraph" w:styleId="Subtitle">
    <w:name w:val="Subtitle"/>
    <w:basedOn w:val="Normal"/>
    <w:next w:val="Normal"/>
    <w:link w:val="SubtitleChar"/>
    <w:uiPriority w:val="99"/>
    <w:semiHidden/>
    <w:qFormat/>
    <w:rsid w:val="00464097"/>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464097"/>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00067"/>
    <w:rPr>
      <w:color w:val="auto"/>
      <w:bdr w:val="none" w:sz="0" w:space="0" w:color="auto"/>
      <w:shd w:val="clear" w:color="auto" w:fill="DFDFDF" w:themeFill="background2" w:themeFillShade="E6"/>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00067"/>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000067"/>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Translation">
    <w:name w:val="Opi_Translation"/>
    <w:basedOn w:val="Normal"/>
    <w:next w:val="OpiPara"/>
    <w:uiPriority w:val="40"/>
    <w:qFormat/>
    <w:rsid w:val="00464097"/>
    <w:pPr>
      <w:jc w:val="center"/>
      <w:outlineLvl w:val="0"/>
    </w:pPr>
    <w:rPr>
      <w:i/>
    </w:rPr>
  </w:style>
  <w:style w:type="paragraph" w:customStyle="1" w:styleId="DecHTitle">
    <w:name w:val="Dec_H_Title"/>
    <w:basedOn w:val="ECHRTitleCentre1"/>
    <w:uiPriority w:val="7"/>
    <w:qFormat/>
    <w:rsid w:val="00464097"/>
  </w:style>
  <w:style w:type="paragraph" w:customStyle="1" w:styleId="DecList">
    <w:name w:val="Dec_List"/>
    <w:basedOn w:val="Normal"/>
    <w:uiPriority w:val="9"/>
    <w:qFormat/>
    <w:rsid w:val="00464097"/>
    <w:pPr>
      <w:spacing w:before="240"/>
      <w:ind w:left="284"/>
    </w:pPr>
  </w:style>
  <w:style w:type="paragraph" w:customStyle="1" w:styleId="OpiH1">
    <w:name w:val="Opi_H_1"/>
    <w:basedOn w:val="ECHRHeading2"/>
    <w:uiPriority w:val="42"/>
    <w:qFormat/>
    <w:rsid w:val="00464097"/>
    <w:pPr>
      <w:ind w:left="635" w:hanging="357"/>
      <w:outlineLvl w:val="2"/>
    </w:pPr>
  </w:style>
  <w:style w:type="paragraph" w:customStyle="1" w:styleId="OpiHa0">
    <w:name w:val="Opi_H_a"/>
    <w:basedOn w:val="ECHRHeading3"/>
    <w:uiPriority w:val="43"/>
    <w:qFormat/>
    <w:rsid w:val="00464097"/>
    <w:pPr>
      <w:ind w:left="833" w:hanging="357"/>
      <w:outlineLvl w:val="3"/>
    </w:pPr>
    <w:rPr>
      <w:b/>
      <w:i w:val="0"/>
      <w:sz w:val="20"/>
    </w:rPr>
  </w:style>
  <w:style w:type="paragraph" w:customStyle="1" w:styleId="OpiHi">
    <w:name w:val="Opi_H_i"/>
    <w:basedOn w:val="ECHRHeading4"/>
    <w:uiPriority w:val="44"/>
    <w:qFormat/>
    <w:rsid w:val="00464097"/>
    <w:pPr>
      <w:ind w:left="1037" w:hanging="357"/>
      <w:outlineLvl w:val="4"/>
    </w:pPr>
    <w:rPr>
      <w:b w:val="0"/>
      <w:i/>
    </w:rPr>
  </w:style>
  <w:style w:type="paragraph" w:customStyle="1" w:styleId="DummyStyle">
    <w:name w:val="Dummy_Style"/>
    <w:basedOn w:val="Normal"/>
    <w:semiHidden/>
    <w:qFormat/>
    <w:rsid w:val="00464097"/>
    <w:rPr>
      <w:color w:val="00B050"/>
    </w:rPr>
  </w:style>
  <w:style w:type="paragraph" w:customStyle="1" w:styleId="JuHeaderLandscape">
    <w:name w:val="Ju_Header_Landscape"/>
    <w:basedOn w:val="ECHRHeader"/>
    <w:uiPriority w:val="4"/>
    <w:qFormat/>
    <w:rsid w:val="00464097"/>
    <w:pPr>
      <w:tabs>
        <w:tab w:val="clear" w:pos="3686"/>
        <w:tab w:val="clear" w:pos="7371"/>
        <w:tab w:val="center" w:pos="6146"/>
        <w:tab w:val="right" w:pos="12293"/>
      </w:tabs>
    </w:pPr>
  </w:style>
  <w:style w:type="character" w:customStyle="1" w:styleId="ECHRParaChar">
    <w:name w:val="ECHR_Para Char"/>
    <w:aliases w:val="Ju_Para Char"/>
    <w:basedOn w:val="DefaultParagraphFont"/>
    <w:link w:val="ECHRPara"/>
    <w:uiPriority w:val="12"/>
    <w:rsid w:val="00ED728A"/>
    <w:rPr>
      <w:rFonts w:eastAsiaTheme="minorEastAsia"/>
      <w:sz w:val="24"/>
    </w:rPr>
  </w:style>
  <w:style w:type="character" w:customStyle="1" w:styleId="JuParaCar">
    <w:name w:val="Ju_Para Car"/>
    <w:uiPriority w:val="12"/>
    <w:rsid w:val="00BB6B08"/>
    <w:rPr>
      <w:rFonts w:eastAsiaTheme="minorEastAsia"/>
      <w:sz w:val="24"/>
    </w:rPr>
  </w:style>
  <w:style w:type="character" w:customStyle="1" w:styleId="CLLItalic">
    <w:name w:val="CLL_Italic"/>
    <w:basedOn w:val="DefaultParagraphFont"/>
    <w:uiPriority w:val="1"/>
    <w:rsid w:val="00DC03D4"/>
    <w:rPr>
      <w:i/>
      <w:iCs/>
      <w:color w:val="auto"/>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89209">
      <w:bodyDiv w:val="1"/>
      <w:marLeft w:val="390"/>
      <w:marRight w:val="390"/>
      <w:marTop w:val="0"/>
      <w:marBottom w:val="0"/>
      <w:divBdr>
        <w:top w:val="none" w:sz="0" w:space="0" w:color="auto"/>
        <w:left w:val="none" w:sz="0" w:space="0" w:color="auto"/>
        <w:bottom w:val="none" w:sz="0" w:space="0" w:color="auto"/>
        <w:right w:val="none" w:sz="0" w:space="0" w:color="auto"/>
      </w:divBdr>
    </w:div>
    <w:div w:id="971401400">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1843354161">
      <w:bodyDiv w:val="1"/>
      <w:marLeft w:val="0"/>
      <w:marRight w:val="0"/>
      <w:marTop w:val="0"/>
      <w:marBottom w:val="0"/>
      <w:divBdr>
        <w:top w:val="none" w:sz="0" w:space="0" w:color="auto"/>
        <w:left w:val="none" w:sz="0" w:space="0" w:color="auto"/>
        <w:bottom w:val="none" w:sz="0" w:space="0" w:color="auto"/>
        <w:right w:val="none" w:sz="0" w:space="0" w:color="auto"/>
      </w:divBdr>
      <w:divsChild>
        <w:div w:id="432290339">
          <w:marLeft w:val="0"/>
          <w:marRight w:val="0"/>
          <w:marTop w:val="0"/>
          <w:marBottom w:val="0"/>
          <w:divBdr>
            <w:top w:val="none" w:sz="0" w:space="0" w:color="auto"/>
            <w:left w:val="none" w:sz="0" w:space="0" w:color="auto"/>
            <w:bottom w:val="none" w:sz="0" w:space="0" w:color="auto"/>
            <w:right w:val="none" w:sz="0" w:space="0" w:color="auto"/>
          </w:divBdr>
          <w:divsChild>
            <w:div w:id="1040008881">
              <w:marLeft w:val="0"/>
              <w:marRight w:val="0"/>
              <w:marTop w:val="0"/>
              <w:marBottom w:val="0"/>
              <w:divBdr>
                <w:top w:val="none" w:sz="0" w:space="0" w:color="auto"/>
                <w:left w:val="none" w:sz="0" w:space="0" w:color="auto"/>
                <w:bottom w:val="none" w:sz="0" w:space="0" w:color="auto"/>
                <w:right w:val="none" w:sz="0" w:space="0" w:color="auto"/>
              </w:divBdr>
              <w:divsChild>
                <w:div w:id="848451772">
                  <w:marLeft w:val="0"/>
                  <w:marRight w:val="0"/>
                  <w:marTop w:val="0"/>
                  <w:marBottom w:val="0"/>
                  <w:divBdr>
                    <w:top w:val="none" w:sz="0" w:space="0" w:color="auto"/>
                    <w:left w:val="none" w:sz="0" w:space="0" w:color="auto"/>
                    <w:bottom w:val="none" w:sz="0" w:space="0" w:color="auto"/>
                    <w:right w:val="none" w:sz="0" w:space="0" w:color="auto"/>
                  </w:divBdr>
                  <w:divsChild>
                    <w:div w:id="192691082">
                      <w:marLeft w:val="0"/>
                      <w:marRight w:val="0"/>
                      <w:marTop w:val="0"/>
                      <w:marBottom w:val="0"/>
                      <w:divBdr>
                        <w:top w:val="none" w:sz="0" w:space="0" w:color="auto"/>
                        <w:left w:val="none" w:sz="0" w:space="0" w:color="auto"/>
                        <w:bottom w:val="none" w:sz="0" w:space="0" w:color="auto"/>
                        <w:right w:val="none" w:sz="0" w:space="0" w:color="auto"/>
                      </w:divBdr>
                      <w:divsChild>
                        <w:div w:id="613171525">
                          <w:marLeft w:val="0"/>
                          <w:marRight w:val="0"/>
                          <w:marTop w:val="0"/>
                          <w:marBottom w:val="0"/>
                          <w:divBdr>
                            <w:top w:val="none" w:sz="0" w:space="0" w:color="auto"/>
                            <w:left w:val="none" w:sz="0" w:space="0" w:color="auto"/>
                            <w:bottom w:val="none" w:sz="0" w:space="0" w:color="auto"/>
                            <w:right w:val="none" w:sz="0" w:space="0" w:color="auto"/>
                          </w:divBdr>
                          <w:divsChild>
                            <w:div w:id="4284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14407">
      <w:bodyDiv w:val="1"/>
      <w:marLeft w:val="0"/>
      <w:marRight w:val="0"/>
      <w:marTop w:val="0"/>
      <w:marBottom w:val="0"/>
      <w:divBdr>
        <w:top w:val="none" w:sz="0" w:space="0" w:color="auto"/>
        <w:left w:val="none" w:sz="0" w:space="0" w:color="auto"/>
        <w:bottom w:val="none" w:sz="0" w:space="0" w:color="auto"/>
        <w:right w:val="none" w:sz="0" w:space="0" w:color="auto"/>
      </w:divBdr>
      <w:divsChild>
        <w:div w:id="185103998">
          <w:marLeft w:val="0"/>
          <w:marRight w:val="0"/>
          <w:marTop w:val="0"/>
          <w:marBottom w:val="0"/>
          <w:divBdr>
            <w:top w:val="none" w:sz="0" w:space="0" w:color="auto"/>
            <w:left w:val="none" w:sz="0" w:space="0" w:color="auto"/>
            <w:bottom w:val="none" w:sz="0" w:space="0" w:color="auto"/>
            <w:right w:val="none" w:sz="0" w:space="0" w:color="auto"/>
          </w:divBdr>
          <w:divsChild>
            <w:div w:id="708379465">
              <w:marLeft w:val="0"/>
              <w:marRight w:val="0"/>
              <w:marTop w:val="0"/>
              <w:marBottom w:val="0"/>
              <w:divBdr>
                <w:top w:val="none" w:sz="0" w:space="0" w:color="auto"/>
                <w:left w:val="none" w:sz="0" w:space="0" w:color="auto"/>
                <w:bottom w:val="none" w:sz="0" w:space="0" w:color="auto"/>
                <w:right w:val="none" w:sz="0" w:space="0" w:color="auto"/>
              </w:divBdr>
              <w:divsChild>
                <w:div w:id="1403285239">
                  <w:marLeft w:val="0"/>
                  <w:marRight w:val="0"/>
                  <w:marTop w:val="0"/>
                  <w:marBottom w:val="0"/>
                  <w:divBdr>
                    <w:top w:val="none" w:sz="0" w:space="0" w:color="auto"/>
                    <w:left w:val="none" w:sz="0" w:space="0" w:color="auto"/>
                    <w:bottom w:val="none" w:sz="0" w:space="0" w:color="auto"/>
                    <w:right w:val="none" w:sz="0" w:space="0" w:color="auto"/>
                  </w:divBdr>
                  <w:divsChild>
                    <w:div w:id="1531647940">
                      <w:marLeft w:val="0"/>
                      <w:marRight w:val="0"/>
                      <w:marTop w:val="0"/>
                      <w:marBottom w:val="0"/>
                      <w:divBdr>
                        <w:top w:val="none" w:sz="0" w:space="0" w:color="auto"/>
                        <w:left w:val="none" w:sz="0" w:space="0" w:color="auto"/>
                        <w:bottom w:val="none" w:sz="0" w:space="0" w:color="auto"/>
                        <w:right w:val="none" w:sz="0" w:space="0" w:color="auto"/>
                      </w:divBdr>
                      <w:divsChild>
                        <w:div w:id="1117604311">
                          <w:marLeft w:val="0"/>
                          <w:marRight w:val="0"/>
                          <w:marTop w:val="0"/>
                          <w:marBottom w:val="0"/>
                          <w:divBdr>
                            <w:top w:val="none" w:sz="0" w:space="0" w:color="auto"/>
                            <w:left w:val="none" w:sz="0" w:space="0" w:color="auto"/>
                            <w:bottom w:val="none" w:sz="0" w:space="0" w:color="auto"/>
                            <w:right w:val="none" w:sz="0" w:space="0" w:color="auto"/>
                          </w:divBdr>
                          <w:divsChild>
                            <w:div w:id="4255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udoc.echr.coe.int/eng"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hudoc.echr.coe.int/eng"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hudoc.echr.coe.int/eng" TargetMode="External"/><Relationship Id="rId2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48E609-9D3B-4EC5-9B31-39BFF082A159}"/>
</file>

<file path=customXml/itemProps2.xml><?xml version="1.0" encoding="utf-8"?>
<ds:datastoreItem xmlns:ds="http://schemas.openxmlformats.org/officeDocument/2006/customXml" ds:itemID="{930D9506-B7B7-4A57-A16B-7B0408B1B810}"/>
</file>

<file path=customXml/itemProps3.xml><?xml version="1.0" encoding="utf-8"?>
<ds:datastoreItem xmlns:ds="http://schemas.openxmlformats.org/officeDocument/2006/customXml" ds:itemID="{D0B2D60E-99F2-434F-AC8B-9539E32C40AA}"/>
</file>

<file path=customXml/itemProps4.xml><?xml version="1.0" encoding="utf-8"?>
<ds:datastoreItem xmlns:ds="http://schemas.openxmlformats.org/officeDocument/2006/customXml" ds:itemID="{CCD8E67B-B19B-495C-BAFF-9DBADEB24CD6}"/>
</file>

<file path=docProps/app.xml><?xml version="1.0" encoding="utf-8"?>
<Properties xmlns="http://schemas.openxmlformats.org/officeDocument/2006/extended-properties" xmlns:vt="http://schemas.openxmlformats.org/officeDocument/2006/docPropsVTypes">
  <Template>Normal.dotm</Template>
  <TotalTime>0</TotalTime>
  <Pages>1</Pages>
  <Words>12571</Words>
  <Characters>71658</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84061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2017-11-20T14:13:00Z</dcterms:created>
  <dcterms:modified xsi:type="dcterms:W3CDTF">2017-11-20T14:13:00Z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51362/09</vt:lpwstr>
  </property>
  <property fmtid="{D5CDD505-2E9C-101B-9397-08002B2CF9AE}" pid="4" name="CASEID">
    <vt:lpwstr>597587</vt:lpwstr>
  </property>
  <property fmtid="{D5CDD505-2E9C-101B-9397-08002B2CF9AE}" pid="5" name="ContentTypeId">
    <vt:lpwstr>0x010100558EB02BDB9E204AB350EDD385B68E10</vt:lpwstr>
  </property>
</Properties>
</file>