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1DE01" w14:textId="7DA650AA" w:rsidR="00C25C34" w:rsidRPr="00C061E1" w:rsidRDefault="003870E0">
      <w:pPr>
        <w:spacing w:after="205"/>
        <w:ind w:left="414"/>
        <w:rPr>
          <w:rFonts w:ascii="宋体" w:eastAsia="宋体" w:hAnsi="宋体"/>
        </w:rPr>
      </w:pPr>
      <w:r w:rsidRPr="00C061E1">
        <w:rPr>
          <w:rFonts w:ascii="宋体" w:eastAsia="宋体" w:hAnsi="宋体" w:cs="宋体"/>
          <w:sz w:val="34"/>
        </w:rPr>
        <w:t>底盘</w:t>
      </w:r>
      <w:r w:rsidR="00C061E1" w:rsidRPr="00C061E1">
        <w:rPr>
          <w:rFonts w:ascii="宋体" w:eastAsia="宋体" w:hAnsi="宋体" w:cs="Times New Roman"/>
          <w:sz w:val="34"/>
        </w:rPr>
        <w:softHyphen/>
      </w:r>
      <w:r w:rsidR="00C061E1" w:rsidRPr="00C061E1">
        <w:rPr>
          <w:rFonts w:ascii="宋体" w:eastAsia="宋体" w:hAnsi="宋体" w:cs="Times New Roman"/>
          <w:sz w:val="34"/>
        </w:rPr>
        <w:softHyphen/>
      </w:r>
      <w:r w:rsidR="00C061E1" w:rsidRPr="00C061E1">
        <w:rPr>
          <w:rFonts w:ascii="宋体" w:eastAsia="宋体" w:hAnsi="宋体" w:cs="Times New Roman" w:hint="eastAsia"/>
          <w:sz w:val="34"/>
        </w:rPr>
        <w:t>—</w:t>
      </w:r>
      <w:r w:rsidRPr="00C061E1">
        <w:rPr>
          <w:rFonts w:ascii="宋体" w:eastAsia="宋体" w:hAnsi="宋体" w:cs="宋体"/>
          <w:sz w:val="34"/>
        </w:rPr>
        <w:t>线路耦合：合成基因回路设计新挑战</w:t>
      </w:r>
    </w:p>
    <w:p w14:paraId="6BD9FD29" w14:textId="73058576" w:rsidR="007833DB" w:rsidRDefault="00713BF0">
      <w:pPr>
        <w:spacing w:after="128"/>
        <w:ind w:right="42"/>
        <w:jc w:val="center"/>
        <w:rPr>
          <w:rFonts w:ascii="KaiTi" w:eastAsia="KaiTi" w:hAnsi="KaiTi" w:cs="KaiTi"/>
          <w:sz w:val="24"/>
        </w:rPr>
      </w:pPr>
      <w:r>
        <w:rPr>
          <w:rFonts w:ascii="KaiTi" w:eastAsia="KaiTi" w:hAnsi="KaiTi" w:cs="KaiTi" w:hint="eastAsia"/>
          <w:sz w:val="24"/>
        </w:rPr>
        <w:t>储攀</w:t>
      </w:r>
      <w:r w:rsidR="00F947A4" w:rsidRPr="00F947A4">
        <w:rPr>
          <w:rFonts w:ascii="KaiTi" w:eastAsia="KaiTi" w:hAnsi="KaiTi" w:cs="KaiTi" w:hint="eastAsia"/>
          <w:sz w:val="24"/>
          <w:vertAlign w:val="superscript"/>
        </w:rPr>
        <w:t>1，2</w:t>
      </w:r>
      <w:r w:rsidR="00CE78F3" w:rsidRPr="00CE78F3">
        <w:rPr>
          <w:rFonts w:ascii="KaiTi" w:eastAsia="KaiTi" w:hAnsi="KaiTi" w:cs="KaiTi" w:hint="eastAsia"/>
          <w:sz w:val="24"/>
          <w:vertAlign w:val="superscript"/>
        </w:rPr>
        <w:t>#</w:t>
      </w:r>
      <w:r>
        <w:rPr>
          <w:rFonts w:ascii="KaiTi" w:eastAsia="KaiTi" w:hAnsi="KaiTi" w:cs="KaiTi" w:hint="eastAsia"/>
          <w:sz w:val="24"/>
        </w:rPr>
        <w:t>，</w:t>
      </w:r>
      <w:r w:rsidR="00CC17AC">
        <w:rPr>
          <w:rFonts w:ascii="KaiTi" w:eastAsia="KaiTi" w:hAnsi="KaiTi" w:cs="KaiTi" w:hint="eastAsia"/>
          <w:sz w:val="24"/>
        </w:rPr>
        <w:t>朱静雯</w:t>
      </w:r>
      <w:r w:rsidR="00F947A4" w:rsidRPr="00F947A4">
        <w:rPr>
          <w:rFonts w:ascii="KaiTi" w:eastAsia="KaiTi" w:hAnsi="KaiTi" w:cs="KaiTi" w:hint="eastAsia"/>
          <w:sz w:val="24"/>
          <w:vertAlign w:val="superscript"/>
        </w:rPr>
        <w:t>1</w:t>
      </w:r>
      <w:r w:rsidR="00CE78F3" w:rsidRPr="00CE78F3">
        <w:rPr>
          <w:rFonts w:ascii="KaiTi" w:eastAsia="KaiTi" w:hAnsi="KaiTi" w:cs="KaiTi" w:hint="eastAsia"/>
          <w:sz w:val="24"/>
          <w:vertAlign w:val="superscript"/>
        </w:rPr>
        <w:t>#</w:t>
      </w:r>
      <w:r w:rsidR="00CC17AC">
        <w:rPr>
          <w:rFonts w:ascii="KaiTi" w:eastAsia="KaiTi" w:hAnsi="KaiTi" w:cs="KaiTi" w:hint="eastAsia"/>
          <w:sz w:val="24"/>
        </w:rPr>
        <w:t>，</w:t>
      </w:r>
      <w:r w:rsidR="0064490D">
        <w:rPr>
          <w:rFonts w:ascii="KaiTi" w:eastAsia="KaiTi" w:hAnsi="KaiTi" w:cs="KaiTi" w:hint="eastAsia"/>
          <w:sz w:val="24"/>
        </w:rPr>
        <w:t>黄文琦</w:t>
      </w:r>
      <w:r w:rsidR="00F947A4" w:rsidRPr="00F947A4">
        <w:rPr>
          <w:rFonts w:ascii="KaiTi" w:eastAsia="KaiTi" w:hAnsi="KaiTi" w:cs="KaiTi" w:hint="eastAsia"/>
          <w:sz w:val="24"/>
          <w:vertAlign w:val="superscript"/>
        </w:rPr>
        <w:t>1，2</w:t>
      </w:r>
      <w:r w:rsidR="00CE78F3" w:rsidRPr="00CE78F3">
        <w:rPr>
          <w:rFonts w:ascii="KaiTi" w:eastAsia="KaiTi" w:hAnsi="KaiTi" w:cs="KaiTi" w:hint="eastAsia"/>
          <w:sz w:val="24"/>
          <w:vertAlign w:val="superscript"/>
        </w:rPr>
        <w:t>#</w:t>
      </w:r>
      <w:r w:rsidR="0064490D">
        <w:rPr>
          <w:rFonts w:ascii="KaiTi" w:eastAsia="KaiTi" w:hAnsi="KaiTi" w:cs="KaiTi" w:hint="eastAsia"/>
          <w:sz w:val="24"/>
        </w:rPr>
        <w:t>，</w:t>
      </w:r>
      <w:r w:rsidR="007833DB">
        <w:rPr>
          <w:rFonts w:ascii="KaiTi" w:eastAsia="KaiTi" w:hAnsi="KaiTi" w:cs="KaiTi" w:hint="eastAsia"/>
          <w:sz w:val="24"/>
        </w:rPr>
        <w:t>傅雄飞</w:t>
      </w:r>
      <w:r w:rsidR="00F947A4" w:rsidRPr="00F947A4">
        <w:rPr>
          <w:rFonts w:ascii="KaiTi" w:eastAsia="KaiTi" w:hAnsi="KaiTi" w:cs="KaiTi" w:hint="eastAsia"/>
          <w:sz w:val="24"/>
          <w:vertAlign w:val="superscript"/>
        </w:rPr>
        <w:t>1</w:t>
      </w:r>
      <w:r w:rsidR="00997773">
        <w:rPr>
          <w:rStyle w:val="ac"/>
          <w:rFonts w:ascii="KaiTi" w:eastAsia="KaiTi" w:hAnsi="KaiTi" w:cs="KaiTi"/>
          <w:sz w:val="24"/>
        </w:rPr>
        <w:footnoteReference w:customMarkFollows="1" w:id="1"/>
        <w:t>*</w:t>
      </w:r>
    </w:p>
    <w:p w14:paraId="2A6E3C69" w14:textId="32FEAFF9" w:rsidR="00C25C34" w:rsidRDefault="00D15FD4" w:rsidP="00CE78F3">
      <w:pPr>
        <w:spacing w:after="128"/>
        <w:ind w:right="42"/>
        <w:jc w:val="center"/>
        <w:rPr>
          <w:rFonts w:ascii="宋体" w:eastAsia="宋体" w:hAnsi="宋体" w:cs="宋体"/>
          <w:sz w:val="18"/>
        </w:rPr>
      </w:pPr>
      <w:r>
        <w:rPr>
          <w:rFonts w:ascii="宋体" w:eastAsia="宋体" w:hAnsi="宋体" w:cs="宋体" w:hint="eastAsia"/>
          <w:sz w:val="18"/>
        </w:rPr>
        <w:t>1</w:t>
      </w:r>
      <w:r>
        <w:rPr>
          <w:rFonts w:ascii="宋体" w:eastAsia="宋体" w:hAnsi="宋体" w:cs="宋体"/>
          <w:sz w:val="18"/>
        </w:rPr>
        <w:t>.</w:t>
      </w:r>
      <w:r w:rsidR="0043185C">
        <w:rPr>
          <w:rFonts w:ascii="宋体" w:eastAsia="宋体" w:hAnsi="宋体" w:cs="宋体" w:hint="eastAsia"/>
          <w:sz w:val="18"/>
        </w:rPr>
        <w:t>中国科学院先进技术研究院合成生物学研究所</w:t>
      </w:r>
    </w:p>
    <w:p w14:paraId="28C1E9FA" w14:textId="1A82AEE3" w:rsidR="00824B1A" w:rsidRPr="00824B1A" w:rsidRDefault="00D15FD4" w:rsidP="00CE78F3">
      <w:pPr>
        <w:spacing w:after="128"/>
        <w:ind w:right="42"/>
        <w:jc w:val="center"/>
        <w:rPr>
          <w:rFonts w:ascii="宋体" w:eastAsia="宋体" w:hAnsi="宋体" w:cs="宋体"/>
          <w:sz w:val="18"/>
        </w:rPr>
      </w:pPr>
      <w:r>
        <w:rPr>
          <w:rFonts w:ascii="宋体" w:eastAsia="宋体" w:hAnsi="宋体" w:cs="宋体" w:hint="eastAsia"/>
          <w:sz w:val="18"/>
        </w:rPr>
        <w:t>2</w:t>
      </w:r>
      <w:r>
        <w:rPr>
          <w:rFonts w:ascii="宋体" w:eastAsia="宋体" w:hAnsi="宋体" w:cs="宋体"/>
          <w:sz w:val="18"/>
        </w:rPr>
        <w:t>.</w:t>
      </w:r>
      <w:r w:rsidR="00824B1A" w:rsidRPr="00824B1A">
        <w:rPr>
          <w:rFonts w:ascii="宋体" w:eastAsia="宋体" w:hAnsi="宋体" w:cs="宋体" w:hint="eastAsia"/>
          <w:sz w:val="18"/>
        </w:rPr>
        <w:t>中国科学院大学</w:t>
      </w:r>
    </w:p>
    <w:p w14:paraId="19A4D23B" w14:textId="29665321" w:rsidR="00C25C34" w:rsidRDefault="003870E0" w:rsidP="003870E0">
      <w:pPr>
        <w:spacing w:after="0" w:line="290" w:lineRule="auto"/>
        <w:ind w:left="278" w:hanging="10"/>
      </w:pPr>
      <w:r>
        <w:rPr>
          <w:rFonts w:ascii="黑体" w:eastAsia="黑体" w:hAnsi="黑体" w:cs="黑体"/>
          <w:sz w:val="20"/>
        </w:rPr>
        <w:t>摘 要：</w:t>
      </w:r>
      <w:r>
        <w:rPr>
          <w:rFonts w:ascii="宋体" w:eastAsia="宋体" w:hAnsi="宋体" w:cs="宋体"/>
          <w:sz w:val="18"/>
        </w:rPr>
        <w:t>随着合成基因回路</w:t>
      </w:r>
      <w:r w:rsidR="00D81526">
        <w:rPr>
          <w:rFonts w:ascii="宋体" w:eastAsia="宋体" w:hAnsi="宋体" w:cs="宋体" w:hint="eastAsia"/>
          <w:sz w:val="18"/>
        </w:rPr>
        <w:t>的复杂程度日益增加</w:t>
      </w:r>
      <w:r>
        <w:rPr>
          <w:rFonts w:ascii="宋体" w:eastAsia="宋体" w:hAnsi="宋体" w:cs="宋体"/>
          <w:sz w:val="18"/>
        </w:rPr>
        <w:t>，</w:t>
      </w:r>
      <w:bookmarkStart w:id="0" w:name="_GoBack"/>
      <w:bookmarkEnd w:id="0"/>
      <w:r>
        <w:rPr>
          <w:rFonts w:ascii="宋体" w:eastAsia="宋体" w:hAnsi="宋体" w:cs="宋体"/>
          <w:sz w:val="18"/>
        </w:rPr>
        <w:t>基因回路行为变得难以预测。</w:t>
      </w:r>
      <w:r w:rsidR="005A57BD">
        <w:rPr>
          <w:rFonts w:ascii="宋体" w:eastAsia="宋体" w:hAnsi="宋体" w:cs="宋体" w:hint="eastAsia"/>
          <w:sz w:val="18"/>
        </w:rPr>
        <w:t>传统的基因线路设计框架注重于线路内部参数的调试，通过大量的</w:t>
      </w:r>
      <w:r w:rsidR="00515C27">
        <w:rPr>
          <w:rFonts w:ascii="宋体" w:eastAsia="宋体" w:hAnsi="宋体" w:cs="宋体" w:hint="eastAsia"/>
          <w:sz w:val="18"/>
        </w:rPr>
        <w:t>试错，</w:t>
      </w:r>
      <w:r w:rsidR="005A57BD">
        <w:rPr>
          <w:rFonts w:ascii="宋体" w:eastAsia="宋体" w:hAnsi="宋体" w:cs="宋体" w:hint="eastAsia"/>
          <w:sz w:val="18"/>
        </w:rPr>
        <w:t>使回路达到次优化</w:t>
      </w:r>
      <w:r w:rsidR="00C23737">
        <w:rPr>
          <w:rFonts w:ascii="宋体" w:eastAsia="宋体" w:hAnsi="宋体" w:cs="宋体" w:hint="eastAsia"/>
          <w:sz w:val="18"/>
        </w:rPr>
        <w:t>。</w:t>
      </w:r>
      <w:r w:rsidR="00122571">
        <w:rPr>
          <w:rFonts w:ascii="宋体" w:eastAsia="宋体" w:hAnsi="宋体" w:cs="宋体" w:hint="eastAsia"/>
          <w:sz w:val="18"/>
        </w:rPr>
        <w:t>近年来</w:t>
      </w:r>
      <w:r w:rsidR="00FF6242">
        <w:rPr>
          <w:rFonts w:ascii="宋体" w:eastAsia="宋体" w:hAnsi="宋体" w:cs="宋体" w:hint="eastAsia"/>
          <w:sz w:val="18"/>
        </w:rPr>
        <w:t>，</w:t>
      </w:r>
      <w:r w:rsidR="00122571">
        <w:rPr>
          <w:rFonts w:ascii="宋体" w:eastAsia="宋体" w:hAnsi="宋体" w:cs="宋体" w:hint="eastAsia"/>
          <w:sz w:val="18"/>
        </w:rPr>
        <w:t>大量工作表明</w:t>
      </w:r>
      <w:r>
        <w:rPr>
          <w:rFonts w:ascii="宋体" w:eastAsia="宋体" w:hAnsi="宋体" w:cs="宋体"/>
          <w:sz w:val="18"/>
        </w:rPr>
        <w:t>，基因回路和底盘细胞存在难以避免的耦合，而这种相互作用往往导致了底盘细胞生理状态的改变并影响回路功能。</w:t>
      </w:r>
      <w:r w:rsidR="00AD4F71">
        <w:rPr>
          <w:rFonts w:ascii="宋体" w:eastAsia="宋体" w:hAnsi="宋体" w:cs="宋体" w:hint="eastAsia"/>
          <w:sz w:val="18"/>
        </w:rPr>
        <w:t>因此，将底盘细胞</w:t>
      </w:r>
      <w:r w:rsidR="00A53E48">
        <w:rPr>
          <w:rFonts w:ascii="宋体" w:eastAsia="宋体" w:hAnsi="宋体" w:cs="宋体" w:hint="eastAsia"/>
          <w:sz w:val="18"/>
        </w:rPr>
        <w:t>生理参数纳入到</w:t>
      </w:r>
      <w:r w:rsidR="00FD4563">
        <w:rPr>
          <w:rFonts w:ascii="宋体" w:eastAsia="宋体" w:hAnsi="宋体" w:cs="宋体" w:hint="eastAsia"/>
          <w:sz w:val="18"/>
        </w:rPr>
        <w:t>基因线路的设计框架中</w:t>
      </w:r>
      <w:r w:rsidR="00C31ECD">
        <w:rPr>
          <w:rFonts w:ascii="宋体" w:eastAsia="宋体" w:hAnsi="宋体" w:cs="宋体" w:hint="eastAsia"/>
          <w:sz w:val="18"/>
        </w:rPr>
        <w:t>将有可能提高</w:t>
      </w:r>
      <w:r w:rsidR="00082AE0">
        <w:rPr>
          <w:rFonts w:ascii="宋体" w:eastAsia="宋体" w:hAnsi="宋体" w:cs="宋体" w:hint="eastAsia"/>
          <w:sz w:val="18"/>
        </w:rPr>
        <w:t>基因线路设计的可预测性。</w:t>
      </w:r>
      <w:r>
        <w:rPr>
          <w:rFonts w:ascii="宋体" w:eastAsia="宋体" w:hAnsi="宋体" w:cs="宋体"/>
          <w:sz w:val="18"/>
        </w:rPr>
        <w:t>本文</w:t>
      </w:r>
      <w:r w:rsidR="000B16A3">
        <w:rPr>
          <w:rFonts w:ascii="宋体" w:eastAsia="宋体" w:hAnsi="宋体" w:cs="宋体" w:hint="eastAsia"/>
          <w:sz w:val="18"/>
        </w:rPr>
        <w:t>回顾</w:t>
      </w:r>
      <w:r>
        <w:rPr>
          <w:rFonts w:ascii="宋体" w:eastAsia="宋体" w:hAnsi="宋体" w:cs="宋体"/>
          <w:sz w:val="18"/>
        </w:rPr>
        <w:t>了原核底盘细胞与基因回路耦合的作用机制以及相关的定量工作</w:t>
      </w:r>
      <w:r w:rsidR="00B50F3B">
        <w:rPr>
          <w:rFonts w:ascii="宋体" w:eastAsia="宋体" w:hAnsi="宋体" w:cs="宋体" w:hint="eastAsia"/>
          <w:sz w:val="18"/>
        </w:rPr>
        <w:t>，</w:t>
      </w:r>
      <w:r>
        <w:rPr>
          <w:rFonts w:ascii="宋体" w:eastAsia="宋体" w:hAnsi="宋体" w:cs="宋体"/>
          <w:sz w:val="18"/>
        </w:rPr>
        <w:t>并进一步介绍了通过建立数理模型和正交化、模块化等手段预测或减轻两者之间耦合效应的相关研究进展。</w:t>
      </w:r>
    </w:p>
    <w:p w14:paraId="6321F20E" w14:textId="2DE62E06" w:rsidR="00C25C34" w:rsidRDefault="003870E0">
      <w:pPr>
        <w:spacing w:after="86" w:line="290" w:lineRule="auto"/>
        <w:ind w:left="278" w:hanging="10"/>
      </w:pPr>
      <w:r>
        <w:rPr>
          <w:rFonts w:ascii="黑体" w:eastAsia="黑体" w:hAnsi="黑体" w:cs="黑体"/>
          <w:sz w:val="21"/>
        </w:rPr>
        <w:t>关键词：</w:t>
      </w:r>
      <w:r>
        <w:rPr>
          <w:rFonts w:ascii="宋体" w:eastAsia="宋体" w:hAnsi="宋体" w:cs="宋体"/>
          <w:sz w:val="18"/>
        </w:rPr>
        <w:t>合成生物学；底盘细胞；基因回路；正交化；模块化</w:t>
      </w:r>
    </w:p>
    <w:p w14:paraId="284FEE03" w14:textId="0C1337D3" w:rsidR="00C25C34" w:rsidRDefault="003870E0">
      <w:pPr>
        <w:tabs>
          <w:tab w:val="center" w:pos="3304"/>
        </w:tabs>
        <w:spacing w:after="551"/>
      </w:pPr>
      <w:r>
        <w:rPr>
          <w:rFonts w:ascii="黑体" w:eastAsia="黑体" w:hAnsi="黑体" w:cs="黑体"/>
          <w:sz w:val="21"/>
        </w:rPr>
        <w:t>中图分类号：</w:t>
      </w:r>
      <w:r w:rsidR="0087709D" w:rsidRPr="0087709D">
        <w:rPr>
          <w:rFonts w:ascii="Times New Roman" w:eastAsia="Times New Roman" w:hAnsi="Times New Roman" w:cs="Times New Roman"/>
          <w:sz w:val="18"/>
        </w:rPr>
        <w:t>Q615</w:t>
      </w:r>
      <w:r>
        <w:rPr>
          <w:rFonts w:ascii="Times New Roman" w:eastAsia="Times New Roman" w:hAnsi="Times New Roman" w:cs="Times New Roman"/>
          <w:sz w:val="18"/>
        </w:rPr>
        <w:tab/>
      </w:r>
      <w:r>
        <w:rPr>
          <w:rFonts w:ascii="黑体" w:eastAsia="黑体" w:hAnsi="黑体" w:cs="黑体"/>
          <w:sz w:val="21"/>
        </w:rPr>
        <w:t>文献标识码：</w:t>
      </w:r>
      <w:r>
        <w:rPr>
          <w:rFonts w:ascii="Times New Roman" w:eastAsia="Times New Roman" w:hAnsi="Times New Roman" w:cs="Times New Roman"/>
          <w:sz w:val="18"/>
        </w:rPr>
        <w:t>A</w:t>
      </w:r>
    </w:p>
    <w:p w14:paraId="1D6AA449" w14:textId="77777777" w:rsidR="00C25C34" w:rsidRDefault="003870E0">
      <w:pPr>
        <w:pStyle w:val="1"/>
        <w:ind w:left="344" w:hanging="359"/>
      </w:pPr>
      <w:r>
        <w:t>引言</w:t>
      </w:r>
    </w:p>
    <w:p w14:paraId="1F2D4B08" w14:textId="77777777" w:rsidR="00C25C34" w:rsidRDefault="003870E0">
      <w:pPr>
        <w:spacing w:after="5" w:line="296" w:lineRule="auto"/>
        <w:ind w:left="-15" w:firstLine="389"/>
      </w:pPr>
      <w:r>
        <w:rPr>
          <w:rFonts w:ascii="宋体" w:eastAsia="宋体" w:hAnsi="宋体" w:cs="宋体"/>
          <w:sz w:val="20"/>
        </w:rPr>
        <w:t>本世纪初两项创造性的工作，拨动开关和压缩振荡子，利用工程化的思想设计人工基因回路并使其实现特定的生理功能。秉承这一思想，合成生物学在众多学科的交叉中诞生，逐渐在生命科学领域的研究中受到广泛的关注。近二十年来该学科出现许多重要的突破：一方面，通过对基因组的挖掘，人类得到大量定量刻画的生物元件，并设计出了越来越复杂的基因逻辑回路，它们能响应特定的外界信号并输出预期的结果；另一方面，利用合成生物学工具，人类对生命系统的工作机理有了更深层次的认识。在产业方面，大量具有高价值的复杂产物通过合成基因回路实现了工业化生产，有希望取代传统化工合成，降低对环境的破坏和对化石能源的依赖性。</w:t>
      </w:r>
    </w:p>
    <w:p w14:paraId="40BC4E9B" w14:textId="2BB6CF8B" w:rsidR="00C25C34" w:rsidRDefault="003870E0" w:rsidP="003870E0">
      <w:pPr>
        <w:spacing w:after="3" w:line="298" w:lineRule="auto"/>
        <w:ind w:left="-15" w:right="129" w:firstLine="389"/>
        <w:jc w:val="both"/>
      </w:pPr>
      <w:r>
        <w:rPr>
          <w:rFonts w:ascii="宋体" w:eastAsia="宋体" w:hAnsi="宋体" w:cs="宋体"/>
          <w:sz w:val="20"/>
        </w:rPr>
        <w:t>尽管如此，我们对基因的解读能力仍处在较低的水平：</w:t>
      </w:r>
      <w:r>
        <w:rPr>
          <w:rFonts w:ascii="Times New Roman" w:eastAsia="Times New Roman" w:hAnsi="Times New Roman" w:cs="Times New Roman"/>
          <w:sz w:val="20"/>
        </w:rPr>
        <w:t xml:space="preserve">DNA </w:t>
      </w:r>
      <w:r>
        <w:rPr>
          <w:rFonts w:ascii="宋体" w:eastAsia="宋体" w:hAnsi="宋体" w:cs="宋体"/>
          <w:sz w:val="20"/>
        </w:rPr>
        <w:t xml:space="preserve">序列提供的信息高度复杂，通过人工组合、设计的复杂基因回路放入到底盘细胞后，底盘细胞对特定信号的响应往往出乎我们的预期。细胞在执行命令的过程中存在许多细节是我们不清楚或难以定量描述的，而这些细节也是基因回路功能实现的重要环节。基因回路同底盘之间存在种种联系，回路功能依赖细胞的 </w:t>
      </w:r>
      <w:r>
        <w:rPr>
          <w:rFonts w:ascii="Times New Roman" w:eastAsia="Times New Roman" w:hAnsi="Times New Roman" w:cs="Times New Roman"/>
          <w:sz w:val="20"/>
        </w:rPr>
        <w:t xml:space="preserve">DNA </w:t>
      </w:r>
      <w:r>
        <w:rPr>
          <w:rFonts w:ascii="宋体" w:eastAsia="宋体" w:hAnsi="宋体" w:cs="宋体"/>
          <w:sz w:val="20"/>
        </w:rPr>
        <w:t>复制系统、转录和翻译系统以及各种代谢产物前体。不同的菌株、不同的生长条件，都会对基因的表达量产生影响，而基因回路中不同基因的表达量决定了回路的输出结果；同时，外源的基因回路的表达对于底盘细胞而言是一种“负担”，外源基因表达将占用有限的</w:t>
      </w:r>
      <w:r w:rsidR="008660C4">
        <w:rPr>
          <w:rFonts w:ascii="宋体" w:eastAsia="宋体" w:hAnsi="宋体" w:cs="宋体"/>
          <w:sz w:val="20"/>
        </w:rPr>
        <w:t xml:space="preserve"> </w:t>
      </w:r>
      <w:r>
        <w:rPr>
          <w:rFonts w:ascii="Times New Roman" w:eastAsia="Times New Roman" w:hAnsi="Times New Roman" w:cs="Times New Roman"/>
          <w:sz w:val="20"/>
        </w:rPr>
        <w:t>DNA</w:t>
      </w:r>
      <w:r>
        <w:rPr>
          <w:rFonts w:ascii="宋体" w:eastAsia="宋体" w:hAnsi="宋体" w:cs="宋体"/>
          <w:sz w:val="20"/>
        </w:rPr>
        <w:t>、</w:t>
      </w:r>
      <w:r>
        <w:rPr>
          <w:rFonts w:ascii="Times New Roman" w:eastAsia="Times New Roman" w:hAnsi="Times New Roman" w:cs="Times New Roman"/>
          <w:sz w:val="20"/>
        </w:rPr>
        <w:t>RNA</w:t>
      </w:r>
      <w:r>
        <w:rPr>
          <w:rFonts w:ascii="宋体" w:eastAsia="宋体" w:hAnsi="宋体" w:cs="宋体"/>
          <w:sz w:val="20"/>
        </w:rPr>
        <w:t>、蛋白质的合成机器以及各种底物，这种资源上的占用将改变底盘细胞内源的基因表达，进而改变底盘细胞的生理状态。因此，基因回路和底盘细胞两者存在天然的耦合。然而长期以来，我们对合成基因的回路设计思路主要集中在单独元件的定量和预测上，忽略了底盘细胞与基因回路元件之间的影响。所以，利用特定条件下的单个模体的定量数据来预测不同工作背景下在底盘细胞内的行为会产生偏差，导致合成基因回路设计不可避免的进入无限循环的“设计</w:t>
      </w:r>
      <w:r>
        <w:rPr>
          <w:rFonts w:ascii="Times New Roman" w:eastAsia="Times New Roman" w:hAnsi="Times New Roman" w:cs="Times New Roman"/>
          <w:sz w:val="20"/>
        </w:rPr>
        <w:t>—</w:t>
      </w:r>
      <w:r>
        <w:rPr>
          <w:rFonts w:ascii="宋体" w:eastAsia="宋体" w:hAnsi="宋体" w:cs="宋体"/>
          <w:sz w:val="20"/>
        </w:rPr>
        <w:t>构建</w:t>
      </w:r>
      <w:r>
        <w:rPr>
          <w:rFonts w:ascii="Times New Roman" w:eastAsia="Times New Roman" w:hAnsi="Times New Roman" w:cs="Times New Roman"/>
          <w:sz w:val="20"/>
        </w:rPr>
        <w:t>—</w:t>
      </w:r>
      <w:r>
        <w:rPr>
          <w:rFonts w:ascii="宋体" w:eastAsia="宋体" w:hAnsi="宋体" w:cs="宋体"/>
          <w:sz w:val="20"/>
        </w:rPr>
        <w:t>调试”中。不仅如此，许多工程菌，如环境治理工程菌、肠道菌群改造工程菌等，其工作环境往往不是标准的实验室条件，底盘细胞生理显然受环境的影响而发生了变化，导致很多基因回路无法实现预期功能</w:t>
      </w:r>
      <w:r>
        <w:rPr>
          <w:rFonts w:ascii="Times New Roman" w:eastAsia="Times New Roman" w:hAnsi="Times New Roman" w:cs="Times New Roman"/>
          <w:sz w:val="20"/>
          <w:vertAlign w:val="superscript"/>
        </w:rPr>
        <w:t>[1]</w:t>
      </w:r>
      <w:r>
        <w:rPr>
          <w:rFonts w:ascii="宋体" w:eastAsia="宋体" w:hAnsi="宋体" w:cs="宋体"/>
          <w:sz w:val="20"/>
        </w:rPr>
        <w:t>。</w:t>
      </w:r>
    </w:p>
    <w:p w14:paraId="13207251" w14:textId="7ABC6275" w:rsidR="00C25C34" w:rsidRDefault="003870E0">
      <w:pPr>
        <w:spacing w:after="706" w:line="296" w:lineRule="auto"/>
        <w:ind w:left="-15" w:firstLine="389"/>
      </w:pPr>
      <w:r>
        <w:rPr>
          <w:rFonts w:ascii="宋体" w:eastAsia="宋体" w:hAnsi="宋体" w:cs="宋体"/>
          <w:sz w:val="20"/>
        </w:rPr>
        <w:lastRenderedPageBreak/>
        <w:t>基因回路设计进入到“瓶颈期”的同时，得益于系统生物学理论以及组学实验方法的发展，近年来，许多工作使得我们对于底盘细胞生理的理解有了更加全局、定量的认识。将底盘细胞的生理状态纳入到对基因回路行为的理解中，许多反直觉的问题迎刃而解</w:t>
      </w:r>
      <w:r>
        <w:rPr>
          <w:rFonts w:ascii="Times New Roman" w:eastAsia="Times New Roman" w:hAnsi="Times New Roman" w:cs="Times New Roman"/>
          <w:sz w:val="20"/>
          <w:vertAlign w:val="superscript"/>
        </w:rPr>
        <w:t>[2]</w:t>
      </w:r>
      <w:r>
        <w:rPr>
          <w:rFonts w:ascii="宋体" w:eastAsia="宋体" w:hAnsi="宋体" w:cs="宋体"/>
          <w:sz w:val="20"/>
        </w:rPr>
        <w:t>；同时，这些理论也被应用到了合成基因回路设计的实践中，给合成基因回路设计带来了新的思路。除此之外通过开发正交性元件和通过更加精巧的模块化设计也为解决这一问题提供了新的技术手段</w:t>
      </w:r>
      <w:r>
        <w:rPr>
          <w:rFonts w:ascii="Times New Roman" w:eastAsia="Times New Roman" w:hAnsi="Times New Roman" w:cs="Times New Roman"/>
          <w:sz w:val="20"/>
          <w:vertAlign w:val="superscript"/>
        </w:rPr>
        <w:t>[3]</w:t>
      </w:r>
      <w:r>
        <w:rPr>
          <w:rFonts w:ascii="宋体" w:eastAsia="宋体" w:hAnsi="宋体" w:cs="宋体"/>
          <w:sz w:val="20"/>
        </w:rPr>
        <w:t>。本文将梳理近年来合成基因回路与底盘细胞相互耦合的理论研究，介绍底盘细胞与基因回路的相互作用，以及与之相关的定量技术，并进一步介绍近年来关于解开底盘</w:t>
      </w:r>
      <w:r w:rsidR="008660C4">
        <w:rPr>
          <w:rFonts w:ascii="Times New Roman" w:eastAsia="Times New Roman" w:hAnsi="Times New Roman" w:cs="Times New Roman"/>
          <w:sz w:val="20"/>
        </w:rPr>
        <w:t>—</w:t>
      </w:r>
      <w:r>
        <w:rPr>
          <w:rFonts w:ascii="宋体" w:eastAsia="宋体" w:hAnsi="宋体" w:cs="宋体"/>
          <w:sz w:val="20"/>
        </w:rPr>
        <w:t>回路耦合的成果。</w:t>
      </w:r>
    </w:p>
    <w:p w14:paraId="5ECE5761" w14:textId="77777777" w:rsidR="00C25C34" w:rsidRDefault="003870E0">
      <w:pPr>
        <w:pStyle w:val="1"/>
        <w:ind w:left="344" w:hanging="359"/>
      </w:pPr>
      <w:r>
        <w:t>底盘细胞和基因回路的相互作用</w:t>
      </w:r>
    </w:p>
    <w:p w14:paraId="2CFB08CB" w14:textId="77777777" w:rsidR="00C25C34" w:rsidRDefault="003870E0">
      <w:pPr>
        <w:spacing w:after="305" w:line="298" w:lineRule="auto"/>
        <w:ind w:left="-15" w:right="129" w:firstLine="389"/>
        <w:jc w:val="both"/>
      </w:pPr>
      <w:r>
        <w:rPr>
          <w:rFonts w:ascii="宋体" w:eastAsia="宋体" w:hAnsi="宋体" w:cs="宋体"/>
          <w:sz w:val="20"/>
        </w:rPr>
        <w:t>细胞通过一系列的生理生化过程从外界环境中摄取维持生长所需的物质，通过同化作用转化为提供复制、转录、翻译和酶促反应等生物过程所需的资源。在不同底盘细胞中，或者同一底盘在不同的环境和生长条件中，细胞会将其资源以不同的策略分配给不同的环节，以最大限度地提高其适应性</w:t>
      </w:r>
      <w:r>
        <w:rPr>
          <w:rFonts w:ascii="Times New Roman" w:eastAsia="Times New Roman" w:hAnsi="Times New Roman" w:cs="Times New Roman"/>
          <w:sz w:val="20"/>
          <w:vertAlign w:val="superscript"/>
        </w:rPr>
        <w:t>[4-6]</w:t>
      </w:r>
      <w:r>
        <w:rPr>
          <w:rFonts w:ascii="宋体" w:eastAsia="宋体" w:hAnsi="宋体" w:cs="宋体"/>
          <w:sz w:val="20"/>
        </w:rPr>
        <w:t xml:space="preserve">，分配策略的变化会导致回路的响应发生变化。同时基因回路作为外源基因，会竞争各种共享资源，如 </w:t>
      </w:r>
      <w:r>
        <w:rPr>
          <w:rFonts w:ascii="Times New Roman" w:eastAsia="Times New Roman" w:hAnsi="Times New Roman" w:cs="Times New Roman"/>
          <w:sz w:val="20"/>
        </w:rPr>
        <w:t xml:space="preserve">RNA </w:t>
      </w:r>
      <w:r>
        <w:rPr>
          <w:rFonts w:ascii="宋体" w:eastAsia="宋体" w:hAnsi="宋体" w:cs="宋体"/>
          <w:sz w:val="20"/>
        </w:rPr>
        <w:t>聚合酶、核糖体和氨基酸，以及各种生化反应所需的酶和能量</w:t>
      </w:r>
      <w:r>
        <w:rPr>
          <w:rFonts w:ascii="Times New Roman" w:eastAsia="Times New Roman" w:hAnsi="Times New Roman" w:cs="Times New Roman"/>
          <w:sz w:val="20"/>
          <w:vertAlign w:val="superscript"/>
        </w:rPr>
        <w:t xml:space="preserve">[7, 8] </w:t>
      </w:r>
      <w:r>
        <w:rPr>
          <w:rFonts w:ascii="宋体" w:eastAsia="宋体" w:hAnsi="宋体" w:cs="宋体"/>
          <w:sz w:val="20"/>
        </w:rPr>
        <w:t xml:space="preserve">对底盘细胞的生理状态产生影响。而且不同回路模块之间同样也存在竞争，这种竞争同样会导致回路的输出不符合预期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1 a)</w:t>
      </w:r>
      <w:r>
        <w:rPr>
          <w:rFonts w:ascii="宋体" w:eastAsia="宋体" w:hAnsi="宋体" w:cs="宋体"/>
          <w:sz w:val="20"/>
        </w:rPr>
        <w:t>。本节我们将介绍关于回路</w:t>
      </w:r>
      <w:r>
        <w:rPr>
          <w:rFonts w:ascii="Times New Roman" w:eastAsia="Times New Roman" w:hAnsi="Times New Roman" w:cs="Times New Roman"/>
          <w:sz w:val="20"/>
        </w:rPr>
        <w:t>-</w:t>
      </w:r>
      <w:r>
        <w:rPr>
          <w:rFonts w:ascii="宋体" w:eastAsia="宋体" w:hAnsi="宋体" w:cs="宋体"/>
          <w:sz w:val="20"/>
        </w:rPr>
        <w:t>底盘相互作用的机制的研究成果，并讨论这些机制带来的效应。</w:t>
      </w:r>
    </w:p>
    <w:p w14:paraId="358D2472" w14:textId="77777777" w:rsidR="00C25C34" w:rsidRDefault="003870E0">
      <w:pPr>
        <w:pStyle w:val="2"/>
        <w:ind w:left="433" w:hanging="448"/>
      </w:pPr>
      <w:r>
        <w:t>底盘细胞对基因回路的影响</w:t>
      </w:r>
    </w:p>
    <w:p w14:paraId="02BBF4F2" w14:textId="77777777" w:rsidR="00C25C34" w:rsidRDefault="003870E0">
      <w:pPr>
        <w:spacing w:after="3" w:line="298" w:lineRule="auto"/>
        <w:ind w:left="-15" w:firstLine="389"/>
        <w:jc w:val="both"/>
      </w:pPr>
      <w:r>
        <w:rPr>
          <w:rFonts w:ascii="宋体" w:eastAsia="宋体" w:hAnsi="宋体" w:cs="宋体"/>
          <w:sz w:val="20"/>
        </w:rPr>
        <w:t>不同生物底盘之间的基因背景差异会导致标准化的基因元件的输出结果的差异</w:t>
      </w:r>
      <w:r>
        <w:rPr>
          <w:rFonts w:ascii="Times New Roman" w:eastAsia="Times New Roman" w:hAnsi="Times New Roman" w:cs="Times New Roman"/>
          <w:sz w:val="20"/>
          <w:vertAlign w:val="superscript"/>
        </w:rPr>
        <w:t>[9, 10]</w:t>
      </w:r>
      <w:r>
        <w:rPr>
          <w:rFonts w:ascii="宋体" w:eastAsia="宋体" w:hAnsi="宋体" w:cs="宋体"/>
          <w:sz w:val="20"/>
        </w:rPr>
        <w:t>，这为合成生物学的标准化设计提出了重大挑战。</w:t>
      </w:r>
      <w:r>
        <w:rPr>
          <w:rFonts w:ascii="Times New Roman" w:eastAsia="Times New Roman" w:hAnsi="Times New Roman" w:cs="Times New Roman"/>
          <w:sz w:val="20"/>
        </w:rPr>
        <w:t xml:space="preserve">Moser </w:t>
      </w:r>
      <w:r>
        <w:rPr>
          <w:rFonts w:ascii="宋体" w:eastAsia="宋体" w:hAnsi="宋体" w:cs="宋体"/>
          <w:sz w:val="20"/>
        </w:rPr>
        <w:t xml:space="preserve">等研究指出转化到不同大肠杆菌菌株中的 </w:t>
      </w:r>
      <w:r>
        <w:rPr>
          <w:rFonts w:ascii="Times New Roman" w:eastAsia="Times New Roman" w:hAnsi="Times New Roman" w:cs="Times New Roman"/>
          <w:sz w:val="20"/>
        </w:rPr>
        <w:t xml:space="preserve">AND </w:t>
      </w:r>
      <w:r>
        <w:rPr>
          <w:rFonts w:ascii="宋体" w:eastAsia="宋体" w:hAnsi="宋体" w:cs="宋体"/>
          <w:sz w:val="20"/>
        </w:rPr>
        <w:t>逻辑门会有出现不同的表现</w:t>
      </w:r>
      <w:r>
        <w:rPr>
          <w:rFonts w:ascii="Times New Roman" w:eastAsia="Times New Roman" w:hAnsi="Times New Roman" w:cs="Times New Roman"/>
          <w:sz w:val="20"/>
          <w:vertAlign w:val="superscript"/>
        </w:rPr>
        <w:t>[11]</w:t>
      </w:r>
      <w:r>
        <w:rPr>
          <w:rFonts w:ascii="宋体" w:eastAsia="宋体" w:hAnsi="宋体" w:cs="宋体"/>
          <w:sz w:val="20"/>
        </w:rPr>
        <w:t>。同一培养条件在，</w:t>
      </w:r>
      <w:r>
        <w:rPr>
          <w:rFonts w:ascii="Times New Roman" w:eastAsia="Times New Roman" w:hAnsi="Times New Roman" w:cs="Times New Roman"/>
          <w:sz w:val="20"/>
        </w:rPr>
        <w:t xml:space="preserve">AND </w:t>
      </w:r>
      <w:r>
        <w:rPr>
          <w:rFonts w:ascii="宋体" w:eastAsia="宋体" w:hAnsi="宋体" w:cs="宋体"/>
          <w:sz w:val="20"/>
        </w:rPr>
        <w:t xml:space="preserve">门回路在大肠杆菌 </w:t>
      </w:r>
      <w:r>
        <w:rPr>
          <w:rFonts w:ascii="Times New Roman" w:eastAsia="Times New Roman" w:hAnsi="Times New Roman" w:cs="Times New Roman"/>
          <w:sz w:val="20"/>
        </w:rPr>
        <w:t xml:space="preserve">DS68637 </w:t>
      </w:r>
      <w:r>
        <w:rPr>
          <w:rFonts w:ascii="宋体" w:eastAsia="宋体" w:hAnsi="宋体" w:cs="宋体"/>
          <w:sz w:val="20"/>
        </w:rPr>
        <w:t xml:space="preserve">中能够正常响应，而转入到 </w:t>
      </w:r>
      <w:r>
        <w:rPr>
          <w:rFonts w:ascii="Times New Roman" w:eastAsia="Times New Roman" w:hAnsi="Times New Roman" w:cs="Times New Roman"/>
          <w:sz w:val="20"/>
        </w:rPr>
        <w:t xml:space="preserve">DH10B </w:t>
      </w:r>
      <w:r>
        <w:rPr>
          <w:rFonts w:ascii="宋体" w:eastAsia="宋体" w:hAnsi="宋体" w:cs="宋体"/>
          <w:sz w:val="20"/>
        </w:rPr>
        <w:t>菌株中却完全失去功能。而不同营养成分的培养基以及不同的培养条件也会对基因元件的响应产生改变。</w:t>
      </w:r>
    </w:p>
    <w:p w14:paraId="7FB09EFC" w14:textId="77777777" w:rsidR="00C25C34" w:rsidRDefault="003870E0">
      <w:pPr>
        <w:spacing w:after="5" w:line="296" w:lineRule="auto"/>
        <w:ind w:left="-15"/>
      </w:pPr>
      <w:r>
        <w:rPr>
          <w:rFonts w:ascii="Times New Roman" w:eastAsia="Times New Roman" w:hAnsi="Times New Roman" w:cs="Times New Roman"/>
          <w:sz w:val="20"/>
        </w:rPr>
        <w:t xml:space="preserve">AND </w:t>
      </w:r>
      <w:r>
        <w:rPr>
          <w:rFonts w:ascii="宋体" w:eastAsia="宋体" w:hAnsi="宋体" w:cs="宋体"/>
          <w:sz w:val="20"/>
        </w:rPr>
        <w:t xml:space="preserve">门在 </w:t>
      </w:r>
      <w:r>
        <w:rPr>
          <w:rFonts w:ascii="Times New Roman" w:eastAsia="Times New Roman" w:hAnsi="Times New Roman" w:cs="Times New Roman"/>
          <w:sz w:val="20"/>
        </w:rPr>
        <w:t xml:space="preserve">LB </w:t>
      </w:r>
      <w:r>
        <w:rPr>
          <w:rFonts w:ascii="宋体" w:eastAsia="宋体" w:hAnsi="宋体" w:cs="宋体"/>
          <w:sz w:val="20"/>
        </w:rPr>
        <w:t>培养基中对诱导剂的响应非常灵敏；而转入贫瘠培养基后，诱导剂的加入甚至使细胞停止生长。</w:t>
      </w:r>
    </w:p>
    <w:p w14:paraId="35D016CC" w14:textId="77777777" w:rsidR="00C25C34" w:rsidRDefault="003870E0">
      <w:pPr>
        <w:spacing w:after="403" w:line="296" w:lineRule="auto"/>
        <w:ind w:left="-15" w:firstLine="389"/>
      </w:pPr>
      <w:r>
        <w:rPr>
          <w:rFonts w:ascii="宋体" w:eastAsia="宋体" w:hAnsi="宋体" w:cs="宋体"/>
          <w:sz w:val="20"/>
        </w:rPr>
        <w:t>除了底盘细胞基因型的差异以及培养环境差异对基因回路造成的影响之外，底盘细胞的生长速率也是影响回路功能的关键因素之一。细胞中蛋白的降解主要以细胞生长的方式对胞内蛋白进行稀释</w:t>
      </w:r>
      <w:r>
        <w:rPr>
          <w:rFonts w:ascii="Times New Roman" w:eastAsia="Times New Roman" w:hAnsi="Times New Roman" w:cs="Times New Roman"/>
          <w:sz w:val="20"/>
          <w:vertAlign w:val="superscript"/>
        </w:rPr>
        <w:t>[12]</w:t>
      </w:r>
      <w:r>
        <w:rPr>
          <w:rFonts w:ascii="宋体" w:eastAsia="宋体" w:hAnsi="宋体" w:cs="宋体"/>
          <w:sz w:val="20"/>
        </w:rPr>
        <w:t>，因此基因回路功能往往和底盘细胞生长速率相耦合。这种生长速率对基因回路的反馈作用，可能导致多种多样不可预知的结果。</w:t>
      </w:r>
      <w:r>
        <w:rPr>
          <w:rFonts w:ascii="Times New Roman" w:eastAsia="Times New Roman" w:hAnsi="Times New Roman" w:cs="Times New Roman"/>
          <w:sz w:val="20"/>
        </w:rPr>
        <w:t xml:space="preserve">Tan </w:t>
      </w:r>
      <w:r>
        <w:rPr>
          <w:rFonts w:ascii="宋体" w:eastAsia="宋体" w:hAnsi="宋体" w:cs="宋体"/>
          <w:sz w:val="20"/>
        </w:rPr>
        <w:t xml:space="preserve">等人分析了由自激活突变体 </w:t>
      </w:r>
      <w:r>
        <w:rPr>
          <w:rFonts w:ascii="Times New Roman" w:eastAsia="Times New Roman" w:hAnsi="Times New Roman" w:cs="Times New Roman"/>
          <w:sz w:val="20"/>
        </w:rPr>
        <w:t xml:space="preserve">T7 RNA </w:t>
      </w:r>
      <w:r>
        <w:rPr>
          <w:rFonts w:ascii="宋体" w:eastAsia="宋体" w:hAnsi="宋体" w:cs="宋体"/>
          <w:sz w:val="20"/>
        </w:rPr>
        <w:t>聚合酶组成的基因回路，虽然该自激活过程是非协同的，但该回路的基因表达水平却呈现出双稳态。这一违反直觉的现象可以解释为，基因回路的表达引起了细胞生长速率的减慢，而同时细胞的生长对基因元件的表达存在着反馈调节，进一步增加蛋白的积累，从而实现了双稳态现象</w:t>
      </w:r>
      <w:r>
        <w:rPr>
          <w:rFonts w:ascii="Times New Roman" w:eastAsia="Times New Roman" w:hAnsi="Times New Roman" w:cs="Times New Roman"/>
          <w:sz w:val="20"/>
          <w:vertAlign w:val="superscript"/>
        </w:rPr>
        <w:t>[13]</w:t>
      </w:r>
      <w:r>
        <w:rPr>
          <w:rFonts w:ascii="宋体" w:eastAsia="宋体" w:hAnsi="宋体" w:cs="宋体"/>
          <w:sz w:val="20"/>
        </w:rPr>
        <w:t>。</w:t>
      </w:r>
    </w:p>
    <w:p w14:paraId="0B075439" w14:textId="77777777" w:rsidR="00C25C34" w:rsidRDefault="003870E0">
      <w:pPr>
        <w:pStyle w:val="2"/>
        <w:ind w:left="433" w:hanging="448"/>
      </w:pPr>
      <w:r>
        <w:t>基因回路对底盘细胞的生长影响</w:t>
      </w:r>
    </w:p>
    <w:p w14:paraId="57682F60" w14:textId="62EB1E62" w:rsidR="00C25C34" w:rsidRDefault="003870E0" w:rsidP="003870E0">
      <w:pPr>
        <w:spacing w:after="41" w:line="296" w:lineRule="auto"/>
        <w:ind w:left="-15" w:firstLine="389"/>
      </w:pPr>
      <w:r>
        <w:rPr>
          <w:rFonts w:ascii="宋体" w:eastAsia="宋体" w:hAnsi="宋体" w:cs="宋体"/>
          <w:sz w:val="20"/>
        </w:rPr>
        <w:t>人工基因回路的表达占用了底盘细胞生长代谢相关的资源，影响细胞的正常生长</w:t>
      </w:r>
      <w:r>
        <w:rPr>
          <w:rFonts w:ascii="Times New Roman" w:eastAsia="Times New Roman" w:hAnsi="Times New Roman" w:cs="Times New Roman"/>
          <w:sz w:val="20"/>
          <w:vertAlign w:val="superscript"/>
        </w:rPr>
        <w:t>[14]</w:t>
      </w:r>
      <w:r>
        <w:rPr>
          <w:rFonts w:ascii="宋体" w:eastAsia="宋体" w:hAnsi="宋体" w:cs="宋体"/>
          <w:sz w:val="20"/>
        </w:rPr>
        <w:t xml:space="preserve">。外源基因回路对 </w:t>
      </w:r>
      <w:r>
        <w:rPr>
          <w:rFonts w:ascii="Times New Roman" w:eastAsia="Times New Roman" w:hAnsi="Times New Roman" w:cs="Times New Roman"/>
          <w:sz w:val="20"/>
        </w:rPr>
        <w:t xml:space="preserve">RNA </w:t>
      </w:r>
      <w:r>
        <w:rPr>
          <w:rFonts w:ascii="宋体" w:eastAsia="宋体" w:hAnsi="宋体" w:cs="宋体"/>
          <w:sz w:val="20"/>
        </w:rPr>
        <w:t>聚合酶和核糖体</w:t>
      </w:r>
      <w:r>
        <w:rPr>
          <w:rFonts w:ascii="Times New Roman" w:eastAsia="Times New Roman" w:hAnsi="Times New Roman" w:cs="Times New Roman"/>
          <w:sz w:val="20"/>
          <w:vertAlign w:val="superscript"/>
        </w:rPr>
        <w:t xml:space="preserve">[15] </w:t>
      </w:r>
      <w:r>
        <w:rPr>
          <w:rFonts w:ascii="宋体" w:eastAsia="宋体" w:hAnsi="宋体" w:cs="宋体"/>
          <w:sz w:val="20"/>
        </w:rPr>
        <w:t>的竞争是导致这种压力的主要因素。当表达与生存不相关</w:t>
      </w:r>
      <w:r>
        <w:rPr>
          <w:rFonts w:ascii="宋体" w:eastAsia="宋体" w:hAnsi="宋体" w:cs="宋体"/>
          <w:sz w:val="20"/>
        </w:rPr>
        <w:lastRenderedPageBreak/>
        <w:t xml:space="preserve">蛋白占细胞蛋白总量的约 </w:t>
      </w:r>
      <w:r>
        <w:rPr>
          <w:rFonts w:ascii="Times New Roman" w:eastAsia="Times New Roman" w:hAnsi="Times New Roman" w:cs="Times New Roman"/>
          <w:sz w:val="20"/>
        </w:rPr>
        <w:t xml:space="preserve">30% </w:t>
      </w:r>
      <w:r>
        <w:rPr>
          <w:rFonts w:ascii="宋体" w:eastAsia="宋体" w:hAnsi="宋体" w:cs="宋体"/>
          <w:sz w:val="20"/>
        </w:rPr>
        <w:t>时，细胞会完全停止生长</w:t>
      </w:r>
      <w:r>
        <w:rPr>
          <w:rFonts w:ascii="Times New Roman" w:eastAsia="Times New Roman" w:hAnsi="Times New Roman" w:cs="Times New Roman"/>
          <w:sz w:val="20"/>
          <w:vertAlign w:val="superscript"/>
        </w:rPr>
        <w:t>[4, 16]</w:t>
      </w:r>
      <w:r>
        <w:rPr>
          <w:rFonts w:ascii="宋体" w:eastAsia="宋体" w:hAnsi="宋体" w:cs="宋体"/>
          <w:sz w:val="20"/>
        </w:rPr>
        <w:t>。除此之外，元件与底盘细胞的特异互作可能导致毒性，比如同代谢过程中的酶发生互作等。</w:t>
      </w:r>
    </w:p>
    <w:p w14:paraId="52EE4A8B" w14:textId="77777777" w:rsidR="00C25C34" w:rsidRDefault="003870E0">
      <w:pPr>
        <w:spacing w:after="352" w:line="298" w:lineRule="auto"/>
        <w:ind w:left="-15" w:right="129" w:firstLine="389"/>
        <w:jc w:val="both"/>
      </w:pPr>
      <w:r>
        <w:rPr>
          <w:rFonts w:ascii="宋体" w:eastAsia="宋体" w:hAnsi="宋体" w:cs="宋体"/>
          <w:sz w:val="20"/>
        </w:rPr>
        <w:t>另外，外源基因的表达甚至会引起底盘细胞的整体资源分配策略的改变。细胞本身存在动态调节分配策略的机制</w:t>
      </w:r>
      <w:r>
        <w:rPr>
          <w:rFonts w:ascii="Times New Roman" w:eastAsia="Times New Roman" w:hAnsi="Times New Roman" w:cs="Times New Roman"/>
          <w:sz w:val="20"/>
          <w:vertAlign w:val="superscript"/>
        </w:rPr>
        <w:t>[17, 18]</w:t>
      </w:r>
      <w:r>
        <w:rPr>
          <w:rFonts w:ascii="宋体" w:eastAsia="宋体" w:hAnsi="宋体" w:cs="宋体"/>
          <w:sz w:val="20"/>
        </w:rPr>
        <w:t xml:space="preserve">，当外源蛋白持续表达几代之后，大肠杆菌细胞可以利用 </w:t>
      </w:r>
      <w:r>
        <w:rPr>
          <w:rFonts w:ascii="Times New Roman" w:eastAsia="Times New Roman" w:hAnsi="Times New Roman" w:cs="Times New Roman"/>
          <w:sz w:val="20"/>
        </w:rPr>
        <w:t xml:space="preserve">ppGpp </w:t>
      </w:r>
      <w:r>
        <w:rPr>
          <w:rFonts w:ascii="宋体" w:eastAsia="宋体" w:hAnsi="宋体" w:cs="宋体"/>
          <w:sz w:val="20"/>
        </w:rPr>
        <w:t>的调控机制，实现对全局性资源的重新分配</w:t>
      </w:r>
      <w:r>
        <w:rPr>
          <w:rFonts w:ascii="Times New Roman" w:eastAsia="Times New Roman" w:hAnsi="Times New Roman" w:cs="Times New Roman"/>
          <w:sz w:val="20"/>
          <w:vertAlign w:val="superscript"/>
        </w:rPr>
        <w:t>[18]</w:t>
      </w:r>
      <w:r>
        <w:rPr>
          <w:rFonts w:ascii="宋体" w:eastAsia="宋体" w:hAnsi="宋体" w:cs="宋体"/>
          <w:sz w:val="20"/>
        </w:rPr>
        <w:t xml:space="preserve">。当 </w:t>
      </w:r>
      <w:r>
        <w:rPr>
          <w:rFonts w:ascii="Times New Roman" w:eastAsia="Times New Roman" w:hAnsi="Times New Roman" w:cs="Times New Roman"/>
          <w:sz w:val="20"/>
        </w:rPr>
        <w:t xml:space="preserve">ppGpp </w:t>
      </w:r>
      <w:r>
        <w:rPr>
          <w:rFonts w:ascii="宋体" w:eastAsia="宋体" w:hAnsi="宋体" w:cs="宋体"/>
          <w:sz w:val="20"/>
        </w:rPr>
        <w:t xml:space="preserve">水平变得太高或太低时，细胞生长都会受到抑制。较高的 </w:t>
      </w:r>
      <w:r>
        <w:rPr>
          <w:rFonts w:ascii="Times New Roman" w:eastAsia="Times New Roman" w:hAnsi="Times New Roman" w:cs="Times New Roman"/>
          <w:sz w:val="20"/>
        </w:rPr>
        <w:t xml:space="preserve">ppGpp </w:t>
      </w:r>
      <w:r>
        <w:rPr>
          <w:rFonts w:ascii="宋体" w:eastAsia="宋体" w:hAnsi="宋体" w:cs="宋体"/>
          <w:sz w:val="20"/>
        </w:rPr>
        <w:t xml:space="preserve">水平通过直接抑制核糖体合成来抑制细胞生长。相反，由于来自核糖体过量生产的资源竞争，较低的 </w:t>
      </w:r>
      <w:r>
        <w:rPr>
          <w:rFonts w:ascii="Times New Roman" w:eastAsia="Times New Roman" w:hAnsi="Times New Roman" w:cs="Times New Roman"/>
          <w:sz w:val="20"/>
        </w:rPr>
        <w:t xml:space="preserve">ppGpp </w:t>
      </w:r>
      <w:r>
        <w:rPr>
          <w:rFonts w:ascii="宋体" w:eastAsia="宋体" w:hAnsi="宋体" w:cs="宋体"/>
          <w:sz w:val="20"/>
        </w:rPr>
        <w:t xml:space="preserve">水平可通过限制代谢蛋白的表达水平来抑制细胞生长。在引入外源基因回路的条件下，外源蛋白的持续表达使核糖体的生产达到顶峰，同时 </w:t>
      </w:r>
      <w:r>
        <w:rPr>
          <w:rFonts w:ascii="Times New Roman" w:eastAsia="Times New Roman" w:hAnsi="Times New Roman" w:cs="Times New Roman"/>
          <w:sz w:val="20"/>
        </w:rPr>
        <w:t xml:space="preserve">ppGpp </w:t>
      </w:r>
      <w:r>
        <w:rPr>
          <w:rFonts w:ascii="宋体" w:eastAsia="宋体" w:hAnsi="宋体" w:cs="宋体"/>
          <w:sz w:val="20"/>
        </w:rPr>
        <w:t>的积累量也很低，这导致了核糖体的合成被调整以应对额外的蛋白质产生负荷。</w:t>
      </w:r>
    </w:p>
    <w:p w14:paraId="1AAE9A14" w14:textId="77777777" w:rsidR="00C25C34" w:rsidRDefault="003870E0">
      <w:pPr>
        <w:pStyle w:val="2"/>
        <w:ind w:left="433" w:hanging="448"/>
      </w:pPr>
      <w:r>
        <w:t>基因回路内部不同模块之间存在竞争</w:t>
      </w:r>
    </w:p>
    <w:p w14:paraId="075F2430" w14:textId="2CC1B3EB" w:rsidR="00C25C34" w:rsidRDefault="003870E0" w:rsidP="003870E0">
      <w:pPr>
        <w:spacing w:after="5" w:line="296" w:lineRule="auto"/>
        <w:ind w:left="-15" w:firstLine="389"/>
      </w:pPr>
      <w:r>
        <w:rPr>
          <w:rFonts w:ascii="宋体" w:eastAsia="宋体" w:hAnsi="宋体" w:cs="宋体"/>
          <w:sz w:val="20"/>
        </w:rPr>
        <w:t>基因回路中不同的模块之间也会竞争细胞资源</w:t>
      </w:r>
      <w:r>
        <w:rPr>
          <w:rFonts w:ascii="Times New Roman" w:eastAsia="Times New Roman" w:hAnsi="Times New Roman" w:cs="Times New Roman"/>
          <w:sz w:val="20"/>
          <w:vertAlign w:val="superscript"/>
        </w:rPr>
        <w:t>[19, 20]</w:t>
      </w:r>
      <w:r>
        <w:rPr>
          <w:rFonts w:ascii="宋体" w:eastAsia="宋体" w:hAnsi="宋体" w:cs="宋体"/>
          <w:sz w:val="20"/>
        </w:rPr>
        <w:t>。当一个回路外源回路中的基因都在争夺这些有限的资源时，基因之间就会产生非预期的相互作用。这些相互作用可以极大地改变基因回路的预期行为，导致实验结果与模型预测完全不符。例如，</w:t>
      </w:r>
      <w:r>
        <w:rPr>
          <w:rFonts w:ascii="Times New Roman" w:eastAsia="Times New Roman" w:hAnsi="Times New Roman" w:cs="Times New Roman"/>
          <w:sz w:val="20"/>
        </w:rPr>
        <w:t xml:space="preserve"> Qian </w:t>
      </w:r>
      <w:r>
        <w:rPr>
          <w:rFonts w:ascii="宋体" w:eastAsia="宋体" w:hAnsi="宋体" w:cs="宋体"/>
          <w:sz w:val="20"/>
        </w:rPr>
        <w:t>等人的工作表明，当两个激活模块单独存在时，希尔函数可以很好的吻合实验结果。但是将两个模块串联形成更复杂的体系后，理论预测的结果甚至和实验结果完全相反</w:t>
      </w:r>
      <w:r w:rsidRPr="005B5BF8">
        <w:rPr>
          <w:rFonts w:ascii="Times New Roman" w:eastAsia="Times New Roman" w:hAnsi="Times New Roman" w:cs="Times New Roman"/>
          <w:sz w:val="14"/>
          <w:vertAlign w:val="superscript"/>
        </w:rPr>
        <w:t>[21]</w:t>
      </w:r>
      <w:r>
        <w:rPr>
          <w:rFonts w:ascii="宋体" w:eastAsia="宋体" w:hAnsi="宋体" w:cs="宋体"/>
          <w:sz w:val="20"/>
        </w:rPr>
        <w:t>。</w:t>
      </w:r>
    </w:p>
    <w:p w14:paraId="67FBF7A3" w14:textId="77777777" w:rsidR="00C25C34" w:rsidRDefault="003870E0">
      <w:pPr>
        <w:spacing w:after="5" w:line="296" w:lineRule="auto"/>
        <w:ind w:left="-15" w:firstLine="389"/>
      </w:pPr>
      <w:r>
        <w:rPr>
          <w:rFonts w:ascii="宋体" w:eastAsia="宋体" w:hAnsi="宋体" w:cs="宋体"/>
          <w:sz w:val="20"/>
        </w:rPr>
        <w:t>除了上述三种竞争效应外，底盘细胞和基因回路的互作还给耦合系统带来了一系列其他效应，例如，增加同基因群体的异质性，降低遗传稳定性以及毒性效应。</w:t>
      </w:r>
    </w:p>
    <w:p w14:paraId="48581CE1" w14:textId="77777777" w:rsidR="00C25C34" w:rsidRDefault="003870E0">
      <w:pPr>
        <w:pStyle w:val="2"/>
        <w:ind w:left="433" w:hanging="448"/>
      </w:pPr>
      <w:r>
        <w:t>基因回路导致底盘细胞生理异质性增强</w:t>
      </w:r>
    </w:p>
    <w:p w14:paraId="215C94BA" w14:textId="1E20016F" w:rsidR="00C25C34" w:rsidRDefault="003870E0" w:rsidP="003870E0">
      <w:pPr>
        <w:spacing w:after="38" w:line="298" w:lineRule="auto"/>
        <w:ind w:left="-15" w:right="15" w:firstLine="389"/>
        <w:jc w:val="both"/>
      </w:pPr>
      <w:r>
        <w:rPr>
          <w:rFonts w:ascii="宋体" w:eastAsia="宋体" w:hAnsi="宋体" w:cs="宋体"/>
          <w:sz w:val="20"/>
        </w:rPr>
        <w:t>即使是相同基因型的细胞，在生长分裂等动态过程以及各种生理生化过程都存在噪声，造成了表型多样性。研究表明，这种差异往往随着生长速率的减小而变得显著</w:t>
      </w:r>
      <w:r>
        <w:rPr>
          <w:rFonts w:ascii="Times New Roman" w:eastAsia="Times New Roman" w:hAnsi="Times New Roman" w:cs="Times New Roman"/>
          <w:sz w:val="20"/>
          <w:vertAlign w:val="superscript"/>
        </w:rPr>
        <w:t>[22, 23]</w:t>
      </w:r>
      <w:r>
        <w:rPr>
          <w:rFonts w:ascii="宋体" w:eastAsia="宋体" w:hAnsi="宋体" w:cs="宋体"/>
          <w:sz w:val="20"/>
        </w:rPr>
        <w:t>。因此，外源基因的表达使得这种扰动变得更加明显，从而导致底盘细胞的生理异质性增强。而这种异质性导致一小部分表达量相对较低的细胞获得相对较快的生长速度。这类细胞便可以在不断的传代培养中取得优势，最终导致合成基因回路的失效</w:t>
      </w:r>
      <w:r>
        <w:rPr>
          <w:rFonts w:ascii="Times New Roman" w:eastAsia="Times New Roman" w:hAnsi="Times New Roman" w:cs="Times New Roman"/>
          <w:sz w:val="20"/>
          <w:vertAlign w:val="superscript"/>
        </w:rPr>
        <w:t>[13]</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1 b)</w:t>
      </w:r>
      <w:r>
        <w:rPr>
          <w:rFonts w:ascii="宋体" w:eastAsia="宋体" w:hAnsi="宋体" w:cs="宋体"/>
          <w:sz w:val="20"/>
        </w:rPr>
        <w:t xml:space="preserve">。另外，在细菌细胞中，资源的分配比例也可能会随着个体的差异而不同。例如，外源基因和底盘细胞基因往往公用大肠杆菌内源降解系统 </w:t>
      </w:r>
      <w:r>
        <w:rPr>
          <w:rFonts w:ascii="Times New Roman" w:eastAsia="Times New Roman" w:hAnsi="Times New Roman" w:cs="Times New Roman"/>
          <w:sz w:val="20"/>
        </w:rPr>
        <w:t>ClpXP</w:t>
      </w:r>
      <w:r>
        <w:rPr>
          <w:rFonts w:ascii="宋体" w:eastAsia="宋体" w:hAnsi="宋体" w:cs="宋体"/>
          <w:sz w:val="20"/>
        </w:rPr>
        <w:t>，过量表达的蛋白可能导致“排队效应”。这一随机的分配过程导致细胞的异质性的增强</w:t>
      </w:r>
      <w:r>
        <w:rPr>
          <w:rFonts w:ascii="Times New Roman" w:eastAsia="Times New Roman" w:hAnsi="Times New Roman" w:cs="Times New Roman"/>
          <w:sz w:val="20"/>
          <w:vertAlign w:val="superscript"/>
        </w:rPr>
        <w:t>[19]</w:t>
      </w:r>
      <w:r>
        <w:rPr>
          <w:rFonts w:ascii="宋体" w:eastAsia="宋体" w:hAnsi="宋体" w:cs="宋体"/>
          <w:sz w:val="20"/>
        </w:rPr>
        <w:t>。</w:t>
      </w:r>
    </w:p>
    <w:p w14:paraId="77C25E89" w14:textId="77777777" w:rsidR="00C25C34" w:rsidRDefault="003870E0">
      <w:pPr>
        <w:pStyle w:val="2"/>
        <w:ind w:left="433" w:hanging="448"/>
      </w:pPr>
      <w:r>
        <w:t>系统的遗传稳定性降低</w:t>
      </w:r>
    </w:p>
    <w:p w14:paraId="76B1AC18" w14:textId="77777777" w:rsidR="00C25C34" w:rsidRDefault="003870E0">
      <w:pPr>
        <w:spacing w:after="306" w:line="298" w:lineRule="auto"/>
        <w:ind w:left="-15" w:right="129" w:firstLine="389"/>
        <w:jc w:val="both"/>
      </w:pPr>
      <w:r>
        <w:rPr>
          <w:rFonts w:ascii="宋体" w:eastAsia="宋体" w:hAnsi="宋体" w:cs="宋体"/>
          <w:sz w:val="20"/>
        </w:rPr>
        <w:t>细胞的生长压力带来的负向筛选作用会减弱人工基因回路的遗传稳定性。研究表明合成回路功能可以给细胞带来很大的适应性劣势（</w:t>
      </w:r>
      <w:r>
        <w:rPr>
          <w:rFonts w:ascii="Times New Roman" w:eastAsia="Times New Roman" w:hAnsi="Times New Roman" w:cs="Times New Roman"/>
          <w:sz w:val="20"/>
        </w:rPr>
        <w:t>fitness disadvantage</w:t>
      </w:r>
      <w:r>
        <w:rPr>
          <w:rFonts w:ascii="宋体" w:eastAsia="宋体" w:hAnsi="宋体" w:cs="宋体"/>
          <w:sz w:val="20"/>
        </w:rPr>
        <w:t>）</w:t>
      </w:r>
      <w:r>
        <w:rPr>
          <w:rFonts w:ascii="Times New Roman" w:eastAsia="Times New Roman" w:hAnsi="Times New Roman" w:cs="Times New Roman"/>
          <w:sz w:val="20"/>
          <w:vertAlign w:val="superscript"/>
        </w:rPr>
        <w:t>[24]</w:t>
      </w:r>
      <w:r>
        <w:rPr>
          <w:rFonts w:ascii="宋体" w:eastAsia="宋体" w:hAnsi="宋体" w:cs="宋体"/>
          <w:sz w:val="20"/>
        </w:rPr>
        <w:t>，并且发生适应性进化以减轻与表达外源蛋白质相关的代谢负荷或毒性。基因回路给底盘细胞带来压力同时导致底盘细胞生长速度往往低于野生型菌株，而突变导致的含有失效的基因回路的菌株往往具有更好的适应性，这样一来，在连续培养的过程中，带有期望功能的合成菌株会逐渐失去优势。</w:t>
      </w:r>
      <w:r>
        <w:rPr>
          <w:rFonts w:ascii="Times New Roman" w:eastAsia="Times New Roman" w:hAnsi="Times New Roman" w:cs="Times New Roman"/>
          <w:sz w:val="20"/>
        </w:rPr>
        <w:t xml:space="preserve">Sleight </w:t>
      </w:r>
      <w:r>
        <w:rPr>
          <w:rFonts w:ascii="宋体" w:eastAsia="宋体" w:hAnsi="宋体" w:cs="宋体"/>
          <w:sz w:val="20"/>
        </w:rPr>
        <w:t>等人</w:t>
      </w:r>
      <w:r>
        <w:rPr>
          <w:rFonts w:ascii="Times New Roman" w:eastAsia="Times New Roman" w:hAnsi="Times New Roman" w:cs="Times New Roman"/>
          <w:sz w:val="20"/>
          <w:vertAlign w:val="superscript"/>
        </w:rPr>
        <w:t xml:space="preserve">[24] </w:t>
      </w:r>
      <w:r>
        <w:rPr>
          <w:rFonts w:ascii="宋体" w:eastAsia="宋体" w:hAnsi="宋体" w:cs="宋体"/>
          <w:sz w:val="20"/>
        </w:rPr>
        <w:t xml:space="preserve">评估了带有不同的调控元件的三种荧光蛋白在大肠杆菌中的遗传稳定性，发现表达量低和带有更少重复序列的基因回路具有更好的遗传稳定性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1 c)</w:t>
      </w:r>
      <w:r>
        <w:rPr>
          <w:rFonts w:ascii="宋体" w:eastAsia="宋体" w:hAnsi="宋体" w:cs="宋体"/>
          <w:sz w:val="20"/>
        </w:rPr>
        <w:t>。重复序列容易导致基因重组进而导致序列丢失，因此有必要建立更大的优质元件库，减少元件在同一基因回路中的重复使用。同时在设计的环节中加入同源序列检查的过程，避免元件组合的过程中产生意外的同源序列。</w:t>
      </w:r>
    </w:p>
    <w:p w14:paraId="19241E84" w14:textId="77777777" w:rsidR="00C25C34" w:rsidRDefault="003870E0">
      <w:pPr>
        <w:pStyle w:val="2"/>
        <w:ind w:left="433" w:hanging="448"/>
      </w:pPr>
      <w:r>
        <w:lastRenderedPageBreak/>
        <w:t>基因回路导致的细胞的毒性</w:t>
      </w:r>
    </w:p>
    <w:p w14:paraId="11E7080D" w14:textId="5993AE82" w:rsidR="00C25C34" w:rsidRDefault="003870E0" w:rsidP="003870E0">
      <w:pPr>
        <w:spacing w:after="3" w:line="298" w:lineRule="auto"/>
        <w:ind w:left="-15" w:firstLine="389"/>
        <w:jc w:val="both"/>
      </w:pPr>
      <w:r>
        <w:rPr>
          <w:rFonts w:ascii="宋体" w:eastAsia="宋体" w:hAnsi="宋体" w:cs="宋体"/>
          <w:sz w:val="20"/>
        </w:rPr>
        <w:t xml:space="preserve">在基因线回路的测试过程，往往会发现有些基因元件或回路会导致细胞形态发生变化，如纤维化。一般认为这种现象是由基因回路与细胞的一些生理过程发生了意外相互作用引起的。一种可能是，异源 </w:t>
      </w:r>
      <w:r>
        <w:rPr>
          <w:rFonts w:ascii="Times New Roman" w:eastAsia="Times New Roman" w:hAnsi="Times New Roman" w:cs="Times New Roman"/>
          <w:sz w:val="20"/>
        </w:rPr>
        <w:t xml:space="preserve">DNA </w:t>
      </w:r>
      <w:r>
        <w:rPr>
          <w:rFonts w:ascii="宋体" w:eastAsia="宋体" w:hAnsi="宋体" w:cs="宋体"/>
          <w:sz w:val="20"/>
        </w:rPr>
        <w:t>中存在一些意外的功能序列。如，</w:t>
      </w:r>
      <w:r>
        <w:rPr>
          <w:rFonts w:ascii="Times New Roman" w:eastAsia="Times New Roman" w:hAnsi="Times New Roman" w:cs="Times New Roman"/>
          <w:sz w:val="20"/>
        </w:rPr>
        <w:t xml:space="preserve">dnaA box </w:t>
      </w:r>
      <w:r>
        <w:rPr>
          <w:rFonts w:ascii="宋体" w:eastAsia="宋体" w:hAnsi="宋体" w:cs="宋体"/>
          <w:sz w:val="20"/>
        </w:rPr>
        <w:t>会严重影响细菌的分裂</w:t>
      </w:r>
      <w:r>
        <w:rPr>
          <w:rFonts w:ascii="Times New Roman" w:eastAsia="Times New Roman" w:hAnsi="Times New Roman" w:cs="Times New Roman"/>
          <w:sz w:val="20"/>
          <w:vertAlign w:val="superscript"/>
        </w:rPr>
        <w:t>[25]</w:t>
      </w:r>
      <w:r>
        <w:rPr>
          <w:rFonts w:ascii="宋体" w:eastAsia="宋体" w:hAnsi="宋体" w:cs="宋体"/>
          <w:sz w:val="20"/>
        </w:rPr>
        <w:t>；另外，富含</w:t>
      </w:r>
      <w:r>
        <w:rPr>
          <w:rFonts w:ascii="Times New Roman" w:eastAsia="Times New Roman" w:hAnsi="Times New Roman" w:cs="Times New Roman"/>
          <w:sz w:val="20"/>
        </w:rPr>
        <w:t xml:space="preserve">AT </w:t>
      </w:r>
      <w:r>
        <w:rPr>
          <w:rFonts w:ascii="宋体" w:eastAsia="宋体" w:hAnsi="宋体" w:cs="宋体"/>
          <w:sz w:val="20"/>
        </w:rPr>
        <w:t xml:space="preserve">序列的 </w:t>
      </w:r>
      <w:r>
        <w:rPr>
          <w:rFonts w:ascii="Times New Roman" w:eastAsia="Times New Roman" w:hAnsi="Times New Roman" w:cs="Times New Roman"/>
          <w:sz w:val="20"/>
        </w:rPr>
        <w:t xml:space="preserve">DNA </w:t>
      </w:r>
      <w:r>
        <w:rPr>
          <w:rFonts w:ascii="宋体" w:eastAsia="宋体" w:hAnsi="宋体" w:cs="宋体"/>
          <w:sz w:val="20"/>
        </w:rPr>
        <w:t xml:space="preserve">序列可能是意外的启动子，高频的转录占用了细胞大量 </w:t>
      </w:r>
      <w:r>
        <w:rPr>
          <w:rFonts w:ascii="Times New Roman" w:eastAsia="Times New Roman" w:hAnsi="Times New Roman" w:cs="Times New Roman"/>
          <w:sz w:val="20"/>
        </w:rPr>
        <w:t>RNAP</w:t>
      </w:r>
      <w:r>
        <w:rPr>
          <w:rFonts w:ascii="宋体" w:eastAsia="宋体" w:hAnsi="宋体" w:cs="宋体"/>
          <w:sz w:val="20"/>
        </w:rPr>
        <w:t xml:space="preserve">，造成 </w:t>
      </w:r>
      <w:r>
        <w:rPr>
          <w:rFonts w:ascii="Times New Roman" w:eastAsia="Times New Roman" w:hAnsi="Times New Roman" w:cs="Times New Roman"/>
          <w:sz w:val="20"/>
        </w:rPr>
        <w:t xml:space="preserve">RNAP </w:t>
      </w:r>
      <w:r>
        <w:rPr>
          <w:rFonts w:ascii="宋体" w:eastAsia="宋体" w:hAnsi="宋体" w:cs="宋体"/>
          <w:sz w:val="20"/>
        </w:rPr>
        <w:t>不足</w:t>
      </w:r>
      <w:r>
        <w:rPr>
          <w:rFonts w:ascii="Times New Roman" w:eastAsia="Times New Roman" w:hAnsi="Times New Roman" w:cs="Times New Roman"/>
          <w:sz w:val="20"/>
          <w:vertAlign w:val="superscript"/>
        </w:rPr>
        <w:t>[26]</w:t>
      </w:r>
      <w:r>
        <w:rPr>
          <w:rFonts w:ascii="宋体" w:eastAsia="宋体" w:hAnsi="宋体" w:cs="宋体"/>
          <w:sz w:val="20"/>
        </w:rPr>
        <w:t xml:space="preserve">。另外，外源基因的表达产物也可能与底盘细胞的基因组意外的互作，例如 </w:t>
      </w:r>
      <w:r>
        <w:rPr>
          <w:rFonts w:ascii="Times New Roman" w:eastAsia="Times New Roman" w:hAnsi="Times New Roman" w:cs="Times New Roman"/>
          <w:sz w:val="20"/>
        </w:rPr>
        <w:t xml:space="preserve">TetR </w:t>
      </w:r>
      <w:r>
        <w:rPr>
          <w:rFonts w:ascii="宋体" w:eastAsia="宋体" w:hAnsi="宋体" w:cs="宋体"/>
          <w:sz w:val="20"/>
        </w:rPr>
        <w:t>家族中一些阻遏的蛋白异常调节底盘细胞的基因表达</w:t>
      </w:r>
      <w:r>
        <w:rPr>
          <w:rFonts w:ascii="Times New Roman" w:eastAsia="Times New Roman" w:hAnsi="Times New Roman" w:cs="Times New Roman"/>
          <w:sz w:val="20"/>
          <w:vertAlign w:val="superscript"/>
        </w:rPr>
        <w:t>[27, 28]</w:t>
      </w:r>
      <w:r>
        <w:rPr>
          <w:rFonts w:ascii="宋体" w:eastAsia="宋体" w:hAnsi="宋体" w:cs="宋体"/>
          <w:sz w:val="20"/>
        </w:rPr>
        <w:t xml:space="preserve">。高表达 </w:t>
      </w:r>
      <w:r>
        <w:rPr>
          <w:rFonts w:ascii="Times New Roman" w:eastAsia="Times New Roman" w:hAnsi="Times New Roman" w:cs="Times New Roman"/>
          <w:sz w:val="20"/>
        </w:rPr>
        <w:t xml:space="preserve">dCas9 </w:t>
      </w:r>
      <w:r>
        <w:rPr>
          <w:rFonts w:ascii="宋体" w:eastAsia="宋体" w:hAnsi="宋体" w:cs="宋体"/>
          <w:sz w:val="20"/>
        </w:rPr>
        <w:t xml:space="preserve">也会严重影响细胞生理。组学实验发现 </w:t>
      </w:r>
      <w:r>
        <w:rPr>
          <w:rFonts w:ascii="Times New Roman" w:eastAsia="Times New Roman" w:hAnsi="Times New Roman" w:cs="Times New Roman"/>
          <w:sz w:val="20"/>
        </w:rPr>
        <w:t xml:space="preserve">dCas9 </w:t>
      </w:r>
      <w:r>
        <w:rPr>
          <w:rFonts w:ascii="宋体" w:eastAsia="宋体" w:hAnsi="宋体" w:cs="宋体"/>
          <w:sz w:val="20"/>
        </w:rPr>
        <w:t>蛋白在高表达水平下，能够非特异性结合到基因组上影响部分基因的转录水平</w:t>
      </w:r>
      <w:r>
        <w:rPr>
          <w:rFonts w:ascii="Times New Roman" w:eastAsia="Times New Roman" w:hAnsi="Times New Roman" w:cs="Times New Roman"/>
          <w:sz w:val="20"/>
          <w:vertAlign w:val="superscript"/>
        </w:rPr>
        <w:t>[29]</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1 d)</w:t>
      </w:r>
      <w:r>
        <w:rPr>
          <w:rFonts w:ascii="宋体" w:eastAsia="宋体" w:hAnsi="宋体" w:cs="宋体"/>
          <w:sz w:val="20"/>
        </w:rPr>
        <w:t xml:space="preserve">，导致细胞生长速率的急剧下降和细胞形态的纤维化。另外，也有实验表明 </w:t>
      </w:r>
      <w:r>
        <w:rPr>
          <w:rFonts w:ascii="Times New Roman" w:eastAsia="Times New Roman" w:hAnsi="Times New Roman" w:cs="Times New Roman"/>
          <w:sz w:val="20"/>
        </w:rPr>
        <w:t xml:space="preserve">gRNA </w:t>
      </w:r>
      <w:r>
        <w:rPr>
          <w:rFonts w:ascii="宋体" w:eastAsia="宋体" w:hAnsi="宋体" w:cs="宋体"/>
          <w:sz w:val="20"/>
        </w:rPr>
        <w:t xml:space="preserve">只含有 </w:t>
      </w:r>
      <w:r>
        <w:rPr>
          <w:rFonts w:ascii="Times New Roman" w:eastAsia="Times New Roman" w:hAnsi="Times New Roman" w:cs="Times New Roman"/>
          <w:sz w:val="20"/>
        </w:rPr>
        <w:t xml:space="preserve">9 </w:t>
      </w:r>
      <w:r>
        <w:rPr>
          <w:rFonts w:ascii="宋体" w:eastAsia="宋体" w:hAnsi="宋体" w:cs="宋体"/>
          <w:sz w:val="20"/>
        </w:rPr>
        <w:t>碱基与目标位点匹配的情况下，也能有效结合到基因组上引起转录下调</w:t>
      </w:r>
      <w:r>
        <w:rPr>
          <w:rFonts w:ascii="Times New Roman" w:eastAsia="Times New Roman" w:hAnsi="Times New Roman" w:cs="Times New Roman"/>
          <w:sz w:val="20"/>
          <w:vertAlign w:val="superscript"/>
        </w:rPr>
        <w:t>[30]</w:t>
      </w:r>
      <w:r>
        <w:rPr>
          <w:rFonts w:ascii="宋体" w:eastAsia="宋体" w:hAnsi="宋体" w:cs="宋体"/>
          <w:sz w:val="20"/>
        </w:rPr>
        <w:t xml:space="preserve">。目前，还没有系统性的定量毒性的方法，对于这些意外的互作情况，使用组学技术，如 </w:t>
      </w:r>
      <w:r>
        <w:rPr>
          <w:rFonts w:ascii="Times New Roman" w:eastAsia="Times New Roman" w:hAnsi="Times New Roman" w:cs="Times New Roman"/>
          <w:sz w:val="20"/>
        </w:rPr>
        <w:t xml:space="preserve">RNA-seq </w:t>
      </w:r>
      <w:r>
        <w:rPr>
          <w:rFonts w:ascii="宋体" w:eastAsia="宋体" w:hAnsi="宋体" w:cs="宋体"/>
          <w:sz w:val="20"/>
        </w:rPr>
        <w:t>等，可以有效地进行评估。综上所述，基因表达与细胞生长之间存在着多方面的联系。对这些关系的认识可以提高对基因回路行为认识和预测，为合成基因回路的理性设计提供指导。基于上述实验证据，很多数学模型被用于描述这些机制，以进一步解释更复杂的生理现象。</w:t>
      </w:r>
    </w:p>
    <w:p w14:paraId="672C880D" w14:textId="77777777" w:rsidR="00C25C34" w:rsidRDefault="003870E0">
      <w:pPr>
        <w:pStyle w:val="1"/>
        <w:ind w:left="344" w:hanging="359"/>
      </w:pPr>
      <w:r>
        <w:t>对合成基因回路与底盘细胞耦合效应的预测</w:t>
      </w:r>
    </w:p>
    <w:p w14:paraId="326C56CE" w14:textId="77777777" w:rsidR="00C25C34" w:rsidRDefault="003870E0">
      <w:pPr>
        <w:spacing w:after="5" w:line="296" w:lineRule="auto"/>
        <w:ind w:left="-15" w:firstLine="389"/>
      </w:pPr>
      <w:r>
        <w:rPr>
          <w:rFonts w:ascii="宋体" w:eastAsia="宋体" w:hAnsi="宋体" w:cs="宋体"/>
          <w:sz w:val="20"/>
        </w:rPr>
        <w:t>由于底盘细胞与基因回路之间存在复杂的相互作用，近年来不少工作利用数学模型解释了不同生长速度和药物作用下的细胞的行为</w:t>
      </w:r>
      <w:r>
        <w:rPr>
          <w:rFonts w:ascii="Times New Roman" w:eastAsia="Times New Roman" w:hAnsi="Times New Roman" w:cs="Times New Roman"/>
          <w:sz w:val="20"/>
          <w:vertAlign w:val="superscript"/>
        </w:rPr>
        <w:t>[4]</w:t>
      </w:r>
      <w:r>
        <w:rPr>
          <w:rFonts w:ascii="宋体" w:eastAsia="宋体" w:hAnsi="宋体" w:cs="宋体"/>
          <w:sz w:val="20"/>
        </w:rPr>
        <w:t>，将基因回路与底盘同时纳入到模型的框架中，使得许多基因回路失效的案例得到了解释，并为下一步底盘改造提供了方向。本节我们将介绍近年来出现的代表性的工作，介绍它们如何用生物物理模型去预测耦合效应。</w:t>
      </w:r>
    </w:p>
    <w:p w14:paraId="014AEEE3" w14:textId="77777777" w:rsidR="00C25C34" w:rsidRDefault="003870E0">
      <w:pPr>
        <w:spacing w:after="391" w:line="298" w:lineRule="auto"/>
        <w:ind w:left="-15" w:right="129" w:firstLine="389"/>
        <w:jc w:val="both"/>
      </w:pPr>
      <w:r>
        <w:rPr>
          <w:rFonts w:ascii="宋体" w:eastAsia="宋体" w:hAnsi="宋体" w:cs="宋体"/>
          <w:sz w:val="20"/>
        </w:rPr>
        <w:t xml:space="preserve">虽然，用生物物理模型描述回路与底盘互作是近十几年随着合成生物学而兴起的工具，但模拟细胞内全部或主要生理过程的思想在 </w:t>
      </w:r>
      <w:r>
        <w:rPr>
          <w:rFonts w:ascii="Times New Roman" w:eastAsia="Times New Roman" w:hAnsi="Times New Roman" w:cs="Times New Roman"/>
          <w:sz w:val="20"/>
        </w:rPr>
        <w:t xml:space="preserve">1979 </w:t>
      </w:r>
      <w:r>
        <w:rPr>
          <w:rFonts w:ascii="宋体" w:eastAsia="宋体" w:hAnsi="宋体" w:cs="宋体"/>
          <w:sz w:val="20"/>
        </w:rPr>
        <w:t>年就有报道</w:t>
      </w:r>
      <w:r>
        <w:rPr>
          <w:rFonts w:ascii="Times New Roman" w:eastAsia="Times New Roman" w:hAnsi="Times New Roman" w:cs="Times New Roman"/>
          <w:sz w:val="20"/>
          <w:vertAlign w:val="superscript"/>
        </w:rPr>
        <w:t>[31]</w:t>
      </w:r>
      <w:r>
        <w:rPr>
          <w:rFonts w:ascii="宋体" w:eastAsia="宋体" w:hAnsi="宋体" w:cs="宋体"/>
          <w:sz w:val="20"/>
        </w:rPr>
        <w:t>。从进入二十世纪以来，伴随着组学技术、生物定量技术的发展以及运算能力的提高，出现了全盘考虑所有已知生化过程的数学模型，其被称为全细胞模型（</w:t>
      </w:r>
      <w:r>
        <w:rPr>
          <w:rFonts w:ascii="Times New Roman" w:eastAsia="Times New Roman" w:hAnsi="Times New Roman" w:cs="Times New Roman"/>
          <w:sz w:val="20"/>
        </w:rPr>
        <w:t>whole cell model)</w:t>
      </w:r>
      <w:r>
        <w:rPr>
          <w:rFonts w:ascii="Times New Roman" w:eastAsia="Times New Roman" w:hAnsi="Times New Roman" w:cs="Times New Roman"/>
          <w:sz w:val="20"/>
          <w:vertAlign w:val="superscript"/>
        </w:rPr>
        <w:t>[32-34]</w:t>
      </w:r>
      <w:r>
        <w:rPr>
          <w:rFonts w:ascii="宋体" w:eastAsia="宋体" w:hAnsi="宋体" w:cs="宋体"/>
          <w:sz w:val="20"/>
        </w:rPr>
        <w:t>。也有忽略大部分生化过程，仅考虑关键的几个生化过程的粗粒化的模型（</w:t>
      </w:r>
      <w:r>
        <w:rPr>
          <w:rFonts w:ascii="Times New Roman" w:eastAsia="Times New Roman" w:hAnsi="Times New Roman" w:cs="Times New Roman"/>
          <w:sz w:val="20"/>
        </w:rPr>
        <w:t>coarse-grained model</w:t>
      </w:r>
      <w:r>
        <w:rPr>
          <w:rFonts w:ascii="宋体" w:eastAsia="宋体" w:hAnsi="宋体" w:cs="宋体"/>
          <w:sz w:val="20"/>
        </w:rPr>
        <w:t>）</w:t>
      </w:r>
      <w:r w:rsidRPr="00F3774C">
        <w:rPr>
          <w:rFonts w:ascii="Times New Roman" w:eastAsia="Times New Roman" w:hAnsi="Times New Roman" w:cs="Times New Roman"/>
          <w:sz w:val="14"/>
          <w:vertAlign w:val="superscript"/>
        </w:rPr>
        <w:t>[4, 35, 36]</w:t>
      </w:r>
      <w:r>
        <w:rPr>
          <w:rFonts w:ascii="宋体" w:eastAsia="宋体" w:hAnsi="宋体" w:cs="宋体"/>
          <w:sz w:val="20"/>
        </w:rPr>
        <w:t>。</w:t>
      </w:r>
    </w:p>
    <w:p w14:paraId="32BB29F8" w14:textId="30FC626D" w:rsidR="00C25C34" w:rsidRDefault="006158CD">
      <w:pPr>
        <w:pStyle w:val="2"/>
        <w:numPr>
          <w:ilvl w:val="0"/>
          <w:numId w:val="0"/>
        </w:numPr>
        <w:ind w:left="-5"/>
      </w:pPr>
      <w:r>
        <w:rPr>
          <w:rFonts w:hint="eastAsia"/>
        </w:rPr>
        <w:t>3.1</w:t>
      </w:r>
      <w:r>
        <w:t xml:space="preserve"> </w:t>
      </w:r>
      <w:r w:rsidR="003870E0">
        <w:t>基于基因组的全细胞模型</w:t>
      </w:r>
    </w:p>
    <w:p w14:paraId="02F1AB66" w14:textId="119AA704" w:rsidR="00C25C34" w:rsidRDefault="003870E0" w:rsidP="003870E0">
      <w:pPr>
        <w:spacing w:after="57" w:line="296" w:lineRule="auto"/>
        <w:ind w:left="-15" w:firstLine="389"/>
      </w:pPr>
      <w:r>
        <w:rPr>
          <w:rFonts w:ascii="宋体" w:eastAsia="宋体" w:hAnsi="宋体" w:cs="宋体"/>
          <w:sz w:val="20"/>
        </w:rPr>
        <w:t xml:space="preserve">随着组学技术的兴起，构建全细胞模型的想法自然而然的产生，自 </w:t>
      </w:r>
      <w:r>
        <w:rPr>
          <w:rFonts w:ascii="Times New Roman" w:eastAsia="Times New Roman" w:hAnsi="Times New Roman" w:cs="Times New Roman"/>
          <w:sz w:val="20"/>
        </w:rPr>
        <w:t xml:space="preserve">2000 </w:t>
      </w:r>
      <w:r>
        <w:rPr>
          <w:rFonts w:ascii="宋体" w:eastAsia="宋体" w:hAnsi="宋体" w:cs="宋体"/>
          <w:sz w:val="20"/>
        </w:rPr>
        <w:t>年以来经历了构建全基因组网络结构、整合组学数据阶段</w:t>
      </w:r>
      <w:r>
        <w:rPr>
          <w:rFonts w:ascii="Times New Roman" w:eastAsia="Times New Roman" w:hAnsi="Times New Roman" w:cs="Times New Roman"/>
          <w:sz w:val="20"/>
          <w:vertAlign w:val="superscript"/>
        </w:rPr>
        <w:t>[32]</w:t>
      </w:r>
      <w:r>
        <w:rPr>
          <w:rFonts w:ascii="宋体" w:eastAsia="宋体" w:hAnsi="宋体" w:cs="宋体"/>
          <w:sz w:val="20"/>
        </w:rPr>
        <w:t>，到目前拥有一定的预测能力。</w:t>
      </w:r>
      <w:r>
        <w:rPr>
          <w:rFonts w:ascii="Times New Roman" w:eastAsia="Times New Roman" w:hAnsi="Times New Roman" w:cs="Times New Roman"/>
          <w:sz w:val="20"/>
        </w:rPr>
        <w:t xml:space="preserve">2012 </w:t>
      </w:r>
      <w:r>
        <w:rPr>
          <w:rFonts w:ascii="宋体" w:eastAsia="宋体" w:hAnsi="宋体" w:cs="宋体"/>
          <w:sz w:val="20"/>
        </w:rPr>
        <w:t xml:space="preserve">年 </w:t>
      </w:r>
      <w:r>
        <w:rPr>
          <w:rFonts w:ascii="Times New Roman" w:eastAsia="Times New Roman" w:hAnsi="Times New Roman" w:cs="Times New Roman"/>
          <w:sz w:val="20"/>
        </w:rPr>
        <w:t xml:space="preserve">KarrJ </w:t>
      </w:r>
      <w:r>
        <w:rPr>
          <w:rFonts w:ascii="宋体" w:eastAsia="宋体" w:hAnsi="宋体" w:cs="宋体"/>
          <w:sz w:val="20"/>
        </w:rPr>
        <w:t xml:space="preserve">等人基于组学数据对 </w:t>
      </w:r>
      <w:r>
        <w:rPr>
          <w:rFonts w:ascii="Times New Roman" w:eastAsia="Times New Roman" w:hAnsi="Times New Roman" w:cs="Times New Roman"/>
          <w:i/>
          <w:sz w:val="20"/>
        </w:rPr>
        <w:t xml:space="preserve">Mycoplasma genitalium </w:t>
      </w:r>
      <w:r>
        <w:rPr>
          <w:rFonts w:ascii="宋体" w:eastAsia="宋体" w:hAnsi="宋体" w:cs="宋体"/>
          <w:sz w:val="20"/>
        </w:rPr>
        <w:t>进行全细胞建模，通过对细胞周期中的每个注释过的基因产物及反应都建立了描述性的方程，该模型可以对基因组各基因与转录因子之间的互作等诸多细胞行为做出预测，在这基础上通过对单基因扰动的模拟发现了已注释基因的新功能</w:t>
      </w:r>
      <w:r>
        <w:rPr>
          <w:rFonts w:ascii="Times New Roman" w:eastAsia="Times New Roman" w:hAnsi="Times New Roman" w:cs="Times New Roman"/>
          <w:sz w:val="20"/>
          <w:vertAlign w:val="superscript"/>
        </w:rPr>
        <w:t>[34]</w:t>
      </w:r>
      <w:r>
        <w:rPr>
          <w:rFonts w:ascii="宋体" w:eastAsia="宋体" w:hAnsi="宋体" w:cs="宋体"/>
          <w:sz w:val="20"/>
        </w:rPr>
        <w:t xml:space="preserve">。除了 </w:t>
      </w:r>
      <w:r>
        <w:rPr>
          <w:rFonts w:ascii="Times New Roman" w:eastAsia="Times New Roman" w:hAnsi="Times New Roman" w:cs="Times New Roman"/>
          <w:i/>
          <w:sz w:val="20"/>
        </w:rPr>
        <w:t xml:space="preserve">Mycoplasma genitalium </w:t>
      </w:r>
      <w:r>
        <w:rPr>
          <w:rFonts w:ascii="宋体" w:eastAsia="宋体" w:hAnsi="宋体" w:cs="宋体"/>
          <w:sz w:val="20"/>
        </w:rPr>
        <w:t>以外，全细胞领域另一个比较成熟的生物模型是大肠杆菌模型，有研究以它为对象尝试建立对应全细胞模型，成功预测大部分基因或环境扰动对生长速度的影响，但是文中也表明对应注释和实验数据的缺乏是该领域面临的很棘手的问题</w:t>
      </w:r>
      <w:r>
        <w:rPr>
          <w:rFonts w:ascii="Times New Roman" w:eastAsia="Times New Roman" w:hAnsi="Times New Roman" w:cs="Times New Roman"/>
          <w:sz w:val="20"/>
          <w:vertAlign w:val="superscript"/>
        </w:rPr>
        <w:t>[37]</w:t>
      </w:r>
      <w:r>
        <w:rPr>
          <w:rFonts w:ascii="宋体" w:eastAsia="宋体" w:hAnsi="宋体" w:cs="宋体"/>
          <w:sz w:val="20"/>
        </w:rPr>
        <w:t xml:space="preserve">。即使如此，以全细胞模型为背景，很多工作专注一些特殊事件的研究也取得了很有意思的结果。有研究以 </w:t>
      </w:r>
      <w:r>
        <w:rPr>
          <w:rFonts w:ascii="Times New Roman" w:eastAsia="Times New Roman" w:hAnsi="Times New Roman" w:cs="Times New Roman"/>
          <w:sz w:val="20"/>
        </w:rPr>
        <w:t xml:space="preserve">DnaA </w:t>
      </w:r>
      <w:r>
        <w:rPr>
          <w:rFonts w:ascii="宋体" w:eastAsia="宋体" w:hAnsi="宋体" w:cs="宋体"/>
          <w:sz w:val="20"/>
        </w:rPr>
        <w:t xml:space="preserve">为机制，预测了 </w:t>
      </w:r>
      <w:r>
        <w:rPr>
          <w:rFonts w:ascii="Times New Roman" w:eastAsia="Times New Roman" w:hAnsi="Times New Roman" w:cs="Times New Roman"/>
          <w:sz w:val="20"/>
        </w:rPr>
        <w:t xml:space="preserve">DNA </w:t>
      </w:r>
      <w:r>
        <w:rPr>
          <w:rFonts w:ascii="宋体" w:eastAsia="宋体" w:hAnsi="宋体" w:cs="宋体"/>
          <w:sz w:val="20"/>
        </w:rPr>
        <w:t>复制时间（</w:t>
      </w:r>
      <w:r>
        <w:rPr>
          <w:rFonts w:ascii="Times New Roman" w:eastAsia="Times New Roman" w:hAnsi="Times New Roman" w:cs="Times New Roman"/>
          <w:sz w:val="20"/>
        </w:rPr>
        <w:t xml:space="preserve">C </w:t>
      </w:r>
      <w:r>
        <w:rPr>
          <w:rFonts w:ascii="宋体" w:eastAsia="宋体" w:hAnsi="宋体" w:cs="宋体"/>
          <w:sz w:val="20"/>
        </w:rPr>
        <w:t xml:space="preserve">期）同生长速率之间的关系，并同实验数据较为符合，并进一步提出了关于 </w:t>
      </w:r>
      <w:r>
        <w:rPr>
          <w:rFonts w:ascii="Times New Roman" w:eastAsia="Times New Roman" w:hAnsi="Times New Roman" w:cs="Times New Roman"/>
          <w:sz w:val="20"/>
        </w:rPr>
        <w:t xml:space="preserve">DnaA </w:t>
      </w:r>
      <w:r>
        <w:rPr>
          <w:rFonts w:ascii="宋体" w:eastAsia="宋体" w:hAnsi="宋体" w:cs="宋体"/>
          <w:sz w:val="20"/>
        </w:rPr>
        <w:t>结合位点同生长速率调控之间的关系</w:t>
      </w:r>
      <w:r>
        <w:rPr>
          <w:rFonts w:ascii="Times New Roman" w:eastAsia="Times New Roman" w:hAnsi="Times New Roman" w:cs="Times New Roman"/>
          <w:sz w:val="20"/>
          <w:vertAlign w:val="superscript"/>
        </w:rPr>
        <w:t>[38]</w:t>
      </w:r>
      <w:r>
        <w:rPr>
          <w:rFonts w:ascii="宋体" w:eastAsia="宋体" w:hAnsi="宋体" w:cs="宋体"/>
          <w:sz w:val="20"/>
        </w:rPr>
        <w:t>。有研究从全细胞模型出发关于噪音对基因开关的影响进行了研究，发现生长状态对噪音大小存在影响，由于转录翻译元件扩散速度慢和自我复制特性会产生正反馈机制，导致快速生长条件下的细胞存在更大的噪音</w:t>
      </w:r>
      <w:r>
        <w:rPr>
          <w:rFonts w:ascii="Times New Roman" w:eastAsia="Times New Roman" w:hAnsi="Times New Roman" w:cs="Times New Roman"/>
          <w:sz w:val="20"/>
          <w:vertAlign w:val="superscript"/>
        </w:rPr>
        <w:t>[39]</w:t>
      </w:r>
      <w:r>
        <w:rPr>
          <w:rFonts w:ascii="宋体" w:eastAsia="宋体" w:hAnsi="宋体" w:cs="宋体"/>
          <w:sz w:val="20"/>
        </w:rPr>
        <w:t>。</w:t>
      </w:r>
    </w:p>
    <w:p w14:paraId="692B3F2D" w14:textId="75060C9B" w:rsidR="00C25C34" w:rsidRDefault="003870E0" w:rsidP="003870E0">
      <w:pPr>
        <w:spacing w:after="5" w:line="296" w:lineRule="auto"/>
        <w:ind w:left="-15" w:firstLine="389"/>
      </w:pPr>
      <w:r>
        <w:rPr>
          <w:rFonts w:ascii="宋体" w:eastAsia="宋体" w:hAnsi="宋体" w:cs="宋体"/>
          <w:sz w:val="20"/>
        </w:rPr>
        <w:lastRenderedPageBreak/>
        <w:t>全细胞模型中涉及的参数数量来源庞杂，</w:t>
      </w:r>
      <w:r>
        <w:rPr>
          <w:rFonts w:ascii="Times New Roman" w:eastAsia="Times New Roman" w:hAnsi="Times New Roman" w:cs="Times New Roman"/>
          <w:i/>
          <w:sz w:val="20"/>
        </w:rPr>
        <w:t xml:space="preserve">Mycoplasma genitalium </w:t>
      </w:r>
      <w:r>
        <w:rPr>
          <w:rFonts w:ascii="宋体" w:eastAsia="宋体" w:hAnsi="宋体" w:cs="宋体"/>
          <w:sz w:val="20"/>
        </w:rPr>
        <w:t xml:space="preserve">的全细胞模型中整理了 </w:t>
      </w:r>
      <w:r>
        <w:rPr>
          <w:rFonts w:ascii="Times New Roman" w:eastAsia="Times New Roman" w:hAnsi="Times New Roman" w:cs="Times New Roman"/>
          <w:sz w:val="20"/>
        </w:rPr>
        <w:t xml:space="preserve">900 </w:t>
      </w:r>
      <w:r>
        <w:rPr>
          <w:rFonts w:ascii="宋体" w:eastAsia="宋体" w:hAnsi="宋体" w:cs="宋体"/>
          <w:sz w:val="20"/>
        </w:rPr>
        <w:t xml:space="preserve">篇文献中的 </w:t>
      </w:r>
      <w:r>
        <w:rPr>
          <w:rFonts w:ascii="Times New Roman" w:eastAsia="Times New Roman" w:hAnsi="Times New Roman" w:cs="Times New Roman"/>
          <w:sz w:val="20"/>
        </w:rPr>
        <w:t xml:space="preserve">1900 </w:t>
      </w:r>
      <w:r>
        <w:rPr>
          <w:rFonts w:ascii="宋体" w:eastAsia="宋体" w:hAnsi="宋体" w:cs="宋体"/>
          <w:sz w:val="20"/>
        </w:rPr>
        <w:t>个参数，包括分子和蛋白浓度、</w:t>
      </w:r>
      <w:r>
        <w:rPr>
          <w:rFonts w:ascii="Times New Roman" w:eastAsia="Times New Roman" w:hAnsi="Times New Roman" w:cs="Times New Roman"/>
          <w:sz w:val="20"/>
        </w:rPr>
        <w:t xml:space="preserve">DNA </w:t>
      </w:r>
      <w:r>
        <w:rPr>
          <w:rFonts w:ascii="宋体" w:eastAsia="宋体" w:hAnsi="宋体" w:cs="宋体"/>
          <w:sz w:val="20"/>
        </w:rPr>
        <w:t>蛋白质亲和力大小、</w:t>
      </w:r>
      <w:r>
        <w:rPr>
          <w:rFonts w:ascii="Times New Roman" w:eastAsia="Times New Roman" w:hAnsi="Times New Roman" w:cs="Times New Roman"/>
          <w:sz w:val="20"/>
        </w:rPr>
        <w:t xml:space="preserve">RNA </w:t>
      </w:r>
      <w:r>
        <w:rPr>
          <w:rFonts w:ascii="宋体" w:eastAsia="宋体" w:hAnsi="宋体" w:cs="宋体"/>
          <w:sz w:val="20"/>
        </w:rPr>
        <w:t>蛋白质降解速率、超螺旋程度影响等，还有更多的过程参数需要通过流平衡分析（</w:t>
      </w:r>
      <w:r>
        <w:rPr>
          <w:rFonts w:ascii="Times New Roman" w:eastAsia="Times New Roman" w:hAnsi="Times New Roman" w:cs="Times New Roman"/>
          <w:sz w:val="20"/>
        </w:rPr>
        <w:t>Flux Balance Analysis</w:t>
      </w:r>
      <w:r>
        <w:rPr>
          <w:rFonts w:ascii="宋体" w:eastAsia="宋体" w:hAnsi="宋体" w:cs="宋体"/>
          <w:sz w:val="20"/>
        </w:rPr>
        <w:t>）</w:t>
      </w:r>
      <w:r>
        <w:rPr>
          <w:rFonts w:ascii="Times New Roman" w:eastAsia="Times New Roman" w:hAnsi="Times New Roman" w:cs="Times New Roman"/>
          <w:sz w:val="20"/>
          <w:vertAlign w:val="superscript"/>
        </w:rPr>
        <w:t>[40]</w:t>
      </w:r>
      <w:r>
        <w:rPr>
          <w:rFonts w:ascii="宋体" w:eastAsia="宋体" w:hAnsi="宋体" w:cs="宋体"/>
          <w:sz w:val="20"/>
        </w:rPr>
        <w:t>、随机过程等数学手段推断得出</w:t>
      </w:r>
      <w:r>
        <w:rPr>
          <w:rFonts w:ascii="Times New Roman" w:eastAsia="Times New Roman" w:hAnsi="Times New Roman" w:cs="Times New Roman"/>
          <w:sz w:val="20"/>
          <w:vertAlign w:val="superscript"/>
        </w:rPr>
        <w:t>[41]</w:t>
      </w:r>
      <w:r>
        <w:rPr>
          <w:rFonts w:ascii="宋体" w:eastAsia="宋体" w:hAnsi="宋体" w:cs="宋体"/>
          <w:sz w:val="20"/>
        </w:rPr>
        <w:t>。实验测得的参数由于条件不统一，无法直接套用，还需要自己去重新测定，数学模型也需要在多个层面上对模型进行整合，需要很好的数学基础。因此全细胞模型的构建虽然可以帮助我们解决很多问题，但是确实是一项非常昂贵且要求很高的工作。与此同时，从“一切从简”的观点出发的粗粒化模型成为了与之互补的另一条途径。</w:t>
      </w:r>
    </w:p>
    <w:p w14:paraId="3B239840" w14:textId="711B6BF8" w:rsidR="00C25C34" w:rsidRDefault="006158CD">
      <w:pPr>
        <w:pStyle w:val="2"/>
        <w:numPr>
          <w:ilvl w:val="0"/>
          <w:numId w:val="0"/>
        </w:numPr>
        <w:spacing w:after="292"/>
        <w:ind w:left="123"/>
      </w:pPr>
      <w:r>
        <w:rPr>
          <w:rFonts w:hint="eastAsia"/>
        </w:rPr>
        <w:t>3.2</w:t>
      </w:r>
      <w:r>
        <w:t xml:space="preserve"> </w:t>
      </w:r>
      <w:r w:rsidR="003870E0">
        <w:t>粗粒化模型</w:t>
      </w:r>
    </w:p>
    <w:p w14:paraId="5F94A3EB" w14:textId="1F9453A2" w:rsidR="00C25C34" w:rsidRDefault="003870E0">
      <w:pPr>
        <w:spacing w:after="3" w:line="298" w:lineRule="auto"/>
        <w:ind w:left="113" w:right="129" w:firstLine="389"/>
        <w:jc w:val="both"/>
      </w:pPr>
      <w:r>
        <w:rPr>
          <w:rFonts w:ascii="宋体" w:eastAsia="宋体" w:hAnsi="宋体" w:cs="宋体"/>
          <w:sz w:val="20"/>
        </w:rPr>
        <w:t>粗粒化模型是希望通过一些简化模型，抓住所关注问题的核心机制，来对现象进行解释。早期细胞生理学家通过粗粒化模型想要回答的问题是，如何预测特定环境下的细胞生长速度。然而单纯从营养物质能量大小出发，无法解释实验结果，于是科学家们注意到前体代谢物对生长的关键作用以及蛋白质合成和底物之间的调节效应，相关内容总结于</w:t>
      </w:r>
      <w:r>
        <w:rPr>
          <w:rFonts w:ascii="Times New Roman" w:eastAsia="Times New Roman" w:hAnsi="Times New Roman" w:cs="Times New Roman"/>
          <w:sz w:val="20"/>
          <w:vertAlign w:val="superscript"/>
        </w:rPr>
        <w:t>[42]</w:t>
      </w:r>
      <w:r>
        <w:rPr>
          <w:rFonts w:ascii="宋体" w:eastAsia="宋体" w:hAnsi="宋体" w:cs="宋体"/>
          <w:sz w:val="20"/>
        </w:rPr>
        <w:t>，这算是最初的粗粒化模型。</w:t>
      </w:r>
      <w:r w:rsidR="00F3774C">
        <w:rPr>
          <w:rFonts w:ascii="宋体" w:eastAsia="宋体" w:hAnsi="宋体" w:cs="宋体" w:hint="eastAsia"/>
          <w:sz w:val="20"/>
        </w:rPr>
        <w:t>而</w:t>
      </w:r>
      <w:r>
        <w:rPr>
          <w:rFonts w:ascii="Times New Roman" w:eastAsia="Times New Roman" w:hAnsi="Times New Roman" w:cs="Times New Roman"/>
          <w:sz w:val="20"/>
        </w:rPr>
        <w:t xml:space="preserve">Scott </w:t>
      </w:r>
      <w:r>
        <w:rPr>
          <w:rFonts w:ascii="宋体" w:eastAsia="宋体" w:hAnsi="宋体" w:cs="宋体"/>
          <w:sz w:val="20"/>
        </w:rPr>
        <w:t>等人基于实验现象，进一步将蛋白质组分为核糖体相关部分、代谢部分和其它部分，通过构建粗粒化模型得以解释实验中观察得到的现象</w:t>
      </w:r>
      <w:r>
        <w:rPr>
          <w:rFonts w:ascii="Times New Roman" w:eastAsia="Times New Roman" w:hAnsi="Times New Roman" w:cs="Times New Roman"/>
          <w:sz w:val="20"/>
          <w:vertAlign w:val="superscript"/>
        </w:rPr>
        <w:t>[4]</w:t>
      </w:r>
      <w:r>
        <w:rPr>
          <w:rFonts w:ascii="宋体" w:eastAsia="宋体" w:hAnsi="宋体" w:cs="宋体"/>
          <w:sz w:val="20"/>
        </w:rPr>
        <w:t>。</w:t>
      </w:r>
      <w:r>
        <w:rPr>
          <w:rFonts w:ascii="Times New Roman" w:eastAsia="Times New Roman" w:hAnsi="Times New Roman" w:cs="Times New Roman"/>
          <w:sz w:val="20"/>
        </w:rPr>
        <w:t xml:space="preserve">2015 </w:t>
      </w:r>
      <w:r>
        <w:rPr>
          <w:rFonts w:ascii="宋体" w:eastAsia="宋体" w:hAnsi="宋体" w:cs="宋体"/>
          <w:sz w:val="20"/>
        </w:rPr>
        <w:t xml:space="preserve">年 </w:t>
      </w:r>
      <w:r>
        <w:rPr>
          <w:rFonts w:ascii="Times New Roman" w:eastAsia="Times New Roman" w:hAnsi="Times New Roman" w:cs="Times New Roman"/>
          <w:sz w:val="20"/>
        </w:rPr>
        <w:t xml:space="preserve">Weiße </w:t>
      </w:r>
      <w:r>
        <w:rPr>
          <w:rFonts w:ascii="宋体" w:eastAsia="宋体" w:hAnsi="宋体" w:cs="宋体"/>
          <w:sz w:val="20"/>
        </w:rPr>
        <w:t>等人又系统性地从能量角度整合</w:t>
      </w:r>
      <w:r w:rsidR="00F3774C">
        <w:rPr>
          <w:rFonts w:ascii="宋体" w:eastAsia="宋体" w:hAnsi="宋体" w:cs="宋体"/>
          <w:sz w:val="20"/>
        </w:rPr>
        <w:t xml:space="preserve"> </w:t>
      </w:r>
      <w:r>
        <w:rPr>
          <w:rFonts w:ascii="Times New Roman" w:eastAsia="Times New Roman" w:hAnsi="Times New Roman" w:cs="Times New Roman"/>
          <w:sz w:val="20"/>
        </w:rPr>
        <w:t xml:space="preserve">Scott </w:t>
      </w:r>
      <w:r>
        <w:rPr>
          <w:rFonts w:ascii="宋体" w:eastAsia="宋体" w:hAnsi="宋体" w:cs="宋体"/>
          <w:sz w:val="20"/>
        </w:rPr>
        <w:t>的研究结果并精简了相关因素，对细胞生长做出了更为准确的预测，并进一步讨论了其中回路与宿主之间的作用机制</w:t>
      </w:r>
      <w:r>
        <w:rPr>
          <w:rFonts w:ascii="Times New Roman" w:eastAsia="Times New Roman" w:hAnsi="Times New Roman" w:cs="Times New Roman"/>
          <w:sz w:val="20"/>
          <w:vertAlign w:val="superscript"/>
        </w:rPr>
        <w:t>[35]</w:t>
      </w:r>
      <w:r>
        <w:rPr>
          <w:rFonts w:ascii="宋体" w:eastAsia="宋体" w:hAnsi="宋体" w:cs="宋体"/>
          <w:sz w:val="20"/>
        </w:rPr>
        <w:t>。</w:t>
      </w:r>
      <w:r>
        <w:rPr>
          <w:rFonts w:ascii="Times New Roman" w:eastAsia="Times New Roman" w:hAnsi="Times New Roman" w:cs="Times New Roman"/>
          <w:sz w:val="20"/>
        </w:rPr>
        <w:t xml:space="preserve">2017 </w:t>
      </w:r>
      <w:r>
        <w:rPr>
          <w:rFonts w:ascii="宋体" w:eastAsia="宋体" w:hAnsi="宋体" w:cs="宋体"/>
          <w:sz w:val="20"/>
        </w:rPr>
        <w:t>年，</w:t>
      </w:r>
      <w:r>
        <w:rPr>
          <w:rFonts w:ascii="Times New Roman" w:eastAsia="Times New Roman" w:hAnsi="Times New Roman" w:cs="Times New Roman"/>
          <w:sz w:val="20"/>
        </w:rPr>
        <w:t xml:space="preserve">Liao </w:t>
      </w:r>
      <w:r>
        <w:rPr>
          <w:rFonts w:ascii="宋体" w:eastAsia="宋体" w:hAnsi="宋体" w:cs="宋体"/>
          <w:sz w:val="20"/>
        </w:rPr>
        <w:t xml:space="preserve">等人引入 </w:t>
      </w:r>
      <w:r>
        <w:rPr>
          <w:rFonts w:ascii="Times New Roman" w:eastAsia="Times New Roman" w:hAnsi="Times New Roman" w:cs="Times New Roman"/>
          <w:sz w:val="20"/>
        </w:rPr>
        <w:t xml:space="preserve">ppGpp </w:t>
      </w:r>
      <w:r>
        <w:rPr>
          <w:rFonts w:ascii="宋体" w:eastAsia="宋体" w:hAnsi="宋体" w:cs="宋体"/>
          <w:sz w:val="20"/>
        </w:rPr>
        <w:t>作为全局调控因子，进一步对营养物质切换时细胞生长的实验现象进行了解释，并且引入了更多的竞争机制成功解释了基因回路相关的实验现象</w:t>
      </w:r>
      <w:r>
        <w:rPr>
          <w:rFonts w:ascii="Times New Roman" w:eastAsia="Times New Roman" w:hAnsi="Times New Roman" w:cs="Times New Roman"/>
          <w:sz w:val="20"/>
          <w:vertAlign w:val="superscript"/>
        </w:rPr>
        <w:t>[36]</w:t>
      </w:r>
      <w:r>
        <w:rPr>
          <w:rFonts w:ascii="宋体" w:eastAsia="宋体" w:hAnsi="宋体" w:cs="宋体"/>
          <w:sz w:val="20"/>
        </w:rPr>
        <w:t>。粗粒化模型对细胞生理行为的描述越发准确，并且细胞与回路之间的互作也被越来越多的考虑到其中。</w:t>
      </w:r>
    </w:p>
    <w:p w14:paraId="646151F3" w14:textId="77777777" w:rsidR="00C25C34" w:rsidRDefault="003870E0">
      <w:pPr>
        <w:spacing w:after="40" w:line="296" w:lineRule="auto"/>
        <w:ind w:left="113" w:firstLine="389"/>
      </w:pPr>
      <w:r>
        <w:rPr>
          <w:rFonts w:ascii="宋体" w:eastAsia="宋体" w:hAnsi="宋体" w:cs="宋体"/>
          <w:sz w:val="20"/>
        </w:rPr>
        <w:t>粗粒化模型的参数数量比全细胞模型的要少得多，</w:t>
      </w:r>
      <w:r>
        <w:rPr>
          <w:rFonts w:ascii="Times New Roman" w:eastAsia="Times New Roman" w:hAnsi="Times New Roman" w:cs="Times New Roman"/>
          <w:sz w:val="20"/>
        </w:rPr>
        <w:t xml:space="preserve">Liao </w:t>
      </w:r>
      <w:r>
        <w:rPr>
          <w:rFonts w:ascii="宋体" w:eastAsia="宋体" w:hAnsi="宋体" w:cs="宋体"/>
          <w:sz w:val="20"/>
        </w:rPr>
        <w:t xml:space="preserve">等人的关于大肠杆菌的粗粒化模型中的参数仅 </w:t>
      </w:r>
      <w:r>
        <w:rPr>
          <w:rFonts w:ascii="Times New Roman" w:eastAsia="Times New Roman" w:hAnsi="Times New Roman" w:cs="Times New Roman"/>
          <w:sz w:val="20"/>
        </w:rPr>
        <w:t xml:space="preserve">97 </w:t>
      </w:r>
      <w:r>
        <w:rPr>
          <w:rFonts w:ascii="宋体" w:eastAsia="宋体" w:hAnsi="宋体" w:cs="宋体"/>
          <w:sz w:val="20"/>
        </w:rPr>
        <w:t xml:space="preserve">个，实验测得有 </w:t>
      </w:r>
      <w:r>
        <w:rPr>
          <w:rFonts w:ascii="Times New Roman" w:eastAsia="Times New Roman" w:hAnsi="Times New Roman" w:cs="Times New Roman"/>
          <w:sz w:val="20"/>
        </w:rPr>
        <w:t xml:space="preserve">52 </w:t>
      </w:r>
      <w:r>
        <w:rPr>
          <w:rFonts w:ascii="宋体" w:eastAsia="宋体" w:hAnsi="宋体" w:cs="宋体"/>
          <w:sz w:val="20"/>
        </w:rPr>
        <w:t>个，其中部分参数相对稳定，不需要重复测量，可解释性和可实现性方面比全细胞模型更具有优势</w:t>
      </w:r>
      <w:r>
        <w:rPr>
          <w:rFonts w:ascii="Times New Roman" w:eastAsia="Times New Roman" w:hAnsi="Times New Roman" w:cs="Times New Roman"/>
          <w:sz w:val="20"/>
          <w:vertAlign w:val="superscript"/>
        </w:rPr>
        <w:t>[36]</w:t>
      </w:r>
      <w:r>
        <w:rPr>
          <w:rFonts w:ascii="宋体" w:eastAsia="宋体" w:hAnsi="宋体" w:cs="宋体"/>
          <w:sz w:val="20"/>
        </w:rPr>
        <w:t>。</w:t>
      </w:r>
    </w:p>
    <w:p w14:paraId="0491C07B" w14:textId="77777777" w:rsidR="00C25C34" w:rsidRDefault="003870E0">
      <w:pPr>
        <w:spacing w:after="726" w:line="296" w:lineRule="auto"/>
        <w:ind w:left="113" w:firstLine="389"/>
      </w:pPr>
      <w:r>
        <w:rPr>
          <w:rFonts w:ascii="宋体" w:eastAsia="宋体" w:hAnsi="宋体" w:cs="宋体"/>
          <w:sz w:val="20"/>
        </w:rPr>
        <w:t>其实本质上全细胞模型和粗粒化模型只是两种不同的思考方向，全细胞模型是自下而上的逐一还原生化细节来构建完整细胞模型，而粗粒化模型是自上而下的对细胞进行总结进而构建。或许未来某个时刻这两条回路最终会到达一个终点，伴随着自动化实验技术的成熟，发展出一套成熟的细胞模型刻画体系，加快生物资源开发效率。</w:t>
      </w:r>
    </w:p>
    <w:p w14:paraId="6691E30E" w14:textId="77777777" w:rsidR="00C25C34" w:rsidRDefault="003870E0">
      <w:pPr>
        <w:pStyle w:val="1"/>
        <w:spacing w:after="332"/>
        <w:ind w:left="472" w:hanging="359"/>
      </w:pPr>
      <w:r>
        <w:t>减弱和规避合成基因回路与底盘细胞之间的耦合</w:t>
      </w:r>
    </w:p>
    <w:p w14:paraId="473B5AC1" w14:textId="340F80F3" w:rsidR="00C25C34" w:rsidRDefault="003870E0" w:rsidP="003870E0">
      <w:pPr>
        <w:spacing w:after="5" w:line="296" w:lineRule="auto"/>
        <w:ind w:left="113" w:firstLine="389"/>
      </w:pPr>
      <w:r>
        <w:rPr>
          <w:rFonts w:ascii="宋体" w:eastAsia="宋体" w:hAnsi="宋体" w:cs="宋体"/>
          <w:sz w:val="20"/>
        </w:rPr>
        <w:t>通过生物物理模型，可以帮助我们有效理解回路</w:t>
      </w:r>
      <w:r>
        <w:rPr>
          <w:rFonts w:ascii="Times New Roman" w:eastAsia="Times New Roman" w:hAnsi="Times New Roman" w:cs="Times New Roman"/>
          <w:sz w:val="20"/>
        </w:rPr>
        <w:t>—</w:t>
      </w:r>
      <w:r>
        <w:rPr>
          <w:rFonts w:ascii="宋体" w:eastAsia="宋体" w:hAnsi="宋体" w:cs="宋体"/>
          <w:sz w:val="20"/>
        </w:rPr>
        <w:t xml:space="preserve">底盘耦合的根源。减弱或者规避这种耦合可以大幅降低预测、构建大规模基因回路的难度。目前主要有两种思路，回路元件正交化和设计模块化。前者通过人工的改造和导入各个层次上的正交元件（包括正交 </w:t>
      </w:r>
      <w:r>
        <w:rPr>
          <w:rFonts w:ascii="Times New Roman" w:eastAsia="Times New Roman" w:hAnsi="Times New Roman" w:cs="Times New Roman"/>
          <w:sz w:val="20"/>
        </w:rPr>
        <w:t xml:space="preserve">DNA </w:t>
      </w:r>
      <w:r>
        <w:rPr>
          <w:rFonts w:ascii="宋体" w:eastAsia="宋体" w:hAnsi="宋体" w:cs="宋体"/>
          <w:sz w:val="20"/>
        </w:rPr>
        <w:t xml:space="preserve">碱基，正交 </w:t>
      </w:r>
      <w:r>
        <w:rPr>
          <w:rFonts w:ascii="Times New Roman" w:eastAsia="Times New Roman" w:hAnsi="Times New Roman" w:cs="Times New Roman"/>
          <w:sz w:val="20"/>
        </w:rPr>
        <w:t>rRNA</w:t>
      </w:r>
      <w:r>
        <w:rPr>
          <w:rFonts w:ascii="宋体" w:eastAsia="宋体" w:hAnsi="宋体" w:cs="宋体"/>
          <w:sz w:val="20"/>
        </w:rPr>
        <w:t>、</w:t>
      </w:r>
      <w:r>
        <w:rPr>
          <w:rFonts w:ascii="Times New Roman" w:eastAsia="Times New Roman" w:hAnsi="Times New Roman" w:cs="Times New Roman"/>
          <w:sz w:val="20"/>
        </w:rPr>
        <w:t>tRNA</w:t>
      </w:r>
      <w:r>
        <w:rPr>
          <w:rFonts w:ascii="宋体" w:eastAsia="宋体" w:hAnsi="宋体" w:cs="宋体"/>
          <w:sz w:val="20"/>
        </w:rPr>
        <w:t>、</w:t>
      </w:r>
      <w:r>
        <w:rPr>
          <w:rFonts w:ascii="Times New Roman" w:eastAsia="Times New Roman" w:hAnsi="Times New Roman" w:cs="Times New Roman"/>
          <w:sz w:val="20"/>
        </w:rPr>
        <w:t xml:space="preserve">mRNA </w:t>
      </w:r>
      <w:r>
        <w:rPr>
          <w:rFonts w:ascii="宋体" w:eastAsia="宋体" w:hAnsi="宋体" w:cs="宋体"/>
          <w:sz w:val="20"/>
        </w:rPr>
        <w:t>和正交蛋白质），来减弱甚至最终消除回路与细胞之间的耦合效应；后者通过基因互作拓扑结构的设计，来增强回路本身鲁棒性，减少其受宿主本身状态影响的效果。</w:t>
      </w:r>
    </w:p>
    <w:p w14:paraId="4B1570D5" w14:textId="77777777" w:rsidR="00C25C34" w:rsidRDefault="003870E0">
      <w:pPr>
        <w:pStyle w:val="2"/>
        <w:spacing w:after="221"/>
        <w:ind w:left="433" w:hanging="448"/>
      </w:pPr>
      <w:r>
        <w:t>合成基因回路正交化</w:t>
      </w:r>
    </w:p>
    <w:p w14:paraId="1096899A" w14:textId="77777777" w:rsidR="00C25C34" w:rsidRDefault="003870E0">
      <w:pPr>
        <w:spacing w:after="41" w:line="296" w:lineRule="auto"/>
        <w:ind w:left="-15" w:firstLine="389"/>
      </w:pPr>
      <w:r>
        <w:rPr>
          <w:rFonts w:ascii="宋体" w:eastAsia="宋体" w:hAnsi="宋体" w:cs="宋体"/>
          <w:sz w:val="20"/>
        </w:rPr>
        <w:t>正交化希望实现维持回路其内部的逻辑调控的前提下，尽可能减少其内部元件与元件之间，以及元件与底盘细胞自身系统的不必要的交互。基因回路会不可避免地使用底盘细胞的各种资源，在特定情况下也需要建立与底盘细胞系统的接口，比如在进行天然产物的生产中，将</w:t>
      </w:r>
      <w:r>
        <w:rPr>
          <w:rFonts w:ascii="宋体" w:eastAsia="宋体" w:hAnsi="宋体" w:cs="宋体"/>
          <w:sz w:val="20"/>
        </w:rPr>
        <w:lastRenderedPageBreak/>
        <w:t xml:space="preserve">对底盘细胞原有的代谢网络进行连接。正交化基因回路，减少了与底盘细胞的过多交互，则在进行模拟预测的时可以减少参数，提高系统的可预测性。通过在基因库中挖掘，正交化的 </w:t>
      </w:r>
      <w:r>
        <w:rPr>
          <w:rFonts w:ascii="Times New Roman" w:eastAsia="Times New Roman" w:hAnsi="Times New Roman" w:cs="Times New Roman"/>
          <w:sz w:val="20"/>
        </w:rPr>
        <w:t xml:space="preserve">DNA </w:t>
      </w:r>
      <w:r>
        <w:rPr>
          <w:rFonts w:ascii="宋体" w:eastAsia="宋体" w:hAnsi="宋体" w:cs="宋体"/>
          <w:sz w:val="20"/>
        </w:rPr>
        <w:t>复制、转录、翻译系统也不断涌现出来，正交中心法则系统这一概念也被提出。正交中心法则系统希望中心法则中涉及的生物合成过程使用一套正交的系统完成，可以类比为计算机科学中虚拟机的概念</w:t>
      </w:r>
      <w:r>
        <w:rPr>
          <w:rFonts w:ascii="Times New Roman" w:eastAsia="Times New Roman" w:hAnsi="Times New Roman" w:cs="Times New Roman"/>
          <w:sz w:val="20"/>
          <w:vertAlign w:val="superscript"/>
        </w:rPr>
        <w:t>[43]</w:t>
      </w:r>
      <w:r>
        <w:rPr>
          <w:rFonts w:ascii="宋体" w:eastAsia="宋体" w:hAnsi="宋体" w:cs="宋体"/>
          <w:sz w:val="20"/>
        </w:rPr>
        <w:t>。</w:t>
      </w:r>
    </w:p>
    <w:p w14:paraId="7A2993D6" w14:textId="77777777" w:rsidR="00C25C34" w:rsidRDefault="003870E0">
      <w:pPr>
        <w:spacing w:after="51" w:line="298" w:lineRule="auto"/>
        <w:ind w:left="-15" w:right="129" w:firstLine="389"/>
        <w:jc w:val="both"/>
      </w:pPr>
      <w:r>
        <w:rPr>
          <w:rFonts w:ascii="宋体" w:eastAsia="宋体" w:hAnsi="宋体" w:cs="宋体"/>
          <w:sz w:val="20"/>
        </w:rPr>
        <w:t xml:space="preserve">正交转录机器则早已广泛在合成生物领域使用，噬菌体 </w:t>
      </w:r>
      <w:r>
        <w:rPr>
          <w:rFonts w:ascii="Times New Roman" w:eastAsia="Times New Roman" w:hAnsi="Times New Roman" w:cs="Times New Roman"/>
          <w:sz w:val="20"/>
        </w:rPr>
        <w:t xml:space="preserve">RNA </w:t>
      </w:r>
      <w:r>
        <w:rPr>
          <w:rFonts w:ascii="宋体" w:eastAsia="宋体" w:hAnsi="宋体" w:cs="宋体"/>
          <w:sz w:val="20"/>
        </w:rPr>
        <w:t xml:space="preserve">聚合酶便是使用最多的元件，这类 </w:t>
      </w:r>
      <w:r>
        <w:rPr>
          <w:rFonts w:ascii="Times New Roman" w:eastAsia="Times New Roman" w:hAnsi="Times New Roman" w:cs="Times New Roman"/>
          <w:sz w:val="20"/>
        </w:rPr>
        <w:t xml:space="preserve">RNA </w:t>
      </w:r>
      <w:r>
        <w:rPr>
          <w:rFonts w:ascii="宋体" w:eastAsia="宋体" w:hAnsi="宋体" w:cs="宋体"/>
          <w:sz w:val="20"/>
        </w:rPr>
        <w:t xml:space="preserve">聚合酶识别特定的启动子序列进行转录，大多为单体酶，且具有很强的转录活性。同时他们也容易被改造成为蛋白相互作用层次的逻辑门，例如对其结构域进行分割，融合其他类型的蛋白或结构域可以丰富其功能，例如，感光 </w:t>
      </w:r>
      <w:r>
        <w:rPr>
          <w:rFonts w:ascii="Times New Roman" w:eastAsia="Times New Roman" w:hAnsi="Times New Roman" w:cs="Times New Roman"/>
          <w:sz w:val="20"/>
        </w:rPr>
        <w:t>T7 RNAP</w:t>
      </w:r>
      <w:r>
        <w:rPr>
          <w:rFonts w:ascii="Times New Roman" w:eastAsia="Times New Roman" w:hAnsi="Times New Roman" w:cs="Times New Roman"/>
          <w:sz w:val="20"/>
          <w:vertAlign w:val="superscript"/>
        </w:rPr>
        <w:t>[44, 45]</w:t>
      </w:r>
      <w:r>
        <w:rPr>
          <w:rFonts w:ascii="宋体" w:eastAsia="宋体" w:hAnsi="宋体" w:cs="宋体"/>
          <w:sz w:val="20"/>
        </w:rPr>
        <w:t xml:space="preserve">。类似的，将 </w:t>
      </w:r>
      <w:r>
        <w:rPr>
          <w:rFonts w:ascii="Times New Roman" w:eastAsia="Times New Roman" w:hAnsi="Times New Roman" w:cs="Times New Roman"/>
          <w:sz w:val="20"/>
        </w:rPr>
        <w:t xml:space="preserve">RNA </w:t>
      </w:r>
      <w:r>
        <w:rPr>
          <w:rFonts w:ascii="宋体" w:eastAsia="宋体" w:hAnsi="宋体" w:cs="宋体"/>
          <w:sz w:val="20"/>
        </w:rPr>
        <w:t xml:space="preserve">聚合酶与 </w:t>
      </w:r>
      <w:r>
        <w:rPr>
          <w:rFonts w:ascii="Times New Roman" w:eastAsia="Times New Roman" w:hAnsi="Times New Roman" w:cs="Times New Roman"/>
          <w:sz w:val="20"/>
        </w:rPr>
        <w:t xml:space="preserve">DNA </w:t>
      </w:r>
      <w:r>
        <w:rPr>
          <w:rFonts w:ascii="宋体" w:eastAsia="宋体" w:hAnsi="宋体" w:cs="宋体"/>
          <w:sz w:val="20"/>
        </w:rPr>
        <w:t>识别结构域与锌指蛋白（</w:t>
      </w:r>
      <w:r>
        <w:rPr>
          <w:rFonts w:ascii="Times New Roman" w:eastAsia="Times New Roman" w:hAnsi="Times New Roman" w:cs="Times New Roman"/>
          <w:sz w:val="20"/>
        </w:rPr>
        <w:t>ZFNs</w:t>
      </w:r>
      <w:r>
        <w:rPr>
          <w:rFonts w:ascii="宋体" w:eastAsia="宋体" w:hAnsi="宋体" w:cs="宋体"/>
          <w:sz w:val="20"/>
        </w:rPr>
        <w:t>），转录样激活因子（</w:t>
      </w:r>
      <w:r>
        <w:rPr>
          <w:rFonts w:ascii="Times New Roman" w:eastAsia="Times New Roman" w:hAnsi="Times New Roman" w:cs="Times New Roman"/>
          <w:sz w:val="20"/>
        </w:rPr>
        <w:t>TALENs</w:t>
      </w:r>
      <w:r>
        <w:rPr>
          <w:rFonts w:ascii="宋体" w:eastAsia="宋体" w:hAnsi="宋体" w:cs="宋体"/>
          <w:sz w:val="20"/>
        </w:rPr>
        <w:t xml:space="preserve">）或 </w:t>
      </w:r>
      <w:r>
        <w:rPr>
          <w:rFonts w:ascii="Times New Roman" w:eastAsia="Times New Roman" w:hAnsi="Times New Roman" w:cs="Times New Roman"/>
          <w:sz w:val="20"/>
        </w:rPr>
        <w:t xml:space="preserve">CRISPR Cas </w:t>
      </w:r>
      <w:r>
        <w:rPr>
          <w:rFonts w:ascii="宋体" w:eastAsia="宋体" w:hAnsi="宋体" w:cs="宋体"/>
          <w:sz w:val="20"/>
        </w:rPr>
        <w:t>蛋白等具有可设计能力的蛋白进行组合，可以扩展其使用的范畴，例如，拓展其转录动力学范围</w:t>
      </w:r>
      <w:r>
        <w:rPr>
          <w:rFonts w:ascii="Times New Roman" w:eastAsia="Times New Roman" w:hAnsi="Times New Roman" w:cs="Times New Roman"/>
          <w:sz w:val="20"/>
          <w:vertAlign w:val="superscript"/>
        </w:rPr>
        <w:t>[46]</w:t>
      </w:r>
      <w:r>
        <w:rPr>
          <w:rFonts w:ascii="宋体" w:eastAsia="宋体" w:hAnsi="宋体" w:cs="宋体"/>
          <w:sz w:val="20"/>
        </w:rPr>
        <w:t>。另一类正交转录系统则基于</w:t>
      </w:r>
      <w:r>
        <w:rPr>
          <w:rFonts w:ascii="Cambria" w:eastAsia="Cambria" w:hAnsi="Cambria" w:cs="Cambria"/>
          <w:i/>
          <w:sz w:val="20"/>
        </w:rPr>
        <w:t xml:space="preserve">σ </w:t>
      </w:r>
      <w:r>
        <w:rPr>
          <w:rFonts w:ascii="宋体" w:eastAsia="宋体" w:hAnsi="宋体" w:cs="宋体"/>
          <w:sz w:val="20"/>
        </w:rPr>
        <w:t>因子</w:t>
      </w:r>
      <w:r>
        <w:rPr>
          <w:rFonts w:ascii="Times New Roman" w:eastAsia="Times New Roman" w:hAnsi="Times New Roman" w:cs="Times New Roman"/>
          <w:sz w:val="20"/>
        </w:rPr>
        <w:t xml:space="preserve">, </w:t>
      </w:r>
      <w:r>
        <w:rPr>
          <w:rFonts w:ascii="宋体" w:eastAsia="宋体" w:hAnsi="宋体" w:cs="宋体"/>
          <w:sz w:val="20"/>
        </w:rPr>
        <w:t xml:space="preserve">利用不同来源的 </w:t>
      </w:r>
      <w:r>
        <w:rPr>
          <w:rFonts w:ascii="Times New Roman" w:eastAsia="Times New Roman" w:hAnsi="Times New Roman" w:cs="Times New Roman"/>
          <w:sz w:val="20"/>
        </w:rPr>
        <w:t xml:space="preserve">ECF </w:t>
      </w:r>
      <w:r>
        <w:rPr>
          <w:rFonts w:ascii="Cambria" w:eastAsia="Cambria" w:hAnsi="Cambria" w:cs="Cambria"/>
          <w:i/>
          <w:sz w:val="20"/>
        </w:rPr>
        <w:t>σ</w:t>
      </w:r>
      <w:r>
        <w:rPr>
          <w:rFonts w:ascii="宋体" w:eastAsia="宋体" w:hAnsi="宋体" w:cs="宋体"/>
          <w:sz w:val="20"/>
        </w:rPr>
        <w:t xml:space="preserve">因子，通过共享 </w:t>
      </w:r>
      <w:r>
        <w:rPr>
          <w:rFonts w:ascii="Times New Roman" w:eastAsia="Times New Roman" w:hAnsi="Times New Roman" w:cs="Times New Roman"/>
          <w:sz w:val="20"/>
        </w:rPr>
        <w:t xml:space="preserve">RNA </w:t>
      </w:r>
      <w:r>
        <w:rPr>
          <w:rFonts w:ascii="宋体" w:eastAsia="宋体" w:hAnsi="宋体" w:cs="宋体"/>
          <w:sz w:val="20"/>
        </w:rPr>
        <w:t xml:space="preserve">聚合酶的核心酶库，不同家族的 </w:t>
      </w:r>
      <w:r>
        <w:rPr>
          <w:rFonts w:ascii="Times New Roman" w:eastAsia="Times New Roman" w:hAnsi="Times New Roman" w:cs="Times New Roman"/>
          <w:sz w:val="20"/>
        </w:rPr>
        <w:t xml:space="preserve">ECF </w:t>
      </w:r>
      <w:r>
        <w:rPr>
          <w:rFonts w:ascii="Cambria" w:eastAsia="Cambria" w:hAnsi="Cambria" w:cs="Cambria"/>
          <w:i/>
          <w:sz w:val="20"/>
        </w:rPr>
        <w:t>σ</w:t>
      </w:r>
      <w:r>
        <w:rPr>
          <w:rFonts w:ascii="宋体" w:eastAsia="宋体" w:hAnsi="宋体" w:cs="宋体"/>
          <w:sz w:val="20"/>
        </w:rPr>
        <w:t xml:space="preserve">因子对启动子的序列的不同亲和性，可以设计出正交的 </w:t>
      </w:r>
      <w:r>
        <w:rPr>
          <w:rFonts w:ascii="Times New Roman" w:eastAsia="Times New Roman" w:hAnsi="Times New Roman" w:cs="Times New Roman"/>
          <w:sz w:val="20"/>
        </w:rPr>
        <w:t xml:space="preserve">ECF </w:t>
      </w:r>
      <w:r>
        <w:rPr>
          <w:rFonts w:ascii="Cambria" w:eastAsia="Cambria" w:hAnsi="Cambria" w:cs="Cambria"/>
          <w:i/>
          <w:sz w:val="20"/>
        </w:rPr>
        <w:t>σ</w:t>
      </w:r>
      <w:r>
        <w:rPr>
          <w:rFonts w:ascii="宋体" w:eastAsia="宋体" w:hAnsi="宋体" w:cs="宋体"/>
          <w:sz w:val="20"/>
        </w:rPr>
        <w:t>因子组合，实现在转录层面的绝缘</w:t>
      </w:r>
      <w:r>
        <w:rPr>
          <w:rFonts w:ascii="Times New Roman" w:eastAsia="Times New Roman" w:hAnsi="Times New Roman" w:cs="Times New Roman"/>
          <w:sz w:val="20"/>
          <w:vertAlign w:val="superscript"/>
        </w:rPr>
        <w:t>[47]</w:t>
      </w:r>
      <w:r>
        <w:rPr>
          <w:rFonts w:ascii="宋体" w:eastAsia="宋体" w:hAnsi="宋体" w:cs="宋体"/>
          <w:sz w:val="20"/>
        </w:rPr>
        <w:t xml:space="preserve">。蛋白的翻译涉及到大量复杂的生物过程，通过理性化和定向进化等手段，近年来也取得大量的进展。改造氨酰 </w:t>
      </w:r>
      <w:r>
        <w:rPr>
          <w:rFonts w:ascii="Times New Roman" w:eastAsia="Times New Roman" w:hAnsi="Times New Roman" w:cs="Times New Roman"/>
          <w:sz w:val="20"/>
        </w:rPr>
        <w:t xml:space="preserve">tRNA </w:t>
      </w:r>
      <w:r>
        <w:rPr>
          <w:rFonts w:ascii="宋体" w:eastAsia="宋体" w:hAnsi="宋体" w:cs="宋体"/>
          <w:sz w:val="20"/>
        </w:rPr>
        <w:t xml:space="preserve">合成酶可以将非天然氨基酸引入到蛋白的序列中，有希望给蛋白带来更多样的生理功能；全合成基因组的手段，成功将 </w:t>
      </w:r>
      <w:r>
        <w:rPr>
          <w:rFonts w:ascii="Times New Roman" w:eastAsia="Times New Roman" w:hAnsi="Times New Roman" w:cs="Times New Roman"/>
          <w:sz w:val="20"/>
        </w:rPr>
        <w:t xml:space="preserve">64 </w:t>
      </w:r>
      <w:r>
        <w:rPr>
          <w:rFonts w:ascii="宋体" w:eastAsia="宋体" w:hAnsi="宋体" w:cs="宋体"/>
          <w:sz w:val="20"/>
        </w:rPr>
        <w:t xml:space="preserve">种密码子压缩到了 </w:t>
      </w:r>
      <w:r>
        <w:rPr>
          <w:rFonts w:ascii="Times New Roman" w:eastAsia="Times New Roman" w:hAnsi="Times New Roman" w:cs="Times New Roman"/>
          <w:sz w:val="20"/>
        </w:rPr>
        <w:t xml:space="preserve">61 </w:t>
      </w:r>
      <w:r>
        <w:rPr>
          <w:rFonts w:ascii="宋体" w:eastAsia="宋体" w:hAnsi="宋体" w:cs="宋体"/>
          <w:sz w:val="20"/>
        </w:rPr>
        <w:t>种，为编码非天然氨基酸打下了基础</w:t>
      </w:r>
      <w:r>
        <w:rPr>
          <w:rFonts w:ascii="Times New Roman" w:eastAsia="Times New Roman" w:hAnsi="Times New Roman" w:cs="Times New Roman"/>
          <w:sz w:val="20"/>
          <w:vertAlign w:val="superscript"/>
        </w:rPr>
        <w:t>[48]</w:t>
      </w:r>
      <w:r>
        <w:rPr>
          <w:rFonts w:ascii="宋体" w:eastAsia="宋体" w:hAnsi="宋体" w:cs="宋体"/>
          <w:sz w:val="20"/>
        </w:rPr>
        <w:t xml:space="preserve">。通过改变核糖体 </w:t>
      </w:r>
      <w:r>
        <w:rPr>
          <w:rFonts w:ascii="Times New Roman" w:eastAsia="Times New Roman" w:hAnsi="Times New Roman" w:cs="Times New Roman"/>
          <w:sz w:val="20"/>
        </w:rPr>
        <w:t xml:space="preserve">16S rRNA </w:t>
      </w:r>
      <w:r>
        <w:rPr>
          <w:rFonts w:ascii="宋体" w:eastAsia="宋体" w:hAnsi="宋体" w:cs="宋体"/>
          <w:sz w:val="20"/>
        </w:rPr>
        <w:t xml:space="preserve">的序列，可以得到正交核糖体，识别非典型的 </w:t>
      </w:r>
      <w:r>
        <w:rPr>
          <w:rFonts w:ascii="Times New Roman" w:eastAsia="Times New Roman" w:hAnsi="Times New Roman" w:cs="Times New Roman"/>
          <w:sz w:val="20"/>
        </w:rPr>
        <w:t xml:space="preserve">RBS </w:t>
      </w:r>
      <w:r>
        <w:rPr>
          <w:rFonts w:ascii="宋体" w:eastAsia="宋体" w:hAnsi="宋体" w:cs="宋体"/>
          <w:sz w:val="20"/>
        </w:rPr>
        <w:t>序列，从而绝缘合成基因回路和底盘细胞的基因表达</w:t>
      </w:r>
      <w:r>
        <w:rPr>
          <w:rFonts w:ascii="Times New Roman" w:eastAsia="Times New Roman" w:hAnsi="Times New Roman" w:cs="Times New Roman"/>
          <w:sz w:val="20"/>
          <w:vertAlign w:val="superscript"/>
        </w:rPr>
        <w:t>[49, 50]</w:t>
      </w:r>
      <w:r>
        <w:rPr>
          <w:rFonts w:ascii="宋体" w:eastAsia="宋体" w:hAnsi="宋体" w:cs="宋体"/>
          <w:sz w:val="20"/>
        </w:rPr>
        <w:t>。</w:t>
      </w:r>
    </w:p>
    <w:p w14:paraId="2819701B" w14:textId="77777777" w:rsidR="00C25C34" w:rsidRDefault="003870E0">
      <w:pPr>
        <w:spacing w:after="446" w:line="298" w:lineRule="auto"/>
        <w:ind w:left="-15" w:firstLine="389"/>
        <w:jc w:val="both"/>
      </w:pPr>
      <w:r>
        <w:rPr>
          <w:rFonts w:ascii="宋体" w:eastAsia="宋体" w:hAnsi="宋体" w:cs="宋体"/>
          <w:sz w:val="20"/>
        </w:rPr>
        <w:t xml:space="preserve">转录因子是合成基因回路设计中主要承担逻辑运算的元件，这类元件识别特定的序列激活或抑制下游基因的转录，未经正交化的转录因子存在交叉识别对应结合位点的风险。另外，结合到管家基因相关的 </w:t>
      </w:r>
      <w:r>
        <w:rPr>
          <w:rFonts w:ascii="Times New Roman" w:eastAsia="Times New Roman" w:hAnsi="Times New Roman" w:cs="Times New Roman"/>
          <w:sz w:val="20"/>
        </w:rPr>
        <w:t xml:space="preserve">DNA </w:t>
      </w:r>
      <w:r>
        <w:rPr>
          <w:rFonts w:ascii="宋体" w:eastAsia="宋体" w:hAnsi="宋体" w:cs="宋体"/>
          <w:sz w:val="20"/>
        </w:rPr>
        <w:t xml:space="preserve">序列上可能影响细胞正常代谢，产生毒性。目前转录因子除了典型的阻遏蛋白和激活蛋白，还有具有识别序列功能的蛋白，如 </w:t>
      </w:r>
      <w:r>
        <w:rPr>
          <w:rFonts w:ascii="Times New Roman" w:eastAsia="Times New Roman" w:hAnsi="Times New Roman" w:cs="Times New Roman"/>
          <w:sz w:val="20"/>
        </w:rPr>
        <w:t>dCas9</w:t>
      </w:r>
      <w:r>
        <w:rPr>
          <w:rFonts w:ascii="宋体" w:eastAsia="宋体" w:hAnsi="宋体" w:cs="宋体"/>
          <w:sz w:val="20"/>
        </w:rPr>
        <w:t>、</w:t>
      </w:r>
      <w:r>
        <w:rPr>
          <w:rFonts w:ascii="Times New Roman" w:eastAsia="Times New Roman" w:hAnsi="Times New Roman" w:cs="Times New Roman"/>
          <w:sz w:val="20"/>
        </w:rPr>
        <w:t xml:space="preserve">TALENs </w:t>
      </w:r>
      <w:r>
        <w:rPr>
          <w:rFonts w:ascii="宋体" w:eastAsia="宋体" w:hAnsi="宋体" w:cs="宋体"/>
          <w:sz w:val="20"/>
        </w:rPr>
        <w:t xml:space="preserve">等，但是这类蛋白往往具有细胞毒性。正交化设计的 </w:t>
      </w:r>
      <w:r>
        <w:rPr>
          <w:rFonts w:ascii="Times New Roman" w:eastAsia="Times New Roman" w:hAnsi="Times New Roman" w:cs="Times New Roman"/>
          <w:sz w:val="20"/>
        </w:rPr>
        <w:t xml:space="preserve">dCas9_Phlf </w:t>
      </w:r>
      <w:r>
        <w:rPr>
          <w:rFonts w:ascii="宋体" w:eastAsia="宋体" w:hAnsi="宋体" w:cs="宋体"/>
          <w:sz w:val="20"/>
        </w:rPr>
        <w:t xml:space="preserve">突变了 </w:t>
      </w:r>
      <w:r>
        <w:rPr>
          <w:rFonts w:ascii="Times New Roman" w:eastAsia="Times New Roman" w:hAnsi="Times New Roman" w:cs="Times New Roman"/>
          <w:sz w:val="20"/>
        </w:rPr>
        <w:t xml:space="preserve">dCas9 </w:t>
      </w:r>
      <w:r>
        <w:rPr>
          <w:rFonts w:ascii="宋体" w:eastAsia="宋体" w:hAnsi="宋体" w:cs="宋体"/>
          <w:sz w:val="20"/>
        </w:rPr>
        <w:t xml:space="preserve">的 </w:t>
      </w:r>
      <w:r>
        <w:rPr>
          <w:rFonts w:ascii="Times New Roman" w:eastAsia="Times New Roman" w:hAnsi="Times New Roman" w:cs="Times New Roman"/>
          <w:sz w:val="20"/>
        </w:rPr>
        <w:t xml:space="preserve">PAM </w:t>
      </w:r>
      <w:r>
        <w:rPr>
          <w:rFonts w:ascii="宋体" w:eastAsia="宋体" w:hAnsi="宋体" w:cs="宋体"/>
          <w:sz w:val="20"/>
        </w:rPr>
        <w:t xml:space="preserve">识别区并融合阻遏蛋白 </w:t>
      </w:r>
      <w:r>
        <w:rPr>
          <w:rFonts w:ascii="Times New Roman" w:eastAsia="Times New Roman" w:hAnsi="Times New Roman" w:cs="Times New Roman"/>
          <w:sz w:val="20"/>
        </w:rPr>
        <w:t>Phlf</w:t>
      </w:r>
      <w:r>
        <w:rPr>
          <w:rFonts w:ascii="宋体" w:eastAsia="宋体" w:hAnsi="宋体" w:cs="宋体"/>
          <w:sz w:val="20"/>
        </w:rPr>
        <w:t>，可以增强其特异性并减少毒性，使细胞能耐受更高的表达量</w:t>
      </w:r>
      <w:r>
        <w:rPr>
          <w:rFonts w:ascii="Times New Roman" w:eastAsia="Times New Roman" w:hAnsi="Times New Roman" w:cs="Times New Roman"/>
          <w:sz w:val="20"/>
          <w:vertAlign w:val="superscript"/>
        </w:rPr>
        <w:t>[51]</w:t>
      </w:r>
      <w:r>
        <w:rPr>
          <w:rFonts w:ascii="宋体" w:eastAsia="宋体" w:hAnsi="宋体" w:cs="宋体"/>
          <w:sz w:val="20"/>
        </w:rPr>
        <w:t>。另外，通过定向进化等手段对阻遏蛋白进行优化，也有助于降低细胞毒性</w:t>
      </w:r>
      <w:r>
        <w:rPr>
          <w:rFonts w:ascii="Times New Roman" w:eastAsia="Times New Roman" w:hAnsi="Times New Roman" w:cs="Times New Roman"/>
          <w:sz w:val="20"/>
          <w:vertAlign w:val="superscript"/>
        </w:rPr>
        <w:t>[52]</w:t>
      </w:r>
      <w:r>
        <w:rPr>
          <w:rFonts w:ascii="宋体" w:eastAsia="宋体" w:hAnsi="宋体" w:cs="宋体"/>
          <w:sz w:val="20"/>
        </w:rPr>
        <w:t>。</w:t>
      </w:r>
    </w:p>
    <w:p w14:paraId="72EE7CEB" w14:textId="77777777" w:rsidR="00C25C34" w:rsidRDefault="003870E0">
      <w:pPr>
        <w:pStyle w:val="2"/>
        <w:ind w:left="433" w:hanging="448"/>
      </w:pPr>
      <w:r>
        <w:t>模块化基因回路</w:t>
      </w:r>
    </w:p>
    <w:p w14:paraId="75B91A4A" w14:textId="37200D82" w:rsidR="00C25C34" w:rsidRDefault="003870E0" w:rsidP="00FA54F9">
      <w:pPr>
        <w:spacing w:after="28" w:line="296" w:lineRule="auto"/>
        <w:ind w:left="-15" w:firstLine="389"/>
      </w:pPr>
      <w:r>
        <w:rPr>
          <w:rFonts w:ascii="宋体" w:eastAsia="宋体" w:hAnsi="宋体" w:cs="宋体"/>
          <w:sz w:val="20"/>
        </w:rPr>
        <w:t>合成生物学的一大愿景是实现基因元件的即插即用</w:t>
      </w:r>
      <w:r>
        <w:rPr>
          <w:rFonts w:ascii="Times New Roman" w:eastAsia="Times New Roman" w:hAnsi="Times New Roman" w:cs="Times New Roman"/>
          <w:sz w:val="20"/>
          <w:vertAlign w:val="superscript"/>
        </w:rPr>
        <w:t>[53]</w:t>
      </w:r>
      <w:r>
        <w:rPr>
          <w:rFonts w:ascii="宋体" w:eastAsia="宋体" w:hAnsi="宋体" w:cs="宋体"/>
          <w:sz w:val="20"/>
        </w:rPr>
        <w:t>，即通过对基因元件的排列组合实现复杂的调控网络。传统的模块化主要是指元件模块化，即对启动子、编码序列、终止子等功能序列定义其边界，将他们独立出来。除了在元件设计过程中的模块化，更高层次的功能回路模块化方案最近备受关注。功能回路模块化将功能回路，例如逻辑门等，看作一个功能单元，通过合理的设计使每一个实现特定功能的回路的输入输出水平在插入到基因回路中时不受外部参数影响而发生变化</w:t>
      </w:r>
      <w:r>
        <w:rPr>
          <w:rFonts w:ascii="Times New Roman" w:eastAsia="Times New Roman" w:hAnsi="Times New Roman" w:cs="Times New Roman"/>
          <w:sz w:val="20"/>
          <w:vertAlign w:val="superscript"/>
        </w:rPr>
        <w:t>[3]</w:t>
      </w:r>
      <w:r>
        <w:rPr>
          <w:rFonts w:ascii="宋体" w:eastAsia="宋体" w:hAnsi="宋体" w:cs="宋体"/>
          <w:sz w:val="20"/>
        </w:rPr>
        <w:t>。基因回路中各个功能模块之间的相互作用主要由转录因子来实现，而转录因子与下游模块的作用，例如结合到基因位点将导致游离转录因子浓度，进而扰动上游模块；对于底盘细胞而言，基因回路对转录翻译资源的消耗，将改变细胞生长速度以及各种资源库的总量，进而又影响了基因线中的各种动力学参数，这就产生了所谓的回溯效力（</w:t>
      </w:r>
      <w:r>
        <w:rPr>
          <w:rFonts w:ascii="Times New Roman" w:eastAsia="Times New Roman" w:hAnsi="Times New Roman" w:cs="Times New Roman"/>
          <w:sz w:val="20"/>
        </w:rPr>
        <w:t>retroactivity</w:t>
      </w:r>
      <w:r>
        <w:rPr>
          <w:rFonts w:ascii="宋体" w:eastAsia="宋体" w:hAnsi="宋体" w:cs="宋体"/>
          <w:sz w:val="20"/>
        </w:rPr>
        <w:t>）</w:t>
      </w:r>
      <w:r>
        <w:rPr>
          <w:rFonts w:ascii="Times New Roman" w:eastAsia="Times New Roman" w:hAnsi="Times New Roman" w:cs="Times New Roman"/>
          <w:sz w:val="20"/>
          <w:vertAlign w:val="superscript"/>
        </w:rPr>
        <w:t>[21]</w:t>
      </w:r>
      <w:r>
        <w:rPr>
          <w:rFonts w:ascii="宋体" w:eastAsia="宋体" w:hAnsi="宋体" w:cs="宋体"/>
          <w:sz w:val="20"/>
        </w:rPr>
        <w:t>，回溯效力的存在导致功能模块之间以及功能模块与细胞生理发生干扰，导致随着基因回路增加，功能模块的动力学属性发生变化。如何能够消除或规避回溯效力，实现回路的功能模块化呢？控制理论中反馈控制和非协同前馈环（</w:t>
      </w:r>
      <w:r>
        <w:rPr>
          <w:rFonts w:ascii="Times New Roman" w:eastAsia="Times New Roman" w:hAnsi="Times New Roman" w:cs="Times New Roman"/>
          <w:sz w:val="20"/>
        </w:rPr>
        <w:t>incoherent feedforward loop, iFFL</w:t>
      </w:r>
      <w:r>
        <w:rPr>
          <w:rFonts w:ascii="宋体" w:eastAsia="宋体" w:hAnsi="宋体" w:cs="宋体"/>
          <w:sz w:val="20"/>
        </w:rPr>
        <w:t>）为功能模块化提供了思路。在原先的功能模块中加入一个控制器，来执行反馈调节功能或与原先模块组成一个非协同前馈环，在一定程度上解决了这一问题。</w:t>
      </w:r>
    </w:p>
    <w:p w14:paraId="593274EE" w14:textId="77777777" w:rsidR="00C25C34" w:rsidRDefault="003870E0">
      <w:pPr>
        <w:spacing w:after="5" w:line="296" w:lineRule="auto"/>
        <w:ind w:left="-15" w:firstLine="389"/>
      </w:pPr>
      <w:r>
        <w:rPr>
          <w:rFonts w:ascii="宋体" w:eastAsia="宋体" w:hAnsi="宋体" w:cs="宋体"/>
          <w:sz w:val="20"/>
        </w:rPr>
        <w:lastRenderedPageBreak/>
        <w:t xml:space="preserve">负反馈调节可以使基因回路的稳态输出水平仅与自生元件的动力学性质决定，而不受基因表达生成和稀释速率影响。当前大量基于反馈控制的解决方案已经被应用到基因回路的设计上，可以归结为局部水平和全局水平两类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3)</w:t>
      </w:r>
      <w:r>
        <w:rPr>
          <w:rFonts w:ascii="宋体" w:eastAsia="宋体" w:hAnsi="宋体" w:cs="宋体"/>
          <w:sz w:val="20"/>
        </w:rPr>
        <w:t>。</w:t>
      </w:r>
    </w:p>
    <w:p w14:paraId="0329E84E" w14:textId="289B4580" w:rsidR="00C25C34" w:rsidRDefault="003870E0" w:rsidP="009D2998">
      <w:pPr>
        <w:spacing w:after="5" w:line="296" w:lineRule="auto"/>
        <w:ind w:left="-15" w:firstLine="389"/>
      </w:pPr>
      <w:r>
        <w:rPr>
          <w:rFonts w:ascii="宋体" w:eastAsia="宋体" w:hAnsi="宋体" w:cs="宋体"/>
          <w:sz w:val="20"/>
        </w:rPr>
        <w:t xml:space="preserve">局部水平的反馈策略主要着眼于功能模块输出本身的稳定性，希望利用负反馈系统来隔离模块与模块之间，以及模块与底盘细胞之间的相互影响。例如，使用转录后调控元件 </w:t>
      </w:r>
      <w:r>
        <w:rPr>
          <w:rFonts w:ascii="Times New Roman" w:eastAsia="Times New Roman" w:hAnsi="Times New Roman" w:cs="Times New Roman"/>
          <w:sz w:val="20"/>
        </w:rPr>
        <w:t xml:space="preserve">sRNA </w:t>
      </w:r>
      <w:r>
        <w:rPr>
          <w:rFonts w:ascii="宋体" w:eastAsia="宋体" w:hAnsi="宋体" w:cs="宋体"/>
          <w:sz w:val="20"/>
        </w:rPr>
        <w:t xml:space="preserve">形成负反馈环，使每一模块的稳态表达水平都得以固定，使得它们对来自资源竞争产生的扰动具有抵抗的能力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3 b)</w:t>
      </w:r>
      <w:r>
        <w:rPr>
          <w:rFonts w:ascii="Times New Roman" w:eastAsia="Times New Roman" w:hAnsi="Times New Roman" w:cs="Times New Roman"/>
          <w:sz w:val="20"/>
          <w:vertAlign w:val="superscript"/>
        </w:rPr>
        <w:t>[54]</w:t>
      </w:r>
      <w:r>
        <w:rPr>
          <w:rFonts w:ascii="宋体" w:eastAsia="宋体" w:hAnsi="宋体" w:cs="宋体"/>
          <w:sz w:val="20"/>
        </w:rPr>
        <w:t>。</w:t>
      </w:r>
      <w:r>
        <w:rPr>
          <w:rFonts w:ascii="Times New Roman" w:eastAsia="Times New Roman" w:hAnsi="Times New Roman" w:cs="Times New Roman"/>
          <w:sz w:val="20"/>
        </w:rPr>
        <w:t xml:space="preserve">Aoki </w:t>
      </w:r>
      <w:r>
        <w:rPr>
          <w:rFonts w:ascii="宋体" w:eastAsia="宋体" w:hAnsi="宋体" w:cs="宋体"/>
          <w:sz w:val="20"/>
        </w:rPr>
        <w:t>等人则采用了对偶积分反馈的策略，在保证了模块输出抗扰动能力同时，还模的块稳态输出水平是动态可调的</w:t>
      </w:r>
      <w:r w:rsidR="009D2998">
        <w:rPr>
          <w:rFonts w:ascii="Times New Roman" w:eastAsia="Times New Roman" w:hAnsi="Times New Roman" w:cs="Times New Roman"/>
          <w:sz w:val="20"/>
        </w:rPr>
        <w:t xml:space="preserve">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3 c)</w:t>
      </w:r>
      <w:r w:rsidRPr="00F3774C">
        <w:rPr>
          <w:rFonts w:ascii="Times New Roman" w:eastAsia="Times New Roman" w:hAnsi="Times New Roman" w:cs="Times New Roman"/>
          <w:sz w:val="14"/>
          <w:vertAlign w:val="superscript"/>
        </w:rPr>
        <w:t>[55]</w:t>
      </w:r>
      <w:r>
        <w:rPr>
          <w:rFonts w:ascii="宋体" w:eastAsia="宋体" w:hAnsi="宋体" w:cs="宋体"/>
          <w:sz w:val="20"/>
        </w:rPr>
        <w:t>。</w:t>
      </w:r>
    </w:p>
    <w:p w14:paraId="151A258D" w14:textId="51D2A6BE" w:rsidR="00C25C34" w:rsidRDefault="003870E0" w:rsidP="003870E0">
      <w:pPr>
        <w:spacing w:after="5" w:line="296" w:lineRule="auto"/>
        <w:ind w:left="-15" w:firstLine="389"/>
      </w:pPr>
      <w:r>
        <w:rPr>
          <w:rFonts w:ascii="宋体" w:eastAsia="宋体" w:hAnsi="宋体" w:cs="宋体"/>
          <w:sz w:val="20"/>
        </w:rPr>
        <w:t xml:space="preserve">基于全局的资源调控反馈策略能够根据基因回路表达带来的负担对所需的资源进行调控。这样的模块化策略还可以与正交系统联用。例如，正交核糖体基因表达系统中加入反馈控制模块，能够实现对正交核糖体与内源核糖体比例的动态分配，使正交核糖体的比例按需分配给基因回路，减轻基因回路内部的资源竞争带来的耦合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3e)</w:t>
      </w:r>
      <w:r w:rsidRPr="009D2998">
        <w:rPr>
          <w:rFonts w:ascii="Times New Roman" w:eastAsia="Times New Roman" w:hAnsi="Times New Roman" w:cs="Times New Roman"/>
          <w:sz w:val="14"/>
          <w:vertAlign w:val="superscript"/>
        </w:rPr>
        <w:t>[56]</w:t>
      </w:r>
      <w:r>
        <w:rPr>
          <w:rFonts w:ascii="宋体" w:eastAsia="宋体" w:hAnsi="宋体" w:cs="宋体"/>
          <w:sz w:val="20"/>
        </w:rPr>
        <w:t>。</w:t>
      </w:r>
    </w:p>
    <w:p w14:paraId="271F5223" w14:textId="77777777" w:rsidR="00C25C34" w:rsidRDefault="003870E0">
      <w:pPr>
        <w:spacing w:after="38" w:line="296" w:lineRule="auto"/>
        <w:ind w:left="-15" w:firstLine="389"/>
      </w:pPr>
      <w:r>
        <w:rPr>
          <w:rFonts w:ascii="宋体" w:eastAsia="宋体" w:hAnsi="宋体" w:cs="宋体"/>
          <w:sz w:val="20"/>
        </w:rPr>
        <w:t xml:space="preserve">另一种反馈策略则由宿主生理状态决定，根据代谢压力的大小来决定外源基因的表达。通过实验筛选出外源基因高表达时转录水平上调的启动子，利用这类启动子激活下游基于 </w:t>
      </w:r>
      <w:r>
        <w:rPr>
          <w:rFonts w:ascii="Times New Roman" w:eastAsia="Times New Roman" w:hAnsi="Times New Roman" w:cs="Times New Roman"/>
          <w:sz w:val="20"/>
        </w:rPr>
        <w:t xml:space="preserve">dCas9 </w:t>
      </w:r>
      <w:r>
        <w:rPr>
          <w:rFonts w:ascii="宋体" w:eastAsia="宋体" w:hAnsi="宋体" w:cs="宋体"/>
          <w:sz w:val="20"/>
        </w:rPr>
        <w:t>的转录抑制系统</w:t>
      </w:r>
      <w:r>
        <w:rPr>
          <w:rFonts w:ascii="Times New Roman" w:eastAsia="Times New Roman" w:hAnsi="Times New Roman" w:cs="Times New Roman"/>
          <w:sz w:val="20"/>
        </w:rPr>
        <w:t xml:space="preserve">, </w:t>
      </w:r>
      <w:r>
        <w:rPr>
          <w:rFonts w:ascii="宋体" w:eastAsia="宋体" w:hAnsi="宋体" w:cs="宋体"/>
          <w:sz w:val="20"/>
        </w:rPr>
        <w:t xml:space="preserve">从而确保外源基因回路对细胞的压力维持在一个较低的水平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3 d)</w:t>
      </w:r>
      <w:r>
        <w:rPr>
          <w:rFonts w:ascii="Times New Roman" w:eastAsia="Times New Roman" w:hAnsi="Times New Roman" w:cs="Times New Roman"/>
          <w:sz w:val="20"/>
          <w:vertAlign w:val="superscript"/>
        </w:rPr>
        <w:t>[57]</w:t>
      </w:r>
      <w:r>
        <w:rPr>
          <w:rFonts w:ascii="宋体" w:eastAsia="宋体" w:hAnsi="宋体" w:cs="宋体"/>
          <w:sz w:val="20"/>
        </w:rPr>
        <w:t>。</w:t>
      </w:r>
    </w:p>
    <w:p w14:paraId="250D1745" w14:textId="5D4D92F7" w:rsidR="00C25C34" w:rsidRPr="00C208DF" w:rsidRDefault="003870E0" w:rsidP="003870E0">
      <w:pPr>
        <w:spacing w:after="5" w:line="296" w:lineRule="auto"/>
        <w:ind w:left="-15" w:firstLine="389"/>
        <w:rPr>
          <w:rFonts w:ascii="宋体" w:eastAsia="宋体" w:hAnsi="宋体"/>
        </w:rPr>
      </w:pPr>
      <w:r>
        <w:rPr>
          <w:rFonts w:ascii="宋体" w:eastAsia="宋体" w:hAnsi="宋体" w:cs="宋体"/>
          <w:sz w:val="20"/>
        </w:rPr>
        <w:t xml:space="preserve">正反馈回路虽然无法使模块的输出水平更加稳定，但也有独特的用处。在代谢工程领域，为了增强基因回路的遗传稳定性，会利用与生理状态偶联的正反馈回路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3</w:t>
      </w:r>
      <w:r>
        <w:t xml:space="preserve"> </w:t>
      </w:r>
      <w:r>
        <w:rPr>
          <w:rFonts w:ascii="Times New Roman" w:eastAsia="Times New Roman" w:hAnsi="Times New Roman" w:cs="Times New Roman"/>
          <w:sz w:val="20"/>
        </w:rPr>
        <w:t>f)</w:t>
      </w:r>
      <w:r>
        <w:rPr>
          <w:rFonts w:ascii="宋体" w:eastAsia="宋体" w:hAnsi="宋体" w:cs="宋体"/>
          <w:sz w:val="20"/>
        </w:rPr>
        <w:t>，这一策略使得表达目的产物的个体</w:t>
      </w:r>
      <w:r w:rsidRPr="00C208DF">
        <w:rPr>
          <w:rFonts w:ascii="宋体" w:eastAsia="宋体" w:hAnsi="宋体" w:cs="宋体"/>
          <w:sz w:val="20"/>
        </w:rPr>
        <w:t>具有生长优势</w:t>
      </w:r>
      <w:r w:rsidRPr="00C208DF">
        <w:rPr>
          <w:rFonts w:ascii="宋体" w:eastAsia="宋体" w:hAnsi="宋体" w:cs="Times New Roman"/>
          <w:sz w:val="20"/>
          <w:vertAlign w:val="superscript"/>
        </w:rPr>
        <w:t>[58, 59]</w:t>
      </w:r>
      <w:r w:rsidRPr="00C208DF">
        <w:rPr>
          <w:rFonts w:ascii="宋体" w:eastAsia="宋体" w:hAnsi="宋体" w:cs="宋体"/>
          <w:sz w:val="20"/>
        </w:rPr>
        <w:t>。</w:t>
      </w:r>
    </w:p>
    <w:p w14:paraId="024271D6" w14:textId="77777777" w:rsidR="00C25C34" w:rsidRDefault="003870E0">
      <w:pPr>
        <w:spacing w:after="443" w:line="296" w:lineRule="auto"/>
        <w:ind w:left="-15" w:firstLine="389"/>
      </w:pPr>
      <w:r>
        <w:rPr>
          <w:rFonts w:ascii="宋体" w:eastAsia="宋体" w:hAnsi="宋体" w:cs="宋体"/>
          <w:sz w:val="20"/>
        </w:rPr>
        <w:t>除了反馈环这一策略外，另一种基于转录调控的模块化手段则采用了非协调前馈环，</w:t>
      </w:r>
      <w:r>
        <w:rPr>
          <w:rFonts w:ascii="Times New Roman" w:eastAsia="Times New Roman" w:hAnsi="Times New Roman" w:cs="Times New Roman"/>
          <w:sz w:val="20"/>
        </w:rPr>
        <w:t xml:space="preserve">Segall-Shapiro </w:t>
      </w:r>
      <w:r>
        <w:rPr>
          <w:rFonts w:ascii="宋体" w:eastAsia="宋体" w:hAnsi="宋体" w:cs="宋体"/>
          <w:sz w:val="20"/>
        </w:rPr>
        <w:t xml:space="preserve">等人通过对 </w:t>
      </w:r>
      <w:r>
        <w:rPr>
          <w:rFonts w:ascii="Times New Roman" w:eastAsia="Times New Roman" w:hAnsi="Times New Roman" w:cs="Times New Roman"/>
          <w:sz w:val="20"/>
        </w:rPr>
        <w:t xml:space="preserve">iFFL </w:t>
      </w:r>
      <w:r>
        <w:rPr>
          <w:rFonts w:ascii="宋体" w:eastAsia="宋体" w:hAnsi="宋体" w:cs="宋体"/>
          <w:sz w:val="20"/>
        </w:rPr>
        <w:t xml:space="preserve">模体的分析，指出当 </w:t>
      </w:r>
      <w:r>
        <w:rPr>
          <w:rFonts w:ascii="Times New Roman" w:eastAsia="Times New Roman" w:hAnsi="Times New Roman" w:cs="Times New Roman"/>
          <w:sz w:val="20"/>
        </w:rPr>
        <w:t xml:space="preserve">iFFL </w:t>
      </w:r>
      <w:r>
        <w:rPr>
          <w:rFonts w:ascii="宋体" w:eastAsia="宋体" w:hAnsi="宋体" w:cs="宋体"/>
          <w:sz w:val="20"/>
        </w:rPr>
        <w:t xml:space="preserve">模体中阻遏蛋白无协同效应时，稳态下模体的输出将为一个常数而不依赖基因的拷贝数、细胞生长速度，通过这一简单的策略，可以使基因在不同拷贝数下实现稳定表达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3 g)</w:t>
      </w:r>
      <w:r>
        <w:rPr>
          <w:rFonts w:ascii="Times New Roman" w:eastAsia="Times New Roman" w:hAnsi="Times New Roman" w:cs="Times New Roman"/>
          <w:sz w:val="20"/>
          <w:vertAlign w:val="superscript"/>
        </w:rPr>
        <w:t>[60]</w:t>
      </w:r>
      <w:r>
        <w:rPr>
          <w:rFonts w:ascii="宋体" w:eastAsia="宋体" w:hAnsi="宋体" w:cs="宋体"/>
          <w:sz w:val="20"/>
        </w:rPr>
        <w:t>。</w:t>
      </w:r>
    </w:p>
    <w:p w14:paraId="4A15C1F5" w14:textId="77777777" w:rsidR="00C25C34" w:rsidRDefault="003870E0">
      <w:pPr>
        <w:pStyle w:val="1"/>
        <w:ind w:left="344" w:hanging="359"/>
      </w:pPr>
      <w:r>
        <w:t>总结与展望</w:t>
      </w:r>
    </w:p>
    <w:p w14:paraId="70C092FD" w14:textId="33137162" w:rsidR="00C25C34" w:rsidRDefault="003870E0" w:rsidP="001C2506">
      <w:pPr>
        <w:spacing w:after="5" w:line="296" w:lineRule="auto"/>
        <w:ind w:left="-15" w:firstLine="389"/>
      </w:pPr>
      <w:r>
        <w:rPr>
          <w:rFonts w:ascii="宋体" w:eastAsia="宋体" w:hAnsi="宋体" w:cs="宋体"/>
          <w:sz w:val="20"/>
        </w:rPr>
        <w:t xml:space="preserve">过去 </w:t>
      </w:r>
      <w:r>
        <w:rPr>
          <w:rFonts w:ascii="Times New Roman" w:eastAsia="Times New Roman" w:hAnsi="Times New Roman" w:cs="Times New Roman"/>
          <w:sz w:val="20"/>
        </w:rPr>
        <w:t xml:space="preserve">20 </w:t>
      </w:r>
      <w:r>
        <w:rPr>
          <w:rFonts w:ascii="宋体" w:eastAsia="宋体" w:hAnsi="宋体" w:cs="宋体"/>
          <w:sz w:val="20"/>
        </w:rPr>
        <w:t>年来，合成生物学领域涌现出了大量创造性的工作，证明了利用合成生物学理论、方法改造生命为人类所用的可行性。未来，合成基因回路需要能够适应更多的遗传背景迥异的底盘细胞，以及更加复杂多变的使用环境。然而，由于我们对底盘细胞缺乏更系统、全面的认识，导致更为复杂的人工生命系统的开发工作效率低下。本文总结了当前关于细胞生理定量，底盘细胞与底盘细胞相互耦合的机制，以及如何避免因耦合引起的基因回路失效等方面的研究进展。我们认为在未来应当注重：</w:t>
      </w:r>
      <w:r>
        <w:rPr>
          <w:rFonts w:ascii="Times New Roman" w:eastAsia="Times New Roman" w:hAnsi="Times New Roman" w:cs="Times New Roman"/>
          <w:sz w:val="20"/>
        </w:rPr>
        <w:t xml:space="preserve">1. </w:t>
      </w:r>
      <w:r>
        <w:rPr>
          <w:rFonts w:ascii="宋体" w:eastAsia="宋体" w:hAnsi="宋体" w:cs="宋体"/>
          <w:sz w:val="20"/>
        </w:rPr>
        <w:t>更加系统、定量化的底盘细胞生理研究，理清底盘细胞在各种条件下，如逆境、非稳态，的资源调控机制，扩大研究的底盘细胞的种类；</w:t>
      </w:r>
      <w:r>
        <w:rPr>
          <w:rFonts w:ascii="Times New Roman" w:eastAsia="Times New Roman" w:hAnsi="Times New Roman" w:cs="Times New Roman"/>
          <w:sz w:val="20"/>
        </w:rPr>
        <w:t xml:space="preserve">2. </w:t>
      </w:r>
      <w:r>
        <w:rPr>
          <w:rFonts w:ascii="宋体" w:eastAsia="宋体" w:hAnsi="宋体" w:cs="宋体"/>
          <w:sz w:val="20"/>
        </w:rPr>
        <w:t>挖掘、定量、优化更多的正交基因调控元件，阐明不同遗传背景的底盘细胞基因元件的性能；</w:t>
      </w:r>
      <w:r>
        <w:rPr>
          <w:rFonts w:ascii="Times New Roman" w:eastAsia="Times New Roman" w:hAnsi="Times New Roman" w:cs="Times New Roman"/>
          <w:sz w:val="20"/>
        </w:rPr>
        <w:t xml:space="preserve">3. </w:t>
      </w:r>
      <w:r>
        <w:rPr>
          <w:rFonts w:ascii="宋体" w:eastAsia="宋体" w:hAnsi="宋体" w:cs="宋体"/>
          <w:sz w:val="20"/>
        </w:rPr>
        <w:t>开发更加精准、高通量的定量手段，利用多层次的组学技术，为定量刻画底盘细胞</w:t>
      </w:r>
      <w:r>
        <w:rPr>
          <w:rFonts w:ascii="Times New Roman" w:eastAsia="Times New Roman" w:hAnsi="Times New Roman" w:cs="Times New Roman"/>
          <w:sz w:val="20"/>
        </w:rPr>
        <w:t>—</w:t>
      </w:r>
      <w:r>
        <w:rPr>
          <w:rFonts w:ascii="宋体" w:eastAsia="宋体" w:hAnsi="宋体" w:cs="宋体"/>
          <w:sz w:val="20"/>
        </w:rPr>
        <w:t>基因回路相互作用机制提供更加可靠、全面的数据；</w:t>
      </w:r>
      <w:r>
        <w:rPr>
          <w:rFonts w:ascii="Times New Roman" w:eastAsia="Times New Roman" w:hAnsi="Times New Roman" w:cs="Times New Roman"/>
          <w:sz w:val="20"/>
        </w:rPr>
        <w:t xml:space="preserve">4. </w:t>
      </w:r>
      <w:r>
        <w:rPr>
          <w:rFonts w:ascii="宋体" w:eastAsia="宋体" w:hAnsi="宋体" w:cs="宋体"/>
          <w:sz w:val="20"/>
        </w:rPr>
        <w:t xml:space="preserve">建立更加精准的模型预测框架，包括：将底盘细胞与回路的模型描述整合在一起，增强基因回路行为的可预测性；以及从 </w:t>
      </w:r>
      <w:r>
        <w:rPr>
          <w:rFonts w:ascii="Times New Roman" w:eastAsia="Times New Roman" w:hAnsi="Times New Roman" w:cs="Times New Roman"/>
          <w:sz w:val="20"/>
        </w:rPr>
        <w:t xml:space="preserve">DNA </w:t>
      </w:r>
      <w:r>
        <w:rPr>
          <w:rFonts w:ascii="宋体" w:eastAsia="宋体" w:hAnsi="宋体" w:cs="宋体"/>
          <w:sz w:val="20"/>
        </w:rPr>
        <w:t xml:space="preserve">序列生成环节出发，检查序列组合中意外产生的功能序列，如 </w:t>
      </w:r>
      <w:r>
        <w:rPr>
          <w:rFonts w:ascii="Times New Roman" w:eastAsia="Times New Roman" w:hAnsi="Times New Roman" w:cs="Times New Roman"/>
          <w:sz w:val="20"/>
        </w:rPr>
        <w:t xml:space="preserve">dnaA </w:t>
      </w:r>
      <w:r>
        <w:rPr>
          <w:rFonts w:ascii="宋体" w:eastAsia="宋体" w:hAnsi="宋体" w:cs="宋体"/>
          <w:sz w:val="20"/>
        </w:rPr>
        <w:t>结合序列、启动子、转录因子结合序列等；</w:t>
      </w:r>
      <w:r>
        <w:rPr>
          <w:rFonts w:ascii="Times New Roman" w:eastAsia="Times New Roman" w:hAnsi="Times New Roman" w:cs="Times New Roman"/>
          <w:sz w:val="20"/>
        </w:rPr>
        <w:t xml:space="preserve">5. </w:t>
      </w:r>
      <w:r>
        <w:rPr>
          <w:rFonts w:ascii="宋体" w:eastAsia="宋体" w:hAnsi="宋体" w:cs="宋体"/>
          <w:sz w:val="20"/>
        </w:rPr>
        <w:t>规避“非预期”的底盘细胞与基因回路相互作用的解决方案，如利用反馈控制机制设计更加模块化的基因回路。</w:t>
      </w:r>
      <w:r>
        <w:rPr>
          <w:rFonts w:ascii="宋体" w:eastAsia="宋体" w:hAnsi="宋体" w:cs="宋体"/>
          <w:sz w:val="20"/>
        </w:rPr>
        <w:br w:type="page"/>
      </w:r>
      <w:r>
        <w:rPr>
          <w:noProof/>
        </w:rPr>
        <w:lastRenderedPageBreak/>
        <w:drawing>
          <wp:inline distT="0" distB="0" distL="0" distR="0" wp14:anchorId="601C2847" wp14:editId="3611D6BB">
            <wp:extent cx="4746613" cy="5862119"/>
            <wp:effectExtent l="0" t="0" r="0" b="5715"/>
            <wp:docPr id="1920" name="图片 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0472" cy="5866884"/>
                    </a:xfrm>
                    <a:prstGeom prst="rect">
                      <a:avLst/>
                    </a:prstGeom>
                  </pic:spPr>
                </pic:pic>
              </a:graphicData>
            </a:graphic>
          </wp:inline>
        </w:drawing>
      </w:r>
    </w:p>
    <w:p w14:paraId="7EDA2BE5" w14:textId="14BBCC01" w:rsidR="00A12180" w:rsidRPr="00A24BB6" w:rsidRDefault="003870E0">
      <w:pPr>
        <w:spacing w:after="4" w:line="270" w:lineRule="auto"/>
        <w:ind w:left="-5" w:right="101" w:hanging="10"/>
        <w:jc w:val="both"/>
        <w:rPr>
          <w:rFonts w:ascii="宋体" w:eastAsia="宋体" w:hAnsi="宋体" w:cs="宋体"/>
          <w:sz w:val="20"/>
        </w:rPr>
      </w:pPr>
      <w:r w:rsidRPr="00A24BB6">
        <w:rPr>
          <w:rFonts w:ascii="宋体" w:eastAsia="宋体" w:hAnsi="宋体" w:cs="宋体"/>
          <w:sz w:val="20"/>
        </w:rPr>
        <w:t xml:space="preserve">图 </w:t>
      </w:r>
      <w:r w:rsidRPr="00A24BB6">
        <w:rPr>
          <w:rFonts w:ascii="宋体" w:eastAsia="宋体" w:hAnsi="宋体" w:cs="Times New Roman"/>
          <w:sz w:val="20"/>
        </w:rPr>
        <w:t xml:space="preserve">1: </w:t>
      </w:r>
      <w:r w:rsidRPr="00A24BB6">
        <w:rPr>
          <w:rFonts w:ascii="宋体" w:eastAsia="宋体" w:hAnsi="宋体" w:cs="宋体"/>
          <w:sz w:val="20"/>
        </w:rPr>
        <w:t>底盘细胞和基因回路之间的相互作用</w:t>
      </w:r>
      <w:r w:rsidR="00155E02" w:rsidRPr="00A24BB6">
        <w:rPr>
          <w:rFonts w:ascii="宋体" w:eastAsia="宋体" w:hAnsi="宋体" w:cs="宋体" w:hint="eastAsia"/>
          <w:sz w:val="20"/>
        </w:rPr>
        <w:t>.</w:t>
      </w:r>
    </w:p>
    <w:p w14:paraId="40EA299D" w14:textId="038E01D5" w:rsidR="00A12180" w:rsidRPr="00A24BB6" w:rsidRDefault="00A12180">
      <w:pPr>
        <w:spacing w:after="4" w:line="270" w:lineRule="auto"/>
        <w:ind w:left="-5" w:right="101" w:hanging="10"/>
        <w:jc w:val="both"/>
        <w:rPr>
          <w:rFonts w:ascii="Times New Roman" w:eastAsia="宋体" w:hAnsi="Times New Roman" w:cs="Times New Roman"/>
          <w:sz w:val="20"/>
        </w:rPr>
      </w:pPr>
      <w:r w:rsidRPr="00A24BB6">
        <w:rPr>
          <w:rFonts w:ascii="Times New Roman" w:eastAsia="宋体" w:hAnsi="Times New Roman" w:cs="Times New Roman"/>
          <w:sz w:val="20"/>
        </w:rPr>
        <w:t xml:space="preserve">Fig. 1. </w:t>
      </w:r>
      <w:r w:rsidR="00CE1630" w:rsidRPr="00A24BB6">
        <w:rPr>
          <w:rFonts w:ascii="Times New Roman" w:eastAsia="宋体" w:hAnsi="Times New Roman" w:cs="Times New Roman"/>
          <w:sz w:val="20"/>
        </w:rPr>
        <w:t>Schematic of inter</w:t>
      </w:r>
      <w:r w:rsidR="00B83411" w:rsidRPr="00A24BB6">
        <w:rPr>
          <w:rFonts w:ascii="Times New Roman" w:eastAsia="宋体" w:hAnsi="Times New Roman" w:cs="Times New Roman"/>
          <w:sz w:val="20"/>
        </w:rPr>
        <w:t>action between host cells and genetic cir</w:t>
      </w:r>
      <w:r w:rsidR="00155E02" w:rsidRPr="00A24BB6">
        <w:rPr>
          <w:rFonts w:ascii="Times New Roman" w:eastAsia="宋体" w:hAnsi="Times New Roman" w:cs="Times New Roman"/>
          <w:sz w:val="20"/>
        </w:rPr>
        <w:t>cuits.</w:t>
      </w:r>
    </w:p>
    <w:p w14:paraId="1828545A" w14:textId="03405909" w:rsidR="003870E0" w:rsidRPr="00713BF0" w:rsidRDefault="003870E0" w:rsidP="00F3774C">
      <w:pPr>
        <w:spacing w:after="4" w:line="270" w:lineRule="auto"/>
        <w:ind w:left="-5" w:right="101" w:hanging="10"/>
        <w:jc w:val="both"/>
        <w:rPr>
          <w:rFonts w:ascii="Times New Roman" w:eastAsia="宋体" w:hAnsi="Times New Roman" w:cs="Times New Roman"/>
          <w:sz w:val="20"/>
          <w:szCs w:val="20"/>
        </w:rPr>
      </w:pPr>
      <w:r w:rsidRPr="00713BF0">
        <w:rPr>
          <w:rFonts w:ascii="Times New Roman" w:eastAsia="宋体" w:hAnsi="Times New Roman" w:cs="Times New Roman"/>
          <w:sz w:val="20"/>
          <w:szCs w:val="20"/>
        </w:rPr>
        <w:t xml:space="preserve">(a) </w:t>
      </w:r>
      <w:r w:rsidRPr="00713BF0">
        <w:rPr>
          <w:rFonts w:ascii="Times New Roman" w:eastAsia="宋体" w:hAnsi="Times New Roman" w:cs="Times New Roman"/>
          <w:sz w:val="20"/>
          <w:szCs w:val="20"/>
        </w:rPr>
        <w:t>底盘细胞和外源基因回路通过竞争细胞内的资源实现耦合，这种相互作用带来了一系列的效应：</w:t>
      </w:r>
      <w:r w:rsidRPr="00713BF0">
        <w:rPr>
          <w:rFonts w:ascii="Times New Roman" w:eastAsia="宋体" w:hAnsi="Times New Roman" w:cs="Times New Roman"/>
          <w:sz w:val="20"/>
          <w:szCs w:val="20"/>
        </w:rPr>
        <w:t xml:space="preserve">(b) </w:t>
      </w:r>
      <w:r w:rsidRPr="00713BF0">
        <w:rPr>
          <w:rFonts w:ascii="Times New Roman" w:eastAsia="宋体" w:hAnsi="Times New Roman" w:cs="Times New Roman"/>
          <w:sz w:val="20"/>
          <w:szCs w:val="20"/>
        </w:rPr>
        <w:t>细胞异质性增强：外源基因的表达存在差异性，导致细胞异质性增强，一小部分表达量相对较低的细胞获得相对较快的生长速度，这类细胞便可以在不断的传代培养中取得优势，最终导致合成基因回路的失效；</w:t>
      </w:r>
      <w:r w:rsidRPr="00713BF0">
        <w:rPr>
          <w:rFonts w:ascii="Times New Roman" w:eastAsia="宋体" w:hAnsi="Times New Roman" w:cs="Times New Roman"/>
          <w:sz w:val="20"/>
          <w:szCs w:val="20"/>
        </w:rPr>
        <w:t xml:space="preserve">(c) </w:t>
      </w:r>
      <w:r w:rsidRPr="00713BF0">
        <w:rPr>
          <w:rFonts w:ascii="Times New Roman" w:eastAsia="宋体" w:hAnsi="Times New Roman" w:cs="Times New Roman"/>
          <w:sz w:val="20"/>
          <w:szCs w:val="20"/>
        </w:rPr>
        <w:t>遗传稳定性降低（图修改自</w:t>
      </w:r>
      <w:r w:rsidRPr="00713BF0">
        <w:rPr>
          <w:rFonts w:ascii="Times New Roman" w:eastAsia="宋体" w:hAnsi="Times New Roman" w:cs="Times New Roman"/>
          <w:sz w:val="20"/>
          <w:szCs w:val="20"/>
          <w:vertAlign w:val="superscript"/>
        </w:rPr>
        <w:t>[24]</w:t>
      </w:r>
      <w:r w:rsidRPr="00713BF0">
        <w:rPr>
          <w:rFonts w:ascii="Times New Roman" w:eastAsia="宋体" w:hAnsi="Times New Roman" w:cs="Times New Roman"/>
          <w:sz w:val="20"/>
          <w:szCs w:val="20"/>
        </w:rPr>
        <w:t>）：将带有不同的调控元件的三种荧光蛋白随机组合进行连续培养发现，表达量低和带有更少重复序列的基因回路具有更好的遗传稳定性；</w:t>
      </w:r>
      <w:r w:rsidRPr="00713BF0">
        <w:rPr>
          <w:rFonts w:ascii="Times New Roman" w:eastAsia="宋体" w:hAnsi="Times New Roman" w:cs="Times New Roman"/>
          <w:sz w:val="20"/>
          <w:szCs w:val="20"/>
        </w:rPr>
        <w:t xml:space="preserve">(d) </w:t>
      </w:r>
      <w:r w:rsidRPr="00713BF0">
        <w:rPr>
          <w:rFonts w:ascii="Times New Roman" w:eastAsia="宋体" w:hAnsi="Times New Roman" w:cs="Times New Roman"/>
          <w:sz w:val="20"/>
          <w:szCs w:val="20"/>
        </w:rPr>
        <w:t>细胞毒性（图修改自</w:t>
      </w:r>
      <w:r w:rsidRPr="00713BF0">
        <w:rPr>
          <w:rFonts w:ascii="Times New Roman" w:eastAsia="宋体" w:hAnsi="Times New Roman" w:cs="Times New Roman"/>
          <w:sz w:val="20"/>
          <w:szCs w:val="20"/>
          <w:vertAlign w:val="superscript"/>
        </w:rPr>
        <w:t>[28]</w:t>
      </w:r>
      <w:r w:rsidRPr="00713BF0">
        <w:rPr>
          <w:rFonts w:ascii="Times New Roman" w:eastAsia="宋体" w:hAnsi="Times New Roman" w:cs="Times New Roman"/>
          <w:sz w:val="20"/>
          <w:szCs w:val="20"/>
        </w:rPr>
        <w:t>）：</w:t>
      </w:r>
      <w:r w:rsidRPr="00713BF0">
        <w:rPr>
          <w:rFonts w:ascii="Times New Roman" w:eastAsia="宋体" w:hAnsi="Times New Roman" w:cs="Times New Roman"/>
          <w:sz w:val="20"/>
          <w:szCs w:val="20"/>
        </w:rPr>
        <w:t xml:space="preserve">dCas9 </w:t>
      </w:r>
      <w:r w:rsidRPr="00713BF0">
        <w:rPr>
          <w:rFonts w:ascii="Times New Roman" w:eastAsia="宋体" w:hAnsi="Times New Roman" w:cs="Times New Roman"/>
          <w:sz w:val="20"/>
          <w:szCs w:val="20"/>
        </w:rPr>
        <w:t>蛋白在高表达水平下，能够非特异性结合到基因组上影响部分基因的转录水平，导致细胞生长速率的急剧下降和形态纤维化。</w:t>
      </w:r>
    </w:p>
    <w:p w14:paraId="5E38C5DA" w14:textId="6F42EEF1" w:rsidR="00C25C34" w:rsidRDefault="003870E0" w:rsidP="00A24BB6">
      <w:pPr>
        <w:spacing w:after="0" w:line="240" w:lineRule="auto"/>
      </w:pPr>
      <w:r w:rsidRPr="00A24BB6">
        <w:rPr>
          <w:rFonts w:ascii="Times New Roman" w:eastAsia="宋体" w:hAnsi="Times New Roman" w:cs="Times New Roman"/>
          <w:sz w:val="14"/>
        </w:rPr>
        <w:br w:type="page"/>
      </w:r>
      <w:r>
        <w:rPr>
          <w:noProof/>
        </w:rPr>
        <w:lastRenderedPageBreak/>
        <w:drawing>
          <wp:inline distT="0" distB="0" distL="0" distR="0" wp14:anchorId="5FEC2851" wp14:editId="444285CF">
            <wp:extent cx="4748543" cy="5970760"/>
            <wp:effectExtent l="0" t="0" r="0" b="0"/>
            <wp:docPr id="17357" name="Picture 17357"/>
            <wp:cNvGraphicFramePr/>
            <a:graphic xmlns:a="http://schemas.openxmlformats.org/drawingml/2006/main">
              <a:graphicData uri="http://schemas.openxmlformats.org/drawingml/2006/picture">
                <pic:pic xmlns:pic="http://schemas.openxmlformats.org/drawingml/2006/picture">
                  <pic:nvPicPr>
                    <pic:cNvPr id="17357" name="Picture 17357"/>
                    <pic:cNvPicPr/>
                  </pic:nvPicPr>
                  <pic:blipFill>
                    <a:blip r:embed="rId9"/>
                    <a:stretch>
                      <a:fillRect/>
                    </a:stretch>
                  </pic:blipFill>
                  <pic:spPr>
                    <a:xfrm>
                      <a:off x="0" y="0"/>
                      <a:ext cx="4750086" cy="5972700"/>
                    </a:xfrm>
                    <a:prstGeom prst="rect">
                      <a:avLst/>
                    </a:prstGeom>
                  </pic:spPr>
                </pic:pic>
              </a:graphicData>
            </a:graphic>
          </wp:inline>
        </w:drawing>
      </w:r>
    </w:p>
    <w:p w14:paraId="180CFF36" w14:textId="77777777" w:rsidR="00155E02" w:rsidRDefault="003870E0">
      <w:pPr>
        <w:spacing w:after="4" w:line="270" w:lineRule="auto"/>
        <w:ind w:left="-5" w:hanging="10"/>
        <w:jc w:val="both"/>
        <w:rPr>
          <w:rFonts w:ascii="宋体" w:eastAsia="宋体" w:hAnsi="宋体" w:cs="宋体"/>
          <w:sz w:val="20"/>
        </w:rPr>
      </w:pPr>
      <w:r>
        <w:rPr>
          <w:rFonts w:ascii="宋体" w:eastAsia="宋体" w:hAnsi="宋体" w:cs="宋体"/>
          <w:sz w:val="20"/>
        </w:rPr>
        <w:t xml:space="preserve">图 </w:t>
      </w:r>
      <w:r>
        <w:rPr>
          <w:rFonts w:ascii="Times New Roman" w:eastAsia="Times New Roman" w:hAnsi="Times New Roman" w:cs="Times New Roman"/>
          <w:sz w:val="20"/>
        </w:rPr>
        <w:t xml:space="preserve">2: </w:t>
      </w:r>
      <w:r>
        <w:rPr>
          <w:rFonts w:ascii="宋体" w:eastAsia="宋体" w:hAnsi="宋体" w:cs="宋体"/>
          <w:sz w:val="20"/>
        </w:rPr>
        <w:t>全细胞模型与粗粒化模型涉及细胞生理过程示意图</w:t>
      </w:r>
      <w:r w:rsidR="00155E02">
        <w:rPr>
          <w:rFonts w:ascii="宋体" w:eastAsia="宋体" w:hAnsi="宋体" w:cs="宋体" w:hint="eastAsia"/>
          <w:sz w:val="20"/>
        </w:rPr>
        <w:t>.</w:t>
      </w:r>
    </w:p>
    <w:p w14:paraId="47AC8D0C" w14:textId="10D751DF" w:rsidR="00155E02" w:rsidRPr="00F3774C" w:rsidRDefault="00155E02">
      <w:pPr>
        <w:spacing w:after="4" w:line="270" w:lineRule="auto"/>
        <w:ind w:left="-5" w:hanging="10"/>
        <w:jc w:val="both"/>
        <w:rPr>
          <w:rFonts w:ascii="Times New Roman" w:eastAsia="宋体" w:hAnsi="Times New Roman" w:cs="Times New Roman"/>
          <w:sz w:val="20"/>
        </w:rPr>
      </w:pPr>
      <w:r w:rsidRPr="00F3774C">
        <w:rPr>
          <w:rFonts w:ascii="Times New Roman" w:eastAsia="宋体" w:hAnsi="Times New Roman" w:cs="Times New Roman"/>
          <w:sz w:val="20"/>
        </w:rPr>
        <w:t xml:space="preserve">Fig. 2. </w:t>
      </w:r>
      <w:r w:rsidR="00F46E60" w:rsidRPr="00F3774C">
        <w:rPr>
          <w:rFonts w:ascii="Times New Roman" w:eastAsia="宋体" w:hAnsi="Times New Roman" w:cs="Times New Roman"/>
          <w:sz w:val="20"/>
        </w:rPr>
        <w:t xml:space="preserve">Diagram of </w:t>
      </w:r>
      <w:r w:rsidR="00513F94" w:rsidRPr="00F3774C">
        <w:rPr>
          <w:rFonts w:ascii="Times New Roman" w:eastAsia="宋体" w:hAnsi="Times New Roman" w:cs="Times New Roman"/>
          <w:sz w:val="20"/>
        </w:rPr>
        <w:t xml:space="preserve">whole-cell model and </w:t>
      </w:r>
      <w:r w:rsidR="007F4739" w:rsidRPr="00F3774C">
        <w:rPr>
          <w:rFonts w:ascii="Times New Roman" w:eastAsia="宋体" w:hAnsi="Times New Roman" w:cs="Times New Roman"/>
          <w:sz w:val="20"/>
        </w:rPr>
        <w:t>coarse-grained model</w:t>
      </w:r>
    </w:p>
    <w:p w14:paraId="1F1C1D9F" w14:textId="2EDE3A7B" w:rsidR="003870E0" w:rsidRPr="00713BF0" w:rsidRDefault="003870E0">
      <w:pPr>
        <w:spacing w:after="4" w:line="270" w:lineRule="auto"/>
        <w:ind w:left="-5" w:hanging="10"/>
        <w:jc w:val="both"/>
        <w:rPr>
          <w:rFonts w:ascii="Times New Roman" w:eastAsia="宋体" w:hAnsi="Times New Roman" w:cs="Times New Roman"/>
          <w:sz w:val="20"/>
          <w:szCs w:val="20"/>
        </w:rPr>
      </w:pPr>
      <w:r w:rsidRPr="00713BF0">
        <w:rPr>
          <w:rFonts w:ascii="Times New Roman" w:eastAsia="宋体" w:hAnsi="Times New Roman" w:cs="Times New Roman"/>
          <w:sz w:val="20"/>
          <w:szCs w:val="20"/>
        </w:rPr>
        <w:t>（</w:t>
      </w:r>
      <w:r w:rsidRPr="00713BF0">
        <w:rPr>
          <w:rFonts w:ascii="Times New Roman" w:eastAsia="宋体" w:hAnsi="Times New Roman" w:cs="Times New Roman"/>
          <w:sz w:val="20"/>
          <w:szCs w:val="20"/>
        </w:rPr>
        <w:t>a</w:t>
      </w:r>
      <w:r w:rsidRPr="00713BF0">
        <w:rPr>
          <w:rFonts w:ascii="Times New Roman" w:eastAsia="宋体" w:hAnsi="Times New Roman" w:cs="Times New Roman"/>
          <w:sz w:val="20"/>
          <w:szCs w:val="20"/>
        </w:rPr>
        <w:t>）全细胞模型所涉及细胞生理过程</w:t>
      </w:r>
      <w:r w:rsidRPr="00713BF0">
        <w:rPr>
          <w:rFonts w:ascii="Times New Roman" w:eastAsia="宋体" w:hAnsi="Times New Roman" w:cs="Times New Roman"/>
          <w:sz w:val="20"/>
          <w:szCs w:val="20"/>
          <w:vertAlign w:val="subscript"/>
        </w:rPr>
        <w:t xml:space="preserve">, </w:t>
      </w:r>
      <w:r w:rsidRPr="00713BF0">
        <w:rPr>
          <w:rFonts w:ascii="Times New Roman" w:eastAsia="宋体" w:hAnsi="Times New Roman" w:cs="Times New Roman"/>
          <w:sz w:val="20"/>
          <w:szCs w:val="20"/>
        </w:rPr>
        <w:t>其几乎涵盖了所有已知的生理反应，通过数学手段对每个反应进行描述并整合成</w:t>
      </w:r>
      <w:r w:rsidRPr="00713BF0">
        <w:rPr>
          <w:rFonts w:ascii="Times New Roman" w:eastAsia="宋体" w:hAnsi="Times New Roman" w:cs="Times New Roman"/>
          <w:sz w:val="20"/>
          <w:szCs w:val="20"/>
        </w:rPr>
        <w:t xml:space="preserve"> 28 </w:t>
      </w:r>
      <w:r w:rsidRPr="00713BF0">
        <w:rPr>
          <w:rFonts w:ascii="Times New Roman" w:eastAsia="宋体" w:hAnsi="Times New Roman" w:cs="Times New Roman"/>
          <w:sz w:val="20"/>
          <w:szCs w:val="20"/>
        </w:rPr>
        <w:t>个分区最终合并成完整的细胞模型（图修改自</w:t>
      </w:r>
      <w:r w:rsidRPr="00713BF0">
        <w:rPr>
          <w:rFonts w:ascii="Times New Roman" w:eastAsia="宋体" w:hAnsi="Times New Roman" w:cs="Times New Roman"/>
          <w:sz w:val="20"/>
          <w:szCs w:val="20"/>
          <w:vertAlign w:val="superscript"/>
        </w:rPr>
        <w:t>[34]</w:t>
      </w:r>
      <w:r w:rsidRPr="00713BF0">
        <w:rPr>
          <w:rFonts w:ascii="Times New Roman" w:eastAsia="宋体" w:hAnsi="Times New Roman" w:cs="Times New Roman"/>
          <w:sz w:val="20"/>
          <w:szCs w:val="20"/>
        </w:rPr>
        <w:t>）</w:t>
      </w:r>
      <w:r w:rsidRPr="00713BF0">
        <w:rPr>
          <w:rFonts w:ascii="Times New Roman" w:eastAsia="宋体" w:hAnsi="Times New Roman" w:cs="Times New Roman"/>
          <w:sz w:val="20"/>
          <w:szCs w:val="20"/>
        </w:rPr>
        <w:t xml:space="preserve">(b) </w:t>
      </w:r>
      <w:r w:rsidRPr="00713BF0">
        <w:rPr>
          <w:rFonts w:ascii="Times New Roman" w:eastAsia="宋体" w:hAnsi="Times New Roman" w:cs="Times New Roman"/>
          <w:sz w:val="20"/>
          <w:szCs w:val="20"/>
        </w:rPr>
        <w:t>粗粒化模型所涉及细胞生理过程，目前普遍接受的概念是将蛋白质组分成三组：核糖体相关蛋白，代谢相关蛋白和其它蛋白，细胞生长主要是由于蛋白质的增长导致，主要耗能过程为转录及翻译，以</w:t>
      </w:r>
      <w:r w:rsidRPr="00713BF0">
        <w:rPr>
          <w:rFonts w:ascii="Times New Roman" w:eastAsia="宋体" w:hAnsi="Times New Roman" w:cs="Times New Roman"/>
          <w:sz w:val="20"/>
          <w:szCs w:val="20"/>
        </w:rPr>
        <w:t xml:space="preserve"> ppGpp </w:t>
      </w:r>
      <w:r w:rsidRPr="00713BF0">
        <w:rPr>
          <w:rFonts w:ascii="Times New Roman" w:eastAsia="宋体" w:hAnsi="Times New Roman" w:cs="Times New Roman"/>
          <w:sz w:val="20"/>
          <w:szCs w:val="20"/>
        </w:rPr>
        <w:t>为代表的调控机制平衡转录翻译所需的前体物质生产和转录翻译速率（图修改自</w:t>
      </w:r>
      <w:r w:rsidRPr="00713BF0">
        <w:rPr>
          <w:rFonts w:ascii="Times New Roman" w:eastAsia="宋体" w:hAnsi="Times New Roman" w:cs="Times New Roman"/>
          <w:sz w:val="20"/>
          <w:szCs w:val="20"/>
          <w:vertAlign w:val="superscript"/>
        </w:rPr>
        <w:t>[36]</w:t>
      </w:r>
      <w:r w:rsidRPr="00713BF0">
        <w:rPr>
          <w:rFonts w:ascii="Times New Roman" w:eastAsia="宋体" w:hAnsi="Times New Roman" w:cs="Times New Roman"/>
          <w:sz w:val="20"/>
          <w:szCs w:val="20"/>
        </w:rPr>
        <w:t>）</w:t>
      </w:r>
    </w:p>
    <w:p w14:paraId="08F7F009" w14:textId="1A94EC61" w:rsidR="003870E0" w:rsidRDefault="003870E0" w:rsidP="00713BF0">
      <w:pPr>
        <w:spacing w:after="0" w:line="240" w:lineRule="auto"/>
        <w:rPr>
          <w:rFonts w:ascii="宋体" w:eastAsia="宋体" w:hAnsi="宋体" w:cs="宋体"/>
          <w:sz w:val="20"/>
        </w:rPr>
      </w:pPr>
      <w:r>
        <w:rPr>
          <w:rFonts w:ascii="宋体" w:eastAsia="宋体" w:hAnsi="宋体" w:cs="宋体"/>
          <w:sz w:val="14"/>
        </w:rPr>
        <w:br w:type="page"/>
      </w:r>
      <w:r>
        <w:rPr>
          <w:noProof/>
        </w:rPr>
        <w:lastRenderedPageBreak/>
        <w:drawing>
          <wp:inline distT="0" distB="0" distL="0" distR="0" wp14:anchorId="08F3A865" wp14:editId="688702F0">
            <wp:extent cx="4861945" cy="6111089"/>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6420" cy="6116713"/>
                    </a:xfrm>
                    <a:prstGeom prst="rect">
                      <a:avLst/>
                    </a:prstGeom>
                  </pic:spPr>
                </pic:pic>
              </a:graphicData>
            </a:graphic>
          </wp:inline>
        </w:drawing>
      </w:r>
    </w:p>
    <w:p w14:paraId="412DF755" w14:textId="77777777" w:rsidR="00007F8F" w:rsidRDefault="003870E0" w:rsidP="00FE50F3">
      <w:pPr>
        <w:spacing w:before="355" w:after="4" w:line="270" w:lineRule="auto"/>
        <w:ind w:left="89" w:right="90" w:hanging="10"/>
        <w:jc w:val="both"/>
        <w:rPr>
          <w:rFonts w:ascii="宋体" w:eastAsia="宋体" w:hAnsi="宋体" w:cs="宋体"/>
          <w:sz w:val="20"/>
        </w:rPr>
      </w:pPr>
      <w:r>
        <w:rPr>
          <w:rFonts w:ascii="宋体" w:eastAsia="宋体" w:hAnsi="宋体" w:cs="宋体"/>
          <w:sz w:val="20"/>
        </w:rPr>
        <w:t xml:space="preserve">图 </w:t>
      </w:r>
      <w:r>
        <w:rPr>
          <w:rFonts w:ascii="Times New Roman" w:eastAsia="Times New Roman" w:hAnsi="Times New Roman" w:cs="Times New Roman"/>
          <w:sz w:val="20"/>
        </w:rPr>
        <w:t xml:space="preserve">3: </w:t>
      </w:r>
      <w:r>
        <w:rPr>
          <w:rFonts w:ascii="宋体" w:eastAsia="宋体" w:hAnsi="宋体" w:cs="宋体"/>
          <w:sz w:val="20"/>
        </w:rPr>
        <w:t>模块化的基因回路设计</w:t>
      </w:r>
    </w:p>
    <w:p w14:paraId="26F2DCF4" w14:textId="47D6B7C3" w:rsidR="00007F8F" w:rsidRPr="00C8231C" w:rsidRDefault="00626F06" w:rsidP="00626F06">
      <w:pPr>
        <w:spacing w:after="4" w:line="240" w:lineRule="auto"/>
        <w:ind w:left="89" w:right="90" w:hanging="10"/>
        <w:jc w:val="both"/>
        <w:rPr>
          <w:rFonts w:ascii="Times New Roman" w:eastAsia="宋体" w:hAnsi="Times New Roman" w:cs="Times New Roman"/>
          <w:sz w:val="20"/>
        </w:rPr>
      </w:pPr>
      <w:r w:rsidRPr="00C8231C">
        <w:rPr>
          <w:rFonts w:ascii="Times New Roman" w:eastAsia="宋体" w:hAnsi="Times New Roman" w:cs="Times New Roman"/>
          <w:sz w:val="20"/>
        </w:rPr>
        <w:t xml:space="preserve">Fig. 3. </w:t>
      </w:r>
      <w:r w:rsidR="00532EBC" w:rsidRPr="00C8231C">
        <w:rPr>
          <w:rFonts w:ascii="Times New Roman" w:eastAsia="宋体" w:hAnsi="Times New Roman" w:cs="Times New Roman"/>
          <w:sz w:val="20"/>
        </w:rPr>
        <w:t>Mo</w:t>
      </w:r>
      <w:r w:rsidR="00E366D3" w:rsidRPr="00C8231C">
        <w:rPr>
          <w:rFonts w:ascii="Times New Roman" w:eastAsia="宋体" w:hAnsi="Times New Roman" w:cs="Times New Roman"/>
          <w:sz w:val="20"/>
        </w:rPr>
        <w:t xml:space="preserve">dularity of </w:t>
      </w:r>
      <w:r w:rsidR="00AC0A2A" w:rsidRPr="00C8231C">
        <w:rPr>
          <w:rFonts w:ascii="Times New Roman" w:eastAsia="宋体" w:hAnsi="Times New Roman" w:cs="Times New Roman"/>
          <w:sz w:val="20"/>
        </w:rPr>
        <w:t>circuits design.</w:t>
      </w:r>
    </w:p>
    <w:p w14:paraId="74A90C61" w14:textId="1B765DA2" w:rsidR="00C25C34" w:rsidRPr="00713BF0" w:rsidRDefault="003870E0" w:rsidP="00626F06">
      <w:pPr>
        <w:spacing w:after="4" w:line="240" w:lineRule="auto"/>
        <w:ind w:left="89" w:right="90" w:hanging="10"/>
        <w:jc w:val="both"/>
        <w:rPr>
          <w:rFonts w:ascii="Times New Roman" w:eastAsia="宋体" w:hAnsi="Times New Roman" w:cs="Times New Roman"/>
          <w:sz w:val="20"/>
          <w:szCs w:val="20"/>
        </w:rPr>
      </w:pPr>
      <w:r w:rsidRPr="00713BF0">
        <w:rPr>
          <w:rFonts w:ascii="Times New Roman" w:eastAsia="宋体" w:hAnsi="Times New Roman" w:cs="Times New Roman"/>
          <w:sz w:val="20"/>
          <w:szCs w:val="20"/>
        </w:rPr>
        <w:t>更高层次的模块化将基因回路中负责不同功能的局部回路称之为模块，（</w:t>
      </w:r>
      <w:r w:rsidRPr="00713BF0">
        <w:rPr>
          <w:rFonts w:ascii="Times New Roman" w:eastAsia="宋体" w:hAnsi="Times New Roman" w:cs="Times New Roman"/>
          <w:sz w:val="20"/>
          <w:szCs w:val="20"/>
          <w:vertAlign w:val="subscript"/>
        </w:rPr>
        <w:t>a</w:t>
      </w:r>
      <w:r w:rsidRPr="00713BF0">
        <w:rPr>
          <w:rFonts w:ascii="Times New Roman" w:eastAsia="宋体" w:hAnsi="Times New Roman" w:cs="Times New Roman"/>
          <w:sz w:val="20"/>
          <w:szCs w:val="20"/>
        </w:rPr>
        <w:t>）中代表了一个负反馈环，蓝色实线框内代表功能模块，黄色实线框内代表控制器，主要负责调节功能模块，是局部水平负反馈（</w:t>
      </w:r>
      <w:r w:rsidRPr="00713BF0">
        <w:rPr>
          <w:rFonts w:ascii="Times New Roman" w:eastAsia="宋体" w:hAnsi="Times New Roman" w:cs="Times New Roman"/>
          <w:sz w:val="20"/>
          <w:szCs w:val="20"/>
        </w:rPr>
        <w:t>b</w:t>
      </w:r>
      <w:r w:rsidRPr="00713BF0">
        <w:rPr>
          <w:rFonts w:ascii="Times New Roman" w:eastAsia="宋体" w:hAnsi="Times New Roman" w:cs="Times New Roman"/>
          <w:sz w:val="20"/>
          <w:szCs w:val="20"/>
        </w:rPr>
        <w:t>、</w:t>
      </w:r>
      <w:r w:rsidRPr="00713BF0">
        <w:rPr>
          <w:rFonts w:ascii="Times New Roman" w:eastAsia="宋体" w:hAnsi="Times New Roman" w:cs="Times New Roman"/>
          <w:sz w:val="20"/>
          <w:szCs w:val="20"/>
        </w:rPr>
        <w:t>c</w:t>
      </w:r>
      <w:r w:rsidRPr="00713BF0">
        <w:rPr>
          <w:rFonts w:ascii="Times New Roman" w:eastAsia="宋体" w:hAnsi="Times New Roman" w:cs="Times New Roman"/>
          <w:sz w:val="20"/>
          <w:szCs w:val="20"/>
        </w:rPr>
        <w:t>）的基本模块；基于转录后调控的局部负反馈设计（</w:t>
      </w:r>
      <w:r w:rsidRPr="00713BF0">
        <w:rPr>
          <w:rFonts w:ascii="Times New Roman" w:eastAsia="宋体" w:hAnsi="Times New Roman" w:cs="Times New Roman"/>
          <w:sz w:val="20"/>
          <w:szCs w:val="20"/>
        </w:rPr>
        <w:t>b</w:t>
      </w:r>
      <w:r w:rsidRPr="00713BF0">
        <w:rPr>
          <w:rFonts w:ascii="Times New Roman" w:eastAsia="宋体" w:hAnsi="Times New Roman" w:cs="Times New Roman"/>
          <w:sz w:val="20"/>
          <w:szCs w:val="20"/>
        </w:rPr>
        <w:t>），与输出模块一同转录的</w:t>
      </w:r>
      <w:r w:rsidRPr="00713BF0">
        <w:rPr>
          <w:rFonts w:ascii="Times New Roman" w:eastAsia="宋体" w:hAnsi="Times New Roman" w:cs="Times New Roman"/>
          <w:sz w:val="20"/>
          <w:szCs w:val="20"/>
        </w:rPr>
        <w:t xml:space="preserve"> sRNA </w:t>
      </w:r>
      <w:r w:rsidRPr="00713BF0">
        <w:rPr>
          <w:rFonts w:ascii="Times New Roman" w:eastAsia="宋体" w:hAnsi="Times New Roman" w:cs="Times New Roman"/>
          <w:sz w:val="20"/>
          <w:szCs w:val="20"/>
        </w:rPr>
        <w:t>是报告基因基因（绿色）序列反义序列，与</w:t>
      </w:r>
      <w:r w:rsidRPr="00713BF0">
        <w:rPr>
          <w:rFonts w:ascii="Times New Roman" w:eastAsia="宋体" w:hAnsi="Times New Roman" w:cs="Times New Roman"/>
          <w:sz w:val="20"/>
          <w:szCs w:val="20"/>
        </w:rPr>
        <w:t xml:space="preserve"> mRNA </w:t>
      </w:r>
      <w:r w:rsidRPr="00713BF0">
        <w:rPr>
          <w:rFonts w:ascii="Times New Roman" w:eastAsia="宋体" w:hAnsi="Times New Roman" w:cs="Times New Roman"/>
          <w:sz w:val="20"/>
          <w:szCs w:val="20"/>
        </w:rPr>
        <w:t>结合，引发降解，使报告基因的表达水平与底盘细胞生理解耦合；基于对偶积分反馈的模块化设计（</w:t>
      </w:r>
      <w:r w:rsidRPr="00713BF0">
        <w:rPr>
          <w:rFonts w:ascii="Times New Roman" w:eastAsia="宋体" w:hAnsi="Times New Roman" w:cs="Times New Roman"/>
          <w:sz w:val="20"/>
          <w:szCs w:val="20"/>
        </w:rPr>
        <w:t>c</w:t>
      </w:r>
      <w:r w:rsidRPr="00713BF0">
        <w:rPr>
          <w:rFonts w:ascii="Times New Roman" w:eastAsia="宋体" w:hAnsi="Times New Roman" w:cs="Times New Roman"/>
          <w:sz w:val="20"/>
          <w:szCs w:val="20"/>
        </w:rPr>
        <w:t>）则靠控制器内的两个相互拮抗蛋白产物（灰色和黄色）来实现负反馈；全局反馈控制系统（</w:t>
      </w:r>
      <w:r w:rsidRPr="00713BF0">
        <w:rPr>
          <w:rFonts w:ascii="Times New Roman" w:eastAsia="宋体" w:hAnsi="Times New Roman" w:cs="Times New Roman"/>
          <w:sz w:val="20"/>
          <w:szCs w:val="20"/>
        </w:rPr>
        <w:t>d</w:t>
      </w:r>
      <w:r w:rsidRPr="00713BF0">
        <w:rPr>
          <w:rFonts w:ascii="Times New Roman" w:eastAsia="宋体" w:hAnsi="Times New Roman" w:cs="Times New Roman"/>
          <w:sz w:val="20"/>
          <w:szCs w:val="20"/>
        </w:rPr>
        <w:t>、</w:t>
      </w:r>
      <w:r w:rsidRPr="00713BF0">
        <w:rPr>
          <w:rFonts w:ascii="Times New Roman" w:eastAsia="宋体" w:hAnsi="Times New Roman" w:cs="Times New Roman"/>
          <w:sz w:val="20"/>
          <w:szCs w:val="20"/>
        </w:rPr>
        <w:t>e</w:t>
      </w:r>
      <w:r w:rsidRPr="00713BF0">
        <w:rPr>
          <w:rFonts w:ascii="Times New Roman" w:eastAsia="宋体" w:hAnsi="Times New Roman" w:cs="Times New Roman"/>
          <w:sz w:val="20"/>
          <w:szCs w:val="20"/>
        </w:rPr>
        <w:t>），不同于局部反馈系统，控制器直接感知底盘细胞的资源，（</w:t>
      </w:r>
      <w:r w:rsidRPr="00713BF0">
        <w:rPr>
          <w:rFonts w:ascii="Times New Roman" w:eastAsia="宋体" w:hAnsi="Times New Roman" w:cs="Times New Roman"/>
          <w:sz w:val="20"/>
          <w:szCs w:val="20"/>
        </w:rPr>
        <w:t>d</w:t>
      </w:r>
      <w:r w:rsidRPr="00713BF0">
        <w:rPr>
          <w:rFonts w:ascii="Times New Roman" w:eastAsia="宋体" w:hAnsi="Times New Roman" w:cs="Times New Roman"/>
          <w:sz w:val="20"/>
          <w:szCs w:val="20"/>
        </w:rPr>
        <w:t>）中控制器内转录</w:t>
      </w:r>
      <w:r w:rsidRPr="00713BF0">
        <w:rPr>
          <w:rFonts w:ascii="Times New Roman" w:eastAsia="宋体" w:hAnsi="Times New Roman" w:cs="Times New Roman"/>
          <w:sz w:val="20"/>
          <w:szCs w:val="20"/>
        </w:rPr>
        <w:t xml:space="preserve"> sgRNA </w:t>
      </w:r>
      <w:r w:rsidRPr="00713BF0">
        <w:rPr>
          <w:rFonts w:ascii="Times New Roman" w:eastAsia="宋体" w:hAnsi="Times New Roman" w:cs="Times New Roman"/>
          <w:sz w:val="20"/>
          <w:szCs w:val="20"/>
        </w:rPr>
        <w:t>的启动子能响应细胞的压力，当模块中外源表达升高时，转录水平上调，</w:t>
      </w:r>
      <w:r w:rsidRPr="00713BF0">
        <w:rPr>
          <w:rFonts w:ascii="Times New Roman" w:eastAsia="宋体" w:hAnsi="Times New Roman" w:cs="Times New Roman"/>
          <w:sz w:val="20"/>
          <w:szCs w:val="20"/>
        </w:rPr>
        <w:t xml:space="preserve">sgRNA </w:t>
      </w:r>
      <w:r w:rsidRPr="00713BF0">
        <w:rPr>
          <w:rFonts w:ascii="Times New Roman" w:eastAsia="宋体" w:hAnsi="Times New Roman" w:cs="Times New Roman"/>
          <w:sz w:val="20"/>
          <w:szCs w:val="20"/>
        </w:rPr>
        <w:t>与胞内组成表达的</w:t>
      </w:r>
      <w:r w:rsidRPr="00713BF0">
        <w:rPr>
          <w:rFonts w:ascii="Times New Roman" w:eastAsia="宋体" w:hAnsi="Times New Roman" w:cs="Times New Roman"/>
          <w:sz w:val="20"/>
          <w:szCs w:val="20"/>
        </w:rPr>
        <w:t xml:space="preserve"> dCas9 </w:t>
      </w:r>
      <w:r w:rsidRPr="00713BF0">
        <w:rPr>
          <w:rFonts w:ascii="Times New Roman" w:eastAsia="宋体" w:hAnsi="Times New Roman" w:cs="Times New Roman"/>
          <w:sz w:val="20"/>
          <w:szCs w:val="20"/>
        </w:rPr>
        <w:t>蛋白结合，靶向输出模块内的启动子形成负反馈调节；正交翻译系统首先可以将模块</w:t>
      </w:r>
      <w:r w:rsidRPr="00713BF0">
        <w:rPr>
          <w:rFonts w:ascii="Times New Roman" w:eastAsia="宋体" w:hAnsi="Times New Roman" w:cs="Times New Roman"/>
          <w:sz w:val="20"/>
          <w:szCs w:val="20"/>
        </w:rPr>
        <w:t xml:space="preserve"> 3 </w:t>
      </w:r>
      <w:r w:rsidRPr="00713BF0">
        <w:rPr>
          <w:rFonts w:ascii="Times New Roman" w:eastAsia="宋体" w:hAnsi="Times New Roman" w:cs="Times New Roman"/>
          <w:sz w:val="20"/>
          <w:szCs w:val="20"/>
        </w:rPr>
        <w:t>和其余输出模块解耦合，控制器可以稳定正交核糖体（</w:t>
      </w:r>
      <w:r w:rsidRPr="00713BF0">
        <w:rPr>
          <w:rFonts w:ascii="Times New Roman" w:eastAsia="宋体" w:hAnsi="Times New Roman" w:cs="Times New Roman"/>
          <w:sz w:val="20"/>
          <w:szCs w:val="20"/>
        </w:rPr>
        <w:t>o-ribosome</w:t>
      </w:r>
      <w:r w:rsidRPr="00713BF0">
        <w:rPr>
          <w:rFonts w:ascii="Times New Roman" w:eastAsia="宋体" w:hAnsi="Times New Roman" w:cs="Times New Roman"/>
          <w:sz w:val="20"/>
          <w:szCs w:val="20"/>
        </w:rPr>
        <w:t>）的胞内浓度，可以给模块</w:t>
      </w:r>
      <w:r w:rsidRPr="00713BF0">
        <w:rPr>
          <w:rFonts w:ascii="Times New Roman" w:eastAsia="宋体" w:hAnsi="Times New Roman" w:cs="Times New Roman"/>
          <w:sz w:val="20"/>
          <w:szCs w:val="20"/>
        </w:rPr>
        <w:t xml:space="preserve"> 1 </w:t>
      </w:r>
      <w:r w:rsidRPr="00713BF0">
        <w:rPr>
          <w:rFonts w:ascii="Times New Roman" w:eastAsia="宋体" w:hAnsi="Times New Roman" w:cs="Times New Roman"/>
          <w:sz w:val="20"/>
          <w:szCs w:val="20"/>
        </w:rPr>
        <w:t>和模块</w:t>
      </w:r>
      <w:r w:rsidRPr="00713BF0">
        <w:rPr>
          <w:rFonts w:ascii="Times New Roman" w:eastAsia="宋体" w:hAnsi="Times New Roman" w:cs="Times New Roman"/>
          <w:sz w:val="20"/>
          <w:szCs w:val="20"/>
        </w:rPr>
        <w:t xml:space="preserve"> 2 </w:t>
      </w:r>
      <w:r w:rsidRPr="00713BF0">
        <w:rPr>
          <w:rFonts w:ascii="Times New Roman" w:eastAsia="宋体" w:hAnsi="Times New Roman" w:cs="Times New Roman"/>
          <w:sz w:val="20"/>
          <w:szCs w:val="20"/>
        </w:rPr>
        <w:t>提供相对充足的翻译资源，一定程度上减轻了模块</w:t>
      </w:r>
      <w:r w:rsidRPr="00713BF0">
        <w:rPr>
          <w:rFonts w:ascii="Times New Roman" w:eastAsia="宋体" w:hAnsi="Times New Roman" w:cs="Times New Roman"/>
          <w:sz w:val="20"/>
          <w:szCs w:val="20"/>
        </w:rPr>
        <w:t xml:space="preserve"> 1 </w:t>
      </w:r>
      <w:r w:rsidRPr="00713BF0">
        <w:rPr>
          <w:rFonts w:ascii="Times New Roman" w:eastAsia="宋体" w:hAnsi="Times New Roman" w:cs="Times New Roman"/>
          <w:sz w:val="20"/>
          <w:szCs w:val="20"/>
        </w:rPr>
        <w:t>和模块</w:t>
      </w:r>
      <w:r w:rsidRPr="00713BF0">
        <w:rPr>
          <w:rFonts w:ascii="Times New Roman" w:eastAsia="宋体" w:hAnsi="Times New Roman" w:cs="Times New Roman"/>
          <w:sz w:val="20"/>
          <w:szCs w:val="20"/>
        </w:rPr>
        <w:t xml:space="preserve"> 2 </w:t>
      </w:r>
      <w:r w:rsidRPr="00713BF0">
        <w:rPr>
          <w:rFonts w:ascii="Times New Roman" w:eastAsia="宋体" w:hAnsi="Times New Roman" w:cs="Times New Roman"/>
          <w:sz w:val="20"/>
          <w:szCs w:val="20"/>
        </w:rPr>
        <w:t>之间对资源的竞争；（</w:t>
      </w:r>
      <w:r w:rsidRPr="00713BF0">
        <w:rPr>
          <w:rFonts w:ascii="Times New Roman" w:eastAsia="宋体" w:hAnsi="Times New Roman" w:cs="Times New Roman"/>
          <w:sz w:val="20"/>
          <w:szCs w:val="20"/>
        </w:rPr>
        <w:t>f</w:t>
      </w:r>
      <w:r w:rsidRPr="00713BF0">
        <w:rPr>
          <w:rFonts w:ascii="Times New Roman" w:eastAsia="宋体" w:hAnsi="Times New Roman" w:cs="Times New Roman"/>
          <w:sz w:val="20"/>
          <w:szCs w:val="20"/>
        </w:rPr>
        <w:t>）为生长偶联的正反馈环，输出模块的产物可以激活控制器转录对于底盘而言为关键基因的</w:t>
      </w:r>
      <w:r w:rsidRPr="00713BF0">
        <w:rPr>
          <w:rFonts w:ascii="Times New Roman" w:eastAsia="宋体" w:hAnsi="Times New Roman" w:cs="Times New Roman"/>
          <w:sz w:val="20"/>
          <w:szCs w:val="20"/>
        </w:rPr>
        <w:t xml:space="preserve"> T</w:t>
      </w:r>
      <w:r w:rsidRPr="00713BF0">
        <w:rPr>
          <w:rFonts w:ascii="Times New Roman" w:eastAsia="宋体" w:hAnsi="Times New Roman" w:cs="Times New Roman"/>
          <w:sz w:val="20"/>
          <w:szCs w:val="20"/>
        </w:rPr>
        <w:t>，</w:t>
      </w:r>
      <w:r w:rsidRPr="00713BF0">
        <w:rPr>
          <w:rFonts w:ascii="Times New Roman" w:eastAsia="宋体" w:hAnsi="Times New Roman" w:cs="Times New Roman"/>
          <w:sz w:val="20"/>
          <w:szCs w:val="20"/>
        </w:rPr>
        <w:t xml:space="preserve">T </w:t>
      </w:r>
      <w:r w:rsidRPr="00713BF0">
        <w:rPr>
          <w:rFonts w:ascii="Times New Roman" w:eastAsia="宋体" w:hAnsi="Times New Roman" w:cs="Times New Roman"/>
          <w:sz w:val="20"/>
          <w:szCs w:val="20"/>
        </w:rPr>
        <w:t>的表达水平与底盘细胞的生长速度正相关，可以自然淘汰无法或表达过低的个体，增</w:t>
      </w:r>
      <w:r w:rsidRPr="00713BF0">
        <w:rPr>
          <w:rFonts w:ascii="Times New Roman" w:eastAsia="宋体" w:hAnsi="Times New Roman" w:cs="Times New Roman"/>
          <w:sz w:val="20"/>
          <w:szCs w:val="20"/>
        </w:rPr>
        <w:lastRenderedPageBreak/>
        <w:t>强了遗传稳定性；（</w:t>
      </w:r>
      <w:r w:rsidRPr="00713BF0">
        <w:rPr>
          <w:rFonts w:ascii="Times New Roman" w:eastAsia="宋体" w:hAnsi="Times New Roman" w:cs="Times New Roman"/>
          <w:sz w:val="20"/>
          <w:szCs w:val="20"/>
        </w:rPr>
        <w:t>g</w:t>
      </w:r>
      <w:r w:rsidRPr="00713BF0">
        <w:rPr>
          <w:rFonts w:ascii="Times New Roman" w:eastAsia="宋体" w:hAnsi="Times New Roman" w:cs="Times New Roman"/>
          <w:sz w:val="20"/>
          <w:szCs w:val="20"/>
        </w:rPr>
        <w:t>）为利用</w:t>
      </w:r>
      <w:r w:rsidRPr="00713BF0">
        <w:rPr>
          <w:rFonts w:ascii="Times New Roman" w:eastAsia="宋体" w:hAnsi="Times New Roman" w:cs="Times New Roman"/>
          <w:sz w:val="20"/>
          <w:szCs w:val="20"/>
        </w:rPr>
        <w:t xml:space="preserve"> iFFL </w:t>
      </w:r>
      <w:r w:rsidRPr="00713BF0">
        <w:rPr>
          <w:rFonts w:ascii="Times New Roman" w:eastAsia="宋体" w:hAnsi="Times New Roman" w:cs="Times New Roman"/>
          <w:sz w:val="20"/>
          <w:szCs w:val="20"/>
        </w:rPr>
        <w:t>设计的可以减少基因拷贝数引起的基因表达水平变化，拷贝数的增加直接使控制器和输出模块的转录水平升高，控制器的产物</w:t>
      </w:r>
      <w:r w:rsidRPr="00713BF0">
        <w:rPr>
          <w:rFonts w:ascii="Times New Roman" w:eastAsia="宋体" w:hAnsi="Times New Roman" w:cs="Times New Roman"/>
          <w:sz w:val="20"/>
          <w:szCs w:val="20"/>
        </w:rPr>
        <w:t xml:space="preserve"> TALEs </w:t>
      </w:r>
      <w:r w:rsidRPr="00713BF0">
        <w:rPr>
          <w:rFonts w:ascii="Times New Roman" w:eastAsia="宋体" w:hAnsi="Times New Roman" w:cs="Times New Roman"/>
          <w:sz w:val="20"/>
          <w:szCs w:val="20"/>
        </w:rPr>
        <w:t>蛋白靶向模块内的启动子，由于需要蛋白翻译、成熟等步骤，造成拷贝数的激活作用与</w:t>
      </w:r>
      <w:r w:rsidRPr="00713BF0">
        <w:rPr>
          <w:rFonts w:ascii="Times New Roman" w:eastAsia="宋体" w:hAnsi="Times New Roman" w:cs="Times New Roman"/>
          <w:sz w:val="20"/>
          <w:szCs w:val="20"/>
        </w:rPr>
        <w:t xml:space="preserve"> TALEs </w:t>
      </w:r>
      <w:r w:rsidRPr="00713BF0">
        <w:rPr>
          <w:rFonts w:ascii="Times New Roman" w:eastAsia="宋体" w:hAnsi="Times New Roman" w:cs="Times New Roman"/>
          <w:sz w:val="20"/>
          <w:szCs w:val="20"/>
        </w:rPr>
        <w:t>的抑制存在时间差。</w:t>
      </w:r>
    </w:p>
    <w:p w14:paraId="0491D743" w14:textId="77777777" w:rsidR="003870E0" w:rsidRDefault="003870E0" w:rsidP="00626F06">
      <w:pPr>
        <w:spacing w:after="0" w:line="240" w:lineRule="auto"/>
        <w:rPr>
          <w:rFonts w:ascii="黑体" w:eastAsia="黑体" w:hAnsi="黑体" w:cs="黑体"/>
          <w:sz w:val="24"/>
        </w:rPr>
      </w:pPr>
      <w:r>
        <w:br w:type="page"/>
      </w:r>
    </w:p>
    <w:p w14:paraId="144CEE5C" w14:textId="17CF3E33" w:rsidR="00C25C34" w:rsidRDefault="003870E0">
      <w:pPr>
        <w:pStyle w:val="1"/>
        <w:numPr>
          <w:ilvl w:val="0"/>
          <w:numId w:val="0"/>
        </w:numPr>
        <w:spacing w:after="284"/>
        <w:ind w:left="-5"/>
      </w:pPr>
      <w:r>
        <w:lastRenderedPageBreak/>
        <w:t>参考文献</w:t>
      </w:r>
    </w:p>
    <w:p w14:paraId="6661027B"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CARDINALE S, ARKIN A P. Contextualizing context for synthetic biology - identifying causes of failure of synthetic biological systems[J]. Biotechnol. J., 2012, 7(7): 856-866.</w:t>
      </w:r>
    </w:p>
    <w:p w14:paraId="32A91854"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BOADA Y, VIGNONI A, OYARZÚN D, et al. Host-circuit interactions explain unexpected behavior of a gene circuit.[J]. IFAC-PapersOnLine, 2018, 51(19):86-89.</w:t>
      </w:r>
    </w:p>
    <w:p w14:paraId="1C171AB8" w14:textId="77777777" w:rsidR="00C25C34" w:rsidRDefault="003870E0">
      <w:pPr>
        <w:numPr>
          <w:ilvl w:val="0"/>
          <w:numId w:val="1"/>
        </w:numPr>
        <w:spacing w:after="67"/>
        <w:ind w:hanging="531"/>
        <w:jc w:val="both"/>
      </w:pPr>
      <w:r>
        <w:rPr>
          <w:rFonts w:ascii="Times New Roman" w:eastAsia="Times New Roman" w:hAnsi="Times New Roman" w:cs="Times New Roman"/>
          <w:sz w:val="20"/>
        </w:rPr>
        <w:t>GRUNBERG T W, DEL VECCHIO D. Modular Analysis and Design of Biological</w:t>
      </w:r>
    </w:p>
    <w:p w14:paraId="3D68D445" w14:textId="77777777" w:rsidR="00C25C34" w:rsidRDefault="003870E0">
      <w:pPr>
        <w:spacing w:after="166"/>
        <w:ind w:left="432"/>
        <w:jc w:val="both"/>
      </w:pPr>
      <w:r>
        <w:rPr>
          <w:rFonts w:ascii="Times New Roman" w:eastAsia="Times New Roman" w:hAnsi="Times New Roman" w:cs="Times New Roman"/>
          <w:sz w:val="20"/>
        </w:rPr>
        <w:t>Circuits[J]. Curr. Opin. Biotechnol., 2020, 63:41-47.</w:t>
      </w:r>
    </w:p>
    <w:p w14:paraId="79A42338" w14:textId="77777777" w:rsidR="00C25C34" w:rsidRDefault="003870E0">
      <w:pPr>
        <w:numPr>
          <w:ilvl w:val="0"/>
          <w:numId w:val="1"/>
        </w:numPr>
        <w:spacing w:after="67"/>
        <w:ind w:hanging="531"/>
        <w:jc w:val="both"/>
      </w:pPr>
      <w:r>
        <w:rPr>
          <w:rFonts w:ascii="Times New Roman" w:eastAsia="Times New Roman" w:hAnsi="Times New Roman" w:cs="Times New Roman"/>
          <w:sz w:val="20"/>
        </w:rPr>
        <w:t>SCOTT M, GUNDERSON C W, MATEESCU E M, et al. Interdependence of Cell</w:t>
      </w:r>
    </w:p>
    <w:p w14:paraId="28E8187A" w14:textId="77777777" w:rsidR="00C25C34" w:rsidRDefault="003870E0">
      <w:pPr>
        <w:spacing w:after="93" w:line="331" w:lineRule="auto"/>
        <w:ind w:left="432"/>
        <w:jc w:val="both"/>
      </w:pPr>
      <w:r>
        <w:rPr>
          <w:rFonts w:ascii="Times New Roman" w:eastAsia="Times New Roman" w:hAnsi="Times New Roman" w:cs="Times New Roman"/>
          <w:sz w:val="20"/>
        </w:rPr>
        <w:t>Growth and Gene Expression: Origins and Consequences[J]. Science, 2010, 330(6007): 1099-1102.</w:t>
      </w:r>
    </w:p>
    <w:p w14:paraId="6AFFC0FB"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YOU C, OKANO H, HUI S, et al. Coordination of bacterial proteome with metabolism by cyclic AMP signalling[J]. Nature, 2013, 500(7462):301-306.</w:t>
      </w:r>
    </w:p>
    <w:p w14:paraId="709B5404"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HUI S, SILVERMAN J M, CHEN S S, et al. Quantitative proteomic analysis reveals a simple strategy of global resource allocation in bacteria[J]. Mol. Syst. Biol., 2015, 11(2): 784.</w:t>
      </w:r>
    </w:p>
    <w:p w14:paraId="11F320F5"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BORKOWSKI O, CERONI F, STAN G B B, et al. Overloaded and stressed: wholecell considerations for bacterial synthetic biology[J]. Curr. Opin. Microbiol., 2016, 33: 123-130.</w:t>
      </w:r>
    </w:p>
    <w:p w14:paraId="37440217"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TOWBIN B D, KOREM Y, BREN A, et al. Optimality and sub-optimality in a bacterial growth law[J]. Nat. Commun., 2017, 8:1-8.</w:t>
      </w:r>
    </w:p>
    <w:p w14:paraId="4710F0D7" w14:textId="77777777" w:rsidR="00C25C34" w:rsidRDefault="003870E0">
      <w:pPr>
        <w:numPr>
          <w:ilvl w:val="0"/>
          <w:numId w:val="1"/>
        </w:numPr>
        <w:spacing w:after="67"/>
        <w:ind w:hanging="531"/>
        <w:jc w:val="both"/>
      </w:pPr>
      <w:r>
        <w:rPr>
          <w:rFonts w:ascii="Times New Roman" w:eastAsia="Times New Roman" w:hAnsi="Times New Roman" w:cs="Times New Roman"/>
          <w:sz w:val="20"/>
        </w:rPr>
        <w:t>CARDINALE S, JOACHIMIAK M P, ARKIN A P. Effects of genetic variation on the</w:t>
      </w:r>
    </w:p>
    <w:p w14:paraId="6FF442B1" w14:textId="77777777" w:rsidR="00C25C34" w:rsidRDefault="003870E0">
      <w:pPr>
        <w:spacing w:after="166"/>
        <w:ind w:left="432"/>
        <w:jc w:val="both"/>
      </w:pPr>
      <w:r>
        <w:rPr>
          <w:rFonts w:ascii="Times New Roman" w:eastAsia="Times New Roman" w:hAnsi="Times New Roman" w:cs="Times New Roman"/>
          <w:sz w:val="20"/>
        </w:rPr>
        <w:t>e. coli host-circuit interface[J]. Cell Rep., 2013, 4(2):231-237.</w:t>
      </w:r>
    </w:p>
    <w:p w14:paraId="08AF714C"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VILANOVA C, TANNER K, DORADO-MORALES P, et al. Standards not that standard[J]. J. Biol. Eng., 2015, 9(1):17.</w:t>
      </w:r>
    </w:p>
    <w:p w14:paraId="4D9A20CA"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MOSER F, BROERS N J, HARTMANS S, et al. Genetic circuit performance under conditions relevant for industrial bioreactors[J]. ACS Synth. Biol., 2012, 1(11):555564.</w:t>
      </w:r>
    </w:p>
    <w:p w14:paraId="2CE8B75B"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HINTSCHE M, KLUMPP S. Dilution and the theoretical description of growth-rate dependent gene expression[J]. J. Biol. Eng., 2013, 7(1):22.</w:t>
      </w:r>
    </w:p>
    <w:p w14:paraId="76CEECF4"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TAN C, MARGUET P, YOU L. Emergent bistability by a growth-modulating positive feedback circuit[J]. Nat. Chem. Biol., 2009, 5(11):842-848.</w:t>
      </w:r>
    </w:p>
    <w:p w14:paraId="7B65571B" w14:textId="77777777" w:rsidR="00C25C34" w:rsidRDefault="003870E0">
      <w:pPr>
        <w:numPr>
          <w:ilvl w:val="0"/>
          <w:numId w:val="1"/>
        </w:numPr>
        <w:spacing w:after="67"/>
        <w:ind w:hanging="531"/>
        <w:jc w:val="both"/>
      </w:pPr>
      <w:r>
        <w:rPr>
          <w:rFonts w:ascii="Times New Roman" w:eastAsia="Times New Roman" w:hAnsi="Times New Roman" w:cs="Times New Roman"/>
          <w:sz w:val="20"/>
        </w:rPr>
        <w:t>CARBONELL-BALLESTERO M, GARCIA-RAMALLO E, MONTAÑEZ R, et al.</w:t>
      </w:r>
    </w:p>
    <w:p w14:paraId="79CB9A6B" w14:textId="77777777" w:rsidR="00C25C34" w:rsidRDefault="003870E0">
      <w:pPr>
        <w:spacing w:after="93" w:line="331" w:lineRule="auto"/>
        <w:ind w:left="531"/>
        <w:jc w:val="both"/>
      </w:pPr>
      <w:r>
        <w:rPr>
          <w:rFonts w:ascii="Times New Roman" w:eastAsia="Times New Roman" w:hAnsi="Times New Roman" w:cs="Times New Roman"/>
          <w:sz w:val="20"/>
        </w:rPr>
        <w:t>Dealing with the genetic load in bacterial synthetic biology circuits: Convergences with the Ohm’s law[J]. Nucleic Acids Res., 2016, 44(1):496-507.</w:t>
      </w:r>
    </w:p>
    <w:p w14:paraId="12F00591"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LIU Q, SCHUMACHER J, WAN X, et al. Orthogonality and Burdens of Heterologous and Gate Gene Circuits in E. coli[J]. ACS Synth. Biol., 2018, 7(2):553-564.</w:t>
      </w:r>
    </w:p>
    <w:p w14:paraId="1D12478C" w14:textId="77777777" w:rsidR="00C25C34" w:rsidRDefault="003870E0">
      <w:pPr>
        <w:numPr>
          <w:ilvl w:val="0"/>
          <w:numId w:val="1"/>
        </w:numPr>
        <w:spacing w:after="84" w:line="326" w:lineRule="auto"/>
        <w:ind w:hanging="531"/>
        <w:jc w:val="both"/>
      </w:pPr>
      <w:r>
        <w:rPr>
          <w:rFonts w:ascii="Times New Roman" w:eastAsia="Times New Roman" w:hAnsi="Times New Roman" w:cs="Times New Roman"/>
          <w:sz w:val="20"/>
        </w:rPr>
        <w:t>VIND J, SØRENSEN M A, RASMUSSEN M D, et al. Synthesis of proteins in Escherichia coli is limited by the concentration of free ribosomes: Expression from reporter genes does not always reflect functional mRNA levels[J]. J. Mol. Biol., 1993, 231(3):678-688.</w:t>
      </w:r>
    </w:p>
    <w:p w14:paraId="614F7E5B"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SHACHRAI I, ZASLAVER A, ALON U, et al. Cost of Unneeded Proteins in E. coli Is Reduced after Several Generations in Exponential Growth[J]. Mol. Cell, 2010, 38(5): 758-767.</w:t>
      </w:r>
    </w:p>
    <w:p w14:paraId="41AF4140"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lastRenderedPageBreak/>
        <w:t>ZHU M L, DAI X F. Growth suppression by altered (p)ppGpp levels results from nonoptimal resource allocation in Escherichia coli[J]. Nucleic Acids Res., 2019, 47(9): 4684-4693.</w:t>
      </w:r>
    </w:p>
    <w:p w14:paraId="7B670612"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COOKSON N A, MATHER W H, DANINO T, et al. Queueing up for enzymatic processing: Correlated signaling through coupled degradation[J]. Mol. Syst. Biol., 2011, 7(1).</w:t>
      </w:r>
    </w:p>
    <w:p w14:paraId="3A60C7DE"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GYORGY A, JIMÉNEZ J I, YAZBEK J, et al. Isocost Lines Describe the Cellular Economy of Genetic Circuits[J]. Biophys. J., 2015, 109(3):639-646.</w:t>
      </w:r>
    </w:p>
    <w:p w14:paraId="2DE055B5"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QIAN Y, HUANG H H, JIMÉNEZ J I, et al. Resource Competition Shapes the Response of Genetic Circuits[J]. ACS Synth. Biol., 2017, 6(7):1263-1272.</w:t>
      </w:r>
    </w:p>
    <w:p w14:paraId="1244D43A" w14:textId="5BE69E05" w:rsidR="00C25C34" w:rsidRDefault="003870E0" w:rsidP="005B5BF8">
      <w:pPr>
        <w:numPr>
          <w:ilvl w:val="0"/>
          <w:numId w:val="1"/>
        </w:numPr>
        <w:spacing w:after="93" w:line="331" w:lineRule="auto"/>
        <w:ind w:hanging="531"/>
      </w:pPr>
      <w:r>
        <w:rPr>
          <w:rFonts w:ascii="Times New Roman" w:eastAsia="Times New Roman" w:hAnsi="Times New Roman" w:cs="Times New Roman"/>
          <w:sz w:val="20"/>
        </w:rPr>
        <w:t>THOMASP,TERRADOTG,DANOSV,et</w:t>
      </w:r>
      <w:r w:rsidR="005B5BF8">
        <w:rPr>
          <w:rFonts w:ascii="Times New Roman" w:eastAsia="Times New Roman" w:hAnsi="Times New Roman" w:cs="Times New Roman"/>
          <w:sz w:val="20"/>
        </w:rPr>
        <w:t xml:space="preserve"> </w:t>
      </w:r>
      <w:r>
        <w:rPr>
          <w:rFonts w:ascii="Times New Roman" w:eastAsia="Times New Roman" w:hAnsi="Times New Roman" w:cs="Times New Roman"/>
          <w:sz w:val="20"/>
        </w:rPr>
        <w:t>al.</w:t>
      </w:r>
      <w:r w:rsidR="007833DB">
        <w:rPr>
          <w:rFonts w:ascii="Times New Roman" w:eastAsia="Times New Roman" w:hAnsi="Times New Roman" w:cs="Times New Roman"/>
          <w:sz w:val="20"/>
        </w:rPr>
        <w:t xml:space="preserve"> </w:t>
      </w:r>
      <w:r>
        <w:rPr>
          <w:rFonts w:ascii="Times New Roman" w:eastAsia="Times New Roman" w:hAnsi="Times New Roman" w:cs="Times New Roman"/>
          <w:sz w:val="20"/>
        </w:rPr>
        <w:t>Sources,</w:t>
      </w:r>
      <w:r w:rsidR="005B5BF8">
        <w:rPr>
          <w:rFonts w:ascii="Times New Roman" w:eastAsia="Times New Roman" w:hAnsi="Times New Roman" w:cs="Times New Roman"/>
          <w:sz w:val="20"/>
        </w:rPr>
        <w:t xml:space="preserve"> </w:t>
      </w:r>
      <w:r>
        <w:rPr>
          <w:rFonts w:ascii="Times New Roman" w:eastAsia="Times New Roman" w:hAnsi="Times New Roman" w:cs="Times New Roman"/>
          <w:sz w:val="20"/>
        </w:rPr>
        <w:t>propagation</w:t>
      </w:r>
      <w:r w:rsidR="007833DB">
        <w:rPr>
          <w:rFonts w:ascii="Times New Roman" w:eastAsia="Times New Roman" w:hAnsi="Times New Roman" w:cs="Times New Roman"/>
          <w:sz w:val="20"/>
        </w:rPr>
        <w:t xml:space="preserve"> </w:t>
      </w:r>
      <w:r>
        <w:rPr>
          <w:rFonts w:ascii="Times New Roman" w:eastAsia="Times New Roman" w:hAnsi="Times New Roman" w:cs="Times New Roman"/>
          <w:sz w:val="20"/>
        </w:rPr>
        <w:t>and</w:t>
      </w:r>
      <w:r w:rsidR="007833DB">
        <w:rPr>
          <w:rFonts w:ascii="Times New Roman" w:eastAsia="Times New Roman" w:hAnsi="Times New Roman" w:cs="Times New Roman"/>
          <w:sz w:val="20"/>
        </w:rPr>
        <w:t xml:space="preserve"> </w:t>
      </w:r>
      <w:r>
        <w:rPr>
          <w:rFonts w:ascii="Times New Roman" w:eastAsia="Times New Roman" w:hAnsi="Times New Roman" w:cs="Times New Roman"/>
          <w:sz w:val="20"/>
        </w:rPr>
        <w:t>consequences of</w:t>
      </w:r>
      <w:r w:rsidR="005B5BF8">
        <w:rPr>
          <w:rFonts w:ascii="Times New Roman" w:eastAsia="Times New Roman" w:hAnsi="Times New Roman" w:cs="Times New Roman"/>
          <w:sz w:val="20"/>
        </w:rPr>
        <w:t xml:space="preserve"> </w:t>
      </w:r>
      <w:r>
        <w:rPr>
          <w:rFonts w:ascii="Times New Roman" w:eastAsia="Times New Roman" w:hAnsi="Times New Roman" w:cs="Times New Roman"/>
          <w:sz w:val="20"/>
        </w:rPr>
        <w:t>stochasticity in cellular growth[J]. Nat. Commun., 2018, 9(1):4528.</w:t>
      </w:r>
    </w:p>
    <w:p w14:paraId="758E75E1"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KIM J, DARLINGTON A, SALVADOR M, et al. Trade-offs between gene expression, growth and phenotypic diversity in microbial populations[J]. Curr. Opin. Biotechnol., 2020, 62:29-37.</w:t>
      </w:r>
    </w:p>
    <w:p w14:paraId="2F3D9F56" w14:textId="3C59F8E8" w:rsidR="00C25C34" w:rsidRDefault="003870E0" w:rsidP="00F3774C">
      <w:pPr>
        <w:numPr>
          <w:ilvl w:val="0"/>
          <w:numId w:val="1"/>
        </w:numPr>
        <w:spacing w:after="67"/>
        <w:ind w:hanging="531"/>
        <w:jc w:val="both"/>
      </w:pPr>
      <w:r>
        <w:rPr>
          <w:rFonts w:ascii="Times New Roman" w:eastAsia="Times New Roman" w:hAnsi="Times New Roman" w:cs="Times New Roman"/>
          <w:sz w:val="20"/>
        </w:rPr>
        <w:t>SLEIGHT S C, SAURO H M. Visualization of evolutionary stability dynamics and</w:t>
      </w:r>
      <w:r w:rsidR="007833DB">
        <w:rPr>
          <w:rFonts w:ascii="Times New Roman" w:eastAsia="Times New Roman" w:hAnsi="Times New Roman" w:cs="Times New Roman"/>
          <w:sz w:val="20"/>
        </w:rPr>
        <w:t xml:space="preserve"> </w:t>
      </w:r>
      <w:r w:rsidRPr="00F3774C">
        <w:rPr>
          <w:rFonts w:ascii="Times New Roman" w:eastAsia="Times New Roman" w:hAnsi="Times New Roman" w:cs="Times New Roman"/>
          <w:sz w:val="20"/>
        </w:rPr>
        <w:t>competitive</w:t>
      </w:r>
      <w:r w:rsidR="007833DB">
        <w:rPr>
          <w:rFonts w:ascii="Times New Roman" w:eastAsia="Times New Roman" w:hAnsi="Times New Roman" w:cs="Times New Roman"/>
          <w:sz w:val="20"/>
        </w:rPr>
        <w:t xml:space="preserve"> </w:t>
      </w:r>
      <w:r w:rsidRPr="00F3774C">
        <w:rPr>
          <w:rFonts w:ascii="Times New Roman" w:eastAsia="Times New Roman" w:hAnsi="Times New Roman" w:cs="Times New Roman"/>
          <w:sz w:val="20"/>
        </w:rPr>
        <w:t>fitness</w:t>
      </w:r>
      <w:r w:rsidR="007833DB">
        <w:rPr>
          <w:rFonts w:ascii="Times New Roman" w:eastAsia="Times New Roman" w:hAnsi="Times New Roman" w:cs="Times New Roman"/>
          <w:sz w:val="20"/>
        </w:rPr>
        <w:t xml:space="preserve"> </w:t>
      </w:r>
      <w:r w:rsidRPr="00F3774C">
        <w:rPr>
          <w:rFonts w:ascii="Times New Roman" w:eastAsia="Times New Roman" w:hAnsi="Times New Roman" w:cs="Times New Roman"/>
          <w:sz w:val="20"/>
        </w:rPr>
        <w:t>of</w:t>
      </w:r>
      <w:r w:rsidR="007833DB">
        <w:rPr>
          <w:rFonts w:ascii="Times New Roman" w:eastAsia="Times New Roman" w:hAnsi="Times New Roman" w:cs="Times New Roman"/>
          <w:sz w:val="20"/>
        </w:rPr>
        <w:t xml:space="preserve"> </w:t>
      </w:r>
      <w:r w:rsidRPr="00F3774C">
        <w:rPr>
          <w:rFonts w:ascii="Times New Roman" w:eastAsia="Times New Roman" w:hAnsi="Times New Roman" w:cs="Times New Roman"/>
          <w:sz w:val="20"/>
        </w:rPr>
        <w:t>Escherichia</w:t>
      </w:r>
      <w:r w:rsidR="007833DB">
        <w:rPr>
          <w:rFonts w:ascii="Times New Roman" w:eastAsia="Times New Roman" w:hAnsi="Times New Roman" w:cs="Times New Roman"/>
          <w:sz w:val="20"/>
        </w:rPr>
        <w:t xml:space="preserve"> </w:t>
      </w:r>
      <w:r w:rsidRPr="00F3774C">
        <w:rPr>
          <w:rFonts w:ascii="Times New Roman" w:eastAsia="Times New Roman" w:hAnsi="Times New Roman" w:cs="Times New Roman"/>
          <w:sz w:val="20"/>
        </w:rPr>
        <w:t>coli</w:t>
      </w:r>
      <w:r w:rsidR="007833DB">
        <w:rPr>
          <w:rFonts w:ascii="Times New Roman" w:eastAsia="Times New Roman" w:hAnsi="Times New Roman" w:cs="Times New Roman"/>
          <w:sz w:val="20"/>
        </w:rPr>
        <w:t xml:space="preserve"> </w:t>
      </w:r>
      <w:r w:rsidRPr="00F3774C">
        <w:rPr>
          <w:rFonts w:ascii="Times New Roman" w:eastAsia="Times New Roman" w:hAnsi="Times New Roman" w:cs="Times New Roman"/>
          <w:sz w:val="20"/>
        </w:rPr>
        <w:t>engineered</w:t>
      </w:r>
      <w:r w:rsidR="007833DB">
        <w:rPr>
          <w:rFonts w:ascii="Times New Roman" w:eastAsia="Times New Roman" w:hAnsi="Times New Roman" w:cs="Times New Roman"/>
          <w:sz w:val="20"/>
        </w:rPr>
        <w:t xml:space="preserve"> </w:t>
      </w:r>
      <w:r w:rsidRPr="00F3774C">
        <w:rPr>
          <w:rFonts w:ascii="Times New Roman" w:eastAsia="Times New Roman" w:hAnsi="Times New Roman" w:cs="Times New Roman"/>
          <w:sz w:val="20"/>
        </w:rPr>
        <w:t>with</w:t>
      </w:r>
      <w:r w:rsidR="007833DB">
        <w:rPr>
          <w:rFonts w:ascii="Times New Roman" w:eastAsia="Times New Roman" w:hAnsi="Times New Roman" w:cs="Times New Roman"/>
          <w:sz w:val="20"/>
        </w:rPr>
        <w:t xml:space="preserve"> </w:t>
      </w:r>
      <w:r w:rsidRPr="00F3774C">
        <w:rPr>
          <w:rFonts w:ascii="Times New Roman" w:eastAsia="Times New Roman" w:hAnsi="Times New Roman" w:cs="Times New Roman"/>
          <w:sz w:val="20"/>
        </w:rPr>
        <w:t>randomized</w:t>
      </w:r>
      <w:r w:rsidR="007833DB">
        <w:rPr>
          <w:rFonts w:ascii="Times New Roman" w:eastAsia="Times New Roman" w:hAnsi="Times New Roman" w:cs="Times New Roman"/>
          <w:sz w:val="20"/>
        </w:rPr>
        <w:t xml:space="preserve"> </w:t>
      </w:r>
      <w:r w:rsidRPr="00F3774C">
        <w:rPr>
          <w:rFonts w:ascii="Times New Roman" w:eastAsia="Times New Roman" w:hAnsi="Times New Roman" w:cs="Times New Roman"/>
          <w:sz w:val="20"/>
        </w:rPr>
        <w:t>multigene</w:t>
      </w:r>
      <w:r w:rsidR="007833DB">
        <w:rPr>
          <w:rFonts w:ascii="Times New Roman" w:eastAsia="Times New Roman" w:hAnsi="Times New Roman" w:cs="Times New Roman"/>
          <w:sz w:val="20"/>
        </w:rPr>
        <w:t xml:space="preserve"> </w:t>
      </w:r>
      <w:r w:rsidRPr="00F3774C">
        <w:rPr>
          <w:rFonts w:ascii="Times New Roman" w:eastAsia="Times New Roman" w:hAnsi="Times New Roman" w:cs="Times New Roman"/>
          <w:sz w:val="20"/>
        </w:rPr>
        <w:t>circuits[J].</w:t>
      </w:r>
    </w:p>
    <w:p w14:paraId="6A166A80" w14:textId="77777777" w:rsidR="00C25C34" w:rsidRDefault="003870E0">
      <w:pPr>
        <w:spacing w:after="148"/>
        <w:ind w:left="531"/>
        <w:jc w:val="both"/>
      </w:pPr>
      <w:r>
        <w:rPr>
          <w:rFonts w:ascii="Times New Roman" w:eastAsia="Times New Roman" w:hAnsi="Times New Roman" w:cs="Times New Roman"/>
          <w:sz w:val="20"/>
        </w:rPr>
        <w:t>ACS Synth. Biol., 2013, 2(9):519-528.</w:t>
      </w:r>
    </w:p>
    <w:p w14:paraId="79009C8B"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KIMELMAN A, LEVY A, SBERRO H, et al. A vast collection of microbial genes that are toxic to bacteria[J]. Genome Res., 2012, 22(4):802-809.</w:t>
      </w:r>
    </w:p>
    <w:p w14:paraId="27827DDA"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LAMBERTE L E, BANIULYTE G, SINGH S S, et al. Horizontally acquired AT-rich genes in Escherichia coli cause toxicity by sequestering RNA polymerase[J]. Nat. Microbiol., 2017, 2(January):1-9.</w:t>
      </w:r>
    </w:p>
    <w:p w14:paraId="5422E9B0" w14:textId="77777777" w:rsidR="00C25C34" w:rsidRDefault="003870E0">
      <w:pPr>
        <w:numPr>
          <w:ilvl w:val="0"/>
          <w:numId w:val="1"/>
        </w:numPr>
        <w:spacing w:after="99" w:line="329" w:lineRule="auto"/>
        <w:ind w:hanging="531"/>
        <w:jc w:val="both"/>
      </w:pPr>
      <w:r>
        <w:rPr>
          <w:rFonts w:ascii="Times New Roman" w:eastAsia="Times New Roman" w:hAnsi="Times New Roman" w:cs="Times New Roman"/>
          <w:sz w:val="20"/>
        </w:rPr>
        <w:t>STANTON B C, NIELSEN A A K, TAMSIR A, et al. Genomic mining of prokaryotic repressors for orthogonal logic gates[J]. Nat. Chem. Biol., 2014, 10(2):99-105.</w:t>
      </w:r>
    </w:p>
    <w:p w14:paraId="5A6BE871"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HASNAIN A, BECKER D, SIBA A, et al. A data-driven method for quantifying the impact of a genetic circuit on its host[J]. BioCAS 2019 - Biomed. Circuits Syst. Conf. Proc., 2019:1-4.</w:t>
      </w:r>
    </w:p>
    <w:p w14:paraId="78C11947"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CHO S, CHOE D, LEE E, et al. High-Level dCas9 Expression Induces Abnormal Cell Morphology in Escherichia coli[J]. ACS Synth. Biol., 2018, 7(4):1085-1094.</w:t>
      </w:r>
    </w:p>
    <w:p w14:paraId="22F3BE05"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CUI L, VIGOUROUX A, ROUSSET F, et al. A CRISPRi screen in E. coli reveals sequence-specific toxicity of dCas9[J]. Nat. Commun., 2018, 9(1):1-10.</w:t>
      </w:r>
    </w:p>
    <w:p w14:paraId="14798682" w14:textId="14AF8B7E" w:rsidR="00C25C34" w:rsidRDefault="003870E0" w:rsidP="005B5BF8">
      <w:pPr>
        <w:numPr>
          <w:ilvl w:val="0"/>
          <w:numId w:val="1"/>
        </w:numPr>
        <w:spacing w:after="166"/>
        <w:ind w:hanging="531"/>
        <w:jc w:val="both"/>
      </w:pPr>
      <w:r w:rsidRPr="005B5BF8">
        <w:rPr>
          <w:rFonts w:ascii="Times New Roman" w:eastAsia="Times New Roman" w:hAnsi="Times New Roman" w:cs="Times New Roman"/>
          <w:sz w:val="20"/>
        </w:rPr>
        <w:t>SHULER M L, LEUNG S, DICK C C. A Mathematical Model for the Growth of a</w:t>
      </w:r>
      <w:r w:rsidR="005B5BF8" w:rsidRPr="005B5BF8">
        <w:rPr>
          <w:rFonts w:ascii="Times New Roman" w:eastAsia="Times New Roman" w:hAnsi="Times New Roman" w:cs="Times New Roman"/>
          <w:sz w:val="20"/>
        </w:rPr>
        <w:t xml:space="preserve">  </w:t>
      </w:r>
      <w:r w:rsidRPr="005B5BF8">
        <w:rPr>
          <w:rFonts w:ascii="Times New Roman" w:eastAsia="Times New Roman" w:hAnsi="Times New Roman" w:cs="Times New Roman"/>
          <w:sz w:val="20"/>
        </w:rPr>
        <w:t>Single Bacterial Cell[J]. Ann. N. Y. Acad. Sci., 1979, 326(1):35-52.</w:t>
      </w:r>
    </w:p>
    <w:p w14:paraId="1529E21A"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TOMITA M, HASHIMOTO K, TAKAHASHI K, et al. E-CELL: Software environment for whole-cell simulation[J]. Bioinformatics, 1999, 15(1):72-84.</w:t>
      </w:r>
    </w:p>
    <w:p w14:paraId="02D3ADC1"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CARRERA J, COVERT M W. Why Build Whole-Cell Models?[J]. Trends Cell Biol., 2015, 25(12):719-722.</w:t>
      </w:r>
    </w:p>
    <w:p w14:paraId="0DBD8255" w14:textId="40E9EDCF" w:rsidR="00C25C34" w:rsidRDefault="003870E0" w:rsidP="005B5BF8">
      <w:pPr>
        <w:numPr>
          <w:ilvl w:val="0"/>
          <w:numId w:val="1"/>
        </w:numPr>
        <w:spacing w:after="93" w:line="331" w:lineRule="auto"/>
        <w:ind w:hanging="531"/>
      </w:pPr>
      <w:r>
        <w:rPr>
          <w:rFonts w:ascii="Times New Roman" w:eastAsia="Times New Roman" w:hAnsi="Times New Roman" w:cs="Times New Roman"/>
          <w:sz w:val="20"/>
        </w:rPr>
        <w:t>KARRJR,SANGHVIJC,MACKLINDN,</w:t>
      </w:r>
      <w:r w:rsidR="005B5BF8">
        <w:rPr>
          <w:rFonts w:ascii="Times New Roman" w:eastAsia="Times New Roman" w:hAnsi="Times New Roman" w:cs="Times New Roman"/>
          <w:sz w:val="20"/>
        </w:rPr>
        <w:t xml:space="preserve"> </w:t>
      </w:r>
      <w:r>
        <w:rPr>
          <w:rFonts w:ascii="Times New Roman" w:eastAsia="Times New Roman" w:hAnsi="Times New Roman" w:cs="Times New Roman"/>
          <w:sz w:val="20"/>
        </w:rPr>
        <w:t>et</w:t>
      </w:r>
      <w:r w:rsidR="005B5BF8">
        <w:rPr>
          <w:rFonts w:ascii="Times New Roman" w:eastAsia="Times New Roman" w:hAnsi="Times New Roman" w:cs="Times New Roman"/>
          <w:sz w:val="20"/>
        </w:rPr>
        <w:t xml:space="preserve"> </w:t>
      </w:r>
      <w:r>
        <w:rPr>
          <w:rFonts w:ascii="Times New Roman" w:eastAsia="Times New Roman" w:hAnsi="Times New Roman" w:cs="Times New Roman"/>
          <w:sz w:val="20"/>
        </w:rPr>
        <w:t>al. A</w:t>
      </w:r>
      <w:r w:rsidR="005B5BF8">
        <w:rPr>
          <w:rFonts w:ascii="Times New Roman" w:eastAsia="Times New Roman" w:hAnsi="Times New Roman" w:cs="Times New Roman"/>
          <w:sz w:val="20"/>
        </w:rPr>
        <w:t xml:space="preserve"> </w:t>
      </w:r>
      <w:r>
        <w:rPr>
          <w:rFonts w:ascii="Times New Roman" w:eastAsia="Times New Roman" w:hAnsi="Times New Roman" w:cs="Times New Roman"/>
          <w:sz w:val="20"/>
        </w:rPr>
        <w:t>Whole-CellComputational</w:t>
      </w:r>
      <w:r w:rsidR="005B5BF8">
        <w:rPr>
          <w:rFonts w:ascii="Times New Roman" w:eastAsia="Times New Roman" w:hAnsi="Times New Roman" w:cs="Times New Roman"/>
          <w:sz w:val="20"/>
        </w:rPr>
        <w:t xml:space="preserve"> </w:t>
      </w:r>
      <w:r>
        <w:rPr>
          <w:rFonts w:ascii="Times New Roman" w:eastAsia="Times New Roman" w:hAnsi="Times New Roman" w:cs="Times New Roman"/>
          <w:sz w:val="20"/>
        </w:rPr>
        <w:t>Model Predicts Phenotype from Genotype[J]. Cell, 2012, 150(2):389-401.</w:t>
      </w:r>
    </w:p>
    <w:p w14:paraId="3A3DB9B8"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WEIßE A Y, OYARZÚN D A, DANOS V, et al. Mechanistic links between cellular trade-offs, gene expression, and growth[J]. Proc. Natl. Acad. Sci. U. S. A., 2015, 112(9):E1038-E1047.</w:t>
      </w:r>
    </w:p>
    <w:p w14:paraId="6D0A9338" w14:textId="59DA3584" w:rsidR="00C25C34" w:rsidRDefault="003870E0">
      <w:pPr>
        <w:numPr>
          <w:ilvl w:val="0"/>
          <w:numId w:val="1"/>
        </w:numPr>
        <w:spacing w:after="84" w:line="326" w:lineRule="auto"/>
        <w:ind w:hanging="531"/>
        <w:jc w:val="both"/>
      </w:pPr>
      <w:r>
        <w:rPr>
          <w:rFonts w:ascii="Times New Roman" w:eastAsia="Times New Roman" w:hAnsi="Times New Roman" w:cs="Times New Roman"/>
          <w:sz w:val="20"/>
        </w:rPr>
        <w:lastRenderedPageBreak/>
        <w:t>LIAO C, BLANCHARD A E, LU T. An integrative circuit</w:t>
      </w:r>
      <w:r>
        <w:rPr>
          <w:rFonts w:ascii="宋体" w:eastAsia="宋体" w:hAnsi="宋体" w:cs="宋体"/>
          <w:sz w:val="20"/>
        </w:rPr>
        <w:t>–</w:t>
      </w:r>
      <w:r>
        <w:rPr>
          <w:rFonts w:ascii="Times New Roman" w:eastAsia="Times New Roman" w:hAnsi="Times New Roman" w:cs="Times New Roman"/>
          <w:sz w:val="20"/>
        </w:rPr>
        <w:t>host modelling framework</w:t>
      </w:r>
      <w:r w:rsidR="005B5BF8">
        <w:rPr>
          <w:rFonts w:ascii="Times New Roman" w:eastAsia="Times New Roman" w:hAnsi="Times New Roman" w:cs="Times New Roman"/>
          <w:sz w:val="20"/>
        </w:rPr>
        <w:t xml:space="preserve"> </w:t>
      </w:r>
      <w:r>
        <w:rPr>
          <w:rFonts w:ascii="Times New Roman" w:eastAsia="Times New Roman" w:hAnsi="Times New Roman" w:cs="Times New Roman"/>
          <w:sz w:val="20"/>
        </w:rPr>
        <w:t>for</w:t>
      </w:r>
      <w:r w:rsidR="005B5BF8">
        <w:rPr>
          <w:rFonts w:ascii="Times New Roman" w:eastAsia="Times New Roman" w:hAnsi="Times New Roman" w:cs="Times New Roman"/>
          <w:sz w:val="20"/>
        </w:rPr>
        <w:t xml:space="preserve"> </w:t>
      </w:r>
      <w:r>
        <w:rPr>
          <w:rFonts w:ascii="Times New Roman" w:eastAsia="Times New Roman" w:hAnsi="Times New Roman" w:cs="Times New Roman"/>
          <w:sz w:val="20"/>
        </w:rPr>
        <w:t>predicting</w:t>
      </w:r>
      <w:r w:rsidR="005B5BF8">
        <w:rPr>
          <w:rFonts w:ascii="Times New Roman" w:eastAsia="Times New Roman" w:hAnsi="Times New Roman" w:cs="Times New Roman"/>
          <w:sz w:val="20"/>
        </w:rPr>
        <w:t xml:space="preserve"> </w:t>
      </w:r>
      <w:r>
        <w:rPr>
          <w:rFonts w:ascii="Times New Roman" w:eastAsia="Times New Roman" w:hAnsi="Times New Roman" w:cs="Times New Roman"/>
          <w:sz w:val="20"/>
        </w:rPr>
        <w:t>synthetic</w:t>
      </w:r>
      <w:r w:rsidR="005B5BF8">
        <w:rPr>
          <w:rFonts w:ascii="Times New Roman" w:eastAsia="Times New Roman" w:hAnsi="Times New Roman" w:cs="Times New Roman"/>
          <w:sz w:val="20"/>
        </w:rPr>
        <w:t xml:space="preserve"> </w:t>
      </w:r>
      <w:r>
        <w:rPr>
          <w:rFonts w:ascii="Times New Roman" w:eastAsia="Times New Roman" w:hAnsi="Times New Roman" w:cs="Times New Roman"/>
          <w:sz w:val="20"/>
        </w:rPr>
        <w:t>gene</w:t>
      </w:r>
      <w:r w:rsidR="005B5BF8">
        <w:rPr>
          <w:rFonts w:ascii="Times New Roman" w:eastAsia="Times New Roman" w:hAnsi="Times New Roman" w:cs="Times New Roman"/>
          <w:sz w:val="20"/>
        </w:rPr>
        <w:t xml:space="preserve"> </w:t>
      </w:r>
      <w:r>
        <w:rPr>
          <w:rFonts w:ascii="Times New Roman" w:eastAsia="Times New Roman" w:hAnsi="Times New Roman" w:cs="Times New Roman"/>
          <w:sz w:val="20"/>
        </w:rPr>
        <w:t>network</w:t>
      </w:r>
      <w:r w:rsidR="005B5BF8">
        <w:rPr>
          <w:rFonts w:ascii="Times New Roman" w:eastAsia="Times New Roman" w:hAnsi="Times New Roman" w:cs="Times New Roman"/>
          <w:sz w:val="20"/>
        </w:rPr>
        <w:t xml:space="preserve"> </w:t>
      </w:r>
      <w:r>
        <w:rPr>
          <w:rFonts w:ascii="Times New Roman" w:eastAsia="Times New Roman" w:hAnsi="Times New Roman" w:cs="Times New Roman"/>
          <w:sz w:val="20"/>
        </w:rPr>
        <w:t>behaviours[J].</w:t>
      </w:r>
      <w:r w:rsidR="005B5BF8">
        <w:rPr>
          <w:rFonts w:ascii="Times New Roman" w:eastAsia="Times New Roman" w:hAnsi="Times New Roman" w:cs="Times New Roman"/>
          <w:sz w:val="20"/>
        </w:rPr>
        <w:t xml:space="preserve"> </w:t>
      </w:r>
      <w:r>
        <w:rPr>
          <w:rFonts w:ascii="Times New Roman" w:eastAsia="Times New Roman" w:hAnsi="Times New Roman" w:cs="Times New Roman"/>
          <w:sz w:val="20"/>
        </w:rPr>
        <w:t>Nat.Microbiol.,2017,2(12): 1658-1666.</w:t>
      </w:r>
    </w:p>
    <w:p w14:paraId="49BEC135" w14:textId="2343E03F"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CARRERA J, ESTRELA R, LUO J, et al. An integrative, multi‐scale, genome‐wide model reveals the phenotypic landscape of Escherichia coli [J]. Mol. Syst. Biol., 2014, 10(7):735.</w:t>
      </w:r>
    </w:p>
    <w:p w14:paraId="3606DD74"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ATLAS J C, NIKOLAEV E V, BROWNING S T, et al. Incorporating genome-wide DNA sequence information into a dynamic whole-cell model of Escherichia coli: Application to DNA replication[J]. IET Syst. Biol., 2008, 2(5):369-382.</w:t>
      </w:r>
    </w:p>
    <w:p w14:paraId="406A84C1"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ROBERTS E, MAGIS A, ORTIZ J O, et al. Noise contributions in an inducible genetic switch: A whole-cell simulation study[J]. PLoS Comput. Biol., 2011, 7(3):e1002010.</w:t>
      </w:r>
    </w:p>
    <w:p w14:paraId="5173C33E"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KAUFFMAN K J, PRAKASH P, EDWARDS J S. Advances in flux balance analysis[J]. Curr. Opin. Biotechnol., 2003, 14(5):491-496.</w:t>
      </w:r>
    </w:p>
    <w:p w14:paraId="61160746" w14:textId="5CBA6BDF"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BABTIEAC,STUMPFMP.</w:t>
      </w:r>
      <w:r w:rsidR="005B5BF8">
        <w:rPr>
          <w:rFonts w:ascii="Times New Roman" w:eastAsia="Times New Roman" w:hAnsi="Times New Roman" w:cs="Times New Roman"/>
          <w:sz w:val="20"/>
        </w:rPr>
        <w:t xml:space="preserve"> </w:t>
      </w:r>
      <w:r>
        <w:rPr>
          <w:rFonts w:ascii="Times New Roman" w:eastAsia="Times New Roman" w:hAnsi="Times New Roman" w:cs="Times New Roman"/>
          <w:sz w:val="20"/>
        </w:rPr>
        <w:t>How</w:t>
      </w:r>
      <w:r w:rsidR="005B5BF8">
        <w:rPr>
          <w:rFonts w:ascii="Times New Roman" w:eastAsia="Times New Roman" w:hAnsi="Times New Roman" w:cs="Times New Roman"/>
          <w:sz w:val="20"/>
        </w:rPr>
        <w:t xml:space="preserve"> </w:t>
      </w:r>
      <w:r>
        <w:rPr>
          <w:rFonts w:ascii="Times New Roman" w:eastAsia="Times New Roman" w:hAnsi="Times New Roman" w:cs="Times New Roman"/>
          <w:sz w:val="20"/>
        </w:rPr>
        <w:t>to</w:t>
      </w:r>
      <w:r w:rsidR="005B5BF8">
        <w:rPr>
          <w:rFonts w:ascii="Times New Roman" w:eastAsia="Times New Roman" w:hAnsi="Times New Roman" w:cs="Times New Roman"/>
          <w:sz w:val="20"/>
        </w:rPr>
        <w:t xml:space="preserve"> </w:t>
      </w:r>
      <w:r>
        <w:rPr>
          <w:rFonts w:ascii="Times New Roman" w:eastAsia="Times New Roman" w:hAnsi="Times New Roman" w:cs="Times New Roman"/>
          <w:sz w:val="20"/>
        </w:rPr>
        <w:t>deal</w:t>
      </w:r>
      <w:r w:rsidR="005B5BF8">
        <w:rPr>
          <w:rFonts w:ascii="Times New Roman" w:eastAsia="Times New Roman" w:hAnsi="Times New Roman" w:cs="Times New Roman"/>
          <w:sz w:val="20"/>
        </w:rPr>
        <w:t xml:space="preserve"> </w:t>
      </w:r>
      <w:r>
        <w:rPr>
          <w:rFonts w:ascii="Times New Roman" w:eastAsia="Times New Roman" w:hAnsi="Times New Roman" w:cs="Times New Roman"/>
          <w:sz w:val="20"/>
        </w:rPr>
        <w:t>with</w:t>
      </w:r>
      <w:r w:rsidR="005B5BF8">
        <w:rPr>
          <w:rFonts w:ascii="Times New Roman" w:eastAsia="Times New Roman" w:hAnsi="Times New Roman" w:cs="Times New Roman"/>
          <w:sz w:val="20"/>
        </w:rPr>
        <w:t xml:space="preserve"> </w:t>
      </w:r>
      <w:r>
        <w:rPr>
          <w:rFonts w:ascii="Times New Roman" w:eastAsia="Times New Roman" w:hAnsi="Times New Roman" w:cs="Times New Roman"/>
          <w:sz w:val="20"/>
        </w:rPr>
        <w:t>parameters</w:t>
      </w:r>
      <w:r w:rsidR="005B5BF8">
        <w:rPr>
          <w:rFonts w:ascii="Times New Roman" w:eastAsia="Times New Roman" w:hAnsi="Times New Roman" w:cs="Times New Roman"/>
          <w:sz w:val="20"/>
        </w:rPr>
        <w:t xml:space="preserve"> </w:t>
      </w:r>
      <w:r>
        <w:rPr>
          <w:rFonts w:ascii="Times New Roman" w:eastAsia="Times New Roman" w:hAnsi="Times New Roman" w:cs="Times New Roman"/>
          <w:sz w:val="20"/>
        </w:rPr>
        <w:t>for</w:t>
      </w:r>
      <w:r w:rsidR="005B5BF8">
        <w:rPr>
          <w:rFonts w:ascii="Times New Roman" w:eastAsia="Times New Roman" w:hAnsi="Times New Roman" w:cs="Times New Roman"/>
          <w:sz w:val="20"/>
        </w:rPr>
        <w:t xml:space="preserve"> </w:t>
      </w:r>
      <w:r>
        <w:rPr>
          <w:rFonts w:ascii="Times New Roman" w:eastAsia="Times New Roman" w:hAnsi="Times New Roman" w:cs="Times New Roman"/>
          <w:sz w:val="20"/>
        </w:rPr>
        <w:t>whole-cell</w:t>
      </w:r>
      <w:r w:rsidR="005B5BF8">
        <w:rPr>
          <w:rFonts w:ascii="Times New Roman" w:eastAsia="Times New Roman" w:hAnsi="Times New Roman" w:cs="Times New Roman"/>
          <w:sz w:val="20"/>
        </w:rPr>
        <w:t xml:space="preserve"> </w:t>
      </w:r>
      <w:r>
        <w:rPr>
          <w:rFonts w:ascii="Times New Roman" w:eastAsia="Times New Roman" w:hAnsi="Times New Roman" w:cs="Times New Roman"/>
          <w:sz w:val="20"/>
        </w:rPr>
        <w:t>modelling[J]. J. R. Soc. Interface, 2017, 14(133):20170237.</w:t>
      </w:r>
    </w:p>
    <w:p w14:paraId="2521FBE5" w14:textId="77777777" w:rsidR="00C25C34" w:rsidRDefault="003870E0">
      <w:pPr>
        <w:numPr>
          <w:ilvl w:val="0"/>
          <w:numId w:val="1"/>
        </w:numPr>
        <w:spacing w:after="161"/>
        <w:ind w:hanging="531"/>
        <w:jc w:val="both"/>
      </w:pPr>
      <w:r>
        <w:rPr>
          <w:rFonts w:ascii="Times New Roman" w:eastAsia="Times New Roman" w:hAnsi="Times New Roman" w:cs="Times New Roman"/>
          <w:sz w:val="20"/>
        </w:rPr>
        <w:t>MARR A G. Growth rate of Escherichia coli[J]. Microbiol. Rev., 1991, 55(2):316-333.</w:t>
      </w:r>
    </w:p>
    <w:p w14:paraId="23C95683"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LIU C C, JEWETT M C, CHIN J W, et al. Toward an orthogonal central dogma[J]. Nat. Chem. Biol., 2018, 14(2):103-106.</w:t>
      </w:r>
    </w:p>
    <w:p w14:paraId="7E089CA7"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HAN T, CHEN Q, LIU H. Engineered Photoactivatable Genetic Switches Based on the Bacterium Phage T7 RNA Polymerase[J]. ACS Synth. Biol., 2017, 6(2):357-366.</w:t>
      </w:r>
    </w:p>
    <w:p w14:paraId="2B6EB44C"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BAUMSCHLAGER A, AOKI S K, KHAMMASH M. Dynamic Blue Light-Inducible T7 RNA Polymerases (Opto-T7RNAPs) for Precise Spatiotemporal Gene Expression Control[J]. ACS Synth. Biol., 2017, 6(11):2157-2167.</w:t>
      </w:r>
    </w:p>
    <w:p w14:paraId="51078460"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MCCUTCHEON S R, CHIU K L, LEWIS D D, et al. CRISPR-Cas Expands Dynamic Range of Gene Expression From T7RNAP Promoters[J]. Biotechnol. J., 2018, 13(5).</w:t>
      </w:r>
    </w:p>
    <w:p w14:paraId="286E3CA1"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 xml:space="preserve">RHODIUS V A, SEGALL-SHAPIRO T H, SHARON B D, et al. Design of orthogonal genetic switches based on a crosstalk map of </w:t>
      </w:r>
      <w:r>
        <w:rPr>
          <w:rFonts w:ascii="Cambria" w:eastAsia="Cambria" w:hAnsi="Cambria" w:cs="Cambria"/>
          <w:i/>
          <w:sz w:val="20"/>
        </w:rPr>
        <w:t>σ</w:t>
      </w:r>
      <w:r>
        <w:rPr>
          <w:rFonts w:ascii="Times New Roman" w:eastAsia="Times New Roman" w:hAnsi="Times New Roman" w:cs="Times New Roman"/>
          <w:sz w:val="20"/>
        </w:rPr>
        <w:t>s, anti-</w:t>
      </w:r>
      <w:r>
        <w:rPr>
          <w:rFonts w:ascii="Cambria" w:eastAsia="Cambria" w:hAnsi="Cambria" w:cs="Cambria"/>
          <w:i/>
          <w:sz w:val="20"/>
        </w:rPr>
        <w:t>σ</w:t>
      </w:r>
      <w:r>
        <w:rPr>
          <w:rFonts w:ascii="Times New Roman" w:eastAsia="Times New Roman" w:hAnsi="Times New Roman" w:cs="Times New Roman"/>
          <w:sz w:val="20"/>
        </w:rPr>
        <w:t>s, and promoters[J]. Mol. Syst. Biol., 2013, 9(1):702.</w:t>
      </w:r>
    </w:p>
    <w:p w14:paraId="2818B997"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FREDENS J, WANG K, de la TORRE D, et al. Total synthesis of Escherichia coli with a recoded genome[J]. Nature, 2019.</w:t>
      </w:r>
    </w:p>
    <w:p w14:paraId="5794AC2C" w14:textId="77777777" w:rsidR="00C25C34" w:rsidRDefault="003870E0">
      <w:pPr>
        <w:numPr>
          <w:ilvl w:val="0"/>
          <w:numId w:val="1"/>
        </w:numPr>
        <w:spacing w:after="37"/>
        <w:ind w:hanging="531"/>
        <w:jc w:val="both"/>
      </w:pPr>
      <w:r>
        <w:rPr>
          <w:rFonts w:ascii="Times New Roman" w:eastAsia="Times New Roman" w:hAnsi="Times New Roman" w:cs="Times New Roman"/>
          <w:sz w:val="20"/>
        </w:rPr>
        <w:t>RACKHAM O, CHIN J W. A network of orthogonal ribosome</w:t>
      </w:r>
      <w:r>
        <w:rPr>
          <w:rFonts w:ascii="宋体" w:eastAsia="宋体" w:hAnsi="宋体" w:cs="宋体"/>
          <w:sz w:val="20"/>
        </w:rPr>
        <w:t>·</w:t>
      </w:r>
      <w:r>
        <w:rPr>
          <w:rFonts w:ascii="Times New Roman" w:eastAsia="Times New Roman" w:hAnsi="Times New Roman" w:cs="Times New Roman"/>
          <w:sz w:val="20"/>
        </w:rPr>
        <w:t>mrna pairs[J]. Nat.</w:t>
      </w:r>
    </w:p>
    <w:p w14:paraId="7D9DF769" w14:textId="77777777" w:rsidR="00C25C34" w:rsidRDefault="003870E0">
      <w:pPr>
        <w:spacing w:after="156"/>
        <w:ind w:left="531"/>
        <w:jc w:val="both"/>
      </w:pPr>
      <w:r>
        <w:rPr>
          <w:rFonts w:ascii="Times New Roman" w:eastAsia="Times New Roman" w:hAnsi="Times New Roman" w:cs="Times New Roman"/>
          <w:sz w:val="20"/>
        </w:rPr>
        <w:t>Chem. Biol., 2005, 1(3):159-166.</w:t>
      </w:r>
    </w:p>
    <w:p w14:paraId="302978C6" w14:textId="76C931C9"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AN W, CHIN J W. Synthesis of orthogonal transcription</w:t>
      </w:r>
      <w:r w:rsidR="005B5BF8">
        <w:rPr>
          <w:rFonts w:ascii="Times New Roman" w:eastAsia="Times New Roman" w:hAnsi="Times New Roman" w:cs="Times New Roman"/>
          <w:sz w:val="20"/>
        </w:rPr>
        <w:t xml:space="preserve"> </w:t>
      </w:r>
      <w:r>
        <w:rPr>
          <w:rFonts w:ascii="Times New Roman" w:eastAsia="Times New Roman" w:hAnsi="Times New Roman" w:cs="Times New Roman"/>
          <w:sz w:val="20"/>
        </w:rPr>
        <w:t>translation networks[J]. Proc. Natl. Acad. Sci. U. S. A., 2009, 106(21):8477-8482.</w:t>
      </w:r>
    </w:p>
    <w:p w14:paraId="420B00B2"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ZHANG S Y, VOIGT C A. Engineered dCas9 with reduced toxicity in bacteria: Implications for genetic circuit design[J]. Nucleic Acids Res., 2018, 46(20):11115-11125.</w:t>
      </w:r>
    </w:p>
    <w:p w14:paraId="3B26926B"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 xml:space="preserve">MEYER A J, SEGALL-SHAPIRO T H, GLASSEY E, et al. Escherichia coli </w:t>
      </w:r>
      <w:r>
        <w:rPr>
          <w:rFonts w:ascii="宋体" w:eastAsia="宋体" w:hAnsi="宋体" w:cs="宋体"/>
          <w:sz w:val="20"/>
        </w:rPr>
        <w:t>“</w:t>
      </w:r>
      <w:r>
        <w:rPr>
          <w:rFonts w:ascii="Times New Roman" w:eastAsia="Times New Roman" w:hAnsi="Times New Roman" w:cs="Times New Roman"/>
          <w:sz w:val="20"/>
        </w:rPr>
        <w:t>Marionette</w:t>
      </w:r>
      <w:r>
        <w:rPr>
          <w:rFonts w:ascii="宋体" w:eastAsia="宋体" w:hAnsi="宋体" w:cs="宋体"/>
          <w:sz w:val="20"/>
        </w:rPr>
        <w:t>”</w:t>
      </w:r>
      <w:r>
        <w:rPr>
          <w:rFonts w:ascii="Times New Roman" w:eastAsia="Times New Roman" w:hAnsi="Times New Roman" w:cs="Times New Roman"/>
          <w:sz w:val="20"/>
        </w:rPr>
        <w:t>strains with 12 highly optimized small-molecule sensors[J]. Nat. Chem. Biol., 2019, 15(2):196-204.</w:t>
      </w:r>
    </w:p>
    <w:p w14:paraId="51CBDFF9" w14:textId="77777777" w:rsidR="00C25C34" w:rsidRDefault="003870E0">
      <w:pPr>
        <w:numPr>
          <w:ilvl w:val="0"/>
          <w:numId w:val="1"/>
        </w:numPr>
        <w:spacing w:after="161"/>
        <w:ind w:hanging="531"/>
        <w:jc w:val="both"/>
      </w:pPr>
      <w:r>
        <w:rPr>
          <w:rFonts w:ascii="Times New Roman" w:eastAsia="Times New Roman" w:hAnsi="Times New Roman" w:cs="Times New Roman"/>
          <w:sz w:val="20"/>
        </w:rPr>
        <w:t>ENDY D. Foundations for engineering biology[J]. Nature, 2005, 438(7067):449-453.</w:t>
      </w:r>
    </w:p>
    <w:p w14:paraId="155C29C7"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lastRenderedPageBreak/>
        <w:t>HUANGHH,liQIANY,DELVECCHIOD.Aquasi-integralcontrollerforadaptation of genetic modules to variable ribosome demand[J]. Nat. Commun., 2018, 9(1):5415.</w:t>
      </w:r>
    </w:p>
    <w:p w14:paraId="0BBB745D"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AOKI S K, LILLACCI G, GUPTA A, et al. A universal biomolecular integral feedback controller for robust perfect adaptation[J]. Nature, 2019, 570(7762):533-537.</w:t>
      </w:r>
    </w:p>
    <w:p w14:paraId="316BC8B0" w14:textId="77777777" w:rsidR="00C25C34" w:rsidRDefault="003870E0">
      <w:pPr>
        <w:numPr>
          <w:ilvl w:val="0"/>
          <w:numId w:val="1"/>
        </w:numPr>
        <w:spacing w:after="0" w:line="331" w:lineRule="auto"/>
        <w:ind w:hanging="531"/>
        <w:jc w:val="both"/>
      </w:pPr>
      <w:r>
        <w:rPr>
          <w:rFonts w:ascii="Times New Roman" w:eastAsia="Times New Roman" w:hAnsi="Times New Roman" w:cs="Times New Roman"/>
          <w:sz w:val="20"/>
        </w:rPr>
        <w:t>DARLINGTON A P S, KIM J, JIMÉNEZ J I, et al. Dynamic allocation of orthogonal ribosomes facilitates uncoupling of co-expressed genes[J]. Nat. Commun., 2018, 9(1):</w:t>
      </w:r>
    </w:p>
    <w:p w14:paraId="0EFEC48F" w14:textId="77777777" w:rsidR="00C25C34" w:rsidRDefault="003870E0">
      <w:pPr>
        <w:spacing w:after="93"/>
        <w:ind w:left="531"/>
        <w:jc w:val="both"/>
      </w:pPr>
      <w:r>
        <w:rPr>
          <w:rFonts w:ascii="Times New Roman" w:eastAsia="Times New Roman" w:hAnsi="Times New Roman" w:cs="Times New Roman"/>
          <w:sz w:val="20"/>
        </w:rPr>
        <w:t>695.</w:t>
      </w:r>
    </w:p>
    <w:p w14:paraId="5EC75366"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CERONI F, BOO A, FURINI S, et al. Burden-driven feedback control of gene expression[J]. Nat. Methods, 2018, 15(5):387-393.</w:t>
      </w:r>
    </w:p>
    <w:p w14:paraId="1FD76BC3"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RUGBJERG P, SARUP-LYTZEN K, NAGY M, et al. Synthetic addiction extends the productive life time of engineered Escherichia coli populations[J]. Proc. Natl. Acad. Sci. U. S. A., 2018, 115(10):2347-2352.</w:t>
      </w:r>
    </w:p>
    <w:p w14:paraId="264DED69"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XIAO Y, BOWEN C H, LIU D, et al. Exploiting nongenetic cell-to-cell variation for enhanced biosynthesis[J]. Nat. Chem. Biol., 2016, 12(5):339-344.</w:t>
      </w:r>
    </w:p>
    <w:p w14:paraId="16999942" w14:textId="77777777" w:rsidR="00C25C34" w:rsidRDefault="003870E0">
      <w:pPr>
        <w:numPr>
          <w:ilvl w:val="0"/>
          <w:numId w:val="1"/>
        </w:numPr>
        <w:spacing w:after="93" w:line="331" w:lineRule="auto"/>
        <w:ind w:hanging="531"/>
        <w:jc w:val="both"/>
      </w:pPr>
      <w:r>
        <w:rPr>
          <w:rFonts w:ascii="Times New Roman" w:eastAsia="Times New Roman" w:hAnsi="Times New Roman" w:cs="Times New Roman"/>
          <w:sz w:val="20"/>
        </w:rPr>
        <w:t>SEGALL-SHAPIRO T H, SONTAG E D, VOIGT C A. Engineered promoters enable constant gene expression at any copy number in bacteria[J]. Nat. Biotechnol., 2018, 36(4):352-358.</w:t>
      </w:r>
      <w:r>
        <w:br w:type="page"/>
      </w:r>
    </w:p>
    <w:p w14:paraId="1D9930BA" w14:textId="190ADF0C" w:rsidR="00C25C34" w:rsidRDefault="003870E0">
      <w:pPr>
        <w:spacing w:after="107"/>
        <w:ind w:left="10" w:right="1" w:hanging="10"/>
        <w:jc w:val="center"/>
      </w:pPr>
      <w:r>
        <w:rPr>
          <w:rFonts w:ascii="Times New Roman" w:eastAsia="Times New Roman" w:hAnsi="Times New Roman" w:cs="Times New Roman"/>
          <w:b/>
          <w:sz w:val="29"/>
        </w:rPr>
        <w:lastRenderedPageBreak/>
        <w:t>Host-circuit Coupling: Toward a New Framework for</w:t>
      </w:r>
    </w:p>
    <w:p w14:paraId="18EF0872" w14:textId="77777777" w:rsidR="00C25C34" w:rsidRDefault="003870E0">
      <w:pPr>
        <w:spacing w:after="334"/>
        <w:ind w:left="10" w:right="1" w:hanging="10"/>
        <w:jc w:val="center"/>
      </w:pPr>
      <w:r>
        <w:rPr>
          <w:rFonts w:ascii="Times New Roman" w:eastAsia="Times New Roman" w:hAnsi="Times New Roman" w:cs="Times New Roman"/>
          <w:b/>
          <w:sz w:val="29"/>
        </w:rPr>
        <w:t>Genetic Circuit Design</w:t>
      </w:r>
    </w:p>
    <w:p w14:paraId="2523ABB9" w14:textId="1602877A" w:rsidR="00C25C34" w:rsidRPr="00F865D4" w:rsidRDefault="008660C4">
      <w:pPr>
        <w:spacing w:after="0"/>
        <w:ind w:right="2"/>
        <w:jc w:val="center"/>
        <w:rPr>
          <w:rFonts w:ascii="Times New Roman" w:hAnsi="Times New Roman" w:cs="Times New Roman"/>
        </w:rPr>
      </w:pPr>
      <w:r w:rsidRPr="00F865D4">
        <w:rPr>
          <w:rFonts w:ascii="Times New Roman" w:eastAsiaTheme="minorEastAsia" w:hAnsi="Times New Roman" w:cs="Times New Roman"/>
          <w:sz w:val="24"/>
        </w:rPr>
        <w:t>Pan</w:t>
      </w:r>
      <w:r w:rsidRPr="00F865D4">
        <w:rPr>
          <w:rFonts w:ascii="Times New Roman" w:eastAsia="Times New Roman" w:hAnsi="Times New Roman" w:cs="Times New Roman"/>
          <w:sz w:val="24"/>
        </w:rPr>
        <w:t xml:space="preserve"> Chu</w:t>
      </w:r>
      <w:r w:rsidR="00F865D4" w:rsidRPr="00F865D4">
        <w:rPr>
          <w:rFonts w:ascii="Times New Roman" w:eastAsia="Times New Roman" w:hAnsi="Times New Roman" w:cs="Times New Roman"/>
          <w:sz w:val="24"/>
          <w:vertAlign w:val="superscript"/>
        </w:rPr>
        <w:t>1,</w:t>
      </w:r>
      <w:r w:rsidR="00F865D4">
        <w:rPr>
          <w:rFonts w:ascii="Times New Roman" w:eastAsia="Times New Roman" w:hAnsi="Times New Roman" w:cs="Times New Roman"/>
          <w:sz w:val="24"/>
          <w:vertAlign w:val="superscript"/>
        </w:rPr>
        <w:t xml:space="preserve"> </w:t>
      </w:r>
      <w:r w:rsidR="00F865D4" w:rsidRPr="00F865D4">
        <w:rPr>
          <w:rFonts w:ascii="Times New Roman" w:eastAsia="Times New Roman" w:hAnsi="Times New Roman" w:cs="Times New Roman"/>
          <w:sz w:val="24"/>
          <w:vertAlign w:val="superscript"/>
        </w:rPr>
        <w:t>2</w:t>
      </w:r>
      <w:r w:rsidR="00F865D4">
        <w:rPr>
          <w:rFonts w:ascii="Times New Roman" w:eastAsia="Times New Roman" w:hAnsi="Times New Roman" w:cs="Times New Roman"/>
          <w:sz w:val="24"/>
          <w:vertAlign w:val="superscript"/>
        </w:rPr>
        <w:t>#</w:t>
      </w:r>
      <w:r w:rsidRPr="00F865D4">
        <w:rPr>
          <w:rFonts w:ascii="Times New Roman" w:eastAsia="Times New Roman" w:hAnsi="Times New Roman" w:cs="Times New Roman"/>
          <w:sz w:val="24"/>
        </w:rPr>
        <w:t>, Jin</w:t>
      </w:r>
      <w:r w:rsidR="00F865D4" w:rsidRPr="00F865D4">
        <w:rPr>
          <w:rFonts w:ascii="Times New Roman" w:eastAsiaTheme="minorEastAsia" w:hAnsi="Times New Roman" w:cs="Times New Roman"/>
          <w:sz w:val="24"/>
        </w:rPr>
        <w:t>g</w:t>
      </w:r>
      <w:r w:rsidRPr="00F865D4">
        <w:rPr>
          <w:rFonts w:ascii="Times New Roman" w:eastAsia="Times New Roman" w:hAnsi="Times New Roman" w:cs="Times New Roman"/>
          <w:sz w:val="24"/>
        </w:rPr>
        <w:t>wen Zhu</w:t>
      </w:r>
      <w:r w:rsidR="00F865D4" w:rsidRPr="00F865D4">
        <w:rPr>
          <w:rFonts w:ascii="Times New Roman" w:eastAsia="Times New Roman" w:hAnsi="Times New Roman" w:cs="Times New Roman"/>
          <w:sz w:val="24"/>
          <w:vertAlign w:val="superscript"/>
        </w:rPr>
        <w:t>1</w:t>
      </w:r>
      <w:r w:rsidR="00F865D4">
        <w:rPr>
          <w:rFonts w:ascii="Times New Roman" w:eastAsia="Times New Roman" w:hAnsi="Times New Roman" w:cs="Times New Roman"/>
          <w:sz w:val="24"/>
          <w:vertAlign w:val="superscript"/>
        </w:rPr>
        <w:t>#</w:t>
      </w:r>
      <w:r w:rsidRPr="00F865D4">
        <w:rPr>
          <w:rFonts w:ascii="Times New Roman" w:eastAsia="Times New Roman" w:hAnsi="Times New Roman" w:cs="Times New Roman"/>
          <w:sz w:val="24"/>
        </w:rPr>
        <w:t xml:space="preserve">, </w:t>
      </w:r>
      <w:r w:rsidR="00306A43" w:rsidRPr="00F865D4">
        <w:rPr>
          <w:rFonts w:ascii="Times New Roman" w:eastAsia="Times New Roman" w:hAnsi="Times New Roman" w:cs="Times New Roman"/>
          <w:sz w:val="24"/>
        </w:rPr>
        <w:t>Wenqi Huang</w:t>
      </w:r>
      <w:r w:rsidR="00F865D4" w:rsidRPr="00F865D4">
        <w:rPr>
          <w:rFonts w:ascii="Times New Roman" w:eastAsia="Times New Roman" w:hAnsi="Times New Roman" w:cs="Times New Roman"/>
          <w:sz w:val="24"/>
          <w:vertAlign w:val="superscript"/>
        </w:rPr>
        <w:t>1,</w:t>
      </w:r>
      <w:r w:rsidR="00F865D4">
        <w:rPr>
          <w:rFonts w:ascii="Times New Roman" w:eastAsia="Times New Roman" w:hAnsi="Times New Roman" w:cs="Times New Roman"/>
          <w:sz w:val="24"/>
          <w:vertAlign w:val="superscript"/>
        </w:rPr>
        <w:t xml:space="preserve"> </w:t>
      </w:r>
      <w:r w:rsidR="00F865D4" w:rsidRPr="00F865D4">
        <w:rPr>
          <w:rFonts w:ascii="Times New Roman" w:eastAsia="Times New Roman" w:hAnsi="Times New Roman" w:cs="Times New Roman"/>
          <w:sz w:val="24"/>
          <w:vertAlign w:val="superscript"/>
        </w:rPr>
        <w:t>2</w:t>
      </w:r>
      <w:r w:rsidR="00F865D4">
        <w:rPr>
          <w:rFonts w:ascii="Times New Roman" w:eastAsia="Times New Roman" w:hAnsi="Times New Roman" w:cs="Times New Roman"/>
          <w:sz w:val="24"/>
          <w:vertAlign w:val="superscript"/>
        </w:rPr>
        <w:t>#</w:t>
      </w:r>
      <w:r w:rsidR="00306A43" w:rsidRPr="00F865D4">
        <w:rPr>
          <w:rFonts w:ascii="Times New Roman" w:eastAsia="Times New Roman" w:hAnsi="Times New Roman" w:cs="Times New Roman"/>
          <w:sz w:val="24"/>
        </w:rPr>
        <w:t xml:space="preserve">, </w:t>
      </w:r>
      <w:r w:rsidR="005B5BF8" w:rsidRPr="00F865D4">
        <w:rPr>
          <w:rFonts w:ascii="Times New Roman" w:eastAsia="Times New Roman" w:hAnsi="Times New Roman" w:cs="Times New Roman"/>
          <w:sz w:val="24"/>
        </w:rPr>
        <w:t>Xiongfei Fu</w:t>
      </w:r>
      <w:r w:rsidR="00F865D4" w:rsidRPr="00F865D4">
        <w:rPr>
          <w:rFonts w:ascii="Times New Roman" w:eastAsia="Times New Roman" w:hAnsi="Times New Roman" w:cs="Times New Roman"/>
          <w:sz w:val="24"/>
          <w:vertAlign w:val="superscript"/>
        </w:rPr>
        <w:t>1</w:t>
      </w:r>
      <w:r w:rsidR="00F865D4">
        <w:rPr>
          <w:rStyle w:val="ac"/>
          <w:rFonts w:ascii="Times New Roman" w:hAnsi="Times New Roman" w:cs="Times New Roman"/>
        </w:rPr>
        <w:footnoteReference w:customMarkFollows="1" w:id="2"/>
        <w:t>*</w:t>
      </w:r>
    </w:p>
    <w:p w14:paraId="647F956C" w14:textId="2ABBB8E6" w:rsidR="00C25C34" w:rsidRPr="00F865D4" w:rsidRDefault="00036516" w:rsidP="00F865D4">
      <w:pPr>
        <w:pStyle w:val="ad"/>
        <w:numPr>
          <w:ilvl w:val="0"/>
          <w:numId w:val="7"/>
        </w:numPr>
        <w:spacing w:after="61"/>
        <w:ind w:right="2433" w:firstLineChars="0"/>
        <w:jc w:val="center"/>
        <w:rPr>
          <w:rFonts w:ascii="Times New Roman" w:eastAsia="Times New Roman" w:hAnsi="Times New Roman" w:cs="Times New Roman"/>
          <w:i/>
          <w:sz w:val="18"/>
        </w:rPr>
      </w:pPr>
      <w:r w:rsidRPr="00F865D4">
        <w:rPr>
          <w:rFonts w:ascii="Times New Roman" w:eastAsia="Times New Roman" w:hAnsi="Times New Roman" w:cs="Times New Roman"/>
          <w:i/>
          <w:sz w:val="18"/>
        </w:rPr>
        <w:t>Shenzhen Institutes of Advanced</w:t>
      </w:r>
      <w:r w:rsidR="008660C4" w:rsidRPr="00F865D4">
        <w:rPr>
          <w:rFonts w:ascii="Times New Roman" w:eastAsiaTheme="minorEastAsia" w:hAnsi="Times New Roman" w:cs="Times New Roman"/>
          <w:i/>
          <w:sz w:val="18"/>
        </w:rPr>
        <w:t xml:space="preserve"> </w:t>
      </w:r>
      <w:r w:rsidRPr="00F865D4">
        <w:rPr>
          <w:rFonts w:ascii="Times New Roman" w:eastAsia="Times New Roman" w:hAnsi="Times New Roman" w:cs="Times New Roman"/>
          <w:i/>
          <w:sz w:val="18"/>
        </w:rPr>
        <w:t>Technology, Chinese Academy of Sciences</w:t>
      </w:r>
    </w:p>
    <w:p w14:paraId="6FD9D6B2" w14:textId="76FEF5C5" w:rsidR="00F865D4" w:rsidRPr="00F865D4" w:rsidRDefault="00B029AF" w:rsidP="00F865D4">
      <w:pPr>
        <w:pStyle w:val="ad"/>
        <w:numPr>
          <w:ilvl w:val="0"/>
          <w:numId w:val="7"/>
        </w:numPr>
        <w:spacing w:after="61"/>
        <w:ind w:right="2433" w:firstLineChars="0"/>
        <w:jc w:val="center"/>
        <w:rPr>
          <w:rFonts w:ascii="Times New Roman" w:eastAsia="Times New Roman" w:hAnsi="Times New Roman" w:cs="Times New Roman" w:hint="eastAsia"/>
          <w:i/>
          <w:sz w:val="18"/>
        </w:rPr>
      </w:pPr>
      <w:r w:rsidRPr="00F865D4">
        <w:rPr>
          <w:rFonts w:ascii="Times New Roman" w:eastAsia="Times New Roman" w:hAnsi="Times New Roman" w:cs="Times New Roman"/>
          <w:i/>
          <w:sz w:val="18"/>
        </w:rPr>
        <w:t xml:space="preserve">University of Chinese Academy of </w:t>
      </w:r>
      <w:r w:rsidRPr="008660C4">
        <w:rPr>
          <w:rFonts w:ascii="Times New Roman" w:eastAsia="Times New Roman" w:hAnsi="Times New Roman" w:cs="Times New Roman"/>
          <w:i/>
          <w:sz w:val="18"/>
        </w:rPr>
        <w:t>Sciences</w:t>
      </w:r>
    </w:p>
    <w:p w14:paraId="0A6C3211" w14:textId="139FADC3" w:rsidR="00C25C34" w:rsidRDefault="003870E0">
      <w:pPr>
        <w:pStyle w:val="1"/>
        <w:numPr>
          <w:ilvl w:val="0"/>
          <w:numId w:val="0"/>
        </w:numPr>
        <w:spacing w:after="152"/>
        <w:ind w:right="1"/>
        <w:jc w:val="center"/>
      </w:pPr>
      <w:r>
        <w:rPr>
          <w:rFonts w:ascii="Times New Roman" w:eastAsia="Times New Roman" w:hAnsi="Times New Roman" w:cs="Times New Roman"/>
          <w:b/>
        </w:rPr>
        <w:t>Abstract</w:t>
      </w:r>
    </w:p>
    <w:p w14:paraId="73C96860" w14:textId="4C49040B" w:rsidR="00C25C34" w:rsidRDefault="00EE31A8" w:rsidP="008F0DC1">
      <w:pPr>
        <w:spacing w:after="0" w:line="250" w:lineRule="auto"/>
      </w:pPr>
      <w:r w:rsidRPr="00EE31A8">
        <w:rPr>
          <w:rFonts w:ascii="Times New Roman" w:eastAsia="Times New Roman" w:hAnsi="Times New Roman" w:cs="Times New Roman"/>
          <w:sz w:val="21"/>
        </w:rPr>
        <w:t>With the extending complexity of genetic circuits, the behavior of genetic circuits becomes unpredictable. Traditionally applying engineering discipline to genetic circuit design mainly focuses on the intrinsic parameters of the genetic circuits, and tweaks circuits’ properties through extensive trial-and-error. Under research, an unavoidable coupling between circuits and host cells was discovered, which changes the physiology states of host and influence the function of circuits. Therefore, considering incorporate the host cells’ physiological states into genetic circuits design framework may improve the predictability of genetic circuits. In this review, we introduce the coupling mechanism between the prokaryotic host cells and genetic circuits, together with some related quantitative works. The attempts to predict or reduce the coupling effects by modeling, orthogonalization, and modular design are also summarized</w:t>
      </w:r>
      <w:r w:rsidR="008F0DC1" w:rsidRPr="008F0DC1">
        <w:rPr>
          <w:rFonts w:ascii="Times New Roman" w:eastAsia="Times New Roman" w:hAnsi="Times New Roman" w:cs="Times New Roman"/>
          <w:sz w:val="21"/>
        </w:rPr>
        <w:t>.</w:t>
      </w:r>
    </w:p>
    <w:sectPr w:rsidR="00C25C34" w:rsidSect="003870E0">
      <w:headerReference w:type="even" r:id="rId11"/>
      <w:headerReference w:type="default" r:id="rId12"/>
      <w:pgSz w:w="11906" w:h="16838" w:code="9"/>
      <w:pgMar w:top="1440" w:right="1800" w:bottom="1440" w:left="180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9496E" w14:textId="77777777" w:rsidR="003229C3" w:rsidRDefault="003229C3">
      <w:pPr>
        <w:spacing w:after="0" w:line="240" w:lineRule="auto"/>
      </w:pPr>
      <w:r>
        <w:separator/>
      </w:r>
    </w:p>
  </w:endnote>
  <w:endnote w:type="continuationSeparator" w:id="0">
    <w:p w14:paraId="70B90F36" w14:textId="77777777" w:rsidR="003229C3" w:rsidRDefault="00322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KaiTi">
    <w:altName w:val="KaiTi"/>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81CD0" w14:textId="77777777" w:rsidR="003229C3" w:rsidRDefault="003229C3">
      <w:pPr>
        <w:spacing w:after="0" w:line="240" w:lineRule="auto"/>
      </w:pPr>
      <w:r>
        <w:separator/>
      </w:r>
    </w:p>
  </w:footnote>
  <w:footnote w:type="continuationSeparator" w:id="0">
    <w:p w14:paraId="41F6FA6F" w14:textId="77777777" w:rsidR="003229C3" w:rsidRDefault="003229C3">
      <w:pPr>
        <w:spacing w:after="0" w:line="240" w:lineRule="auto"/>
      </w:pPr>
      <w:r>
        <w:continuationSeparator/>
      </w:r>
    </w:p>
  </w:footnote>
  <w:footnote w:id="1">
    <w:p w14:paraId="7BD0F0C4" w14:textId="11B1F53D" w:rsidR="00997773" w:rsidRPr="00F947A4" w:rsidRDefault="00997773" w:rsidP="00997773">
      <w:pPr>
        <w:pStyle w:val="aa"/>
        <w:rPr>
          <w:rFonts w:ascii="Times New Roman" w:eastAsia="宋体" w:hAnsi="Times New Roman" w:cs="Times New Roman"/>
        </w:rPr>
      </w:pPr>
      <w:r w:rsidRPr="00F947A4">
        <w:rPr>
          <w:rFonts w:ascii="宋体" w:eastAsia="宋体" w:hAnsi="宋体" w:hint="eastAsia"/>
        </w:rPr>
        <w:t xml:space="preserve">* </w:t>
      </w:r>
      <w:r w:rsidR="00A84CC3" w:rsidRPr="00F947A4">
        <w:rPr>
          <w:rFonts w:ascii="宋体" w:eastAsia="宋体" w:hAnsi="宋体" w:hint="eastAsia"/>
        </w:rPr>
        <w:t>:</w:t>
      </w:r>
      <w:r w:rsidR="00A84CC3" w:rsidRPr="00F947A4">
        <w:rPr>
          <w:rFonts w:ascii="宋体" w:eastAsia="宋体" w:hAnsi="宋体"/>
        </w:rPr>
        <w:t xml:space="preserve"> </w:t>
      </w:r>
      <w:r w:rsidR="00A84CC3" w:rsidRPr="00F947A4">
        <w:rPr>
          <w:rFonts w:ascii="宋体" w:eastAsia="宋体" w:hAnsi="宋体" w:hint="eastAsia"/>
        </w:rPr>
        <w:t>通讯作者,</w:t>
      </w:r>
      <w:r w:rsidR="00A84CC3" w:rsidRPr="00F947A4">
        <w:rPr>
          <w:rFonts w:ascii="宋体" w:eastAsia="宋体" w:hAnsi="宋体"/>
        </w:rPr>
        <w:t xml:space="preserve"> </w:t>
      </w:r>
      <w:r w:rsidR="00A84CC3" w:rsidRPr="00F947A4">
        <w:rPr>
          <w:rFonts w:ascii="宋体" w:eastAsia="宋体" w:hAnsi="宋体" w:hint="eastAsia"/>
        </w:rPr>
        <w:t>邮箱:</w:t>
      </w:r>
      <w:r w:rsidR="00A84CC3" w:rsidRPr="00F947A4">
        <w:rPr>
          <w:rFonts w:ascii="Times New Roman" w:eastAsia="宋体" w:hAnsi="Times New Roman" w:cs="Times New Roman"/>
        </w:rPr>
        <w:t xml:space="preserve"> xf.</w:t>
      </w:r>
      <w:r w:rsidR="004B3B71" w:rsidRPr="00F947A4">
        <w:rPr>
          <w:rFonts w:ascii="Times New Roman" w:eastAsia="宋体" w:hAnsi="Times New Roman" w:cs="Times New Roman"/>
        </w:rPr>
        <w:t>fu@siat.ac.cn</w:t>
      </w:r>
    </w:p>
  </w:footnote>
  <w:footnote w:id="2">
    <w:p w14:paraId="6DDB70DA" w14:textId="30F7303E" w:rsidR="00F865D4" w:rsidRPr="00F865D4" w:rsidRDefault="00F865D4">
      <w:pPr>
        <w:pStyle w:val="aa"/>
        <w:rPr>
          <w:rFonts w:ascii="Times New Roman" w:eastAsiaTheme="minorEastAsia" w:hAnsi="Times New Roman" w:cs="Times New Roman"/>
        </w:rPr>
      </w:pPr>
      <w:r w:rsidRPr="00F865D4">
        <w:rPr>
          <w:rStyle w:val="ac"/>
          <w:rFonts w:ascii="Times New Roman" w:hAnsi="Times New Roman" w:cs="Times New Roman"/>
        </w:rPr>
        <w:t>*</w:t>
      </w:r>
      <w:r w:rsidRPr="00F865D4">
        <w:rPr>
          <w:rFonts w:ascii="Times New Roman" w:hAnsi="Times New Roman" w:cs="Times New Roman"/>
        </w:rPr>
        <w:t xml:space="preserve"> </w:t>
      </w:r>
      <w:r w:rsidRPr="00F865D4">
        <w:rPr>
          <w:rFonts w:ascii="Times New Roman" w:eastAsiaTheme="minorEastAsia" w:hAnsi="Times New Roman" w:cs="Times New Roman"/>
        </w:rPr>
        <w:t>corresponding author, mail: xf.fu@siat.ac.cn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87149" w14:textId="5DAC3E62" w:rsidR="00C25C34" w:rsidRPr="003870E0" w:rsidRDefault="00C25C34" w:rsidP="003870E0">
    <w:pPr>
      <w:tabs>
        <w:tab w:val="center" w:pos="3186"/>
      </w:tabs>
      <w:spacing w:after="0"/>
      <w:rPr>
        <w:rFonts w:eastAsiaTheme="minor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F898C" w14:textId="00A55CF0" w:rsidR="00C25C34" w:rsidRPr="003870E0" w:rsidRDefault="00C25C34">
    <w:pPr>
      <w:tabs>
        <w:tab w:val="center" w:pos="3685"/>
        <w:tab w:val="right" w:pos="7514"/>
      </w:tabs>
      <w:spacing w:after="0"/>
      <w:rPr>
        <w:rFonts w:eastAsia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73BDF"/>
    <w:multiLevelType w:val="hybridMultilevel"/>
    <w:tmpl w:val="7DCA0C6A"/>
    <w:lvl w:ilvl="0" w:tplc="36D88CF8">
      <w:start w:val="1"/>
      <w:numFmt w:val="decimal"/>
      <w:lvlText w:val="%1."/>
      <w:lvlJc w:val="left"/>
      <w:pPr>
        <w:ind w:left="2792" w:hanging="360"/>
      </w:pPr>
      <w:rPr>
        <w:rFonts w:asciiTheme="minorEastAsia" w:eastAsiaTheme="minorEastAsia" w:hAnsiTheme="minorEastAsia" w:hint="default"/>
      </w:rPr>
    </w:lvl>
    <w:lvl w:ilvl="1" w:tplc="04090019" w:tentative="1">
      <w:start w:val="1"/>
      <w:numFmt w:val="lowerLetter"/>
      <w:lvlText w:val="%2)"/>
      <w:lvlJc w:val="left"/>
      <w:pPr>
        <w:ind w:left="3272" w:hanging="420"/>
      </w:pPr>
    </w:lvl>
    <w:lvl w:ilvl="2" w:tplc="0409001B" w:tentative="1">
      <w:start w:val="1"/>
      <w:numFmt w:val="lowerRoman"/>
      <w:lvlText w:val="%3."/>
      <w:lvlJc w:val="right"/>
      <w:pPr>
        <w:ind w:left="3692" w:hanging="420"/>
      </w:pPr>
    </w:lvl>
    <w:lvl w:ilvl="3" w:tplc="0409000F" w:tentative="1">
      <w:start w:val="1"/>
      <w:numFmt w:val="decimal"/>
      <w:lvlText w:val="%4."/>
      <w:lvlJc w:val="left"/>
      <w:pPr>
        <w:ind w:left="4112" w:hanging="420"/>
      </w:pPr>
    </w:lvl>
    <w:lvl w:ilvl="4" w:tplc="04090019" w:tentative="1">
      <w:start w:val="1"/>
      <w:numFmt w:val="lowerLetter"/>
      <w:lvlText w:val="%5)"/>
      <w:lvlJc w:val="left"/>
      <w:pPr>
        <w:ind w:left="4532" w:hanging="420"/>
      </w:pPr>
    </w:lvl>
    <w:lvl w:ilvl="5" w:tplc="0409001B" w:tentative="1">
      <w:start w:val="1"/>
      <w:numFmt w:val="lowerRoman"/>
      <w:lvlText w:val="%6."/>
      <w:lvlJc w:val="right"/>
      <w:pPr>
        <w:ind w:left="4952" w:hanging="420"/>
      </w:pPr>
    </w:lvl>
    <w:lvl w:ilvl="6" w:tplc="0409000F" w:tentative="1">
      <w:start w:val="1"/>
      <w:numFmt w:val="decimal"/>
      <w:lvlText w:val="%7."/>
      <w:lvlJc w:val="left"/>
      <w:pPr>
        <w:ind w:left="5372" w:hanging="420"/>
      </w:pPr>
    </w:lvl>
    <w:lvl w:ilvl="7" w:tplc="04090019" w:tentative="1">
      <w:start w:val="1"/>
      <w:numFmt w:val="lowerLetter"/>
      <w:lvlText w:val="%8)"/>
      <w:lvlJc w:val="left"/>
      <w:pPr>
        <w:ind w:left="5792" w:hanging="420"/>
      </w:pPr>
    </w:lvl>
    <w:lvl w:ilvl="8" w:tplc="0409001B" w:tentative="1">
      <w:start w:val="1"/>
      <w:numFmt w:val="lowerRoman"/>
      <w:lvlText w:val="%9."/>
      <w:lvlJc w:val="right"/>
      <w:pPr>
        <w:ind w:left="6212" w:hanging="420"/>
      </w:pPr>
    </w:lvl>
  </w:abstractNum>
  <w:abstractNum w:abstractNumId="1" w15:restartNumberingAfterBreak="0">
    <w:nsid w:val="31153DEE"/>
    <w:multiLevelType w:val="multilevel"/>
    <w:tmpl w:val="49328104"/>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C8C7BB7"/>
    <w:multiLevelType w:val="hybridMultilevel"/>
    <w:tmpl w:val="AD4000DC"/>
    <w:lvl w:ilvl="0" w:tplc="A3C2B7E8">
      <w:numFmt w:val="bullet"/>
      <w:lvlText w:val=""/>
      <w:lvlJc w:val="left"/>
      <w:pPr>
        <w:ind w:left="360" w:hanging="360"/>
      </w:pPr>
      <w:rPr>
        <w:rFonts w:ascii="Wingdings" w:eastAsiaTheme="minorEastAsia" w:hAnsi="Wingdings"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0E560F5"/>
    <w:multiLevelType w:val="hybridMultilevel"/>
    <w:tmpl w:val="F69426B8"/>
    <w:lvl w:ilvl="0" w:tplc="58C4B046">
      <w:numFmt w:val="bullet"/>
      <w:lvlText w:val=""/>
      <w:lvlJc w:val="left"/>
      <w:pPr>
        <w:ind w:left="360" w:hanging="360"/>
      </w:pPr>
      <w:rPr>
        <w:rFonts w:ascii="Wingdings" w:eastAsiaTheme="minorEastAsia" w:hAnsi="Wingdings"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4E50E6C"/>
    <w:multiLevelType w:val="hybridMultilevel"/>
    <w:tmpl w:val="6E2AE1E2"/>
    <w:lvl w:ilvl="0" w:tplc="0ED44D86">
      <w:numFmt w:val="bullet"/>
      <w:lvlText w:val=""/>
      <w:lvlJc w:val="left"/>
      <w:pPr>
        <w:ind w:left="360" w:hanging="360"/>
      </w:pPr>
      <w:rPr>
        <w:rFonts w:ascii="Wingdings" w:eastAsiaTheme="minorEastAsia" w:hAnsi="Wingdings"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97518CB"/>
    <w:multiLevelType w:val="hybridMultilevel"/>
    <w:tmpl w:val="8EE8C960"/>
    <w:lvl w:ilvl="0" w:tplc="877C3C16">
      <w:numFmt w:val="bullet"/>
      <w:lvlText w:val=""/>
      <w:lvlJc w:val="left"/>
      <w:pPr>
        <w:ind w:left="360" w:hanging="360"/>
      </w:pPr>
      <w:rPr>
        <w:rFonts w:ascii="Wingdings" w:eastAsiaTheme="minorEastAsia" w:hAnsi="Wingdings"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05278A4"/>
    <w:multiLevelType w:val="hybridMultilevel"/>
    <w:tmpl w:val="D8CEE26E"/>
    <w:lvl w:ilvl="0" w:tplc="1DC8DAE4">
      <w:start w:val="1"/>
      <w:numFmt w:val="decimal"/>
      <w:lvlText w:val="[%1]"/>
      <w:lvlJc w:val="left"/>
      <w:pPr>
        <w:ind w:left="5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26AB17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D500B7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C86B5E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EB0F46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8A82FB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9DAFCE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9EC2B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8D6BBA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1"/>
  </w:num>
  <w:num w:numId="3">
    <w:abstractNumId w:val="3"/>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C34"/>
    <w:rsid w:val="00007F8F"/>
    <w:rsid w:val="000128F1"/>
    <w:rsid w:val="000149A8"/>
    <w:rsid w:val="00017B87"/>
    <w:rsid w:val="00036516"/>
    <w:rsid w:val="000655AA"/>
    <w:rsid w:val="00082AE0"/>
    <w:rsid w:val="000A1518"/>
    <w:rsid w:val="000B16A3"/>
    <w:rsid w:val="000C771F"/>
    <w:rsid w:val="00122571"/>
    <w:rsid w:val="0014352B"/>
    <w:rsid w:val="001459EE"/>
    <w:rsid w:val="00155E02"/>
    <w:rsid w:val="00163D5C"/>
    <w:rsid w:val="00193926"/>
    <w:rsid w:val="00194974"/>
    <w:rsid w:val="001C2506"/>
    <w:rsid w:val="001E0D69"/>
    <w:rsid w:val="001F0418"/>
    <w:rsid w:val="0024219C"/>
    <w:rsid w:val="00285873"/>
    <w:rsid w:val="00293620"/>
    <w:rsid w:val="002B4E74"/>
    <w:rsid w:val="002C58A0"/>
    <w:rsid w:val="002C5DF4"/>
    <w:rsid w:val="002D29DB"/>
    <w:rsid w:val="002E37BB"/>
    <w:rsid w:val="002E42F1"/>
    <w:rsid w:val="00300F28"/>
    <w:rsid w:val="003060BF"/>
    <w:rsid w:val="00306A43"/>
    <w:rsid w:val="003229C3"/>
    <w:rsid w:val="00347094"/>
    <w:rsid w:val="003870E0"/>
    <w:rsid w:val="00392FF7"/>
    <w:rsid w:val="003B5B8B"/>
    <w:rsid w:val="003D5FFF"/>
    <w:rsid w:val="0043185C"/>
    <w:rsid w:val="004B3B71"/>
    <w:rsid w:val="004B777D"/>
    <w:rsid w:val="004D3568"/>
    <w:rsid w:val="004F6BF8"/>
    <w:rsid w:val="00513F94"/>
    <w:rsid w:val="00515C27"/>
    <w:rsid w:val="00525135"/>
    <w:rsid w:val="00526476"/>
    <w:rsid w:val="00532EBC"/>
    <w:rsid w:val="00534E25"/>
    <w:rsid w:val="005A17C2"/>
    <w:rsid w:val="005A40EB"/>
    <w:rsid w:val="005A45E2"/>
    <w:rsid w:val="005A57BD"/>
    <w:rsid w:val="005B5BF8"/>
    <w:rsid w:val="006158CD"/>
    <w:rsid w:val="00625DD6"/>
    <w:rsid w:val="00626F06"/>
    <w:rsid w:val="0064490D"/>
    <w:rsid w:val="00655563"/>
    <w:rsid w:val="0065616A"/>
    <w:rsid w:val="006871F2"/>
    <w:rsid w:val="006D3D75"/>
    <w:rsid w:val="00713BF0"/>
    <w:rsid w:val="00715384"/>
    <w:rsid w:val="00721EF3"/>
    <w:rsid w:val="007442A3"/>
    <w:rsid w:val="00767D81"/>
    <w:rsid w:val="007833DB"/>
    <w:rsid w:val="007E65C5"/>
    <w:rsid w:val="007F4739"/>
    <w:rsid w:val="00824B1A"/>
    <w:rsid w:val="0083164F"/>
    <w:rsid w:val="0085683A"/>
    <w:rsid w:val="008660C4"/>
    <w:rsid w:val="0087709D"/>
    <w:rsid w:val="008C6EB3"/>
    <w:rsid w:val="008F0DC1"/>
    <w:rsid w:val="008F3719"/>
    <w:rsid w:val="00900CE7"/>
    <w:rsid w:val="00950822"/>
    <w:rsid w:val="00980E19"/>
    <w:rsid w:val="00997773"/>
    <w:rsid w:val="009B16E8"/>
    <w:rsid w:val="009B3CE5"/>
    <w:rsid w:val="009C1E14"/>
    <w:rsid w:val="009D2998"/>
    <w:rsid w:val="00A12180"/>
    <w:rsid w:val="00A24BB6"/>
    <w:rsid w:val="00A53E48"/>
    <w:rsid w:val="00A77C21"/>
    <w:rsid w:val="00A84CC3"/>
    <w:rsid w:val="00AA3099"/>
    <w:rsid w:val="00AB7452"/>
    <w:rsid w:val="00AC0A2A"/>
    <w:rsid w:val="00AD36D5"/>
    <w:rsid w:val="00AD4F71"/>
    <w:rsid w:val="00AE1DD6"/>
    <w:rsid w:val="00AE6AE5"/>
    <w:rsid w:val="00B029AF"/>
    <w:rsid w:val="00B35B5E"/>
    <w:rsid w:val="00B4378F"/>
    <w:rsid w:val="00B50F3B"/>
    <w:rsid w:val="00B80A0B"/>
    <w:rsid w:val="00B83411"/>
    <w:rsid w:val="00B8520D"/>
    <w:rsid w:val="00BD6108"/>
    <w:rsid w:val="00BD7B67"/>
    <w:rsid w:val="00C061E1"/>
    <w:rsid w:val="00C10998"/>
    <w:rsid w:val="00C208DF"/>
    <w:rsid w:val="00C21F44"/>
    <w:rsid w:val="00C23737"/>
    <w:rsid w:val="00C258FE"/>
    <w:rsid w:val="00C25C34"/>
    <w:rsid w:val="00C31ECD"/>
    <w:rsid w:val="00C574A6"/>
    <w:rsid w:val="00C57E24"/>
    <w:rsid w:val="00C75105"/>
    <w:rsid w:val="00C80CB5"/>
    <w:rsid w:val="00C8231C"/>
    <w:rsid w:val="00CC17AC"/>
    <w:rsid w:val="00CD2778"/>
    <w:rsid w:val="00CE1630"/>
    <w:rsid w:val="00CE78F3"/>
    <w:rsid w:val="00D110E1"/>
    <w:rsid w:val="00D15FD4"/>
    <w:rsid w:val="00D51EC1"/>
    <w:rsid w:val="00D81526"/>
    <w:rsid w:val="00DB55FB"/>
    <w:rsid w:val="00E123EA"/>
    <w:rsid w:val="00E2147A"/>
    <w:rsid w:val="00E366D3"/>
    <w:rsid w:val="00E4710E"/>
    <w:rsid w:val="00E674C5"/>
    <w:rsid w:val="00EA04E5"/>
    <w:rsid w:val="00EE31A8"/>
    <w:rsid w:val="00EF71A7"/>
    <w:rsid w:val="00F0622E"/>
    <w:rsid w:val="00F33087"/>
    <w:rsid w:val="00F3774C"/>
    <w:rsid w:val="00F46E60"/>
    <w:rsid w:val="00F865D4"/>
    <w:rsid w:val="00F947A4"/>
    <w:rsid w:val="00FA54F9"/>
    <w:rsid w:val="00FA5C1D"/>
    <w:rsid w:val="00FB6F8C"/>
    <w:rsid w:val="00FD4563"/>
    <w:rsid w:val="00FE50F3"/>
    <w:rsid w:val="00FF1181"/>
    <w:rsid w:val="00FF6242"/>
    <w:rsid w:val="00FF7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45590"/>
  <w15:docId w15:val="{4E04E85B-55C3-456A-ABE9-4BDC9AE8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numPr>
        <w:numId w:val="2"/>
      </w:numPr>
      <w:spacing w:after="208" w:line="259" w:lineRule="auto"/>
      <w:ind w:left="10" w:hanging="10"/>
      <w:outlineLvl w:val="0"/>
    </w:pPr>
    <w:rPr>
      <w:rFonts w:ascii="黑体" w:eastAsia="黑体" w:hAnsi="黑体" w:cs="黑体"/>
      <w:color w:val="000000"/>
      <w:sz w:val="24"/>
    </w:rPr>
  </w:style>
  <w:style w:type="paragraph" w:styleId="2">
    <w:name w:val="heading 2"/>
    <w:next w:val="a"/>
    <w:link w:val="20"/>
    <w:uiPriority w:val="9"/>
    <w:unhideWhenUsed/>
    <w:qFormat/>
    <w:pPr>
      <w:keepNext/>
      <w:keepLines/>
      <w:numPr>
        <w:ilvl w:val="1"/>
        <w:numId w:val="2"/>
      </w:numPr>
      <w:spacing w:after="192" w:line="259" w:lineRule="auto"/>
      <w:ind w:left="10" w:hanging="10"/>
      <w:outlineLvl w:val="1"/>
    </w:pPr>
    <w:rPr>
      <w:rFonts w:ascii="黑体" w:eastAsia="黑体" w:hAnsi="黑体" w:cs="黑体"/>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黑体" w:eastAsia="黑体" w:hAnsi="黑体" w:cs="黑体"/>
      <w:color w:val="000000"/>
      <w:sz w:val="20"/>
    </w:rPr>
  </w:style>
  <w:style w:type="character" w:customStyle="1" w:styleId="10">
    <w:name w:val="标题 1 字符"/>
    <w:link w:val="1"/>
    <w:rPr>
      <w:rFonts w:ascii="黑体" w:eastAsia="黑体" w:hAnsi="黑体" w:cs="黑体"/>
      <w:color w:val="000000"/>
      <w:sz w:val="24"/>
    </w:rPr>
  </w:style>
  <w:style w:type="table" w:customStyle="1" w:styleId="TableGrid">
    <w:name w:val="TableGrid"/>
    <w:tblPr>
      <w:tblCellMar>
        <w:top w:w="0" w:type="dxa"/>
        <w:left w:w="0" w:type="dxa"/>
        <w:bottom w:w="0" w:type="dxa"/>
        <w:right w:w="0" w:type="dxa"/>
      </w:tblCellMar>
    </w:tblPr>
  </w:style>
  <w:style w:type="paragraph" w:styleId="a3">
    <w:name w:val="footer"/>
    <w:basedOn w:val="a"/>
    <w:link w:val="a4"/>
    <w:uiPriority w:val="99"/>
    <w:unhideWhenUsed/>
    <w:rsid w:val="003870E0"/>
    <w:pPr>
      <w:tabs>
        <w:tab w:val="center" w:pos="4153"/>
        <w:tab w:val="right" w:pos="8306"/>
      </w:tabs>
      <w:snapToGrid w:val="0"/>
      <w:spacing w:line="240" w:lineRule="auto"/>
    </w:pPr>
    <w:rPr>
      <w:sz w:val="18"/>
      <w:szCs w:val="18"/>
    </w:rPr>
  </w:style>
  <w:style w:type="character" w:customStyle="1" w:styleId="a4">
    <w:name w:val="页脚 字符"/>
    <w:basedOn w:val="a0"/>
    <w:link w:val="a3"/>
    <w:uiPriority w:val="99"/>
    <w:rsid w:val="003870E0"/>
    <w:rPr>
      <w:rFonts w:ascii="Calibri" w:eastAsia="Calibri" w:hAnsi="Calibri" w:cs="Calibri"/>
      <w:color w:val="000000"/>
      <w:sz w:val="18"/>
      <w:szCs w:val="18"/>
    </w:rPr>
  </w:style>
  <w:style w:type="paragraph" w:styleId="a5">
    <w:name w:val="header"/>
    <w:basedOn w:val="a"/>
    <w:link w:val="a6"/>
    <w:uiPriority w:val="99"/>
    <w:unhideWhenUsed/>
    <w:rsid w:val="003870E0"/>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870E0"/>
    <w:rPr>
      <w:rFonts w:ascii="Calibri" w:eastAsia="Calibri" w:hAnsi="Calibri" w:cs="Calibri"/>
      <w:color w:val="000000"/>
      <w:sz w:val="18"/>
      <w:szCs w:val="18"/>
    </w:rPr>
  </w:style>
  <w:style w:type="paragraph" w:styleId="a7">
    <w:name w:val="endnote text"/>
    <w:basedOn w:val="a"/>
    <w:link w:val="a8"/>
    <w:uiPriority w:val="99"/>
    <w:semiHidden/>
    <w:unhideWhenUsed/>
    <w:rsid w:val="00997773"/>
    <w:pPr>
      <w:snapToGrid w:val="0"/>
    </w:pPr>
  </w:style>
  <w:style w:type="character" w:customStyle="1" w:styleId="a8">
    <w:name w:val="尾注文本 字符"/>
    <w:basedOn w:val="a0"/>
    <w:link w:val="a7"/>
    <w:uiPriority w:val="99"/>
    <w:semiHidden/>
    <w:rsid w:val="00997773"/>
    <w:rPr>
      <w:rFonts w:ascii="Calibri" w:eastAsia="Calibri" w:hAnsi="Calibri" w:cs="Calibri"/>
      <w:color w:val="000000"/>
      <w:sz w:val="22"/>
    </w:rPr>
  </w:style>
  <w:style w:type="character" w:styleId="a9">
    <w:name w:val="endnote reference"/>
    <w:basedOn w:val="a0"/>
    <w:uiPriority w:val="99"/>
    <w:semiHidden/>
    <w:unhideWhenUsed/>
    <w:rsid w:val="00997773"/>
    <w:rPr>
      <w:vertAlign w:val="superscript"/>
    </w:rPr>
  </w:style>
  <w:style w:type="paragraph" w:styleId="aa">
    <w:name w:val="footnote text"/>
    <w:basedOn w:val="a"/>
    <w:link w:val="ab"/>
    <w:uiPriority w:val="99"/>
    <w:semiHidden/>
    <w:unhideWhenUsed/>
    <w:rsid w:val="00997773"/>
    <w:pPr>
      <w:snapToGrid w:val="0"/>
    </w:pPr>
    <w:rPr>
      <w:sz w:val="18"/>
      <w:szCs w:val="18"/>
    </w:rPr>
  </w:style>
  <w:style w:type="character" w:customStyle="1" w:styleId="ab">
    <w:name w:val="脚注文本 字符"/>
    <w:basedOn w:val="a0"/>
    <w:link w:val="aa"/>
    <w:uiPriority w:val="99"/>
    <w:semiHidden/>
    <w:rsid w:val="00997773"/>
    <w:rPr>
      <w:rFonts w:ascii="Calibri" w:eastAsia="Calibri" w:hAnsi="Calibri" w:cs="Calibri"/>
      <w:color w:val="000000"/>
      <w:sz w:val="18"/>
      <w:szCs w:val="18"/>
    </w:rPr>
  </w:style>
  <w:style w:type="character" w:styleId="ac">
    <w:name w:val="footnote reference"/>
    <w:basedOn w:val="a0"/>
    <w:uiPriority w:val="99"/>
    <w:semiHidden/>
    <w:unhideWhenUsed/>
    <w:rsid w:val="00997773"/>
    <w:rPr>
      <w:vertAlign w:val="superscript"/>
    </w:rPr>
  </w:style>
  <w:style w:type="paragraph" w:styleId="ad">
    <w:name w:val="List Paragraph"/>
    <w:basedOn w:val="a"/>
    <w:uiPriority w:val="34"/>
    <w:qFormat/>
    <w:rsid w:val="008660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E3343-8908-4069-9F60-DDBB32CB7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16</Pages>
  <Words>3298</Words>
  <Characters>18803</Characters>
  <Application>Microsoft Office Word</Application>
  <DocSecurity>0</DocSecurity>
  <Lines>156</Lines>
  <Paragraphs>44</Paragraphs>
  <ScaleCrop>false</ScaleCrop>
  <Company/>
  <LinksUpToDate>false</LinksUpToDate>
  <CharactersWithSpaces>22057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Pan</dc:creator>
  <cp:keywords/>
  <cp:lastModifiedBy>Chu Pan</cp:lastModifiedBy>
  <cp:revision>149</cp:revision>
  <dcterms:created xsi:type="dcterms:W3CDTF">2020-03-08T12:57:00Z</dcterms:created>
  <dcterms:modified xsi:type="dcterms:W3CDTF">2020-04-07T06:09:00Z</dcterms:modified>
</cp:coreProperties>
</file>