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2.png" ContentType="image/png"/>
  <Override PartName="/word/media/rId31.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Santander customer transaction</w:t>
      </w:r>
    </w:p>
    <w:p>
      <w:pPr>
        <w:numPr>
          <w:numId w:val="1001"/>
          <w:ilvl w:val="0"/>
        </w:numPr>
      </w:pPr>
      <w:r>
        <w:t xml:space="preserve">Useful Kernel</w:t>
      </w:r>
    </w:p>
    <w:p>
      <w:pPr>
        <w:pStyle w:val="BlockText"/>
        <w:numPr>
          <w:numId w:val="1002"/>
          <w:ilvl w:val="1"/>
        </w:numPr>
      </w:pPr>
      <w:hyperlink r:id="rId20">
        <w:r>
          <w:rPr>
            <w:rStyle w:val="Hyperlink"/>
          </w:rPr>
          <w:t xml:space="preserve">200 Magical Models - Santander - [0.920]</w:t>
        </w:r>
      </w:hyperlink>
    </w:p>
    <w:p>
      <w:pPr>
        <w:pStyle w:val="BlockText"/>
        <w:numPr>
          <w:numId w:val="1002"/>
          <w:ilvl w:val="1"/>
        </w:numPr>
      </w:pPr>
      <w:hyperlink r:id="rId21">
        <w:r>
          <w:rPr>
            <w:rStyle w:val="Hyperlink"/>
          </w:rPr>
          <w:t xml:space="preserve">List of Fake Samples and Public/Private LB split</w:t>
        </w:r>
      </w:hyperlink>
    </w:p>
    <w:p>
      <w:pPr>
        <w:pStyle w:val="BlockText"/>
        <w:numPr>
          <w:numId w:val="1002"/>
          <w:ilvl w:val="1"/>
        </w:numPr>
      </w:pPr>
      <w:hyperlink r:id="rId22">
        <w:r>
          <w:rPr>
            <w:rStyle w:val="Hyperlink"/>
          </w:rPr>
          <w:t xml:space="preserve">Kaggle之路，与强者为伍——记Santander交易预测</w:t>
        </w:r>
      </w:hyperlink>
    </w:p>
    <w:p>
      <w:pPr>
        <w:pStyle w:val="BlockText"/>
        <w:numPr>
          <w:numId w:val="1002"/>
          <w:ilvl w:val="1"/>
        </w:numPr>
      </w:pPr>
      <w:hyperlink r:id="rId23">
        <w:r>
          <w:rPr>
            <w:rStyle w:val="Hyperlink"/>
          </w:rPr>
          <w:t xml:space="preserve">2nd place solution</w:t>
        </w:r>
      </w:hyperlink>
    </w:p>
    <w:p>
      <w:pPr>
        <w:pStyle w:val="Heading3"/>
      </w:pPr>
      <w:bookmarkStart w:id="24" w:name="header-n91"/>
      <w:r>
        <w:t xml:space="preserve">EDA</w:t>
      </w:r>
      <w:bookmarkEnd w:id="24"/>
    </w:p>
    <w:p>
      <w:pPr>
        <w:numPr>
          <w:numId w:val="1003"/>
          <w:ilvl w:val="0"/>
        </w:numPr>
      </w:pPr>
    </w:p>
    <w:p>
      <w:pPr>
        <w:pStyle w:val="CaptionedFigure"/>
        <w:numPr>
          <w:numId w:val="1000"/>
          <w:ilvl w:val="0"/>
        </w:numPr>
      </w:pPr>
      <w:r>
        <w:drawing>
          <wp:inline>
            <wp:extent cx="5334000" cy="10441895"/>
            <wp:effectExtent b="0" l="0" r="0" t="0"/>
            <wp:docPr descr="" title="" id="1" name="Picture"/>
            <a:graphic>
              <a:graphicData uri="http://schemas.openxmlformats.org/drawingml/2006/picture">
                <pic:pic>
                  <pic:nvPicPr>
                    <pic:cNvPr descr="D:\python_code\keggle_santander_customer\assets\1560732660760.png" id="0" name="Picture"/>
                    <pic:cNvPicPr>
                      <a:picLocks noChangeArrowheads="1" noChangeAspect="1"/>
                    </pic:cNvPicPr>
                  </pic:nvPicPr>
                  <pic:blipFill>
                    <a:blip r:embed="rId25"/>
                    <a:stretch>
                      <a:fillRect/>
                    </a:stretch>
                  </pic:blipFill>
                  <pic:spPr bwMode="auto">
                    <a:xfrm>
                      <a:off x="0" y="0"/>
                      <a:ext cx="5334000" cy="10441895"/>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数据整体分布展示，图中展示了</w:t>
      </w:r>
      <w:r>
        <w:t xml:space="preserve"> </w:t>
      </w:r>
      <m:oMath>
        <m:r>
          <m:t>200</m:t>
        </m:r>
      </m:oMath>
      <w:r>
        <w:t xml:space="preserve"> </w:t>
      </w:r>
      <w:r>
        <w:t xml:space="preserve">个变量的分布, 红色线为</w:t>
      </w:r>
      <w:r>
        <w:t xml:space="preserve"> </w:t>
      </w:r>
      <w:r>
        <w:rPr>
          <w:rStyle w:val="VerbatimChar"/>
        </w:rPr>
        <w:t xml:space="preserve">target 1</w:t>
      </w:r>
      <w:r>
        <w:t xml:space="preserve"> </w:t>
      </w:r>
      <w:r>
        <w:t xml:space="preserve">时的分布, 蓝色为</w:t>
      </w:r>
      <w:r>
        <w:t xml:space="preserve"> </w:t>
      </w:r>
      <w:r>
        <w:rPr>
          <w:rStyle w:val="VerbatimChar"/>
        </w:rPr>
        <w:t xml:space="preserve">target 0</w:t>
      </w:r>
      <w:r>
        <w:t xml:space="preserve"> </w:t>
      </w:r>
      <w:r>
        <w:t xml:space="preserve">的分布. 详细图见文件</w:t>
      </w:r>
      <w:r>
        <w:t xml:space="preserve"> </w:t>
      </w:r>
      <w:r>
        <w:rPr>
          <w:rStyle w:val="VerbatimChar"/>
        </w:rPr>
        <w:t xml:space="preserve">data_eda.pdf</w:t>
      </w:r>
      <w:r>
        <w:t xml:space="preserve">, 另外, 数据的均值, 标准差, 极值和分位值见文件</w:t>
      </w:r>
      <w:r>
        <w:rPr>
          <w:rStyle w:val="VerbatimChar"/>
        </w:rPr>
        <w:t xml:space="preserve">data_description.csv</w:t>
      </w:r>
      <w:r>
        <w:t xml:space="preserve"> </w:t>
      </w:r>
      <w:r>
        <w:t xml:space="preserve">文件.</w:t>
      </w:r>
    </w:p>
    <w:p>
      <w:pPr>
        <w:numPr>
          <w:numId w:val="1003"/>
          <w:ilvl w:val="0"/>
        </w:numPr>
      </w:pPr>
      <w:r>
        <w:t xml:space="preserve">响应变量在训练数据集的分布:</w:t>
      </w:r>
    </w:p>
    <w:p>
      <w:pPr>
        <w:pStyle w:val="CaptionedFigure"/>
        <w:numPr>
          <w:numId w:val="1000"/>
          <w:ilvl w:val="0"/>
        </w:numPr>
      </w:pPr>
      <w:r>
        <w:drawing>
          <wp:inline>
            <wp:extent cx="5334000" cy="5334000"/>
            <wp:effectExtent b="0" l="0" r="0" t="0"/>
            <wp:docPr descr="" title="" id="1" name="Picture"/>
            <a:graphic>
              <a:graphicData uri="http://schemas.openxmlformats.org/drawingml/2006/picture">
                <pic:pic>
                  <pic:nvPicPr>
                    <pic:cNvPr descr="D:\python_code\keggle_santander_customer\assets\1560734009970.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训练数据集中响应变量的分布, 大约</w:t>
      </w:r>
      <w:r>
        <w:t xml:space="preserve"> </w:t>
      </w:r>
      <m:oMath>
        <m:r>
          <m:rPr>
            <m:sty m:val="p"/>
          </m:rPr>
          <m:t>T</m:t>
        </m:r>
        <m:r>
          <m:rPr>
            <m:sty m:val="p"/>
          </m:rPr>
          <m:t>a</m:t>
        </m:r>
        <m:r>
          <m:rPr>
            <m:sty m:val="p"/>
          </m:rPr>
          <m:t>r</m:t>
        </m:r>
        <m:r>
          <m:rPr>
            <m:sty m:val="p"/>
          </m:rPr>
          <m:t>g</m:t>
        </m:r>
        <m:r>
          <m:rPr>
            <m:sty m:val="p"/>
          </m:rPr>
          <m:t>e</m:t>
        </m:r>
        <m:r>
          <m:rPr>
            <m:sty m:val="p"/>
          </m:rPr>
          <m:t>t</m:t>
        </m:r>
        <m:r>
          <m:rPr>
            <m:sty m:val="p"/>
          </m:rPr>
          <m:t>1</m:t>
        </m:r>
        <m:r>
          <m:t>:</m:t>
        </m:r>
        <m:r>
          <m:rPr>
            <m:sty m:val="p"/>
          </m:rPr>
          <m:t>T</m:t>
        </m:r>
        <m:r>
          <m:rPr>
            <m:sty m:val="p"/>
          </m:rPr>
          <m:t>a</m:t>
        </m:r>
        <m:r>
          <m:rPr>
            <m:sty m:val="p"/>
          </m:rPr>
          <m:t>r</m:t>
        </m:r>
        <m:r>
          <m:rPr>
            <m:sty m:val="p"/>
          </m:rPr>
          <m:t>g</m:t>
        </m:r>
        <m:r>
          <m:rPr>
            <m:sty m:val="p"/>
          </m:rPr>
          <m:t>e</m:t>
        </m:r>
        <m:r>
          <m:rPr>
            <m:sty m:val="p"/>
          </m:rPr>
          <m:t>t</m:t>
        </m:r>
        <m:r>
          <m:rPr>
            <m:sty m:val="p"/>
          </m:rPr>
          <m:t>0</m:t>
        </m:r>
        <m:r>
          <m:t>=</m:t>
        </m:r>
        <m:r>
          <m:t>1</m:t>
        </m:r>
        <m:r>
          <m:t>:</m:t>
        </m:r>
        <m:r>
          <m:t>9</m:t>
        </m:r>
      </m:oMath>
      <w:r>
        <w:t xml:space="preserve">. 数据集分布不平衡.</w:t>
      </w:r>
    </w:p>
    <w:p>
      <w:pPr>
        <w:numPr>
          <w:numId w:val="1003"/>
          <w:ilvl w:val="0"/>
        </w:numPr>
      </w:pPr>
      <w:r>
        <w:t xml:space="preserve">数据的相关性探索</w:t>
      </w:r>
    </w:p>
    <w:p>
      <w:pPr>
        <w:pStyle w:val="CaptionedFigure"/>
        <w:numPr>
          <w:numId w:val="1000"/>
          <w:ilvl w:val="0"/>
        </w:numPr>
      </w:pPr>
      <w:r>
        <w:drawing>
          <wp:inline>
            <wp:extent cx="5334000" cy="2461846"/>
            <wp:effectExtent b="0" l="0" r="0" t="0"/>
            <wp:docPr descr="" title="" id="1" name="Picture"/>
            <a:graphic>
              <a:graphicData uri="http://schemas.openxmlformats.org/drawingml/2006/picture">
                <pic:pic>
                  <pic:nvPicPr>
                    <pic:cNvPr descr="D:\python_code\keggle_santander_customer\assets\1560734229256.png" id="0" name="Picture"/>
                    <pic:cNvPicPr>
                      <a:picLocks noChangeArrowheads="1" noChangeAspect="1"/>
                    </pic:cNvPicPr>
                  </pic:nvPicPr>
                  <pic:blipFill>
                    <a:blip r:embed="rId27"/>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numPr>
          <w:numId w:val="1000"/>
          <w:ilvl w:val="0"/>
        </w:numPr>
      </w:pPr>
    </w:p>
    <w:p>
      <w:pPr>
        <w:pStyle w:val="FirstParagraph"/>
      </w:pPr>
      <w:r>
        <w:t xml:space="preserve">这里, 我计算了</w:t>
      </w:r>
      <w:r>
        <w:t xml:space="preserve"> </w:t>
      </w:r>
      <m:oMath>
        <m:r>
          <m:rPr>
            <m:sty m:val="p"/>
          </m:rPr>
          <m:t>t</m:t>
        </m:r>
        <m:r>
          <m:rPr>
            <m:sty m:val="p"/>
          </m:rPr>
          <m:t>a</m:t>
        </m:r>
        <m:r>
          <m:rPr>
            <m:sty m:val="p"/>
          </m:rPr>
          <m:t>r</m:t>
        </m:r>
        <m:r>
          <m:rPr>
            <m:sty m:val="p"/>
          </m:rPr>
          <m:t>g</m:t>
        </m:r>
        <m:r>
          <m:rPr>
            <m:sty m:val="p"/>
          </m:rPr>
          <m:t>e</m:t>
        </m:r>
        <m:r>
          <m:rPr>
            <m:sty m:val="p"/>
          </m:rPr>
          <m:t>t</m:t>
        </m:r>
        <m:r>
          <m:t>−</m:t>
        </m:r>
        <m:r>
          <m:rPr>
            <m:sty m:val="p"/>
          </m:rPr>
          <m:t>v</m:t>
        </m:r>
        <m:r>
          <m:rPr>
            <m:sty m:val="p"/>
          </m:rPr>
          <m:t>a</m:t>
        </m:r>
        <m:r>
          <m:rPr>
            <m:sty m:val="p"/>
          </m:rPr>
          <m:t>r</m:t>
        </m:r>
        <m:r>
          <m:rPr>
            <m:sty m:val="p"/>
          </m:rPr>
          <m:t>i</m:t>
        </m:r>
        <m:r>
          <m:rPr>
            <m:sty m:val="p"/>
          </m:rPr>
          <m:t>a</m:t>
        </m:r>
        <m:r>
          <m:rPr>
            <m:sty m:val="p"/>
          </m:rPr>
          <m:t>b</m:t>
        </m:r>
        <m:r>
          <m:rPr>
            <m:sty m:val="p"/>
          </m:rPr>
          <m:t>l</m:t>
        </m:r>
        <m:r>
          <m:rPr>
            <m:sty m:val="p"/>
          </m:rPr>
          <m:t>e</m:t>
        </m:r>
        <m:r>
          <m:rPr>
            <m:sty m:val="p"/>
          </m:rPr>
          <m:t>s</m:t>
        </m:r>
      </m:oMath>
      <w:r>
        <w:t xml:space="preserve"> </w:t>
      </w:r>
      <w:r>
        <w:t xml:space="preserve">之间的相关系数, 可以发现, 相关性并不显著, 另外, 变量之间的分布见右图, 同样的 相关性也非常不明显. 这意味着变量之间比较独立.</w:t>
      </w:r>
    </w:p>
    <w:p>
      <w:pPr>
        <w:pStyle w:val="BodyText"/>
      </w:pPr>
      <w:r>
        <w:t xml:space="preserve">同样的, 我们可以进一步进行 PCA.</w:t>
      </w:r>
    </w:p>
    <w:p>
      <w:pPr>
        <w:pStyle w:val="CaptionedFigure"/>
      </w:pPr>
      <w:r>
        <w:drawing>
          <wp:inline>
            <wp:extent cx="5334000" cy="5334000"/>
            <wp:effectExtent b="0" l="0" r="0" t="0"/>
            <wp:docPr descr="" title="" id="1" name="Picture"/>
            <a:graphic>
              <a:graphicData uri="http://schemas.openxmlformats.org/drawingml/2006/picture">
                <pic:pic>
                  <pic:nvPicPr>
                    <pic:cNvPr descr="D:\python_code\keggle_santander_customer\assets\1560734635204.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p>
    <w:p>
      <w:pPr>
        <w:pStyle w:val="BodyText"/>
      </w:pPr>
      <w:r>
        <w:t xml:space="preserve">这是 scree plot, 可以发现下降迅速, 在三个维度后曲线变化趋于平缓,</w:t>
      </w:r>
      <w:r>
        <w:t xml:space="preserve"> </w:t>
      </w:r>
      <m:oMath>
        <m:r>
          <m:t>5</m:t>
        </m:r>
      </m:oMath>
      <w:r>
        <w:t xml:space="preserve"> </w:t>
      </w:r>
      <w:r>
        <w:t xml:space="preserve">个维度时几乎对变量的解释比例仅为</w:t>
      </w:r>
      <w:r>
        <w:t xml:space="preserve"> </w:t>
      </w:r>
      <m:oMath>
        <m:r>
          <m:t>0.164</m:t>
        </m:r>
      </m:oMath>
      <w:r>
        <w:t xml:space="preserve">.</w:t>
      </w:r>
    </w:p>
    <w:p>
      <w:pPr>
        <w:pStyle w:val="CaptionedFigure"/>
      </w:pPr>
      <w:r>
        <w:drawing>
          <wp:inline>
            <wp:extent cx="5334000" cy="5334000"/>
            <wp:effectExtent b="0" l="0" r="0" t="0"/>
            <wp:docPr descr="" title="" id="1" name="Picture"/>
            <a:graphic>
              <a:graphicData uri="http://schemas.openxmlformats.org/drawingml/2006/picture">
                <pic:pic>
                  <pic:nvPicPr>
                    <pic:cNvPr descr="D:\python_code\keggle_santander_customer\assets\1560734837796.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p>
    <w:p>
      <w:pPr>
        <w:pStyle w:val="BodyText"/>
      </w:pPr>
      <w:r>
        <w:t xml:space="preserve">这是两个维度下的散点图, 可以发现几乎无法分开.</w:t>
      </w:r>
    </w:p>
    <w:p>
      <w:pPr>
        <w:numPr>
          <w:numId w:val="1004"/>
          <w:ilvl w:val="0"/>
        </w:numPr>
      </w:pPr>
      <w:r>
        <w:t xml:space="preserve">总结: 数据维度很高, 而且变量之间的相关性很低, 数据难以降维. 因此,我们在后续的建模中可以假设变量之间都是独立的.</w:t>
      </w:r>
    </w:p>
    <w:p>
      <w:pPr>
        <w:pStyle w:val="Heading3"/>
      </w:pPr>
      <w:bookmarkStart w:id="30" w:name="header-n135"/>
      <w:r>
        <w:t xml:space="preserve">一个粗暴的模型: Modified Naive Bayes</w:t>
      </w:r>
      <w:bookmarkEnd w:id="30"/>
    </w:p>
    <w:p>
      <w:pPr>
        <w:pStyle w:val="Compact"/>
      </w:pPr>
      <w:bookmarkStart w:id="0" w:name="1"/>
      <w:r>
        <w:t/>
      </w:r>
    </w:p>
    <w:p>
      <w:pPr>
        <w:pStyle w:val="Compact"/>
      </w:pPr>
      <w:r>
        <w:t xml:space="preserve">$$\newcommand{\pra}[1]{\operatorname{P}({#1})}
\pra{T|D}= \frac{\pra{D|T} \cdot \pra{T}}{\pra{D}}\\\qquad\text{(1)}$$</w:t>
      </w:r>
    </w:p>
    <w:p>
      <w:pPr>
        <w:pStyle w:val="Compact"/>
      </w:pPr>
      <w:bookmarkEnd w:id="0"/>
    </w:p>
    <w:p>
      <w:pPr>
        <w:pStyle w:val="BodyText"/>
      </w:pPr>
      <m:oMath>
        <m:r>
          <m:t>D</m:t>
        </m:r>
        <m:r>
          <m:t>=</m:t>
        </m:r>
        <m:r>
          <m:t>{</m:t>
        </m:r>
        <m:sSub>
          <m:e>
            <m:r>
              <m:t>v</m:t>
            </m:r>
          </m:e>
          <m:sub>
            <m:r>
              <m:t>1</m:t>
            </m:r>
          </m:sub>
        </m:sSub>
        <m:r>
          <m:t>,</m:t>
        </m:r>
        <m:sSub>
          <m:e>
            <m:r>
              <m:t>v</m:t>
            </m:r>
          </m:e>
          <m:sub>
            <m:r>
              <m:t>2</m:t>
            </m:r>
          </m:sub>
        </m:sSub>
        <m:r>
          <m:t>,</m:t>
        </m:r>
        <m:r>
          <m:t>⋯</m:t>
        </m:r>
        <m:r>
          <m:t>,</m:t>
        </m:r>
        <m:sSub>
          <m:e>
            <m:r>
              <m:t>v</m:t>
            </m:r>
          </m:e>
          <m:sub>
            <m:r>
              <m:t>200</m:t>
            </m:r>
          </m:sub>
        </m:sSub>
        <m:r>
          <m:t>}</m:t>
        </m:r>
      </m:oMath>
      <w:r>
        <w:t xml:space="preserve"> </w:t>
      </w:r>
      <w:r>
        <w:t xml:space="preserve">为输入的数据, 为</w:t>
      </w:r>
      <m:oMath>
        <m:r>
          <m:t>T</m:t>
        </m:r>
        <m:r>
          <m:t>=</m:t>
        </m:r>
        <m:r>
          <m:t>{</m:t>
        </m:r>
        <m:r>
          <m:t>0</m:t>
        </m:r>
        <m:r>
          <m:t>,</m:t>
        </m:r>
        <m:r>
          <m:t>1</m:t>
        </m:r>
        <m:r>
          <m:t>}</m:t>
        </m:r>
      </m:oMath>
      <w:r>
        <w:t xml:space="preserve">响应变量, 假设变量之间独立:</w:t>
      </w:r>
    </w:p>
    <w:p>
      <w:pPr>
        <w:pStyle w:val="Compact"/>
      </w:pPr>
      <w:bookmarkStart w:id="0" w:name="2"/>
      <w:r>
        <w:t/>
      </w:r>
    </w:p>
    <w:p>
      <w:pPr>
        <w:pStyle w:val="Compact"/>
      </w:pPr>
      <w:r>
        <w:t xml:space="preserve">$$\pra{T = 1| v_1, v_2, \cdots, v_n}= \frac{\prod_{k=1}^{200}\pra{v_k|T = 1} \cdot \pra{T = 1}}{\prod_{k=1}^{200}\pra{ v_n}}\\\qquad\text{(2)}$$</w:t>
      </w:r>
    </w:p>
    <w:p>
      <w:pPr>
        <w:pStyle w:val="Compact"/>
      </w:pPr>
      <w:bookmarkEnd w:id="0"/>
    </w:p>
    <w:p>
      <w:pPr>
        <w:pStyle w:val="BodyText"/>
      </w:pPr>
      <w:r>
        <w:t xml:space="preserve">对于变量</w:t>
      </w:r>
      <w:r>
        <w:t xml:space="preserve"> </w:t>
      </w:r>
      <m:oMath>
        <m:sSub>
          <m:e>
            <m:r>
              <m:t>v</m:t>
            </m:r>
          </m:e>
          <m:sub>
            <m:r>
              <m:t>n</m:t>
            </m:r>
          </m:sub>
        </m:sSub>
      </m:oMath>
      <w:r>
        <w:t xml:space="preserve"> </w:t>
      </w:r>
      <w:r>
        <w:t xml:space="preserve">, 我们可以知道:</w:t>
      </w:r>
    </w:p>
    <w:p>
      <w:pPr>
        <w:pStyle w:val="Compact"/>
      </w:pPr>
      <w:bookmarkStart w:id="0" w:name="3"/>
      <w:r>
        <w:t/>
      </w:r>
    </w:p>
    <w:p>
      <w:pPr>
        <w:pStyle w:val="Compact"/>
      </w:pPr>
      <w:r>
        <w:t xml:space="preserve">$$\pra{T = 1| v_n}= \frac{\pra{v_n|T = 1} \cdot \pra{T = 1}}{\pra{ v_n}}\\\qquad\text{(3)}$$</w:t>
      </w:r>
    </w:p>
    <w:p>
      <w:pPr>
        <w:pStyle w:val="Compact"/>
      </w:pPr>
      <w:bookmarkEnd w:id="0"/>
    </w:p>
    <w:p>
      <w:pPr>
        <w:pStyle w:val="BodyText"/>
      </w:pPr>
      <w:r>
        <w:t xml:space="preserve">由变量独立,</w:t>
      </w:r>
      <w:r>
        <w:t xml:space="preserve"> </w:t>
      </w:r>
    </w:p>
    <w:p>
      <w:pPr>
        <w:pStyle w:val="Compact"/>
      </w:pPr>
      <w:bookmarkStart w:id="0" w:name="4"/>
      <w:r>
        <w:t/>
      </w:r>
    </w:p>
    <w:p>
      <w:pPr>
        <w:pStyle w:val="Compact"/>
      </w:pPr>
      <w:r>
        <w:t xml:space="preserve">$$\prod_{k=1}^{200}\frac{\pra{T = k| v_k}}{\pra{T =1}} = \frac{\prod_{k=1}^{200}\pra{v_k|T = 1} }{\prod_{k=1}^{200}\pra{ v_n}}\qquad\text{(4)}$$</w:t>
      </w:r>
    </w:p>
    <w:p>
      <w:pPr>
        <w:pStyle w:val="Compact"/>
      </w:pPr>
      <w:bookmarkEnd w:id="0"/>
    </w:p>
    <w:p>
      <w:pPr>
        <w:pStyle w:val="BodyText"/>
      </w:pPr>
      <w:r>
        <w:t xml:space="preserve">通过统计, 我们由先验:</w:t>
      </w:r>
      <w:r>
        <w:t xml:space="preserve"> </w:t>
      </w:r>
      <w:r>
        <w:t xml:space="preserve">$\pra{T=1} \approx 1/10$</w:t>
      </w:r>
      <w:r>
        <w:t xml:space="preserve">, 如果我们对变量的分布进行标准化, 并进行平滑处理, 取合适的bin, 我们可以直接通过对每个变量进行统计, 得出</w:t>
      </w:r>
      <w:r>
        <w:t xml:space="preserve">$\pra{T=1| v_k}$</w:t>
      </w:r>
      <w:r>
        <w:t xml:space="preserve">.</w:t>
      </w:r>
    </w:p>
    <w:p>
      <w:pPr>
        <w:pStyle w:val="Compact"/>
      </w:pPr>
      <w:bookmarkStart w:id="0" w:name="5"/>
      <w:r>
        <w:t/>
      </w:r>
    </w:p>
    <w:p>
      <w:pPr>
        <w:pStyle w:val="Compact"/>
      </w:pPr>
      <w:r>
        <w:t xml:space="preserve">$$\pra{T=1| v_k} \approx \frac{\#\{v_k \in [a_j, a_{j+1}), T =1\}}{\#\{v_k \in [a_j, a_{j+1}), T =1\}+\#\{v_k \in [a_j, a_{j+1}), T =0\}}\qquad\text{(5)}$$</w:t>
      </w:r>
    </w:p>
    <w:p>
      <w:pPr>
        <w:pStyle w:val="Compact"/>
      </w:pPr>
      <w:bookmarkEnd w:id="0"/>
    </w:p>
    <w:p>
      <w:pPr>
        <w:pStyle w:val="BodyText"/>
      </w:pPr>
      <w:r>
        <w:t xml:space="preserve">再将测试数据集代用先验数据集得到的数据分布中就可以直接计算出每个观测的</w:t>
      </w:r>
      <w:r>
        <w:t xml:space="preserve">$\pra{T=1| D}$</w:t>
      </w:r>
      <w:r>
        <w:t xml:space="preserve"> </w:t>
      </w:r>
      <w:r>
        <w:t xml:space="preserve">的概率, 这个值可以直接提交.</w:t>
      </w:r>
    </w:p>
    <w:p>
      <w:pPr>
        <w:pStyle w:val="BodyText"/>
      </w:pPr>
      <w:r>
        <w:t xml:space="preserve">用这样非常粗暴的方法, 我们可以得到的效果却非常出乎意料, LB: 0.899. 也就是说 AUC=0.89003. 代码见文件</w:t>
      </w:r>
      <w:r>
        <w:t xml:space="preserve"> </w:t>
      </w:r>
      <w:r>
        <w:rPr>
          <w:rStyle w:val="VerbatimChar"/>
        </w:rPr>
        <w:t xml:space="preserve">modified_naive_bayes.py</w:t>
      </w:r>
      <w:r>
        <w:t xml:space="preserve">.</w:t>
      </w:r>
    </w:p>
    <w:p>
      <w:pPr>
        <w:pStyle w:val="CaptionedFigure"/>
      </w:pPr>
      <w:r>
        <w:drawing>
          <wp:inline>
            <wp:extent cx="5334000" cy="260421"/>
            <wp:effectExtent b="0" l="0" r="0" t="0"/>
            <wp:docPr descr="" title="" id="1" name="Picture"/>
            <a:graphic>
              <a:graphicData uri="http://schemas.openxmlformats.org/drawingml/2006/picture">
                <pic:pic>
                  <pic:nvPicPr>
                    <pic:cNvPr descr="D:\python_code\keggle_santander_customer\assets\1560358150530.png" id="0" name="Picture"/>
                    <pic:cNvPicPr>
                      <a:picLocks noChangeArrowheads="1" noChangeAspect="1"/>
                    </pic:cNvPicPr>
                  </pic:nvPicPr>
                  <pic:blipFill>
                    <a:blip r:embed="rId31"/>
                    <a:stretch>
                      <a:fillRect/>
                    </a:stretch>
                  </pic:blipFill>
                  <pic:spPr bwMode="auto">
                    <a:xfrm>
                      <a:off x="0" y="0"/>
                      <a:ext cx="5334000" cy="260421"/>
                    </a:xfrm>
                    <a:prstGeom prst="rect">
                      <a:avLst/>
                    </a:prstGeom>
                    <a:noFill/>
                    <a:ln w="9525">
                      <a:noFill/>
                      <a:headEnd/>
                      <a:tailEnd/>
                    </a:ln>
                  </pic:spPr>
                </pic:pic>
              </a:graphicData>
            </a:graphic>
          </wp:inline>
        </w:drawing>
      </w:r>
    </w:p>
    <w:p>
      <w:pPr>
        <w:pStyle w:val="ImageCaption"/>
      </w:pPr>
    </w:p>
    <w:p>
      <w:pPr>
        <w:pStyle w:val="BodyText"/>
      </w:pPr>
      <w:r>
        <w:t xml:space="preserve">相较之下, 我们直接采用 Logistics Regression 得到的结果却并不理想, AUC=0.860, 代码见文件</w:t>
      </w:r>
      <w:r>
        <w:t xml:space="preserve"> </w:t>
      </w:r>
      <w:r>
        <w:rPr>
          <w:rStyle w:val="VerbatimChar"/>
        </w:rPr>
        <w:t xml:space="preserve">logistic.py</w:t>
      </w:r>
      <w:r>
        <w:t xml:space="preserve">:</w:t>
      </w:r>
    </w:p>
    <w:p>
      <w:pPr>
        <w:pStyle w:val="CaptionedFigure"/>
      </w:pPr>
      <w:r>
        <w:drawing>
          <wp:inline>
            <wp:extent cx="5334000" cy="266410"/>
            <wp:effectExtent b="0" l="0" r="0" t="0"/>
            <wp:docPr descr="" title="" id="1" name="Picture"/>
            <a:graphic>
              <a:graphicData uri="http://schemas.openxmlformats.org/drawingml/2006/picture">
                <pic:pic>
                  <pic:nvPicPr>
                    <pic:cNvPr descr="D:\python_code\keggle_santander_customer\assets\1560244690637.png" id="0" name="Picture"/>
                    <pic:cNvPicPr>
                      <a:picLocks noChangeArrowheads="1" noChangeAspect="1"/>
                    </pic:cNvPicPr>
                  </pic:nvPicPr>
                  <pic:blipFill>
                    <a:blip r:embed="rId32"/>
                    <a:stretch>
                      <a:fillRect/>
                    </a:stretch>
                  </pic:blipFill>
                  <pic:spPr bwMode="auto">
                    <a:xfrm>
                      <a:off x="0" y="0"/>
                      <a:ext cx="5334000" cy="266410"/>
                    </a:xfrm>
                    <a:prstGeom prst="rect">
                      <a:avLst/>
                    </a:prstGeom>
                    <a:noFill/>
                    <a:ln w="9525">
                      <a:noFill/>
                      <a:headEnd/>
                      <a:tailEnd/>
                    </a:ln>
                  </pic:spPr>
                </pic:pic>
              </a:graphicData>
            </a:graphic>
          </wp:inline>
        </w:drawing>
      </w:r>
    </w:p>
    <w:p>
      <w:pPr>
        <w:pStyle w:val="ImageCaption"/>
      </w:pPr>
    </w:p>
    <w:p>
      <w:pPr>
        <w:pStyle w:val="Heading3"/>
      </w:pPr>
      <w:bookmarkStart w:id="33" w:name="header-n178"/>
      <w:r>
        <w:t xml:space="preserve">LGBM</w:t>
      </w:r>
      <w:r>
        <w:t xml:space="preserve"> </w:t>
      </w:r>
      <w:bookmarkEnd w:id="33"/>
    </w:p>
    <w:p>
      <w:pPr>
        <w:pStyle w:val="FirstParagraph"/>
      </w:pPr>
      <w:r>
        <w:t xml:space="preserve">在数据的探索和看网页中大家的讨论我们注意到: 1. 数据中存在大量的重复数据, 具体讲, 针对某个变量, 我们可以发现其中有很多数据时完全相同的, 由于公司没有提供给参赛者每个变量的具体含义, 大家的看法也不一致, 有人认为是因为公司数据中存在大量的缺失, 公司直接用其他值去填补. 而且这些值的数量的计数与响应变量存在关系. 也就是说两个相近的数据值, 如果他们计数值差距很大, 它们对于响应变量之间的相关性是不同的.2. 测试数据中存在假数据, 有人发现, 训练集中, 虽然变量存在大量的重复值, 但是每个观测 (数据的行) 都至少拥有一个唯一的唯一的变量 (这个变量的值, 在该列是独一无二的, i.e., 计数值为1), 但是在测试数据集中有一半的观测 (100000) 没有唯一变量, 这就暗示它们是由其他行的数据拼凑而来的. 有人认为这是公司故意给出的, 不参与AUC的计算, 防止参赛者大量提交结果去 "拟合" 测试数据集, 从而作弊.</w:t>
      </w:r>
    </w:p>
    <w:p>
      <w:pPr>
        <w:pStyle w:val="BodyText"/>
      </w:pPr>
      <w:r>
        <w:t xml:space="preserve">基于这两点, 我们可以给每个变量再增加一个变量, 即原变量的计数值, 将原先的变量数量扩展到 400 个, 由于每个变量的计数值和该变量相互作用, 我们首先考虑找出他们之间的联系, 使用梯度提升树, 我们可以对每个变量和它们的计数值进行训练 (这样会得到 200 个模型) , 训练过程中我们采用了 4倍的交叉验证 (</w:t>
      </w:r>
      <m:oMath>
        <m:r>
          <m:t>4</m:t>
        </m:r>
        <m:r>
          <m:rPr>
            <m:sty m:val="p"/>
          </m:rPr>
          <m:t>−</m:t>
        </m:r>
        <m:r>
          <m:rPr>
            <m:sty m:val="p"/>
          </m:rPr>
          <m:t>f</m:t>
        </m:r>
        <m:r>
          <m:rPr>
            <m:sty m:val="p"/>
          </m:rPr>
          <m:t>o</m:t>
        </m:r>
        <m:r>
          <m:rPr>
            <m:sty m:val="p"/>
          </m:rPr>
          <m:t>l</m:t>
        </m:r>
        <m:r>
          <m:rPr>
            <m:sty m:val="p"/>
          </m:rPr>
          <m:t>d</m:t>
        </m:r>
      </m:oMath>
      <w:r>
        <w:t xml:space="preserve"> </w:t>
      </w:r>
      <w:r>
        <w:t xml:space="preserve">CV). 由于变量之间的独立性较好, 我们采用 Naive Bayes 将这 200 个模型进行集成:</w:t>
      </w:r>
    </w:p>
    <w:p>
      <w:pPr>
        <w:pStyle w:val="Compact"/>
      </w:pPr>
      <w:bookmarkStart w:id="0" w:name="6"/>
      <w:r>
        <w:t/>
      </w:r>
    </w:p>
    <w:p>
      <w:pPr>
        <w:pStyle w:val="Compact"/>
      </w:pPr>
      <w:r>
        <w:t xml:space="preserve">$$\pra{T = 1| v_1, v_2, \cdots, v_n}= \frac{\prod_{k=1}^{200}\pra{v_k|T = 1} \cdot \pra{T = 1}}{\prod_{k=1}^{200}\pra{ v_n}}\\\qquad\text{(6)}$$</w:t>
      </w:r>
    </w:p>
    <w:p>
      <w:pPr>
        <w:pStyle w:val="Compact"/>
      </w:pPr>
      <w:bookmarkEnd w:id="0"/>
    </w:p>
    <w:p>
      <w:pPr>
        <w:pStyle w:val="Compact"/>
      </w:pPr>
      <w:bookmarkStart w:id="0" w:name="7"/>
      <w:r>
        <w:t/>
      </w:r>
    </w:p>
    <w:p>
      <w:pPr>
        <w:pStyle w:val="Compact"/>
      </w:pPr>
      <w:r>
        <w:t xml:space="preserve">$$\begin{split}
\mathrm{odds} &amp;=\frac{\pra{T = 1| v_1, v_2, \cdots, v_n}}{\pra{T = 0| v_1, v_2, \cdots, v_n}} \\
&amp;= \frac{\prod_{k=1}^{200}\pra{v_k|T = 1} \cdot \pra{T = 1}}{\prod_{k=1}^{200}\pra{v_k|T = 0} \cdot \pra{T = 0}}
\end{split}\qquad\text{(7)}$$</w:t>
      </w:r>
    </w:p>
    <w:p>
      <w:pPr>
        <w:pStyle w:val="Compact"/>
      </w:pPr>
      <w:bookmarkEnd w:id="0"/>
    </w:p>
    <w:p>
      <w:pPr>
        <w:pStyle w:val="BodyText"/>
      </w:pPr>
      <w:r>
        <w:t xml:space="preserve">我们根据统计可以得到先验:</w:t>
      </w:r>
    </w:p>
    <w:p>
      <w:pPr>
        <w:pStyle w:val="Compact"/>
      </w:pPr>
      <w:bookmarkStart w:id="0" w:name="8"/>
      <w:r>
        <w:t/>
      </w:r>
    </w:p>
    <w:p>
      <w:pPr>
        <w:pStyle w:val="Compact"/>
      </w:pPr>
      <w:r>
        <w:t xml:space="preserve">$$\Gamma=\frac{\pra{T = 1}}{\pra{T = 0}} = \frac{1}{9}\qquad\text{(8)}$$</w:t>
      </w:r>
    </w:p>
    <w:p>
      <w:pPr>
        <w:pStyle w:val="Compact"/>
      </w:pPr>
      <w:bookmarkEnd w:id="0"/>
    </w:p>
    <w:p>
      <w:pPr>
        <w:pStyle w:val="BodyText"/>
      </w:pPr>
      <w:r>
        <w:t xml:space="preserve">再用Bayesian 公式</w:t>
      </w:r>
    </w:p>
    <w:p>
      <w:pPr>
        <w:pStyle w:val="Compact"/>
      </w:pPr>
      <w:bookmarkStart w:id="0" w:name="9"/>
      <w:r>
        <w:t/>
      </w:r>
    </w:p>
    <w:p>
      <w:pPr>
        <w:pStyle w:val="Compact"/>
      </w:pPr>
      <w:r>
        <w:t xml:space="preserve">$$\pra{T|v_k}= \frac{\pra{v_k|T} \cdot \pra{T}}{\pra{v_k}}\\
odds = \Gamma \cdot\prod_{k=1}^{200} \frac{ \pra{T = 1|v_k}}{ \pra{T = 0|v_k} \cdot \Gamma}\qquad\text{(9)}$$</w:t>
      </w:r>
    </w:p>
    <w:p>
      <w:pPr>
        <w:pStyle w:val="Compact"/>
      </w:pPr>
      <w:bookmarkEnd w:id="0"/>
    </w:p>
    <w:p>
      <w:pPr>
        <w:pStyle w:val="BodyText"/>
      </w:pPr>
      <w:r>
        <w:t xml:space="preserve">其中,</w:t>
      </w:r>
      <w:r>
        <w:t xml:space="preserve"> </w:t>
      </w:r>
      <w:r>
        <w:t xml:space="preserve">$\pra{T = 1|v_k}$</w:t>
      </w:r>
      <w:r>
        <w:t xml:space="preserve"> </w:t>
      </w:r>
      <w:r>
        <w:t xml:space="preserve">是模型</w:t>
      </w:r>
      <w:r>
        <w:t xml:space="preserve"> </w:t>
      </w:r>
      <m:oMath>
        <m:r>
          <m:t>k</m:t>
        </m:r>
      </m:oMath>
      <w:r>
        <w:t xml:space="preserve"> </w:t>
      </w:r>
      <w:r>
        <w:t xml:space="preserve">对变量值</w:t>
      </w:r>
      <w:r>
        <w:t xml:space="preserve"> </w:t>
      </w:r>
      <m:oMath>
        <m:sSub>
          <m:e>
            <m:r>
              <m:t>v</m:t>
            </m:r>
          </m:e>
          <m:sub>
            <m:r>
              <m:t>k</m:t>
            </m:r>
          </m:sub>
        </m:sSub>
      </m:oMath>
      <w:r>
        <w:t xml:space="preserve"> </w:t>
      </w:r>
      <w:r>
        <w:t xml:space="preserve">的训练结果,</w:t>
      </w:r>
      <w:r>
        <w:t xml:space="preserve"> </w:t>
      </w:r>
      <w:r>
        <w:t xml:space="preserve">$\pra{T = 0|v_k} = 1- \pra{T = 1|v_k}$</w:t>
      </w:r>
      <w:r>
        <w:t xml:space="preserve">. 为了防止在计算过程中数值发生溢出, 可以采用取对数进行计算. 代码详见文件</w:t>
      </w:r>
      <w:r>
        <w:rPr>
          <w:rStyle w:val="VerbatimChar"/>
        </w:rPr>
        <w:t xml:space="preserve">003_lgm_200.py</w:t>
      </w:r>
    </w:p>
    <w:p>
      <w:pPr>
        <w:pStyle w:val="CaptionedFigure"/>
      </w:pPr>
      <w:r>
        <w:drawing>
          <wp:inline>
            <wp:extent cx="4381500" cy="6215837"/>
            <wp:effectExtent b="0" l="0" r="0" t="0"/>
            <wp:docPr descr="" title="" id="1" name="Picture"/>
            <a:graphic>
              <a:graphicData uri="http://schemas.openxmlformats.org/drawingml/2006/picture">
                <pic:pic>
                  <pic:nvPicPr>
                    <pic:cNvPr descr="C:\Users\ThinkPad\AppData\Local\Temp\\1560758368907.png" id="0" name="Picture"/>
                    <pic:cNvPicPr>
                      <a:picLocks noChangeArrowheads="1" noChangeAspect="1"/>
                    </pic:cNvPicPr>
                  </pic:nvPicPr>
                  <pic:blipFill>
                    <a:blip r:embed="rId34"/>
                    <a:stretch>
                      <a:fillRect/>
                    </a:stretch>
                  </pic:blipFill>
                  <pic:spPr bwMode="auto">
                    <a:xfrm>
                      <a:off x="0" y="0"/>
                      <a:ext cx="4381500" cy="6215837"/>
                    </a:xfrm>
                    <a:prstGeom prst="rect">
                      <a:avLst/>
                    </a:prstGeom>
                    <a:noFill/>
                    <a:ln w="9525">
                      <a:noFill/>
                      <a:headEnd/>
                      <a:tailEnd/>
                    </a:ln>
                  </pic:spPr>
                </pic:pic>
              </a:graphicData>
            </a:graphic>
          </wp:inline>
        </w:drawing>
      </w:r>
    </w:p>
    <w:p>
      <w:pPr>
        <w:pStyle w:val="ImageCaption"/>
      </w:pPr>
    </w:p>
    <w:p>
      <w:pPr>
        <w:pStyle w:val="BodyText"/>
      </w:pPr>
      <w:r>
        <w:t xml:space="preserve">对于集成方法, 我尝试过根据训练数据集的out of fold 的AUC进行加权的集成方法和Logistics Regression集成方法, 最佳的结果还是由 Naive Bayes 方法得出的. 具体集成的代码见文件</w:t>
      </w:r>
      <w:r>
        <w:t xml:space="preserve"> </w:t>
      </w:r>
      <w:r>
        <w:rPr>
          <w:rStyle w:val="VerbatimChar"/>
        </w:rPr>
        <w:t xml:space="preserve">lgm_logistic.py</w:t>
      </w:r>
      <w:r>
        <w:t xml:space="preserve">.</w:t>
      </w:r>
    </w:p>
    <w:p>
      <w:pPr>
        <w:pStyle w:val="CaptionedFigure"/>
      </w:pPr>
      <w:r>
        <w:drawing>
          <wp:inline>
            <wp:extent cx="5334000" cy="1940887"/>
            <wp:effectExtent b="0" l="0" r="0" t="0"/>
            <wp:docPr descr="" title="" id="1" name="Picture"/>
            <a:graphic>
              <a:graphicData uri="http://schemas.openxmlformats.org/drawingml/2006/picture">
                <pic:pic>
                  <pic:nvPicPr>
                    <pic:cNvPr descr="D:\python_code\keggle_santander_customer\assets\1560757311087.png" id="0" name="Picture"/>
                    <pic:cNvPicPr>
                      <a:picLocks noChangeArrowheads="1" noChangeAspect="1"/>
                    </pic:cNvPicPr>
                  </pic:nvPicPr>
                  <pic:blipFill>
                    <a:blip r:embed="rId35"/>
                    <a:stretch>
                      <a:fillRect/>
                    </a:stretch>
                  </pic:blipFill>
                  <pic:spPr bwMode="auto">
                    <a:xfrm>
                      <a:off x="0" y="0"/>
                      <a:ext cx="5334000" cy="1940887"/>
                    </a:xfrm>
                    <a:prstGeom prst="rect">
                      <a:avLst/>
                    </a:prstGeom>
                    <a:noFill/>
                    <a:ln w="9525">
                      <a:noFill/>
                      <a:headEnd/>
                      <a:tailEnd/>
                    </a:ln>
                  </pic:spPr>
                </pic:pic>
              </a:graphicData>
            </a:graphic>
          </wp:inline>
        </w:drawing>
      </w:r>
    </w:p>
    <w:p>
      <w:pPr>
        <w:pStyle w:val="ImageCaption"/>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hyperlink" Id="rId22" Target="https://www.cnblogs.com/fugeny/p/10702812.html" TargetMode="External" /><Relationship Type="http://schemas.openxmlformats.org/officeDocument/2006/relationships/hyperlink" Id="rId23" Target="https://www.kaggle.com/c/santander-customer-transaction-prediction/discussion/88939" TargetMode="External" /><Relationship Type="http://schemas.openxmlformats.org/officeDocument/2006/relationships/hyperlink" Id="rId20" Target="https://www.kaggle.com/cdeotte/200-magical-models-santander-0-920/notebook#Let&#39;s-Begin" TargetMode="External" /><Relationship Type="http://schemas.openxmlformats.org/officeDocument/2006/relationships/hyperlink" Id="rId21" Target="https://www.kaggle.com/yag320/list-of-fake-samples-and-public-private-lb-split" TargetMode="External" /></Relationships>
</file>

<file path=word/_rels/footnotes.xml.rels><?xml version="1.0" encoding="UTF-8"?>
<Relationships xmlns="http://schemas.openxmlformats.org/package/2006/relationships"><Relationship Type="http://schemas.openxmlformats.org/officeDocument/2006/relationships/hyperlink" Id="rId22" Target="https://www.cnblogs.com/fugeny/p/10702812.html" TargetMode="External" /><Relationship Type="http://schemas.openxmlformats.org/officeDocument/2006/relationships/hyperlink" Id="rId23" Target="https://www.kaggle.com/c/santander-customer-transaction-prediction/discussion/88939" TargetMode="External" /><Relationship Type="http://schemas.openxmlformats.org/officeDocument/2006/relationships/hyperlink" Id="rId20" Target="https://www.kaggle.com/cdeotte/200-magical-models-santander-0-920/notebook#Let&#39;s-Begin" TargetMode="External" /><Relationship Type="http://schemas.openxmlformats.org/officeDocument/2006/relationships/hyperlink" Id="rId21" Target="https://www.kaggle.com/yag320/list-of-fake-samples-and-public-private-lb-spl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2019-06-17T07:59:28Z</dcterms:created>
  <dcterms:modified xsi:type="dcterms:W3CDTF">2019-06-17T07:59:28Z</dcterms:modified>
</cp:coreProperties>
</file>