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Ephaptic Aβ-to-C-Fiber Crosstalk in Pathologically Restricted Nerve Clefts: A Closed-Loop Core-Conductor Study of Spatial and Temporal Summation</w:t>
      </w:r>
    </w:p>
    <w:p>
      <w:r>
        <w:rPr>
          <w:b/>
        </w:rPr>
        <w:t>Mina Saied Attia</w:t>
      </w:r>
      <w:r>
        <w:t>&lt;br&gt;</w:t>
      </w:r>
    </w:p>
    <w:p>
      <w:r>
        <w:t>New Cairo STEM School, Cairo, Egypt&lt;br&gt;</w:t>
      </w:r>
    </w:p>
    <w:p>
      <w:r>
        <w:t>email: Mina.3024031@stemnewcairo.moe.edu.eg</w:t>
      </w:r>
    </w:p>
    <w:p>
      <w:r>
        <w:rPr>
          <w:b/>
        </w:rPr>
        <w:t>Abstract:</w:t>
      </w:r>
      <w:r>
        <w:t xml:space="preserve"> Dynamic mechanical allodynia is widely hypothesized to involve non-synaptic "ephaptic" cross-excitation between large myelinated Aβ mechanoreceptive afferents and small unmyelinated C-fiber nociceptors at sites of focal demyelination or nerve compression. We present a closed-loop, one-dimensional core-conductor model coupling a Chiu-Ritchie-Rogart-Stagg-Sweeney (CRRSS) myelinated Aβ axon to an unmyelinated C-fiber through a shared, pathologically restricted extracellular cleft. To eliminate the numerical stiffness of explicit capacitive feedback, we implement an algebraic elimination of transmembrane capacitive displacement currents based on continuous Kirchhoff's current law. We evaluate crosstalk in two phases: Phase 1 employs a simplified classical Hodgkin-Huxley (HH) C-fiber baseline, while Phase 2 incorporates literature-derived Nav1.8/Nav1.9 nociceptor kinetics, serving as a biological sensitivity and robustness check within the same core-conductor framework. Across both channel models, single-fiber-pair crosstalk remained subthreshold under the tested single-pulse conditions, with a peak depolarization of $1.325$ mV in the Phase 1 classical-HH model and $&lt;1.0$ mV in the Phase 2 Nav1.8/Nav1.9 model across the tested cleft-width range ($20$ nm to $5\,\mu\text{m}$). Extending the model to a reduced 1-D multi-fiber bundle ($n \in [1, 50]$ synchronized Aβ fibers) demonstrates that collective extracellular return currents produce substantial subthreshold depolarization (in Phase 1, synchronized $n=25$ source scaling produced a $5.039$-mV midpoint depolarization and a $6.015$-mV downstream maximum at $w_{\text{cleft}} = 20$ nm at the nominal production timestep, plateauing near $+6.2$ mV, while the absolute peak magnitude showed substantial timestep dependence in refinement tests; in Phase 2, $n=25$ produced a $10.16$-mV midpoint depolarization to $-56.66$ mV, plateauing near $-56.4$ mV) that asymptotically plateaus over the tested range due to parallel intracellular core conductance shunting ($\Sigma_G$). Introducing a modeled 1.5-ms onset-dispersion window across the Aβ population attenuates this ephaptic drive by $92.9\%$ in Phase 1 ($93.9\%$ in Phase 2), demonstrating strong sensitivity to temporal dispersion. Under repetitive 100-Hz stimulation in the $n = 25$ bundle, </w:t>
      </w:r>
      <w:r>
        <w:rPr>
          <w:b/>
        </w:rPr>
        <w:t>Pulse 2 is the threshold-crossing pulse that evokes the first fully propagated C-fiber action potential</w:t>
      </w:r>
      <w:r>
        <w:t xml:space="preserve"> (downstream peak $+24.70$ mV at $8.0$ mm, conduction velocity $\approx 0.41$ m/s), an effect mediated primarily by residual C-fiber membrane and gating-state accumulation rather than extracellular potential buildup. Spatial grid refinement holding physical node width fixed ($l_{\text{node}} = 1.0\,\mu\text{m}$) confirms that at the nominal timestep of $2.5\,\mu\text{s}$, the single-pulse response is spatially stable, and isolated Aβ conduction velocity ($41.03$ m/s) and event classifications are robust, although the absolute peak amplitude of the single-pulse $n = 25$ response exhibits notable timestep dependence and is not quantitatively converged. These findings demonstrate that while single-pair single-pulse ephaptic crosstalk is insufficient to trigger nociceptive discharge, multi-fiber spatial summation and high-frequency temporal summation can bring nociceptive fibers to the threshold of propagated firing, providing a computationally testable hypothesis for peripheral neuropathic cross-excitation.</w:t>
      </w:r>
    </w:p>
    <w:p>
      <w:r>
        <w:rPr>
          <w:b/>
        </w:rPr>
        <w:t>Keywords:</w:t>
      </w:r>
      <w:r>
        <w:t xml:space="preserve"> ephaptic coupling, core-conductor model, neuropathic pain, dynamic mechanical allodynia, Nav1.8/Nav1.9 kinetics, spatial summation, temporal summation, Chiu-Ritchie-Rogart-Stagg-Sweeney kinetics</w:t>
      </w:r>
    </w:p>
    <w:p>
      <w:pPr>
        <w:pBdr>
          <w:bottom w:val="single" w:sz="6" w:space="1" w:color="CCCCCC"/>
        </w:pBdr>
      </w:pPr>
    </w:p>
    <w:p>
      <w:pPr>
        <w:pStyle w:val="Heading2"/>
      </w:pPr>
      <w:r>
        <w:t>1 Introduction</w:t>
      </w:r>
    </w:p>
    <w:p>
      <w:r>
        <w:t>Dynamic mechanical allodynia—pain evoked by light, moving tactile stimuli such as light brushing or the contact of clothing—is a debilitating hallmark of peripheral neuropathic pain conditions, including painful diabetic neuropathy (Asmedi et al., 2018), post-herpetic neuralgia, and nerve entrapment syndromes such as trigeminal neuralgia (Rappaport &amp; Devor, 1994). A prominent biophysical hypothesis holds that at sites of focal demyelination, chronic mechanical compression, or traumatic nerve injury, the normally independent electrical activity of large myelinated Aβ mechanoreceptive afferents and small unmyelinated C-fiber nociceptors can become directly coupled through their shared, pathologically restricted extracellular space. This non-synaptic electrical interaction, termed "ephaptic" coupling, was first characterized biophysically by Arvanitaki (1942) and by Katz and Schmitt (1940). Experimental evidence for cross-excitation between afferent classes has since been documented in mammalian dorsal root ganglia (Amir &amp; Devor, 2000; Devor &amp; Wall, 1990) and in chronically injured peripheral nerve trunks (Rasminsky, 1980; Seltzer &amp; Devor, 1979). Under this hypothesis, low-threshold tactile activity conducted by Aβ fibers could directly evoke ectopic action potentials in neighboring nociceptive axons, providing a peripheral mechanism for tactile allodynia that operates upstream of, or in concert with, central sensitization.</w:t>
      </w:r>
    </w:p>
    <w:p>
      <w:r>
        <w:t>Computational investigations of ephaptic coupling in nervous tissue have traditionally followed two distinct approaches: open-loop forward models, in which the extracellular field generated by an active fiber is imposed as an external driving potential on an adjacent passive or excitable cable without reciprocal feedback (Goldwyn &amp; Rinzel, 2016; Lindén et al., 2014), and closed-loop formulations restricted to homogeneous fiber populations, such as bundles of myelinated axons or central white-matter tracts (Rossoni et al., 2003; Schmidt et al., 2021; Schmidt &amp; Knösche, 2022). Foundational analytical and numerical work by Reutskiy, Rossoni, and Tirozzi (2003) demonstrated that bundle geometry and inter-fiber packing profoundly modulate conduction velocity and recruitment thresholds in demyelinated nerve. More recently, generalized higher-dimensional formulations of interacting parallel axon networks have elucidated the complex dynamical dependencies of ephaptic crosstalk on spatial packing, boundary conditions, and coupling topologies (Chawla &amp; Morgera, 2022, 2024; Chawla et al., 2021a, 2021b). Fully coupled Extracellular–Membrane–Intracellular (EMI) finite-element formulations have further advanced the field by resolving three-dimensional micro-domains around excitable cells (Jæger &amp; Tveito, 2022, 2026). Nevertheless, closed-loop bidirectional coupling between physiologically distinct fiber classes—specifically a fast myelinated Aβ mechanoreceptor and an unmyelinated C-fiber nociceptor—remains incompletely characterized, particularly concerning whether multi-fiber spatial convergence or repetitive temporal trains can bridge the threshold gap where single-pair coupling fails.</w:t>
      </w:r>
    </w:p>
    <w:p>
      <w:r>
        <w:t>This paper reports a closed-loop core-conductor model developed to evaluate this interaction systematically across two complementary modeling phases. Phase 1 establishes a baseline system coupling a Chiu-Ritchie-Rogart-Stagg-Sweeney (CRRSS) myelinated Aβ axon to a classical Hodgkin-Huxley (HH) C-fiber through a shared extracellular cleft. Using this baseline, we test whether single-pair crosstalk can trigger ectopic nociceptor spikes under single-pulse stimulation, tonic peripheral sensitization, or high-frequency temporal summation. Recognizing that classical HH kinetics lack the tetrodotoxin-resistant (TTX-R) conductances characteristic of mammalian nociceptors, Phase 2 replaces the classical Na⁺ current with literature-derived Nav1.8 and Nav1.9 kinetics (Akopian et al., 1996; Cummins et al., 1999; Klein et al., 2017). Phase 2 is designed not as an independent biological validation of Phase 1, but as a biological sensitivity and robustness check within the same one-dimensional core-conductor framework. We then extend Phase 2 to a multi-fiber bundle configuration in which an ensemble of synchronized or temporally dispersed Aβ fibers converges upon a shared extracellular compartment with one C-fiber.</w:t>
      </w:r>
    </w:p>
    <w:p>
      <w:r>
        <w:t xml:space="preserve">We report that single-fiber-pair crosstalk remains strictly subthreshold under single-pulse stimulation across both channel models. In contrast, multi-fiber spatial summation produces substantial subthreshold depolarizations that asymptotically saturate due to parallel axoplasmic conductance shunting. Furthermore, repetitive 100-Hz stimulation in the multi-fiber bundle triggers a fully propagated C-fiber action potential on </w:t>
      </w:r>
      <w:r>
        <w:rPr>
          <w:b/>
        </w:rPr>
        <w:t>Pulse 2</w:t>
      </w:r>
      <w:r>
        <w:t>, driven by residual membrane and gating-state accumulation.</w:t>
      </w:r>
    </w:p>
    <w:p>
      <w:pPr>
        <w:pBdr>
          <w:bottom w:val="single" w:sz="6" w:space="1" w:color="CCCCCC"/>
        </w:pBdr>
      </w:pPr>
    </w:p>
    <w:p>
      <w:pPr>
        <w:pStyle w:val="Heading2"/>
      </w:pPr>
      <w:r>
        <w:t>2 Methods</w:t>
      </w:r>
    </w:p>
    <w:p>
      <w:pPr>
        <w:pStyle w:val="Heading3"/>
      </w:pPr>
      <w:r>
        <w:t>2.1 Coupled Core-Conductor Cable Equations</w:t>
      </w:r>
    </w:p>
    <w:p>
      <w:r>
        <w:t>We consider two parallel axons of length $L = 10$ mm embedded in a shared, longitudinally restricted extracellular cleft with resistance per unit length $r_e$ ($\Omega/\text{m}$). Axon $1$ ($k=1$) represents the myelinated Aβ fiber, and axon $2$ ($k=2$) represents the unmyelinated C-fiber. For each axon, the transmembrane potential is defined as $v_{m,k}(z,t) = u_{i,k}(z,t) - u_e(z,t)$, where $u_{i,k}$ is the intracellular potential and $u_e$ is the shared extracellular cleft potential. The coupled core-conductor cable equations are given by:</w:t>
      </w:r>
    </w:p>
    <w:p>
      <w:r>
        <w:t>$$\frac{\partial v_{m,k}}{\partial t} = \frac{1}{C_{m,k}} \left[ \frac{d_{\text{axon},k}}{4 \rho_i} \left( \frac{\partial^2 v_{m,k}}{\partial z^2} + \frac{\partial^2 u_e}{\partial z^2} \right) - I_{\text{ion},k} + I_{\text{stim},k} \right]$$</w:t>
      </w:r>
    </w:p>
    <w:p>
      <w:r>
        <w:t>where $d_{\text{axon},k}$ is the inner axonal core diameter ($d_{\text{axon},1} = 0.7 D_1 = 7.0\,\mu\text{m}$ for the myelinated Aβ fiber with outer diameter $D_1 = 10\,\mu\text{m}$, representing an established $g$-ratio of $0.7$; and $d_{\text{axon},2} = d_2 = 1.0\,\mu\text{m}$ for the unmyelinated C-fiber). The parameter $\rho_i = 54.7\,\Omega\cdot\text{cm} = 0.547\,\Omega\cdot\text{m}$ is the axoplasmic resistivity (Sweeney et al., 1987), $C_{m,k}$ is the specific membrane capacitance ($\text{F/m}^2$), $I_{\text{ion},k}$ is the total transmembrane ionic current density ($\text{A/m}^2$), and $I_{\text{stim},k}$ is the applied intracellular stimulation current density ($\text{A/m}^2$). All current densities and capacitances are defined per unit inner-axonal membrane area ($\pi d_{\text{axon},k}$), ensuring mathematical consistency with the core-conductor derivation of the axial diffusion term. Sealed-end (Neumann) boundary conditions are enforced at both cable ends ($z = 0$ and $z = L$):</w:t>
      </w:r>
    </w:p>
    <w:p>
      <w:r>
        <w:t>$$\left. \frac{\partial v_{m,k}}{\partial z} \right|_{z=0, L} = 0, \quad \left. \frac{\partial u_e}{\partial z} \right|_{z=0, L} = 0$$</w:t>
      </w:r>
    </w:p>
    <w:p>
      <w:pPr>
        <w:jc w:val="center"/>
      </w:pPr>
      <w:r>
        <w:drawing>
          <wp:inline xmlns:a="http://schemas.openxmlformats.org/drawingml/2006/main" xmlns:pic="http://schemas.openxmlformats.org/drawingml/2006/picture">
            <wp:extent cx="5303520" cy="2264868"/>
            <wp:docPr id="1" name="Picture 1"/>
            <wp:cNvGraphicFramePr>
              <a:graphicFrameLocks noChangeAspect="1"/>
            </wp:cNvGraphicFramePr>
            <a:graphic>
              <a:graphicData uri="http://schemas.openxmlformats.org/drawingml/2006/picture">
                <pic:pic>
                  <pic:nvPicPr>
                    <pic:cNvPr id="0" name="fig1_model_schematic.png"/>
                    <pic:cNvPicPr/>
                  </pic:nvPicPr>
                  <pic:blipFill>
                    <a:blip r:embed="rId9"/>
                    <a:stretch>
                      <a:fillRect/>
                    </a:stretch>
                  </pic:blipFill>
                  <pic:spPr>
                    <a:xfrm>
                      <a:off x="0" y="0"/>
                      <a:ext cx="5303520" cy="2264868"/>
                    </a:xfrm>
                    <a:prstGeom prst="rect"/>
                  </pic:spPr>
                </pic:pic>
              </a:graphicData>
            </a:graphic>
          </wp:inline>
        </w:drawing>
      </w:r>
    </w:p>
    <w:p>
      <w:pPr>
        <w:jc w:val="center"/>
      </w:pPr>
      <w:r>
        <w:rPr>
          <w:i/>
          <w:sz w:val="17"/>
        </w:rPr>
        <w:t>Figure 1: Model architecture (schematic).</w:t>
      </w:r>
    </w:p>
    <w:p>
      <w:r>
        <w:rPr>
          <w:b/>
        </w:rPr>
        <w:t>Fig. 1 Model architecture (schematic).</w:t>
      </w:r>
      <w:r>
        <w:t xml:space="preserve"> A myelinated Aβ axon (CRRSS kinetics, discrete nodes of Ranvier) and an unmyelinated C-fiber (classical HH or Nav1.8/Nav1.9 kinetics) are embedded in a pathologically restricted extracellular cleft of width $w_{\text{cleft}}$. Both fibers' transmembrane currents drive a regularized Poisson equation for the shared extracellular potential $u_e(z,t)$, which is solved at each time step and fed back into both cable equations as an ephaptic driving term (double-headed arrows), closing the loop.</w:t>
      </w:r>
    </w:p>
    <w:p>
      <w:pPr>
        <w:pBdr>
          <w:bottom w:val="single" w:sz="6" w:space="1" w:color="CCCCCC"/>
        </w:pBdr>
      </w:pPr>
    </w:p>
    <w:p>
      <w:pPr>
        <w:pStyle w:val="Heading3"/>
      </w:pPr>
      <w:r>
        <w:t>2.2 Membrane Kinetics and Conduction Properties</w:t>
      </w:r>
    </w:p>
    <w:p>
      <w:pPr>
        <w:pStyle w:val="Heading4"/>
      </w:pPr>
      <w:r>
        <w:t>2.2.1 Myelinated Aβ Fiber (CRRSS Kinetics)</w:t>
      </w:r>
    </w:p>
    <w:p>
      <w:r>
        <w:t>The Aβ axon employs the Chiu-Ritchie-Rogart-Stagg-Sweeney (CRRSS) nodal kinetics (Chiu et al., 1979; Sweeney et al., 1987). Active ionic currents are localized to discrete physical nodes of Ranvier of fixed physical length $l_{\text{node}} = 1.0\,\mu\text{m}$, spaced at internodal intervals of $\Delta L = 1.0$ mm along the $10$ mm cable (10 nodes total, at $z = 0, 1, \dots, 9$ mm). To ensure that spatial grid refinement ($\Delta z$) does not alter the physical membrane area of the node, we apply a consistent homogenization scheme: for any computational compartment of width $\Delta z$, the fraction occupied by an active node is $f_{\text{node}} = l_{\text{node}} / \Delta z$ ($f_{\text{node}} \le 1$). The effective compartment capacitance and leak conductance are weighted accordingly:</w:t>
      </w:r>
    </w:p>
    <w:p>
      <w:r>
        <w:t>$$C_{m,1} = f_{\text{node}} C_{m,\text{node}} + (1 - f_{\text{node}}) C_{m,\text{internode}}$$</w:t>
      </w:r>
    </w:p>
    <w:p>
      <w:r>
        <w:t>$$g_{\text{leak},1} = f_{\text{node}} g_{\text{leak},\text{node}} + (1 - f_{\text{node}}) g_{\text{leak},\text{internode}}$$</w:t>
      </w:r>
    </w:p>
    <w:p>
      <w:r>
        <w:t>Physical nodal parameters are: $\bar{g}_{\text{Na}} = 1445\,\text{mS/cm}^2 = 14450\,\text{S/m}^2$, $g_{\text{leak},\text{node}} = 128\,\text{mS/cm}^2 = 1280\,\text{S/m}^2$, $C_{m,\text{node}} = 2.0\,\mu\text{F/cm}^2$, $E_{\text{Na}} = +35.64$ mV, and $E_{\text{leak},1} = -80.0$ mV (Sweeney et al., 1987). Internodal compact myelin is parameterized with $C_{m,\text{internode}} = 0.005\,\mu\text{F/cm}^2$ and $g_{\text{leak},\text{internode}} = 0.006\,\text{mS/cm}^2$, with active Na⁺ channels absent.</w:t>
      </w:r>
    </w:p>
    <w:p>
      <w:r>
        <w:t>The gating rate equations follow Chiu et al. (1979) with corrected rate designations:</w:t>
      </w:r>
    </w:p>
    <w:p>
      <w:r>
        <w:t>$$\alpha_m(v) = \frac{97.0 (v_{\text{mV}} + 35.0)}{1.0 - \exp(-(v_{\text{mV}} + 35.0) / 10.0)} \times 10^3\,\text{s}^{-1}$$</w:t>
      </w:r>
    </w:p>
    <w:p>
      <w:r>
        <w:t>$$\beta_m(v) = \alpha_m(v) \exp(-(v_{\text{mV}} + 60.0) / 5.64)$$</w:t>
      </w:r>
    </w:p>
    <w:p>
      <w:r>
        <w:t>$$\beta_h(v) = \frac{15.6 \times 10^3}{1.0 + \exp(-(v_{\text{mV}} + 56.0) / 10.0)}\,\text{s}^{-1}$$</w:t>
      </w:r>
    </w:p>
    <w:p>
      <w:r>
        <w:t>$$\alpha_h(v) = \beta_h(v) \exp(-(v_{\text{mV}} + 74.5) / 5.0)$$</w:t>
      </w:r>
    </w:p>
    <w:p>
      <w:r>
        <w:t xml:space="preserve">where $v_{\text{mV}} = v_{m,1} \times 10^3$. The inactivation curve $h_\infty(v) = \alpha_h / (\alpha_h + \beta_h)$ decreases monotonically from $\approx 1.0$ at hyperpolarized potentials to $0.0$ upon depolarization, with half-inactivation at $V_{1/2} \approx -74.5$ mV. Rates are scaled to $37^\circ\text{C}$ using $Q_{10} = 3.0$ (Sweeney et al., 1987). Under this parameterization, an isolated Aβ fiber stimulated at node 0 ($100$ nA, $0.2$ ms) generates a brief, physiological saltatory action potential, reaching an absolute peak of approximately $+0.44$ mV from a resting potential of $-80.0$ mV, corresponding to an action-potential excursion of $80.44$ mV, conducting at </w:t>
      </w:r>
      <w:r>
        <w:rPr>
          <w:b/>
        </w:rPr>
        <w:t>41.03 m/s</w:t>
      </w:r>
      <w:r>
        <w:t xml:space="preserve"> (measured via maximum upstroke $dV/dt$ between $4.0$ mm and $8.0$ mm), well within the established mammalian range ($30$–$60$ m/s).</w:t>
      </w:r>
    </w:p>
    <w:p>
      <w:pPr>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crrss_gating_plots.png"/>
                    <pic:cNvPicPr/>
                  </pic:nvPicPr>
                  <pic:blipFill>
                    <a:blip r:embed="rId10"/>
                    <a:stretch>
                      <a:fillRect/>
                    </a:stretch>
                  </pic:blipFill>
                  <pic:spPr>
                    <a:xfrm>
                      <a:off x="0" y="0"/>
                      <a:ext cx="5303520" cy="2121408"/>
                    </a:xfrm>
                    <a:prstGeom prst="rect"/>
                  </pic:spPr>
                </pic:pic>
              </a:graphicData>
            </a:graphic>
          </wp:inline>
        </w:drawing>
      </w:r>
    </w:p>
    <w:p>
      <w:pPr>
        <w:jc w:val="center"/>
      </w:pPr>
      <w:r>
        <w:rPr>
          <w:i/>
          <w:sz w:val="17"/>
        </w:rPr>
        <w:t>Benchmark: CRRSS steady-state gating curves confirming corrected monotonic h-gate inactivation.</w:t>
      </w:r>
    </w:p>
    <w:p>
      <w:pPr>
        <w:pStyle w:val="Heading4"/>
      </w:pPr>
      <w:r>
        <w:t>2.2.2 C-Fiber Membrane Models</w:t>
      </w:r>
    </w:p>
    <w:p>
      <w:r>
        <w:t>The unmyelinated C-fiber ($d_2 = 1.0\,\mu\text{m}$, $C_{m,2} = 1.0\,\mu\text{F/cm}^2$) is modeled continuously along its length. In Phase 1, it follows classical Hodgkin-Huxley kinetics (Hodgkin &amp; Huxley, 1952): $\bar{g}_{\text{Na}} = 120\,\text{mS/cm}^2$, $\bar{g}_{\text{K}} = 36\,\text{mS/cm}^2$, $g_{\text{leak}} = 0.3\,\text{mS/cm}^2$, $E_{\text{Na}} = +50.0$ mV, $E_{\text{K}} = -77.0$ mV, and $E_{\text{leak},2} = -54.4$ mV, resting stably at $-65.0$ mV. The delayed-rectifier $\text{K}^+$ conductance obeys $I_{\text{K}} = \bar{g}_{\text{K}} n^4 (v_2 - E_{\text{K}})$ with gating kinetics:</w:t>
      </w:r>
    </w:p>
    <w:p>
      <w:r>
        <w:t>$$\frac{dn}{dt} = \alpha_n(v)(1 - n) - \beta_n(v) n$$</w:t>
      </w:r>
    </w:p>
    <w:p>
      <w:r>
        <w:t>$$\alpha_n(v) = \frac{0.01 (v_{\text{mV}} + 55.0)}{1.0 - \exp(-(v_{\text{mV}} + 55.0) / 10.0)} \times 10^3\,\text{s}^{-1}$$</w:t>
      </w:r>
    </w:p>
    <w:p>
      <w:r>
        <w:t>$$\beta_n(v) = 0.125 \exp(-(v_{\text{mV}} + 65.0) / 80.0) \times 10^3\,\text{s}^{-1}$$</w:t>
      </w:r>
    </w:p>
    <w:p>
      <w:r>
        <w:t xml:space="preserve">where $v_{\text{mV}} = v_{m,2} \times 10^3$. Under direct stimulation, the isolated classical C-fiber conducts at </w:t>
      </w:r>
      <w:r>
        <w:rPr>
          <w:b/>
        </w:rPr>
        <w:t>0.41 m/s</w:t>
      </w:r>
      <w:r>
        <w:t>.</w:t>
      </w:r>
    </w:p>
    <w:p>
      <w:r>
        <w:t>In Phase 2, the generic Na⁺ current is replaced with literature-derived TTX-R Nav1.8 and Nav1.9 nociceptor kinetics (Section 2.5).</w:t>
      </w:r>
    </w:p>
    <w:p>
      <w:pPr>
        <w:pBdr>
          <w:bottom w:val="single" w:sz="6" w:space="1" w:color="CCCCCC"/>
        </w:pBdr>
      </w:pPr>
    </w:p>
    <w:p>
      <w:pPr>
        <w:pStyle w:val="Heading3"/>
      </w:pPr>
      <w:r>
        <w:t>2.3 Extracellular Coupling, Regularization, and Exact Algebraic Elimination</w:t>
      </w:r>
    </w:p>
    <w:p>
      <w:r>
        <w:t>The longitudinal extracellular cleft resistance per unit length $r_e = \rho_e / A_{\text{eff}}$ ($\Omega/\text{m}$) is determined by extracellular resistivity ($\rho_e = 100\,\Omega\cdot\text{cm} = 1.0\,\Omega\cdot\text{m}$) and the annular cleft area $A_{\text{eff}}$:</w:t>
      </w:r>
    </w:p>
    <w:p>
      <w:r>
        <w:t>$$A_{\text{eff}} = \pi \left[ \left( \frac{d_1 + d_2}{2} + w_{\text{cleft}} \right)^2 - \left(\frac{d_1}{2}\right)^2 - \left(\frac{d_2}{2}\right)^2 \right]$$</w:t>
      </w:r>
    </w:p>
    <w:p>
      <w:r>
        <w:t>In the zero-cleft limit ($w_{\text{cleft}} \to 0$), $A_{\text{eff}}$ approaches $A_{\text{eff,min}} = \pi d_1 d_2 / 2 \approx 15.7\,\mu\text{m}^2 = 1.57 \times 10^{-11}\,\text{m}^2$, bounding $r_e$ at an upper ceiling $r_{e,\text{max}} = \rho_e / A_{\text{eff,min}} \approx 6.37 \times 10^{10}\,\Omega/\text{m}$. For the nominal restricted cleft width $w_{\text{cleft}} = 20$ nm, $A_{\text{eff}} \approx 16.4\,\mu\text{m}^2$ ($1.64 \times 10^{-11}\,\text{m}^2$) and $r_e \approx 6.10 \times 10^{10}\,\Omega/\text{m}$.</w:t>
      </w:r>
    </w:p>
    <w:p>
      <w:r>
        <w:t>To avoid numerical stiffness associated with the explicit evaluation of membrane capacitive displacement currents, we implement an algebraic elimination that incorporates the capacitive, ionic, and applied-current terms through the membrane equations while removing their explicit appearance from the extracellular solve. From core-conductor theory, total transmembrane current per unit length exiting axon $k$ equals the axial current divergence:</w:t>
      </w:r>
    </w:p>
    <w:p>
      <w:r>
        <w:t>$$i_{m,k}(z,t) = \frac{1}{r_{i,k}} \frac{\partial^2 u_{i,k}}{\partial z^2} = \frac{1}{r_{i,k}} \left( \frac{\partial^2 v_{m,k}}{\partial z^2} + \frac{\partial^2 u_e}{\partial z^2} \right)$$</w:t>
      </w:r>
    </w:p>
    <w:p>
      <w:r>
        <w:t>where $r_{i,k} = 4 \rho_i / (\pi d_{\text{axon},k}^2)$ is the intracellular longitudinal core resistance per unit length ($\Omega/\text{m}$). Extracellular current conservation per unit length requires:</w:t>
      </w:r>
    </w:p>
    <w:p>
      <w:r>
        <w:t>$$\frac{1}{r_e} \frac{\partial^2 u_e}{\partial z^2} - G_e u_e + \sum_{k} i_{m,k} = 0$$</w:t>
      </w:r>
    </w:p>
    <w:p>
      <w:r>
        <w:t>where $G_e = \kappa / r_e$ ($\text{S/m}$) represents weak ohmic leakage from the restricted cleft to the surrounding bulk interstitial tissue, and $\kappa$ ($\text{m}^{-2}$) is a phenomenological regularization parameter. Substituting $i_{m,k}$ yields:</w:t>
      </w:r>
    </w:p>
    <w:p>
      <w:r>
        <w:t>$$\left( \frac{1}{r_e} + \sum_{k} \frac{1}{r_{i,k}} \right) \frac{\partial^2 u_e}{\partial z^2} - \frac{\kappa}{r_e} u_e = - \sum_{k} \frac{1}{r_{i,k}} \frac{\partial^2 v_{m,k}}{\partial z^2}$$</w:t>
      </w:r>
    </w:p>
    <w:p>
      <w:r>
        <w:t>Dividing by the total core conductance $\Sigma_G = \frac{1}{r_e} + \sum_k \frac{1}{r_{i,k}}$ produces a regularized Poisson/Helmholtz equation:</w:t>
      </w:r>
    </w:p>
    <w:p>
      <w:r>
        <w:t>$$\frac{\partial^2 u_e}{\partial z^2} - \kappa_{\text{eff}} u_e = - \frac{1}{\Sigma_G} \sum_{k} \frac{1}{r_{i,k}} \frac{\partial^2 v_{m,k}}{\partial z^2}$$</w:t>
      </w:r>
    </w:p>
    <w:p>
      <w:r>
        <w:t>The algebraic elimination removes the explicit capacitive-current feedback from the extracellular solve, avoiding that particular stiffness pathway; numerical stability was assessed empirically through the reported timestep/convergence tests.</w:t>
      </w:r>
    </w:p>
    <w:p>
      <w:r>
        <w:t>where the effective regularization parameter $\kappa_{\text{eff}}$ ($\text{m}^{-2}$) is:</w:t>
      </w:r>
    </w:p>
    <w:p>
      <w:r>
        <w:t>$$\kappa_{\text{eff}} = \frac{\kappa / r_e}{\Sigma_G}$$</w:t>
      </w:r>
    </w:p>
    <w:p>
      <w:r>
        <w:t>We treat $\kappa = 1.0 \times 10^9\,\text{m}^{-2}$ as a fixed phenomenological model parameter throughout all comparative analyses, defining a nominal pre-elimination spatial decay scale $\lambda_\kappa = 1/\sqrt{\kappa} \approx 31.62\,\mu\text{m}$. It is not an experimentally measured constant. Importantly, the effective spatial decay scale of the reduced Helmholtz operator is governed by $\lambda_{\text{eff}} = 1/\sqrt{\kappa_{\text{eff}}}$, where $\kappa_{\text{eff}} = (\kappa / r_e) / \Sigma_G$. Because total core conductance $\Sigma_G(n)$ expands with fiber count $n$, $\kappa_{\text{eff}}$ decreases and $\lambda_{\text{eff}}$ correspondingly lengthens: $\lambda_{\text{eff}} = 73.3\,\mu\text{m}$ for $n=1$, $209.7\,\mu\text{m}$ for $n=10$, $329.1\,\mu\text{m}$ for $n=25$, and $464.3\,\mu\text{m}$ for $n=50$ (Table 4).</w:t>
      </w:r>
    </w:p>
    <w:p>
      <w:pPr>
        <w:jc w:val="center"/>
      </w:pPr>
      <w:r>
        <w:drawing>
          <wp:inline xmlns:a="http://schemas.openxmlformats.org/drawingml/2006/main" xmlns:pic="http://schemas.openxmlformats.org/drawingml/2006/picture">
            <wp:extent cx="5303520" cy="2386584"/>
            <wp:docPr id="3" name="Picture 3"/>
            <wp:cNvGraphicFramePr>
              <a:graphicFrameLocks noChangeAspect="1"/>
            </wp:cNvGraphicFramePr>
            <a:graphic>
              <a:graphicData uri="http://schemas.openxmlformats.org/drawingml/2006/picture">
                <pic:pic>
                  <pic:nvPicPr>
                    <pic:cNvPr id="0" name="current_conservation_benchmark.png"/>
                    <pic:cNvPicPr/>
                  </pic:nvPicPr>
                  <pic:blipFill>
                    <a:blip r:embed="rId11"/>
                    <a:stretch>
                      <a:fillRect/>
                    </a:stretch>
                  </pic:blipFill>
                  <pic:spPr>
                    <a:xfrm>
                      <a:off x="0" y="0"/>
                      <a:ext cx="5303520" cy="2386584"/>
                    </a:xfrm>
                    <a:prstGeom prst="rect"/>
                  </pic:spPr>
                </pic:pic>
              </a:graphicData>
            </a:graphic>
          </wp:inline>
        </w:drawing>
      </w:r>
    </w:p>
    <w:p>
      <w:pPr>
        <w:jc w:val="center"/>
      </w:pPr>
      <w:r>
        <w:rPr>
          <w:i/>
          <w:sz w:val="17"/>
        </w:rPr>
        <w:t>Benchmark: Discrete Kirchhoff's Current Law conservation. The implemented discrete equations reproduce the derived KCL identity with a residual below $10^{-16}\,\text{A/m}$.</w:t>
      </w:r>
    </w:p>
    <w:p>
      <w:pPr>
        <w:pBdr>
          <w:bottom w:val="single" w:sz="6" w:space="1" w:color="CCCCCC"/>
        </w:pBdr>
      </w:pPr>
    </w:p>
    <w:p>
      <w:pPr>
        <w:pStyle w:val="Heading3"/>
      </w:pPr>
      <w:r>
        <w:t>2.4 Numerical Scheme and Convergence Methodology</w:t>
      </w:r>
    </w:p>
    <w:p>
      <w:r>
        <w:t>The system is integrated using an implicit–explicit (IMEX) operator-splitting scheme on a spatial grid of nominal $\Delta z = 10\,\mu\text{m}$ ($N = 1000$ compartments) with time step $\Delta t = 2.5\,\mu\text{s}$. Linear axial diffusion terms are stepped implicitly via backward Euler using tridiagonal LAPACK solvers (</w:t>
      </w:r>
      <w:r>
        <w:rPr>
          <w:rFonts w:ascii="Consolas" w:hAnsi="Consolas"/>
          <w:color w:val="800020"/>
          <w:sz w:val="18"/>
        </w:rPr>
        <w:t>solve_banded</w:t>
      </w:r>
      <w:r>
        <w:t>), while nonlinear ionic currents are updated explicitly. Extracellular potential $u_e$ is obtained at each step by solving the banded Helmholtz operator.</w:t>
      </w:r>
    </w:p>
    <w:p>
      <w:pPr>
        <w:pStyle w:val="Heading4"/>
      </w:pPr>
      <w:r>
        <w:t>2.4.1 Spatial Refinement Study</w:t>
      </w:r>
    </w:p>
    <w:p>
      <w:r>
        <w:t xml:space="preserve">To verify spatial convergence, $\Delta z$ was refined across $[20, 10, 5, 2.5]\,\mu\text{m}$ holding all physical dimensions, including $l_{\text{node}} = 1.0\,\mu\text{m}$, strictly fixed, with the temporal step held constant at $\Delta t = 2.5\,\mu\text{s}$. As detailed in Section 3.1 and Table 5, isolated Aβ conduction velocity converges to </w:t>
      </w:r>
      <w:r>
        <w:rPr>
          <w:b/>
        </w:rPr>
        <w:t>41.03 m/s</w:t>
      </w:r>
      <w:r>
        <w:t xml:space="preserve"> (drift $&lt;0.1\%$) and isolated action-potential excursion converges to </w:t>
      </w:r>
      <w:r>
        <w:rPr>
          <w:b/>
        </w:rPr>
        <w:t>80.44 mV</w:t>
      </w:r>
      <w:r>
        <w:t xml:space="preserve"> (reaching an absolute peak of $+0.44$ mV from rest $-80.0$ mV). At this fixed timestep of $2.5\,\mu\text{s}$, the single-pulse $n=25$ ephaptic response was spatially stable across the tested grid refinements (Table 5).</w:t>
      </w:r>
    </w:p>
    <w:p>
      <w:pPr>
        <w:pStyle w:val="Heading4"/>
      </w:pPr>
      <w:r>
        <w:t>2.4.2 Temporal Refinement Study</w:t>
      </w:r>
    </w:p>
    <w:p>
      <w:r>
        <w:t>Temporal convergence was evaluated independently across $\Delta t \in [5.0, 2.5, 1.25, 0.625, 0.5, 0.25, 0.125]\,\mu\text{s}$ (holding $\Delta z = 10.0\,\mu\text{m}$ fixed). Aβ conduction velocity ($41.03\,\text{m/s}$) and single-pair event classifications (</w:t>
      </w:r>
      <w:r>
        <w:rPr>
          <w:rFonts w:ascii="Consolas" w:hAnsi="Consolas"/>
          <w:color w:val="800020"/>
          <w:sz w:val="18"/>
        </w:rPr>
        <w:t>LOCAL_STIMULUS_TRANSIENT</w:t>
      </w:r>
      <w:r>
        <w:t>) remain strictly stable across all time steps. However, as documented in Section 4.6, the absolute peak amplitude of the single-pulse multi-fiber ($n=25$) response exhibits notable timestep dependence: $5.971\,\text{mV}$ at $\Delta t = 2.5\,\mu\text{s}$, $8.595\,\text{mV}$ at $1.25\,\mu\text{s}$, $11.405\,\text{mV}$ at $0.625\,\mu\text{s}$, $12.237\,\text{mV}$ at $0.5\,\mu\text{s}$, $14.161\,\text{mV}$ at $0.25\,\mu\text{s}$, and $14.930\,\text{mV}$ at $0.125\,\mu\text{s}$ (</w:t>
      </w:r>
      <w:r>
        <w:rPr>
          <w:rFonts w:ascii="Consolas" w:hAnsi="Consolas"/>
          <w:color w:val="800020"/>
          <w:sz w:val="18"/>
        </w:rPr>
        <w:t>results/convergence/temporal_convergence_final.csv</w:t>
      </w:r>
      <w:r>
        <w:t>). Richardson extrapolation across the finest dyadic steps ($\Delta t \in [0.5, 0.25, 0.125]\,\mu\text{s}$, apparent order $p \approx 1.32$) yields an asymptotic estimate of $\approx 15.44\,\text{mV}$ (or $\approx 15.70\,\text{mV}$ under first-order extrapolation, $p = 1.0$). We explicitly emphasize that these extrapolated values are mathematical estimates rather than directly simulated converged points; thus, while event classification remains robust and invariant across all tested timesteps, single-pulse potential magnitude is not quantitatively converged.</w:t>
      </w:r>
    </w:p>
    <w:p>
      <w:pPr>
        <w:pStyle w:val="Heading4"/>
      </w:pPr>
      <w:r>
        <w:t>2.4.3 Independent Reference Solver Validation for Aβ Fiber</w:t>
      </w:r>
    </w:p>
    <w:p>
      <w:r>
        <w:t>To verify the numerical implementation of the saltatory Aβ axon model against an independent integration scheme, a standalone reference solver was implemented using a Crank-Nicolson parabolic diffusion integrator paired with a second-order Heun predictor-corrector update for the CRRSS channel gates (</w:t>
      </w:r>
      <w:r>
        <w:rPr>
          <w:rFonts w:ascii="Consolas" w:hAnsi="Consolas"/>
          <w:color w:val="800020"/>
          <w:sz w:val="18"/>
        </w:rPr>
        <w:t>audit_reference_solver.py</w:t>
      </w:r>
      <w:r>
        <w:t>). Evaluated at $\Delta t = 0.625\,\mu\text{s}$ and nominal $\Delta z = 10\,\mu\text{m}$, the production IMEX solver yielded an Aβ conduction velocity of $40.00\,\text{m/s}$ compared to $39.51\,\text{m/s}$ for the Crank-Nicolson reference solver (a $1.2\%$ difference; peak action potential amplitude differed by $0.24\%$, $80.59\,\text{mV}$ vs $80.40\,\text{mV}$). This close agreement independently validates the numerical integration of the Aβ cable dynamics specifically, although it does not constitute a full reference solver for the coupled multi-fiber system.</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fig_convergence_analysis.png"/>
                    <pic:cNvPicPr/>
                  </pic:nvPicPr>
                  <pic:blipFill>
                    <a:blip r:embed="rId12"/>
                    <a:stretch>
                      <a:fillRect/>
                    </a:stretch>
                  </pic:blipFill>
                  <pic:spPr>
                    <a:xfrm>
                      <a:off x="0" y="0"/>
                      <a:ext cx="5303520" cy="3030583"/>
                    </a:xfrm>
                    <a:prstGeom prst="rect"/>
                  </pic:spPr>
                </pic:pic>
              </a:graphicData>
            </a:graphic>
          </wp:inline>
        </w:drawing>
      </w:r>
    </w:p>
    <w:p>
      <w:pPr>
        <w:jc w:val="center"/>
      </w:pPr>
      <w:r>
        <w:rPr>
          <w:i/>
          <w:sz w:val="17"/>
        </w:rPr>
        <w:t>Benchmark: Grid-refinement study at fixed Δt = 2.5 μs, demonstrating spatial stability of the n=25 ephaptic response while holding the physical node width fixed.</w:t>
      </w:r>
    </w:p>
    <w:p>
      <w:pPr>
        <w:pBdr>
          <w:bottom w:val="single" w:sz="6" w:space="1" w:color="CCCCCC"/>
        </w:pBdr>
      </w:pPr>
    </w:p>
    <w:p>
      <w:pPr>
        <w:pStyle w:val="Heading3"/>
      </w:pPr>
      <w:r>
        <w:t>2.5 Nav1.8/Nav1.9 Nociceptor Kinetics (Phase 2)</w:t>
      </w:r>
    </w:p>
    <w:p>
      <w:r>
        <w:t>Phase 2 replaces the classical HH Na⁺ current with TTX-R Nav1.8 and Nav1.9 currents (Akopian et al., 1996; Cummins et al., 1999; Klein et al., 2017):</w:t>
      </w:r>
    </w:p>
    <w:p>
      <w:r>
        <w:t>$$I_{\text{ion},2} = \bar{g}_{18} m_8^3 h_8 (v_2 - E_{\text{Na}}) + \bar{g}_{19} m_9 (v_2 - E_{\text{Na}}) + \bar{g}_{\text{K}} n^4 (v_2 - E_{\text{K}}) + g_{\text{leak}} (v_2 - E_{\text{leak},2})$$</w:t>
      </w:r>
    </w:p>
    <w:p>
      <w:r>
        <w:t>$$m_{8,\infty}(v) = \frac{1}{1 + \exp(-(v + 25.0) / 6.0)}, \quad \tau_{m8} = 1.5\,\text{ms}$$</w:t>
      </w:r>
    </w:p>
    <w:p>
      <w:r>
        <w:t>$$h_{8,\infty}(v) = \frac{1}{1 + \exp((v + 30.0) / 6.0)}, \quad \tau_{h8} = 17.0\,\text{ms}$$</w:t>
      </w:r>
    </w:p>
    <w:p>
      <w:r>
        <w:t>$$m_{9,\infty}(v) = \frac{1}{1 + \exp(-(v + 50.0) / 5.0)}, \quad \tau_{m9} = 10.0\,\text{ms}$$</w:t>
      </w:r>
    </w:p>
    <w:p>
      <w:r>
        <w:t>The delayed-rectifier $\text{K}^+$ gating variable $n$ and its voltage-dependent kinetics are retained directly from the classical Hodgkin-Huxley formulation described in Section 2.2.2 (with delayed-rectifier conductance calibrated to $\bar{g}_{\text{K}} = 60.0\,\text{mS/cm}^2$ and $E_{\text{K}} = -77.0$ mV). Membrane parameters are $\bar{g}_{18} = 2000\,\text{mS/cm}^2$, $\bar{g}_{19} = 0.2\,\text{mS/cm}^2$, $E_{\text{Na}} = +50.0$ mV, and $E_{\text{leak},2} = -55.0$ mV. To eliminate initialization transients, a 20-ms pre-stimulus settling simulation is performed prior to stimulus onset (</w:t>
      </w:r>
      <w:r>
        <w:rPr>
          <w:rFonts w:ascii="Consolas" w:hAnsi="Consolas"/>
          <w:color w:val="800020"/>
          <w:sz w:val="18"/>
        </w:rPr>
        <w:t>get_settled_c_fiber</w:t>
      </w:r>
      <w:r>
        <w:t xml:space="preserve">), establishing a stable resting baseline at </w:t>
      </w:r>
      <w:r>
        <w:rPr>
          <w:b/>
        </w:rPr>
        <w:t>$-66.82$ mV</w:t>
      </w:r>
      <w:r>
        <w:t xml:space="preserve"> (drift $&lt; 10\,\mu\text{V}$ over 20 ms; steady-state gating variables $m_8 = 0.0009$, $h_8 = 0.9843$, $m_9 = 0.0334$, $n = 0.2902$).</w:t>
      </w:r>
    </w:p>
    <w:p>
      <w:pPr>
        <w:pBdr>
          <w:bottom w:val="single" w:sz="6" w:space="1" w:color="CCCCCC"/>
        </w:pBdr>
      </w:pPr>
    </w:p>
    <w:p>
      <w:pPr>
        <w:pStyle w:val="Heading3"/>
      </w:pPr>
      <w:r>
        <w:t>2.6 Multi-Fiber Bundle Formulation and Temporal Jitter</w:t>
      </w:r>
    </w:p>
    <w:p>
      <w:r>
        <w:t xml:space="preserve">In intact peripheral nerves, unmyelinated axons are enclosed within Schwann cell cytoplasm inside Remak bundles (Murinson &amp; Griffin, 2004), isolated from myelinated Aβ fibers. The present geometry models a </w:t>
      </w:r>
      <w:r>
        <w:rPr>
          <w:b/>
        </w:rPr>
        <w:t>pathologically altered or confined lesion space</w:t>
      </w:r>
      <w:r>
        <w:t xml:space="preserve"> (e.g., focal compression or demyelination) where denuded axolemmas share a restricted interstitial cleft ($w_{\text{cleft}} = 20$ nm).</w:t>
      </w:r>
    </w:p>
    <w:p>
      <w:r>
        <w:t>To evaluate spatial summation, we extend the system to $n$ synchronized Aβ fibers sharing the cleft with one C-fiber. Under synchronous stimulation, identical fibers contribute symmetrically. We model a single representative Aβ cable and scale its current source by $n$. Total core conductance scales as:</w:t>
      </w:r>
    </w:p>
    <w:p>
      <w:r>
        <w:t>$$\Sigma_G(n) = \frac{1}{r_e} + \frac{n}{r_{i,1}} + \frac{1}{r_{i,2}}$$</w:t>
      </w:r>
    </w:p>
    <w:p>
      <w:r>
        <w:t>To assess the impact of desynchronization, we implement an asynchronous recruitment protocol where Aβ activation times are distributed across a uniform jitter window of $1.5$ ms ($\pm 0.75$ ms) discretized into $K = 21$ temporal phases:</w:t>
      </w:r>
    </w:p>
    <w:p>
      <w:r>
        <w:t>$$t_{\text{stim},k} = t_{\text{pulse}} + \delta t_k, \quad \delta t_k \in [-0.75, +0.75]\,\text{ms}$$</w:t>
      </w:r>
    </w:p>
    <w:p>
      <w:r>
        <w:t>The ensemble source term is averaged across all $K$ phases before driving the extracellular Helmholtz solve.</w:t>
      </w:r>
    </w:p>
    <w:p>
      <w:pPr>
        <w:pBdr>
          <w:bottom w:val="single" w:sz="6" w:space="1" w:color="CCCCCC"/>
        </w:pBdr>
      </w:pPr>
    </w:p>
    <w:p>
      <w:pPr>
        <w:pStyle w:val="Heading3"/>
      </w:pPr>
      <w:r>
        <w:t>2.7 Operational Detection Endpoints</w:t>
      </w:r>
    </w:p>
    <w:p>
      <w:r>
        <w:t>To maintain strict objectivity, every simulation is classified automatically by an integrated spatiotemporal waveform analyzer (</w:t>
      </w:r>
      <w:r>
        <w:rPr>
          <w:rFonts w:ascii="Consolas" w:hAnsi="Consolas"/>
          <w:color w:val="800020"/>
          <w:sz w:val="18"/>
        </w:rPr>
        <w:t>classify_waveform</w:t>
      </w:r>
      <w:r>
        <w:t xml:space="preserve"> in </w:t>
      </w:r>
      <w:r>
        <w:rPr>
          <w:rFonts w:ascii="Consolas" w:hAnsi="Consolas"/>
          <w:color w:val="800020"/>
          <w:sz w:val="18"/>
        </w:rPr>
        <w:t>src/phase1_classical_hh/spike_detector.py</w:t>
      </w:r>
      <w:r>
        <w:t>):</w:t>
      </w:r>
    </w:p>
    <w:p>
      <w:pPr>
        <w:pStyle w:val="ListNumber"/>
      </w:pPr>
      <w:r>
        <w:rPr>
          <w:rFonts w:ascii="Consolas" w:hAnsi="Consolas"/>
          <w:color w:val="800020"/>
          <w:sz w:val="18"/>
        </w:rPr>
        <w:t>NO_RESPONSE</w:t>
      </w:r>
      <w:r>
        <w:t>: Peak downstream depolarization $\Delta V &lt; 0.5$ mV.</w:t>
      </w:r>
    </w:p>
    <w:p>
      <w:pPr>
        <w:pStyle w:val="ListNumber"/>
      </w:pPr>
      <w:r>
        <w:rPr>
          <w:rFonts w:ascii="Consolas" w:hAnsi="Consolas"/>
          <w:color w:val="800020"/>
          <w:sz w:val="18"/>
        </w:rPr>
        <w:t>PASSIVE_DEPOLARIZATION</w:t>
      </w:r>
      <w:r>
        <w:t>: Downstream $\Delta V &lt; 45$ mV or maximum rate of rise $\max(dV/dt) &lt; 30$ V/s.</w:t>
      </w:r>
    </w:p>
    <w:p>
      <w:pPr>
        <w:pStyle w:val="ListNumber"/>
      </w:pPr>
      <w:r>
        <w:rPr>
          <w:rFonts w:ascii="Consolas" w:hAnsi="Consolas"/>
          <w:color w:val="800020"/>
          <w:sz w:val="18"/>
        </w:rPr>
        <w:t>LOCAL_STIMULUS_TRANSIENT</w:t>
      </w:r>
      <w:r>
        <w:t>: Depolarization exceeds threshold proximal to the electrode ($z &lt; 2.0$ mm) but decays below threshold in the downstream cable window ($z \in [3.0, 8.0]$ mm).</w:t>
      </w:r>
    </w:p>
    <w:p>
      <w:pPr>
        <w:pStyle w:val="ListNumber"/>
      </w:pPr>
      <w:r>
        <w:rPr>
          <w:rFonts w:ascii="Consolas" w:hAnsi="Consolas"/>
          <w:color w:val="800020"/>
          <w:sz w:val="18"/>
        </w:rPr>
        <w:t>LOCAL_ABORTED_SPIKE</w:t>
      </w:r>
      <w:r>
        <w:t>: Threshold ($-20$ mV) crossed at $z = 4.0$ mm but fails to propagate past $z = 8.0$ mm.</w:t>
      </w:r>
    </w:p>
    <w:p>
      <w:pPr>
        <w:pStyle w:val="ListNumber"/>
      </w:pPr>
      <w:r>
        <w:rPr>
          <w:rFonts w:ascii="Consolas" w:hAnsi="Consolas"/>
          <w:color w:val="800020"/>
          <w:sz w:val="18"/>
        </w:rPr>
        <w:t>PROPAGATED_ACTION_POTENTIAL</w:t>
      </w:r>
      <w:r>
        <w:t>: Threshold crossed sequentially at both $z = 4.0$ mm and $z = 8.0$ mm with conduction velocity within physiological bounds ($0.2 \le \text{CV} \le 3.0$ m/s for C-fibers).</w:t>
      </w:r>
    </w:p>
    <w:p>
      <w:pPr>
        <w:pBdr>
          <w:bottom w:val="single" w:sz="6" w:space="1" w:color="CCCCCC"/>
        </w:pBdr>
      </w:pPr>
    </w:p>
    <w:p>
      <w:pPr>
        <w:pStyle w:val="Heading3"/>
      </w:pPr>
      <w:r>
        <w:t>2.8 Uniform Hodgkin-Huxley Kinetics Shift (Phase 1 Sensitivity Protocol)</w:t>
      </w:r>
    </w:p>
    <w:p>
      <w:r>
        <w:t>To explore whether classical Hodgkin-Huxley dynamics could support a quiescent yet excitable sensitized state near threshold, an artificial parameter sensitivity perturbation was applied to the Phase 1 C-fiber model. The voltage-dependent rate functions $\alpha(v)$ and $\beta(v)$ for sodium and potassium gating were subjected to a uniform hyperpolarizing shift $\Delta V_{\text{shift}}$:</w:t>
      </w:r>
    </w:p>
    <w:p>
      <w:r>
        <w:t>$$\tilde{\alpha}_x(v) = \alpha_x(v + \Delta V_{\text{shift}}), \quad \tilde{\beta}_x(v) = \beta_x(v + \Delta V_{\text{shift}}) \quad (x \in \{m, h, n\})$$</w:t>
      </w:r>
    </w:p>
    <w:p>
      <w:r>
        <w:t>This protocol served strictly as a parameter sensitivity exploration rather than a physiological representation of inflammatory sensitization. It evaluated whether shifting the activation window closer to the unperturbed resting potential could enable single-pulse Aβ ephaptic inputs to cross threshold without precipitating runaway spontaneous pacemaking.</w:t>
      </w:r>
    </w:p>
    <w:p>
      <w:pPr>
        <w:pBdr>
          <w:bottom w:val="single" w:sz="6" w:space="1" w:color="CCCCCC"/>
        </w:pBdr>
      </w:pPr>
    </w:p>
    <w:p>
      <w:pPr>
        <w:pStyle w:val="Heading2"/>
      </w:pPr>
      <w:r>
        <w:t>3 Results</w:t>
      </w:r>
    </w:p>
    <w:p>
      <w:pPr>
        <w:pStyle w:val="Heading3"/>
      </w:pPr>
      <w:r>
        <w:t>3.1 Single-Fiber Validation and Positive Controls</w:t>
      </w:r>
    </w:p>
    <w:p>
      <w:r>
        <w:t xml:space="preserve">The isolated Aβ fiber conducted saltatorily across all 10 nodes, reaching an absolute peak of approximately $+0.44$ mV from a resting potential of $-80.0$ mV, corresponding to an action-potential excursion of </w:t>
      </w:r>
      <w:r>
        <w:rPr>
          <w:b/>
        </w:rPr>
        <w:t>80.44 mV</w:t>
      </w:r>
      <w:r>
        <w:t xml:space="preserve">, with an isolated conduction velocity of </w:t>
      </w:r>
      <w:r>
        <w:rPr>
          <w:b/>
        </w:rPr>
        <w:t>41.03 m/s</w:t>
      </w:r>
      <w:r>
        <w:t xml:space="preserve"> (Table 5). The isolated Phase 1 C-fiber conducted continuously at </w:t>
      </w:r>
      <w:r>
        <w:rPr>
          <w:b/>
        </w:rPr>
        <w:t>0.41 m/s</w:t>
      </w:r>
      <w:r>
        <w:t xml:space="preserve"> with a peak amplitude of $+24.7$ mV (Fig. 2b). Both models confirmed independent excitability and stable resting baselines, providing a rigorous positive control.</w:t>
      </w:r>
    </w:p>
    <w:p>
      <w:pPr>
        <w:jc w:val="center"/>
      </w:pPr>
      <w:r>
        <w:drawing>
          <wp:inline xmlns:a="http://schemas.openxmlformats.org/drawingml/2006/main" xmlns:pic="http://schemas.openxmlformats.org/drawingml/2006/picture">
            <wp:extent cx="5303520" cy="2121408"/>
            <wp:docPr id="5" name="Picture 5"/>
            <wp:cNvGraphicFramePr>
              <a:graphicFrameLocks noChangeAspect="1"/>
            </wp:cNvGraphicFramePr>
            <a:graphic>
              <a:graphicData uri="http://schemas.openxmlformats.org/drawingml/2006/picture">
                <pic:pic>
                  <pic:nvPicPr>
                    <pic:cNvPr id="0" name="fig2_phase1_control.png"/>
                    <pic:cNvPicPr/>
                  </pic:nvPicPr>
                  <pic:blipFill>
                    <a:blip r:embed="rId13"/>
                    <a:stretch>
                      <a:fillRect/>
                    </a:stretch>
                  </pic:blipFill>
                  <pic:spPr>
                    <a:xfrm>
                      <a:off x="0" y="0"/>
                      <a:ext cx="5303520" cy="2121408"/>
                    </a:xfrm>
                    <a:prstGeom prst="rect"/>
                  </pic:spPr>
                </pic:pic>
              </a:graphicData>
            </a:graphic>
          </wp:inline>
        </w:drawing>
      </w:r>
    </w:p>
    <w:p>
      <w:pPr>
        <w:jc w:val="center"/>
      </w:pPr>
      <w:r>
        <w:rPr>
          <w:i/>
          <w:sz w:val="17"/>
        </w:rPr>
        <w:t>Figure 2: Positive control confirming both Phase 1 fiber models are independently excitable and conduct correctly, with ephaptic coupling disabled.</w:t>
      </w:r>
    </w:p>
    <w:p>
      <w:r>
        <w:rPr>
          <w:b/>
        </w:rPr>
        <w:t>Fig. 2 Positive controls (uncoupled).</w:t>
      </w:r>
      <w:r>
        <w:t xml:space="preserve"> (a) Isolated Aβ fiber: saltatory action potential (excursion $80.44$ mV, resting at $-80.0$ mV and peaking at $+0.44$ mV) propagating at </w:t>
      </w:r>
      <w:r>
        <w:rPr>
          <w:b/>
        </w:rPr>
        <w:t>41.03 m/s</w:t>
      </w:r>
      <w:r>
        <w:t xml:space="preserve"> across nodes $z = 1$–$9$ mm ($100$ nA, $0.2$ ms stimulus at $z = 0$). (b) Isolated classical HH C-fiber: regenerative action potential conducting continuously at </w:t>
      </w:r>
      <w:r>
        <w:rPr>
          <w:b/>
        </w:rPr>
        <w:t>0.41 m/s</w:t>
      </w:r>
      <w:r>
        <w:t xml:space="preserve"> ($1$ nA, $1$ ms stimulus at $z = 0$).</w:t>
      </w:r>
    </w:p>
    <w:p>
      <w:pPr>
        <w:pBdr>
          <w:bottom w:val="single" w:sz="6" w:space="1" w:color="CCCCCC"/>
        </w:pBdr>
      </w:pPr>
    </w:p>
    <w:p>
      <w:pPr>
        <w:pStyle w:val="Heading3"/>
      </w:pPr>
      <w:r>
        <w:t>3.2 Experiment 1: Single-Pulse Crosstalk (Phase 1)</w:t>
      </w:r>
    </w:p>
    <w:p>
      <w:r>
        <w:t xml:space="preserve">Across the tested cleft-width range of $w_{\text{cleft}} = 20$ nm to $5\,\mu\text{m}$, a single Aβ action potential failed to trigger an ectopic C-fiber action potential. At the tightest cleft ($20$ nm), peak C-fiber depolarization was only $\Delta V = 1.325$ mV (membrane potential rising from $-65.0$ mV to $-63.68$ mV at $z = 6.0$ mm; Table 1). The event was classified as </w:t>
      </w:r>
      <w:r>
        <w:rPr>
          <w:rFonts w:ascii="Consolas" w:hAnsi="Consolas"/>
          <w:color w:val="800020"/>
          <w:sz w:val="18"/>
        </w:rPr>
        <w:t>LOCAL_STIMULUS_TRANSIENT</w:t>
      </w:r>
      <w:r>
        <w:t>.</w:t>
      </w:r>
    </w:p>
    <w:p>
      <w:pPr>
        <w:pBdr>
          <w:bottom w:val="single" w:sz="6" w:space="1" w:color="CCCCCC"/>
        </w:pBdr>
      </w:pPr>
    </w:p>
    <w:p>
      <w:pPr>
        <w:pStyle w:val="Heading3"/>
      </w:pPr>
      <w:r>
        <w:t>3.3 Sensitization via Persistent Depolarizing Bias (Phase 1)</w:t>
      </w:r>
    </w:p>
    <w:p>
      <w:r>
        <w:t>Applying a uniform depolarizing bias current ($0.1$ to $0.5\,\text{A/m}^2$) elevated C-fiber baseline potential to between $-55$ and $-50$ mV. However, the marginal ephaptic perturbation evoked by a passing Aβ action potential remained small ($\approx 1.2$–$1.8$ mV) and failed to reach firing threshold. Biases exceeding $0.6\,\text{A/m}^2$ triggered intrinsic spontaneous pacemaking independent of Aβ input (Table 1), indicating the absence of a stable sensitized intermediate in classical HH kinetics.</w:t>
      </w:r>
    </w:p>
    <w:p>
      <w:pPr>
        <w:pBdr>
          <w:bottom w:val="single" w:sz="6" w:space="1" w:color="CCCCCC"/>
        </w:pBdr>
      </w:pPr>
    </w:p>
    <w:p>
      <w:pPr>
        <w:pStyle w:val="Heading3"/>
      </w:pPr>
      <w:r>
        <w:t>3.4 Sensitization via Uniform HH Kinetics Shift (Phase 1 Sensitivity Test)</w:t>
      </w:r>
    </w:p>
    <w:p>
      <w:r>
        <w:t>Applying a uniform hyperpolarizing shift $\Delta V_{\text{shift}}$ to all HH rate functions served as a mathematical sensitivity exploration (Section 2.8). Shifts of $\Delta V_{\text{shift}} \ge 3$ mV produced an abrupt transition directly into spontaneous pacemaking without external stimulation. This sensitivity exploration demonstrated that classical HH dynamics cannot maintain a stable, quiescent yet sensitized state near threshold, motivating Phase 2.</w:t>
      </w:r>
    </w:p>
    <w:p>
      <w:pPr>
        <w:pBdr>
          <w:bottom w:val="single" w:sz="6" w:space="1" w:color="CCCCCC"/>
        </w:pBdr>
      </w:pPr>
    </w:p>
    <w:p>
      <w:pPr>
        <w:pStyle w:val="Heading3"/>
      </w:pPr>
      <w:r>
        <w:t>3.5 High-Frequency Temporal Summation and 100-Hz Threshold Crossing</w:t>
      </w:r>
    </w:p>
    <w:p>
      <w:r>
        <w:t xml:space="preserve">Delivering pulse trains at 100 Hz ($n=25, w_{\text{cleft}}=20$ nm) to an unprimed C-fiber revealed a marked temporal summation effect. In earlier exploratory runs, simulations of 2 pulses were truncated at $T = 15.2$ ms ($t_{\text{last}} + 5$ ms). Because C-fiber conduction is slow ($0.41$ mm/ms), an action potential initiated near $t = 10$ ms requires $\approx 19.5$ ms to reach the downstream recording site at $z = 8.0$ mm ($t \approx 29.5$ ms). Truncating at $15.2$ ms captured the spike in flight at $z \approx 2.1$ mm, leading to an artifactual </w:t>
      </w:r>
      <w:r>
        <w:rPr>
          <w:rFonts w:ascii="Consolas" w:hAnsi="Consolas"/>
          <w:color w:val="800020"/>
          <w:sz w:val="18"/>
        </w:rPr>
        <w:t>LOCAL_ABORTED_SPIKE</w:t>
      </w:r>
      <w:r>
        <w:t xml:space="preserve"> classification and creating the erroneous impression that $\ge 5$ pulses were required for propagation.</w:t>
      </w:r>
    </w:p>
    <w:p>
      <w:r>
        <w:t>When simulated with adequate observation time ($T \ge 35$ ms), the canonical suite demonstrates:</w:t>
      </w:r>
    </w:p>
    <w:p>
      <w:pPr>
        <w:pStyle w:val="ListBullet"/>
      </w:pPr>
      <w:r>
        <w:rPr>
          <w:b/>
        </w:rPr>
        <w:t>Pulse 1 ($t = 0$ ms):</w:t>
      </w:r>
      <w:r>
        <w:t xml:space="preserve"> Produces a subthreshold depolarization of $\Delta V = 5.039$ mV at midpoint (peak $-59.96$ mV) and $\Delta V = 6.015$ mV downstream (peak $-58.99$ mV). No propagated AP occurs.</w:t>
      </w:r>
    </w:p>
    <w:p>
      <w:pPr>
        <w:pStyle w:val="ListBullet"/>
      </w:pPr>
      <w:r>
        <w:rPr>
          <w:b/>
        </w:rPr>
        <w:t>Pulse 2 ($t = 10$ ms):</w:t>
      </w:r>
      <w:r>
        <w:t xml:space="preserve"> </w:t>
      </w:r>
      <w:r>
        <w:rPr>
          <w:b/>
        </w:rPr>
        <w:t>Evokes the first fully propagated C-fiber action potential</w:t>
      </w:r>
      <w:r>
        <w:t xml:space="preserve"> (midpoint peak $+24.83$ mV, downstream peak $+24.70$ mV at $8.0$ mm, $\text{CV} = 0.41$ m/s; </w:t>
      </w:r>
      <w:r>
        <w:rPr>
          <w:rFonts w:ascii="Consolas" w:hAnsi="Consolas"/>
          <w:color w:val="800020"/>
          <w:sz w:val="18"/>
        </w:rPr>
        <w:t>PROPAGATED_ACTION_POTENTIAL</w:t>
      </w:r>
      <w:r>
        <w:t>, spiked = True).</w:t>
      </w:r>
    </w:p>
    <w:p>
      <w:pPr>
        <w:pStyle w:val="ListBullet"/>
      </w:pPr>
      <w:r>
        <w:rPr>
          <w:b/>
        </w:rPr>
        <w:t>Pulses 3, 5, 10:</w:t>
      </w:r>
      <w:r>
        <w:t xml:space="preserve"> Sustain repetitive, fully propagated C-fiber firing (Table 1).</w:t>
      </w:r>
    </w:p>
    <w:p>
      <w:pPr>
        <w:pBdr>
          <w:bottom w:val="single" w:sz="6" w:space="1" w:color="CCCCCC"/>
        </w:pBdr>
      </w:pPr>
    </w:p>
    <w:p>
      <w:pPr>
        <w:pStyle w:val="Heading3"/>
      </w:pPr>
      <w:r>
        <w:t>3.6 Regularization Sensitivity Analysis ($\kappa$)</w:t>
      </w:r>
    </w:p>
    <w:p>
      <w:r>
        <w:t>A lower-$\kappa$ sensitivity exploration ($\kappa = 3 \times 10^7\,\text{m}^{-2}$, $\lambda_e \approx 183\,\mu\text{m}$) produced nonphysical delayed threshold crossings under the tested numerical implementation. Because this behavior was diagnosed as numerical instability under the tested lower-$\kappa$ implementation rather than an independently motivated physiological parameter choice or physical stability boundary, it is not used to support biological conclusions; all comparative analyses across the paper therefore retain the prespecified phenomenological baseline $\kappa = 1.0 \times 10^9\,\text{m}^{-2}$.</w:t>
      </w:r>
    </w:p>
    <w:p>
      <w:pPr>
        <w:pBdr>
          <w:bottom w:val="single" w:sz="6" w:space="1" w:color="CCCCCC"/>
        </w:pBdr>
      </w:pPr>
    </w:p>
    <w:p>
      <w:pPr>
        <w:pStyle w:val="Heading3"/>
      </w:pPr>
      <w:r>
        <w:t>3.7 Nav1.8/Nav1.9 C-Fiber Positive Controls and Baseline (Phase 2)</w:t>
      </w:r>
    </w:p>
    <w:p>
      <w:r>
        <w:t xml:space="preserve">Following 20 ms settling, the uncoupled Nav1.8/Nav1.9 C-fiber rested stably at </w:t>
      </w:r>
      <w:r>
        <w:rPr>
          <w:b/>
        </w:rPr>
        <w:t>$-66.82$ mV</w:t>
      </w:r>
      <w:r>
        <w:t xml:space="preserve"> with baseline drift $&lt; 10\,\mu\text{V}$ (steady-state gating variables $m_8 = 0.0009$, $h_8 = 0.9843$, $m_9 = 0.0334$, $n = 0.2902$). Direct current injection (2 nA, 1 ms) evoked full-amplitude continuous action potentials propagating at </w:t>
      </w:r>
      <w:r>
        <w:rPr>
          <w:b/>
        </w:rPr>
        <w:t>0.26 m/s</w:t>
      </w:r>
      <w:r>
        <w:t xml:space="preserve"> (Fig. 3a), providing a positive-control demonstration of excitability and propagation within the Phase 2 model.</w:t>
      </w:r>
    </w:p>
    <w:p>
      <w:pPr>
        <w:jc w:val="center"/>
      </w:pPr>
      <w:r>
        <w:drawing>
          <wp:inline xmlns:a="http://schemas.openxmlformats.org/drawingml/2006/main" xmlns:pic="http://schemas.openxmlformats.org/drawingml/2006/picture">
            <wp:extent cx="5303520" cy="1515291"/>
            <wp:docPr id="6" name="Picture 6"/>
            <wp:cNvGraphicFramePr>
              <a:graphicFrameLocks noChangeAspect="1"/>
            </wp:cNvGraphicFramePr>
            <a:graphic>
              <a:graphicData uri="http://schemas.openxmlformats.org/drawingml/2006/picture">
                <pic:pic>
                  <pic:nvPicPr>
                    <pic:cNvPr id="0" name="fig3_phase2_control.png"/>
                    <pic:cNvPicPr/>
                  </pic:nvPicPr>
                  <pic:blipFill>
                    <a:blip r:embed="rId14"/>
                    <a:stretch>
                      <a:fillRect/>
                    </a:stretch>
                  </pic:blipFill>
                  <pic:spPr>
                    <a:xfrm>
                      <a:off x="0" y="0"/>
                      <a:ext cx="5303520" cy="1515291"/>
                    </a:xfrm>
                    <a:prstGeom prst="rect"/>
                  </pic:spPr>
                </pic:pic>
              </a:graphicData>
            </a:graphic>
          </wp:inline>
        </w:drawing>
      </w:r>
    </w:p>
    <w:p>
      <w:pPr>
        <w:jc w:val="center"/>
      </w:pPr>
      <w:r>
        <w:rPr>
          <w:i/>
          <w:sz w:val="17"/>
        </w:rPr>
        <w:t>Figure 3: (a) Positive control for the Phase 2 C-fiber (isolated Nav1.8/1.9 continuous conduction across 40 ms), (b) coupled C-fiber subthreshold depolarizing humps, and (c) multi-fiber spatial summation trend.</w:t>
      </w:r>
    </w:p>
    <w:p>
      <w:r>
        <w:rPr>
          <w:b/>
        </w:rPr>
        <w:t>Fig. 3 Phase 2 positive control and multi-fiber summation.</w:t>
      </w:r>
      <w:r>
        <w:t xml:space="preserve"> (a) Isolated Nav1.8/Nav1.9 C-fiber action potential conducting continuously at $0.26$ m/s ($z = 1$–$9$ mm). (b) Subthreshold C-fiber midpoint membrane potential traces for $n \in [1, 5, 10, 25]$ synchronized Aβ fibers ($w_{\text{cleft}} = 20$ nm). (c) Multi-fiber spatial summation trend: peak C-fiber midpoint potential as a function of synchronized Aβ fiber count $n \in [1, 50]$, showing an overall increase with small fluctuations that plateaus near $-58.8$ mV due to core conductance shunting ($\Sigma_G$).</w:t>
      </w:r>
    </w:p>
    <w:p>
      <w:pPr>
        <w:pBdr>
          <w:bottom w:val="single" w:sz="6" w:space="1" w:color="CCCCCC"/>
        </w:pBdr>
      </w:pPr>
    </w:p>
    <w:p>
      <w:pPr>
        <w:pStyle w:val="Heading3"/>
      </w:pPr>
      <w:r>
        <w:t>3.8 Phase 2 Single-Pair Crosstalk</w:t>
      </w:r>
    </w:p>
    <w:p>
      <w:r>
        <w:t>Single-pulse stimulation across $w_{\text{cleft}} \in [20\,\text{nm}, 5\,\mu\text{m}]$ in the Nav1.8/Nav1.9 model confirmed the Phase 1 negative finding: no action potentials were evoked, with peak depolarization $&lt; 1.0$ mV. Graded depolarizing bias currents identified a stable subthreshold sensitized window up to $0.25\,\text{A/m}^2$, but combined Aβ ephaptic drive remained well below the Nav1.8 activation threshold (Table 2).</w:t>
      </w:r>
    </w:p>
    <w:p>
      <w:pPr>
        <w:pBdr>
          <w:bottom w:val="single" w:sz="6" w:space="1" w:color="CCCCCC"/>
        </w:pBdr>
      </w:pPr>
    </w:p>
    <w:p>
      <w:pPr>
        <w:pStyle w:val="Heading3"/>
      </w:pPr>
      <w:r>
        <w:t>3.9 Multi-Fiber Bundle Spatial Summation, Temporal Jitter, and Summation Mechanism</w:t>
      </w:r>
    </w:p>
    <w:p>
      <w:pPr>
        <w:pStyle w:val="Heading4"/>
      </w:pPr>
      <w:r>
        <w:t>3.9.1 Multi-Fiber Spatial Summation</w:t>
      </w:r>
    </w:p>
    <w:p>
      <w:r>
        <w:t xml:space="preserve">In the Phase 1 classical HH model, sweeping synchronized Aβ fiber count $n \in [1, 50]$ in a $20$ nm cleft ($V_{\text{rest}} = -65.000$ mV) produced a progressive increase in subthreshold depolarization: from $\Delta V = 1.325$ mV at $n = 1$ to $\Delta V = 5.039$ mV at midpoint (and $6.015$ mV downstream maximum) at $n = 25$ (Table 4). As $n$ increased further across the tested range up to $50$, depolarization exhibited saturation-like behavior, leveling off at $\Delta V = 6.184$ mV. This plateau is directly attributable to the expanding parallel intracellular core conductance $\Sigma_G(n)$, which shunts the extracellular cleft. Concurrently, collective cleft loading decelerates Aβ conduction velocity from $40.0$ m/s ($n = 1$) to </w:t>
      </w:r>
      <w:r>
        <w:rPr>
          <w:b/>
        </w:rPr>
        <w:t>32.00 m/s</w:t>
      </w:r>
      <w:r>
        <w:t xml:space="preserve"> ($n = 25$) and $27.1$ m/s ($n = 50$). Across the entire tested range of $n \le 50$, single-pulse multi-fiber spatial summation remains strictly subthreshold.</w:t>
      </w:r>
    </w:p>
    <w:p>
      <w:r>
        <w:t>In the Phase 2 Nav1.8/Nav1.9 nociceptor model ($V_{\text{rest}} = -66.82$ mV; Fig. 4), synchronous multi-fiber activation similarly produces an asymptotic subthreshold depolarization trend, rising from a midpoint peak of $-65.07$ mV ($\Delta V = 1.76$ mV) at $n = 1$ to $-56.66$ mV ($\Delta V = 10.16$ mV) at $n = 25$, and saturating near $-56.40$ mV ($\Delta V = 10.42$ mV) at $n = 50$, remaining well below the nociceptor threshold ($-35.0$ mV).</w:t>
      </w:r>
    </w:p>
    <w:p>
      <w:pPr>
        <w:pStyle w:val="Heading4"/>
      </w:pPr>
      <w:r>
        <w:t>3.9.2 Temporal Dispersion / Jitter Attenuation</w:t>
      </w:r>
    </w:p>
    <w:p>
      <w:r>
        <w:t xml:space="preserve">Introducing a modeled $1.5$ ms temporal onset-dispersion window across the Aβ population desynchronized the source currents, reducing temporal overlap and sharply attenuating depolarization. In the Phase 1 model at $n = 25$, peak midpoint depolarization is suppressed from $5.039$ mV to </w:t>
      </w:r>
      <w:r>
        <w:rPr>
          <w:b/>
        </w:rPr>
        <w:t>0.426 mV</w:t>
      </w:r>
      <w:r>
        <w:t xml:space="preserve">—a </w:t>
      </w:r>
      <w:r>
        <w:rPr>
          <w:b/>
        </w:rPr>
        <w:t>92.9% attenuation</w:t>
      </w:r>
      <w:r>
        <w:t xml:space="preserve">. In the Phase 2 model at $n = 25$ (Fig. 4), peak midpoint potential is suppressed from $-56.66$ mV ($\Delta V = 10.16$ mV) to </w:t>
      </w:r>
      <w:r>
        <w:rPr>
          <w:b/>
        </w:rPr>
        <w:t>$-66.20$ mV</w:t>
      </w:r>
      <w:r>
        <w:t xml:space="preserve"> ($\Delta V = 0.63$ mV above rest $-66.82$ mV)—a </w:t>
      </w:r>
      <w:r>
        <w:rPr>
          <w:b/>
        </w:rPr>
        <w:t>93.9% attenuation</w:t>
      </w:r>
      <w:r>
        <w:t>. This establishes that multi-fiber spatial summation is highly sensitive to input synchrony under tested conditions across both channel models.</w:t>
      </w:r>
    </w:p>
    <w:p>
      <w:pPr>
        <w:jc w:val="center"/>
      </w:pPr>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phase2_multifiber_sweep.png"/>
                    <pic:cNvPicPr/>
                  </pic:nvPicPr>
                  <pic:blipFill>
                    <a:blip r:embed="rId15"/>
                    <a:stretch>
                      <a:fillRect/>
                    </a:stretch>
                  </pic:blipFill>
                  <pic:spPr>
                    <a:xfrm>
                      <a:off x="0" y="0"/>
                      <a:ext cx="5303520" cy="3788229"/>
                    </a:xfrm>
                    <a:prstGeom prst="rect"/>
                  </pic:spPr>
                </pic:pic>
              </a:graphicData>
            </a:graphic>
          </wp:inline>
        </w:drawing>
      </w:r>
    </w:p>
    <w:p>
      <w:pPr>
        <w:jc w:val="center"/>
      </w:pPr>
      <w:r>
        <w:rPr>
          <w:i/>
          <w:sz w:val="17"/>
        </w:rPr>
        <w:t>Figure 4: Multi-fiber spatial summation and temporal dispersion in the Phase 2 Nav1.8/Nav1.9 nociceptor model ($w_{\text{cleft}} = 20$ nm, fixed baseline $\kappa = 1.0 \times 10^9\,\text{m}^{-2}$). Peak absolute C-fiber midpoint membrane potential ($V_2$ at $z = 5.0$ mm) is plotted across synchronized Aβ fiber count $n \in [1, 50]$ under synchronous recruitment (jitter $0.0$ ms; peaking at $-65.07$ mV for $n=1$, $-58.84$ mV for $n=10$, $-56.66$ mV for $n=25$, and $-56.40$ mV for $n=50$, demonstrating an asymptotic subthreshold trend) and under a modeled $1.5$-ms onset-dispersion window (jitter $1.5$ ms across $K=21$ phases; peaking at $-66.20$ mV for $n=25$, representing $\Delta V = 0.63$ mV above rest and a $93.9\%$ attenuation of ephaptic depolarization). Both curves originate from the settled resting baseline of $-66.82$ mV (dotted gray line) and remain well below the Nav1.8 regenerative threshold ($-35.0$ mV, dashed crimson line).</w:t>
      </w:r>
    </w:p>
    <w:p>
      <w:pPr>
        <w:pStyle w:val="Heading4"/>
      </w:pPr>
      <w:r>
        <w:t>3.9.3 Summation Mechanism: Membrane State vs Extracellular Potential Accumulation</w:t>
      </w:r>
    </w:p>
    <w:p>
      <w:r>
        <w:t>To determine whether repeated 100-Hz recruitment is driven by extracellular potential buildup or C-fiber membrane state accumulation, we executed a controlled state-reset experiment (</w:t>
      </w:r>
      <w:r>
        <w:rPr>
          <w:rFonts w:ascii="Consolas" w:hAnsi="Consolas"/>
          <w:color w:val="800020"/>
          <w:sz w:val="18"/>
        </w:rPr>
        <w:t>run_test3_mechanism.py</w:t>
      </w:r>
      <w:r>
        <w:t>). In the control simulation, extracellular potential pulses $u_e$ returned to baseline between pulses, with no progressive accumulation. Resetting C-fiber membrane potential and gating variables to rest immediately prior to each pulse completely eliminated repeated action potential generation. The reset experiment supports the interpretation that repeated recruitment is primarily mediated by residual C-fiber membrane and gating-state accumulation rather than progressive extracellular potential buildup.</w:t>
      </w:r>
    </w:p>
    <w:p>
      <w:pPr>
        <w:pBdr>
          <w:bottom w:val="single" w:sz="6" w:space="1" w:color="CCCCCC"/>
        </w:pBdr>
      </w:pPr>
    </w:p>
    <w:p>
      <w:pPr>
        <w:pStyle w:val="Heading2"/>
      </w:pPr>
      <w:r>
        <w:t>4 Discussion</w:t>
      </w:r>
    </w:p>
    <w:p>
      <w:pPr>
        <w:pStyle w:val="Heading3"/>
      </w:pPr>
      <w:r>
        <w:t>4.1 Principal Findings</w:t>
      </w:r>
    </w:p>
    <w:p>
      <w:r>
        <w:t>This study provides a rigorous, closed-loop computational evaluation of bidirectional ephaptic crosstalk between myelinated Aβ afferents and unmyelinated C-fibers. Across both classical HH and nociceptor-realistic Nav1.8/Nav1.9 channel kinetics, our simulations demonstrate:</w:t>
      </w:r>
    </w:p>
    <w:p>
      <w:pPr>
        <w:pStyle w:val="ListNumber"/>
      </w:pPr>
      <w:r>
        <w:rPr>
          <w:b/>
        </w:rPr>
        <w:t>Single-pair coupling under single-pulse stimulation is insufficient under tested conditions</w:t>
      </w:r>
      <w:r>
        <w:t xml:space="preserve"> to evoke an action potential across the tested cleft-width range of $20$ nm to $5\,\mu\text{m}$.</w:t>
      </w:r>
    </w:p>
    <w:p>
      <w:pPr>
        <w:pStyle w:val="ListNumber"/>
      </w:pPr>
      <w:r>
        <w:t>In the Phase 1 classical-HH model, synchronized multi-fiber spatial summation produces substantial subthreshold depolarization ($+5.04$ to $+6.01$ mV for $n=25$), but plateaus asymptotically near $+6.2$ mV due to parallel axoplasmic core conductance shunting. The Phase 2 Nav1.8/Nav1.9 model shows the same qualitative saturation, reaching $+10.16$ mV at $n=25$ and $+10.42$ mV at $n=50$.</w:t>
      </w:r>
    </w:p>
    <w:p>
      <w:pPr>
        <w:pStyle w:val="ListNumber"/>
      </w:pPr>
      <w:r>
        <w:rPr>
          <w:b/>
        </w:rPr>
        <w:t>Temporal dispersion strongly attenuates spatial summation</w:t>
      </w:r>
      <w:r>
        <w:t>, reducing peak ephaptic drive by $92.9\%$ in Phase 1 ($93.9\%$ in Phase 2) under the modeled $1.5$-ms onset-dispersion window.</w:t>
      </w:r>
    </w:p>
    <w:p>
      <w:pPr>
        <w:pStyle w:val="ListNumber"/>
      </w:pPr>
      <w:r>
        <w:rPr>
          <w:b/>
        </w:rPr>
        <w:t>Repetitive 100-Hz stimulation evokes a fully propagated C-fiber action potential on Pulse 2</w:t>
      </w:r>
      <w:r>
        <w:t>, mediated primarily by cumulative C-fiber membrane and gating-state integration.</w:t>
      </w:r>
    </w:p>
    <w:p>
      <w:pPr>
        <w:pBdr>
          <w:bottom w:val="single" w:sz="6" w:space="1" w:color="CCCCCC"/>
        </w:pBdr>
      </w:pPr>
    </w:p>
    <w:p>
      <w:pPr>
        <w:pStyle w:val="Heading3"/>
      </w:pPr>
      <w:r>
        <w:t>4.2 Single-Pair Coupling Insufficiency</w:t>
      </w:r>
    </w:p>
    <w:p>
      <w:r>
        <w:t>Single-pair ephaptic drive generates peak membrane perturbations of only $\sim 1.3$ mV in a $20$-nm cleft, substantially below the depolarization required to initiate regenerative firing under the tested Phase 1 model. Within the present core-conductor formulation, the single-fiber source produces only limited current transfer into the shared extracellular pathway. This finding holds across generic and nociceptor-specific kinetics.</w:t>
      </w:r>
    </w:p>
    <w:p>
      <w:pPr>
        <w:pBdr>
          <w:bottom w:val="single" w:sz="6" w:space="1" w:color="CCCCCC"/>
        </w:pBdr>
      </w:pPr>
    </w:p>
    <w:p>
      <w:pPr>
        <w:pStyle w:val="Heading3"/>
      </w:pPr>
      <w:r>
        <w:t>4.3 Multi-Fiber Spatial Summation and Asymptotic Saturation</w:t>
      </w:r>
    </w:p>
    <w:p>
      <w:r>
        <w:t>In the Phase 1 classical-HH model, extending the system to $25$ synchronized Aβ fibers generates an approximately $6.0$-mV depolarization ($5.039$ mV midpoint, $6.015$ mV downstream maximum). However, the response saturates asymptotically near $+6.2$ mV. The Phase 2 Nav1.8/Nav1.9 model reproduces the same saturation mechanism qualitatively, reaching a midpoint depolarization of $10.16$ mV at $n=25$ and $10.42$ mV at $n=50$. The core-conductor derivation reveals the mathematical mechanism underlying this plateau, which involves three interacting factors: (1) as synchronized fiber count $n$ increases, the total axial core conductance $\Sigma_G(n) = 1/r_e + n/r_{i,1} + 1/r_{i,2}$ expands linearly with each added intracellular channel; (2) this expansion of $\Sigma_G$ directly reduces the effective regularization parameter $\kappa_{\text{eff}}(n) = (\kappa/r_e)/\Sigma_G(n)$, systematically lengthening the effective electrotonic spatial decay scale of the reduced 1-D Helmholtz operator, $\lambda_{\text{eff}} = 1/\sqrt{\kappa_{\text{eff}}}$ (from $73.3\,\mu\text{m}$ at $n=1$ to $464.3\,\mu\text{m}$ at $n=50$; Table 4); and (3) in the reduced extracellular operator, the expanding parallel intracellular conductances act as an intrinsic low-resistance resistive shunt that dissipates return currents longitudinally rather than confining them to the cleft, causing the induced extracellular and transmembrane potentials to plateau asymptotically. Thus, multi-fiber spatial summation alone cannot drive single-pulse suprathreshold activation under the tested geometry.</w:t>
      </w:r>
    </w:p>
    <w:p>
      <w:pPr>
        <w:pBdr>
          <w:bottom w:val="single" w:sz="6" w:space="1" w:color="CCCCCC"/>
        </w:pBdr>
      </w:pPr>
    </w:p>
    <w:p>
      <w:pPr>
        <w:pStyle w:val="Heading3"/>
      </w:pPr>
      <w:r>
        <w:t>4.4 Temporal Summation and Membrane-State Accumulation</w:t>
      </w:r>
    </w:p>
    <w:p>
      <w:r>
        <w:t xml:space="preserve">In contrast to single pulses, high-frequency pulse trains (100 Hz) trigger a propagated C-fiber action potential on </w:t>
      </w:r>
      <w:r>
        <w:rPr>
          <w:b/>
        </w:rPr>
        <w:t>Pulse 2</w:t>
      </w:r>
      <w:r>
        <w:t>. Because the C-fiber membrane time constant ($\tau_m \approx 2$–$5$ ms) and slow sodium channel gating outlast the brief extracellular transient, residual depolarization and gate activation from Pulse 1 prime the axon, allowing Pulse 2 to reach threshold. The state-reset control confirms that recruitment is governed by intrinsic membrane-state accumulation, as extracellular potential transients decay completely between pulses.</w:t>
      </w:r>
    </w:p>
    <w:p>
      <w:pPr>
        <w:pBdr>
          <w:bottom w:val="single" w:sz="6" w:space="1" w:color="CCCCCC"/>
        </w:pBdr>
      </w:pPr>
    </w:p>
    <w:p>
      <w:pPr>
        <w:pStyle w:val="Heading3"/>
      </w:pPr>
      <w:r>
        <w:t>4.5 Synchrony Dependence</w:t>
      </w:r>
    </w:p>
    <w:p>
      <w:r>
        <w:t>The strong attenuation observed under the modeled $1.5$ ms onset-dispersion window ($92.9\%$ in Phase 1; $93.9\%$ in Phase 2) highlights that multi-fiber spatial summation is highly sensitive to the degree of temporal alignment across fibers. While highly synchronous activation may occur during rapid electrical stimulation or sharp mechanical transients, naturalistic tactile stimuli recruiting dispersed afferent populations would exhibit reduced temporal overlap of source currents, substantially attenuating the ephaptic potential.</w:t>
      </w:r>
    </w:p>
    <w:p>
      <w:pPr>
        <w:pBdr>
          <w:bottom w:val="single" w:sz="6" w:space="1" w:color="CCCCCC"/>
        </w:pBdr>
      </w:pPr>
    </w:p>
    <w:p>
      <w:pPr>
        <w:pStyle w:val="Heading3"/>
      </w:pPr>
      <w:r>
        <w:t>4.6 Numerical and Modeling Limitations</w:t>
      </w:r>
    </w:p>
    <w:p>
      <w:pPr>
        <w:pStyle w:val="ListNumber"/>
      </w:pPr>
      <w:r>
        <w:rPr>
          <w:b/>
        </w:rPr>
        <w:t>One-Dimensional Approximation:</w:t>
      </w:r>
      <w:r>
        <w:t xml:space="preserve"> The 1D core-conductor model longitudinally averages extracellular potential, omitting three-dimensional cleft tortuosity, micro-domains, and non-uniform axon packing. Fully coupled 3D EMI formulations (Jæger &amp; Tveito, 2026) are required to resolve localized field hotspots.</w:t>
      </w:r>
    </w:p>
    <w:p>
      <w:pPr>
        <w:pStyle w:val="ListNumber"/>
      </w:pPr>
      <w:r>
        <w:rPr>
          <w:b/>
        </w:rPr>
        <w:t>Phenomenological Regularization ($\kappa$):</w:t>
      </w:r>
      <w:r>
        <w:t xml:space="preserve"> The parameter $\kappa = 1.0\times 10^9\,\text{m}^{-2}$ represents cleft leakage but is not directly measured experimentally. Furthermore, $\kappa_{\text{eff}}$ inherently depends on fiber count $n$ through $\Sigma_G$.</w:t>
      </w:r>
    </w:p>
    <w:p>
      <w:pPr>
        <w:pStyle w:val="ListNumber"/>
      </w:pPr>
      <w:r>
        <w:rPr>
          <w:b/>
        </w:rPr>
        <w:t>Temporal Non-Convergence of Single-Pulse $n=25$ Peak:</w:t>
      </w:r>
      <w:r>
        <w:t xml:space="preserve"> While event classifications are strictly stable under temporal refinement down to $\Delta t = 0.125\,\mu\text{s}$ (</w:t>
      </w:r>
      <w:r>
        <w:rPr>
          <w:rFonts w:ascii="Consolas" w:hAnsi="Consolas"/>
          <w:color w:val="800020"/>
          <w:sz w:val="18"/>
        </w:rPr>
        <w:t>LOCAL_STIMULUS_TRANSIENT</w:t>
      </w:r>
      <w:r>
        <w:t xml:space="preserve"> throughout), the single-pulse $n=25$ peak $\Delta V$ magnitude exhibits notable timestep dependence ($5.971\,\text{mV}$ at $\Delta t = 2.5\,\mu\text{s}$ to $14.930\,\text{mV}$ at $0.125\,\mu\text{s}$). Richardson extrapolation across the finest steps yields an asymptotic estimate of $\approx 15.44\,\text{mV}$ (first-order $\approx 15.70\,\text{mV}$), but these are extrapolated estimates rather than directly simulated converged points. Absolute potential magnitudes must therefore be interpreted with caution, whereas threshold-crossing and propagation classifications remain robust.</w:t>
      </w:r>
    </w:p>
    <w:p>
      <w:pPr>
        <w:pStyle w:val="ListNumber"/>
      </w:pPr>
      <w:r>
        <w:rPr>
          <w:b/>
        </w:rPr>
        <w:t>Reduced Multi-Fiber Scaling:</w:t>
      </w:r>
      <w:r>
        <w:t xml:space="preserve"> The multi-fiber model uses a 1D synchronized source-scaling approximation rather than an explicit 3D anatomical bundle reconstruction.</w:t>
      </w:r>
    </w:p>
    <w:p>
      <w:pPr>
        <w:pBdr>
          <w:bottom w:val="single" w:sz="6" w:space="1" w:color="CCCCCC"/>
        </w:pBdr>
      </w:pPr>
    </w:p>
    <w:p>
      <w:pPr>
        <w:pStyle w:val="Heading3"/>
      </w:pPr>
      <w:r>
        <w:t>4.7 Biological and Clinical Implications</w:t>
      </w:r>
    </w:p>
    <w:p>
      <w:r>
        <w:t xml:space="preserve">These computational findings generate testable biophysical hypotheses, reframing peripheral ephaptic interaction as a </w:t>
      </w:r>
      <w:r>
        <w:rPr>
          <w:b/>
        </w:rPr>
        <w:t>subthreshold neuromodulatory amplifier and conditional threshold trigger</w:t>
      </w:r>
      <w:r>
        <w:t xml:space="preserve"> rather than an autonomous single-pulse spark generator under the modeled conditions. In pathological scenarios where nociceptors may be depolarized by inflammatory mediators, subthreshold ephaptic depolarization combined with high-frequency repetitive activity provides a plausible candidate mechanism for cross-fiber interaction, though the direct etiology of clinical dynamic mechanical allodynia in vivo remains to be established experimentally.</w:t>
      </w:r>
    </w:p>
    <w:p>
      <w:pPr>
        <w:pBdr>
          <w:bottom w:val="single" w:sz="6" w:space="1" w:color="CCCCCC"/>
        </w:pBdr>
      </w:pPr>
    </w:p>
    <w:p>
      <w:pPr>
        <w:pStyle w:val="Heading3"/>
      </w:pPr>
      <w:r>
        <w:t>4.8 Future Work</w:t>
      </w:r>
    </w:p>
    <w:p>
      <w:r>
        <w:t>Key future directions include: (1) extending the model to higher-dimensional parallel axon networks (Chawla &amp; Morgera, 2022, 2024; Reutskiy et al., 2003) and 3D EMI finite-element models (Jæger &amp; Tveito, 2026); (2) driving the bundle with naturalistic human microneurography spike trains; and (3) incorporating detailed kinetic models of Nav1.7 and subthreshold potassium channels (Pelot et al., 2021; Sundt et al., 2015; Tigerholm et al., 2014).</w:t>
      </w:r>
    </w:p>
    <w:p>
      <w:pPr>
        <w:pBdr>
          <w:bottom w:val="single" w:sz="6" w:space="1" w:color="CCCCCC"/>
        </w:pBdr>
      </w:pPr>
    </w:p>
    <w:p>
      <w:pPr>
        <w:pStyle w:val="Heading2"/>
      </w:pPr>
      <w:r>
        <w:t>5 Conclusion</w:t>
      </w:r>
    </w:p>
    <w:p>
      <w:r>
        <w:t xml:space="preserve">A closed-loop core-conductor model demonstrates that single-pair ephaptic crosstalk under single-pulse stimulation is insufficient to trigger ectopic nociceptor action potentials across both classical HH and nociceptor-realistic Nav1.8/Nav1.9 kinetics. Synchronized multi-fiber spatial summation produces substantial subthreshold depolarization (in Phase 1: $+5.04$ mV midpoint, $+6.01$ mV downstream maximum for $n=25$ at the nominal production timestep; in Phase 2: $+10.16$ mV midpoint depolarization to $-56.66$ mV) that asymptotically saturates due to core conductance shunting, and is strongly attenuated by temporal dispersion ($92.9\%$ attenuation in Phase 1, $93.9\%$ in Phase 2). However, repetitive 100-Hz stimulation triggers a fully propagated C-fiber action potential on </w:t>
      </w:r>
      <w:r>
        <w:rPr>
          <w:b/>
        </w:rPr>
        <w:t>Pulse 2</w:t>
      </w:r>
      <w:r>
        <w:t>, mediated by residual membrane and gating-state accumulation. Ephaptic coupling in restricted nerve clefts thus acts as a conditional threshold-crossing mechanism rather than an autonomous single-pulse trigger.</w:t>
      </w:r>
    </w:p>
    <w:p>
      <w:pPr>
        <w:pBdr>
          <w:bottom w:val="single" w:sz="6" w:space="1" w:color="CCCCCC"/>
        </w:pBdr>
      </w:pPr>
    </w:p>
    <w:p>
      <w:pPr>
        <w:pStyle w:val="Heading2"/>
      </w:pPr>
      <w:r>
        <w:t>Nomenclature</w:t>
      </w:r>
    </w:p>
    <w:p>
      <w:r>
        <w:rPr>
          <w:b/>
        </w:rPr>
        <w:t>Table 3 Definition of symbols, parameters, and SI units used in the core-conductor formulation.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EAEAEA"/>
            <w:tcMar>
              <w:top w:w="80" w:type="dxa"/>
              <w:bottom w:w="80" w:type="dxa"/>
              <w:left w:w="120" w:type="dxa"/>
              <w:right w:w="120" w:type="dxa"/>
            </w:tcMar>
          </w:tcPr>
          <w:p>
            <w:pPr>
              <w:spacing w:before="40" w:after="40"/>
            </w:pPr>
            <w:r>
              <w:rPr>
                <w:b/>
              </w:rPr>
            </w:r>
            <w:r>
              <w:rPr>
                <w:b/>
              </w:rPr>
              <w:t>Symbol</w:t>
            </w:r>
          </w:p>
        </w:tc>
        <w:tc>
          <w:tcPr>
            <w:tcW w:type="dxa" w:w="3120"/>
            <w:shd w:fill="EAEAEA"/>
            <w:tcMar>
              <w:top w:w="80" w:type="dxa"/>
              <w:bottom w:w="80" w:type="dxa"/>
              <w:left w:w="120" w:type="dxa"/>
              <w:right w:w="120" w:type="dxa"/>
            </w:tcMar>
          </w:tcPr>
          <w:p>
            <w:pPr>
              <w:spacing w:before="40" w:after="40"/>
            </w:pPr>
            <w:r>
              <w:rPr>
                <w:b/>
              </w:rPr>
            </w:r>
            <w:r>
              <w:rPr>
                <w:b/>
              </w:rPr>
              <w:t>Definition</w:t>
            </w:r>
          </w:p>
        </w:tc>
        <w:tc>
          <w:tcPr>
            <w:tcW w:type="dxa" w:w="3120"/>
            <w:shd w:fill="EAEAEA"/>
            <w:tcMar>
              <w:top w:w="80" w:type="dxa"/>
              <w:bottom w:w="80" w:type="dxa"/>
              <w:left w:w="120" w:type="dxa"/>
              <w:right w:w="120" w:type="dxa"/>
            </w:tcMar>
          </w:tcPr>
          <w:p>
            <w:pPr>
              <w:spacing w:before="40" w:after="40"/>
            </w:pPr>
            <w:r>
              <w:rPr>
                <w:b/>
              </w:rPr>
            </w:r>
            <w:r>
              <w:rPr>
                <w:b/>
              </w:rPr>
              <w:t>Physical Units</w:t>
            </w:r>
          </w:p>
        </w:tc>
      </w:tr>
      <w:tr>
        <w:tc>
          <w:tcPr>
            <w:tcW w:type="dxa" w:w="3120"/>
            <w:tcMar>
              <w:top w:w="80" w:type="dxa"/>
              <w:bottom w:w="80" w:type="dxa"/>
              <w:left w:w="120" w:type="dxa"/>
              <w:right w:w="120" w:type="dxa"/>
            </w:tcMar>
          </w:tcPr>
          <w:p>
            <w:pPr>
              <w:spacing w:before="40" w:after="40"/>
            </w:pPr>
            <w:r/>
            <w:r>
              <w:t>$v_{m,k}$</w:t>
            </w:r>
          </w:p>
        </w:tc>
        <w:tc>
          <w:tcPr>
            <w:tcW w:type="dxa" w:w="3120"/>
            <w:tcMar>
              <w:top w:w="80" w:type="dxa"/>
              <w:bottom w:w="80" w:type="dxa"/>
              <w:left w:w="120" w:type="dxa"/>
              <w:right w:w="120" w:type="dxa"/>
            </w:tcMar>
          </w:tcPr>
          <w:p>
            <w:pPr>
              <w:spacing w:before="40" w:after="40"/>
            </w:pPr>
            <w:r/>
            <w:r>
              <w:t>Transmembrane potential of fiber $k$ ($k=1$: Aβ, $k=2$: C-fiber)</w:t>
            </w:r>
          </w:p>
        </w:tc>
        <w:tc>
          <w:tcPr>
            <w:tcW w:type="dxa" w:w="3120"/>
            <w:tcMar>
              <w:top w:w="80" w:type="dxa"/>
              <w:bottom w:w="80" w:type="dxa"/>
              <w:left w:w="120" w:type="dxa"/>
              <w:right w:w="120" w:type="dxa"/>
            </w:tcMar>
          </w:tcPr>
          <w:p>
            <w:pPr>
              <w:spacing w:before="40" w:after="40"/>
            </w:pPr>
            <w:r/>
            <w:r>
              <w:t>V or mV</w:t>
            </w:r>
          </w:p>
        </w:tc>
      </w:tr>
      <w:tr>
        <w:tc>
          <w:tcPr>
            <w:tcW w:type="dxa" w:w="3120"/>
            <w:tcMar>
              <w:top w:w="80" w:type="dxa"/>
              <w:bottom w:w="80" w:type="dxa"/>
              <w:left w:w="120" w:type="dxa"/>
              <w:right w:w="120" w:type="dxa"/>
            </w:tcMar>
          </w:tcPr>
          <w:p>
            <w:pPr>
              <w:spacing w:before="40" w:after="40"/>
            </w:pPr>
            <w:r/>
            <w:r>
              <w:t>$u_{i,k}$</w:t>
            </w:r>
          </w:p>
        </w:tc>
        <w:tc>
          <w:tcPr>
            <w:tcW w:type="dxa" w:w="3120"/>
            <w:tcMar>
              <w:top w:w="80" w:type="dxa"/>
              <w:bottom w:w="80" w:type="dxa"/>
              <w:left w:w="120" w:type="dxa"/>
              <w:right w:w="120" w:type="dxa"/>
            </w:tcMar>
          </w:tcPr>
          <w:p>
            <w:pPr>
              <w:spacing w:before="40" w:after="40"/>
            </w:pPr>
            <w:r/>
            <w:r>
              <w:t>Intracellular potential of fiber $k$</w:t>
            </w:r>
          </w:p>
        </w:tc>
        <w:tc>
          <w:tcPr>
            <w:tcW w:type="dxa" w:w="3120"/>
            <w:tcMar>
              <w:top w:w="80" w:type="dxa"/>
              <w:bottom w:w="80" w:type="dxa"/>
              <w:left w:w="120" w:type="dxa"/>
              <w:right w:w="120" w:type="dxa"/>
            </w:tcMar>
          </w:tcPr>
          <w:p>
            <w:pPr>
              <w:spacing w:before="40" w:after="40"/>
            </w:pPr>
            <w:r/>
            <w:r>
              <w:t>V or mV</w:t>
            </w:r>
          </w:p>
        </w:tc>
      </w:tr>
      <w:tr>
        <w:tc>
          <w:tcPr>
            <w:tcW w:type="dxa" w:w="3120"/>
            <w:tcMar>
              <w:top w:w="80" w:type="dxa"/>
              <w:bottom w:w="80" w:type="dxa"/>
              <w:left w:w="120" w:type="dxa"/>
              <w:right w:w="120" w:type="dxa"/>
            </w:tcMar>
          </w:tcPr>
          <w:p>
            <w:pPr>
              <w:spacing w:before="40" w:after="40"/>
            </w:pPr>
            <w:r/>
            <w:r>
              <w:t>$u_e$</w:t>
            </w:r>
          </w:p>
        </w:tc>
        <w:tc>
          <w:tcPr>
            <w:tcW w:type="dxa" w:w="3120"/>
            <w:tcMar>
              <w:top w:w="80" w:type="dxa"/>
              <w:bottom w:w="80" w:type="dxa"/>
              <w:left w:w="120" w:type="dxa"/>
              <w:right w:w="120" w:type="dxa"/>
            </w:tcMar>
          </w:tcPr>
          <w:p>
            <w:pPr>
              <w:spacing w:before="40" w:after="40"/>
            </w:pPr>
            <w:r/>
            <w:r>
              <w:t>Shared extracellular cleft potential</w:t>
            </w:r>
          </w:p>
        </w:tc>
        <w:tc>
          <w:tcPr>
            <w:tcW w:type="dxa" w:w="3120"/>
            <w:tcMar>
              <w:top w:w="80" w:type="dxa"/>
              <w:bottom w:w="80" w:type="dxa"/>
              <w:left w:w="120" w:type="dxa"/>
              <w:right w:w="120" w:type="dxa"/>
            </w:tcMar>
          </w:tcPr>
          <w:p>
            <w:pPr>
              <w:spacing w:before="40" w:after="40"/>
            </w:pPr>
            <w:r/>
            <w:r>
              <w:t>V or mV</w:t>
            </w:r>
          </w:p>
        </w:tc>
      </w:tr>
      <w:tr>
        <w:tc>
          <w:tcPr>
            <w:tcW w:type="dxa" w:w="3120"/>
            <w:tcMar>
              <w:top w:w="80" w:type="dxa"/>
              <w:bottom w:w="80" w:type="dxa"/>
              <w:left w:w="120" w:type="dxa"/>
              <w:right w:w="120" w:type="dxa"/>
            </w:tcMar>
          </w:tcPr>
          <w:p>
            <w:pPr>
              <w:spacing w:before="40" w:after="40"/>
            </w:pPr>
            <w:r/>
            <w:r>
              <w:t>$r_{i,k}$</w:t>
            </w:r>
          </w:p>
        </w:tc>
        <w:tc>
          <w:tcPr>
            <w:tcW w:type="dxa" w:w="3120"/>
            <w:tcMar>
              <w:top w:w="80" w:type="dxa"/>
              <w:bottom w:w="80" w:type="dxa"/>
              <w:left w:w="120" w:type="dxa"/>
              <w:right w:w="120" w:type="dxa"/>
            </w:tcMar>
          </w:tcPr>
          <w:p>
            <w:pPr>
              <w:spacing w:before="40" w:after="40"/>
            </w:pPr>
            <w:r/>
            <w:r>
              <w:t>Longitudinal intracellular core resistance per unit length</w:t>
            </w:r>
          </w:p>
        </w:tc>
        <w:tc>
          <w:tcPr>
            <w:tcW w:type="dxa" w:w="3120"/>
            <w:tcMar>
              <w:top w:w="80" w:type="dxa"/>
              <w:bottom w:w="80" w:type="dxa"/>
              <w:left w:w="120" w:type="dxa"/>
              <w:right w:w="120" w:type="dxa"/>
            </w:tcMar>
          </w:tcPr>
          <w:p>
            <w:pPr>
              <w:spacing w:before="40" w:after="40"/>
            </w:pPr>
            <w:r/>
            <w:r>
              <w:t>$\Omega/\text{m}$</w:t>
            </w:r>
          </w:p>
        </w:tc>
      </w:tr>
      <w:tr>
        <w:tc>
          <w:tcPr>
            <w:tcW w:type="dxa" w:w="3120"/>
            <w:tcMar>
              <w:top w:w="80" w:type="dxa"/>
              <w:bottom w:w="80" w:type="dxa"/>
              <w:left w:w="120" w:type="dxa"/>
              <w:right w:w="120" w:type="dxa"/>
            </w:tcMar>
          </w:tcPr>
          <w:p>
            <w:pPr>
              <w:spacing w:before="40" w:after="40"/>
            </w:pPr>
            <w:r/>
            <w:r>
              <w:t>$r_e$</w:t>
            </w:r>
          </w:p>
        </w:tc>
        <w:tc>
          <w:tcPr>
            <w:tcW w:type="dxa" w:w="3120"/>
            <w:tcMar>
              <w:top w:w="80" w:type="dxa"/>
              <w:bottom w:w="80" w:type="dxa"/>
              <w:left w:w="120" w:type="dxa"/>
              <w:right w:w="120" w:type="dxa"/>
            </w:tcMar>
          </w:tcPr>
          <w:p>
            <w:pPr>
              <w:spacing w:before="40" w:after="40"/>
            </w:pPr>
            <w:r/>
            <w:r>
              <w:t>Longitudinal extracellular cleft resistance per unit length</w:t>
            </w:r>
          </w:p>
        </w:tc>
        <w:tc>
          <w:tcPr>
            <w:tcW w:type="dxa" w:w="3120"/>
            <w:tcMar>
              <w:top w:w="80" w:type="dxa"/>
              <w:bottom w:w="80" w:type="dxa"/>
              <w:left w:w="120" w:type="dxa"/>
              <w:right w:w="120" w:type="dxa"/>
            </w:tcMar>
          </w:tcPr>
          <w:p>
            <w:pPr>
              <w:spacing w:before="40" w:after="40"/>
            </w:pPr>
            <w:r/>
            <w:r>
              <w:t>$\Omega/\text{m}$</w:t>
            </w:r>
          </w:p>
        </w:tc>
      </w:tr>
      <w:tr>
        <w:tc>
          <w:tcPr>
            <w:tcW w:type="dxa" w:w="3120"/>
            <w:tcMar>
              <w:top w:w="80" w:type="dxa"/>
              <w:bottom w:w="80" w:type="dxa"/>
              <w:left w:w="120" w:type="dxa"/>
              <w:right w:w="120" w:type="dxa"/>
            </w:tcMar>
          </w:tcPr>
          <w:p>
            <w:pPr>
              <w:spacing w:before="40" w:after="40"/>
            </w:pPr>
            <w:r/>
            <w:r>
              <w:t>$\Sigma_G$</w:t>
            </w:r>
          </w:p>
        </w:tc>
        <w:tc>
          <w:tcPr>
            <w:tcW w:type="dxa" w:w="3120"/>
            <w:tcMar>
              <w:top w:w="80" w:type="dxa"/>
              <w:bottom w:w="80" w:type="dxa"/>
              <w:left w:w="120" w:type="dxa"/>
              <w:right w:w="120" w:type="dxa"/>
            </w:tcMar>
          </w:tcPr>
          <w:p>
            <w:pPr>
              <w:spacing w:before="40" w:after="40"/>
            </w:pPr>
            <w:r/>
            <w:r>
              <w:t>Total longitudinal core conductance per unit length ($1/r_e + \sum 1/r_{i,k}$)</w:t>
            </w:r>
          </w:p>
        </w:tc>
        <w:tc>
          <w:tcPr>
            <w:tcW w:type="dxa" w:w="3120"/>
            <w:tcMar>
              <w:top w:w="80" w:type="dxa"/>
              <w:bottom w:w="80" w:type="dxa"/>
              <w:left w:w="120" w:type="dxa"/>
              <w:right w:w="120" w:type="dxa"/>
            </w:tcMar>
          </w:tcPr>
          <w:p>
            <w:pPr>
              <w:spacing w:before="40" w:after="40"/>
            </w:pPr>
            <w:r/>
            <w:r>
              <w:t>$\text{S}\cdot\text{m}$ or $\text{m}/\Omega$</w:t>
            </w:r>
          </w:p>
        </w:tc>
      </w:tr>
      <w:tr>
        <w:tc>
          <w:tcPr>
            <w:tcW w:type="dxa" w:w="3120"/>
            <w:tcMar>
              <w:top w:w="80" w:type="dxa"/>
              <w:bottom w:w="80" w:type="dxa"/>
              <w:left w:w="120" w:type="dxa"/>
              <w:right w:w="120" w:type="dxa"/>
            </w:tcMar>
          </w:tcPr>
          <w:p>
            <w:pPr>
              <w:spacing w:before="40" w:after="40"/>
            </w:pPr>
            <w:r/>
            <w:r>
              <w:t>$\kappa$</w:t>
            </w:r>
          </w:p>
        </w:tc>
        <w:tc>
          <w:tcPr>
            <w:tcW w:type="dxa" w:w="3120"/>
            <w:tcMar>
              <w:top w:w="80" w:type="dxa"/>
              <w:bottom w:w="80" w:type="dxa"/>
              <w:left w:w="120" w:type="dxa"/>
              <w:right w:w="120" w:type="dxa"/>
            </w:tcMar>
          </w:tcPr>
          <w:p>
            <w:pPr>
              <w:spacing w:before="40" w:after="40"/>
            </w:pPr>
            <w:r/>
            <w:r>
              <w:t>Phenomenological extracellular leakage regularization parameter</w:t>
            </w:r>
          </w:p>
        </w:tc>
        <w:tc>
          <w:tcPr>
            <w:tcW w:type="dxa" w:w="3120"/>
            <w:tcMar>
              <w:top w:w="80" w:type="dxa"/>
              <w:bottom w:w="80" w:type="dxa"/>
              <w:left w:w="120" w:type="dxa"/>
              <w:right w:w="120" w:type="dxa"/>
            </w:tcMar>
          </w:tcPr>
          <w:p>
            <w:pPr>
              <w:spacing w:before="40" w:after="40"/>
            </w:pPr>
            <w:r/>
            <w:r>
              <w:t>$\text{m}^{-2}$</w:t>
            </w:r>
          </w:p>
        </w:tc>
      </w:tr>
      <w:tr>
        <w:tc>
          <w:tcPr>
            <w:tcW w:type="dxa" w:w="3120"/>
            <w:tcMar>
              <w:top w:w="80" w:type="dxa"/>
              <w:bottom w:w="80" w:type="dxa"/>
              <w:left w:w="120" w:type="dxa"/>
              <w:right w:w="120" w:type="dxa"/>
            </w:tcMar>
          </w:tcPr>
          <w:p>
            <w:pPr>
              <w:spacing w:before="40" w:after="40"/>
            </w:pPr>
            <w:r/>
            <w:r>
              <w:t>$\kappa_{\text{eff}}$</w:t>
            </w:r>
          </w:p>
        </w:tc>
        <w:tc>
          <w:tcPr>
            <w:tcW w:type="dxa" w:w="3120"/>
            <w:tcMar>
              <w:top w:w="80" w:type="dxa"/>
              <w:bottom w:w="80" w:type="dxa"/>
              <w:left w:w="120" w:type="dxa"/>
              <w:right w:w="120" w:type="dxa"/>
            </w:tcMar>
          </w:tcPr>
          <w:p>
            <w:pPr>
              <w:spacing w:before="40" w:after="40"/>
            </w:pPr>
            <w:r/>
            <w:r>
              <w:t>Effective regularization parameter ($(\kappa/r_e)/\Sigma_G$)</w:t>
            </w:r>
          </w:p>
        </w:tc>
        <w:tc>
          <w:tcPr>
            <w:tcW w:type="dxa" w:w="3120"/>
            <w:tcMar>
              <w:top w:w="80" w:type="dxa"/>
              <w:bottom w:w="80" w:type="dxa"/>
              <w:left w:w="120" w:type="dxa"/>
              <w:right w:w="120" w:type="dxa"/>
            </w:tcMar>
          </w:tcPr>
          <w:p>
            <w:pPr>
              <w:spacing w:before="40" w:after="40"/>
            </w:pPr>
            <w:r/>
            <w:r>
              <w:t>$\text{m}^{-2}$</w:t>
            </w:r>
          </w:p>
        </w:tc>
      </w:tr>
      <w:tr>
        <w:tc>
          <w:tcPr>
            <w:tcW w:type="dxa" w:w="3120"/>
            <w:tcMar>
              <w:top w:w="80" w:type="dxa"/>
              <w:bottom w:w="80" w:type="dxa"/>
              <w:left w:w="120" w:type="dxa"/>
              <w:right w:w="120" w:type="dxa"/>
            </w:tcMar>
          </w:tcPr>
          <w:p>
            <w:pPr>
              <w:spacing w:before="40" w:after="40"/>
            </w:pPr>
            <w:r/>
            <w:r>
              <w:t>$w_{\text{cleft}}$</w:t>
            </w:r>
          </w:p>
        </w:tc>
        <w:tc>
          <w:tcPr>
            <w:tcW w:type="dxa" w:w="3120"/>
            <w:tcMar>
              <w:top w:w="80" w:type="dxa"/>
              <w:bottom w:w="80" w:type="dxa"/>
              <w:left w:w="120" w:type="dxa"/>
              <w:right w:w="120" w:type="dxa"/>
            </w:tcMar>
          </w:tcPr>
          <w:p>
            <w:pPr>
              <w:spacing w:before="40" w:after="40"/>
            </w:pPr>
            <w:r/>
            <w:r>
              <w:t>Extracellular cleft width</w:t>
            </w:r>
          </w:p>
        </w:tc>
        <w:tc>
          <w:tcPr>
            <w:tcW w:type="dxa" w:w="3120"/>
            <w:tcMar>
              <w:top w:w="80" w:type="dxa"/>
              <w:bottom w:w="80" w:type="dxa"/>
              <w:left w:w="120" w:type="dxa"/>
              <w:right w:w="120" w:type="dxa"/>
            </w:tcMar>
          </w:tcPr>
          <w:p>
            <w:pPr>
              <w:spacing w:before="40" w:after="40"/>
            </w:pPr>
            <w:r/>
            <w:r>
              <w:t>nm or m</w:t>
            </w:r>
          </w:p>
        </w:tc>
      </w:tr>
      <w:tr>
        <w:tc>
          <w:tcPr>
            <w:tcW w:type="dxa" w:w="3120"/>
            <w:tcMar>
              <w:top w:w="80" w:type="dxa"/>
              <w:bottom w:w="80" w:type="dxa"/>
              <w:left w:w="120" w:type="dxa"/>
              <w:right w:w="120" w:type="dxa"/>
            </w:tcMar>
          </w:tcPr>
          <w:p>
            <w:pPr>
              <w:spacing w:before="40" w:after="40"/>
            </w:pPr>
            <w:r/>
            <w:r>
              <w:t>$D_1$</w:t>
            </w:r>
          </w:p>
        </w:tc>
        <w:tc>
          <w:tcPr>
            <w:tcW w:type="dxa" w:w="3120"/>
            <w:tcMar>
              <w:top w:w="80" w:type="dxa"/>
              <w:bottom w:w="80" w:type="dxa"/>
              <w:left w:w="120" w:type="dxa"/>
              <w:right w:w="120" w:type="dxa"/>
            </w:tcMar>
          </w:tcPr>
          <w:p>
            <w:pPr>
              <w:spacing w:before="40" w:after="40"/>
            </w:pPr>
            <w:r/>
            <w:r>
              <w:t>Outer fiber diameter of myelinated Aβ axon ($10.0\,\mu\text{m}$)</w:t>
            </w:r>
          </w:p>
        </w:tc>
        <w:tc>
          <w:tcPr>
            <w:tcW w:type="dxa" w:w="3120"/>
            <w:tcMar>
              <w:top w:w="80" w:type="dxa"/>
              <w:bottom w:w="80" w:type="dxa"/>
              <w:left w:w="120" w:type="dxa"/>
              <w:right w:w="120" w:type="dxa"/>
            </w:tcMar>
          </w:tcPr>
          <w:p>
            <w:pPr>
              <w:spacing w:before="40" w:after="40"/>
            </w:pPr>
            <w:r/>
            <w:r>
              <w:t>m</w:t>
            </w:r>
          </w:p>
        </w:tc>
      </w:tr>
      <w:tr>
        <w:tc>
          <w:tcPr>
            <w:tcW w:type="dxa" w:w="3120"/>
            <w:tcMar>
              <w:top w:w="80" w:type="dxa"/>
              <w:bottom w:w="80" w:type="dxa"/>
              <w:left w:w="120" w:type="dxa"/>
              <w:right w:w="120" w:type="dxa"/>
            </w:tcMar>
          </w:tcPr>
          <w:p>
            <w:pPr>
              <w:spacing w:before="40" w:after="40"/>
            </w:pPr>
            <w:r/>
            <w:r>
              <w:t>$d_{\text{axon},k}$</w:t>
            </w:r>
          </w:p>
        </w:tc>
        <w:tc>
          <w:tcPr>
            <w:tcW w:type="dxa" w:w="3120"/>
            <w:tcMar>
              <w:top w:w="80" w:type="dxa"/>
              <w:bottom w:w="80" w:type="dxa"/>
              <w:left w:w="120" w:type="dxa"/>
              <w:right w:w="120" w:type="dxa"/>
            </w:tcMar>
          </w:tcPr>
          <w:p>
            <w:pPr>
              <w:spacing w:before="40" w:after="40"/>
            </w:pPr>
            <w:r/>
            <w:r>
              <w:t>Inner axonal core diameter ($d_{\text{axon},1}=7.0\,\mu\text{m}, d_{\text{axon},2}=1.0\,\mu\text{m}$)</w:t>
            </w:r>
          </w:p>
        </w:tc>
        <w:tc>
          <w:tcPr>
            <w:tcW w:type="dxa" w:w="3120"/>
            <w:tcMar>
              <w:top w:w="80" w:type="dxa"/>
              <w:bottom w:w="80" w:type="dxa"/>
              <w:left w:w="120" w:type="dxa"/>
              <w:right w:w="120" w:type="dxa"/>
            </w:tcMar>
          </w:tcPr>
          <w:p>
            <w:pPr>
              <w:spacing w:before="40" w:after="40"/>
            </w:pPr>
            <w:r/>
            <w:r>
              <w:t>m</w:t>
            </w:r>
          </w:p>
        </w:tc>
      </w:tr>
      <w:tr>
        <w:tc>
          <w:tcPr>
            <w:tcW w:type="dxa" w:w="3120"/>
            <w:tcMar>
              <w:top w:w="80" w:type="dxa"/>
              <w:bottom w:w="80" w:type="dxa"/>
              <w:left w:w="120" w:type="dxa"/>
              <w:right w:w="120" w:type="dxa"/>
            </w:tcMar>
          </w:tcPr>
          <w:p>
            <w:pPr>
              <w:spacing w:before="40" w:after="40"/>
            </w:pPr>
            <w:r/>
            <w:r>
              <w:t>$l_{\text{node}}$</w:t>
            </w:r>
          </w:p>
        </w:tc>
        <w:tc>
          <w:tcPr>
            <w:tcW w:type="dxa" w:w="3120"/>
            <w:tcMar>
              <w:top w:w="80" w:type="dxa"/>
              <w:bottom w:w="80" w:type="dxa"/>
              <w:left w:w="120" w:type="dxa"/>
              <w:right w:w="120" w:type="dxa"/>
            </w:tcMar>
          </w:tcPr>
          <w:p>
            <w:pPr>
              <w:spacing w:before="40" w:after="40"/>
            </w:pPr>
            <w:r/>
            <w:r>
              <w:t>Fixed physical length of node of Ranvier ($1.0\,\mu\text{m}$)</w:t>
            </w:r>
          </w:p>
        </w:tc>
        <w:tc>
          <w:tcPr>
            <w:tcW w:type="dxa" w:w="3120"/>
            <w:tcMar>
              <w:top w:w="80" w:type="dxa"/>
              <w:bottom w:w="80" w:type="dxa"/>
              <w:left w:w="120" w:type="dxa"/>
              <w:right w:w="120" w:type="dxa"/>
            </w:tcMar>
          </w:tcPr>
          <w:p>
            <w:pPr>
              <w:spacing w:before="40" w:after="40"/>
            </w:pPr>
            <w:r/>
            <w:r>
              <w:t>m</w:t>
            </w:r>
          </w:p>
        </w:tc>
      </w:tr>
      <w:tr>
        <w:tc>
          <w:tcPr>
            <w:tcW w:type="dxa" w:w="3120"/>
            <w:tcMar>
              <w:top w:w="80" w:type="dxa"/>
              <w:bottom w:w="80" w:type="dxa"/>
              <w:left w:w="120" w:type="dxa"/>
              <w:right w:w="120" w:type="dxa"/>
            </w:tcMar>
          </w:tcPr>
          <w:p>
            <w:pPr>
              <w:spacing w:before="40" w:after="40"/>
            </w:pPr>
            <w:r/>
            <w:r>
              <w:t>$\rho_i, \rho_e$</w:t>
            </w:r>
          </w:p>
        </w:tc>
        <w:tc>
          <w:tcPr>
            <w:tcW w:type="dxa" w:w="3120"/>
            <w:tcMar>
              <w:top w:w="80" w:type="dxa"/>
              <w:bottom w:w="80" w:type="dxa"/>
              <w:left w:w="120" w:type="dxa"/>
              <w:right w:w="120" w:type="dxa"/>
            </w:tcMar>
          </w:tcPr>
          <w:p>
            <w:pPr>
              <w:spacing w:before="40" w:after="40"/>
            </w:pPr>
            <w:r/>
            <w:r>
              <w:t>Axoplasmic ($0.547\,\Omega\cdot\text{m}$) and extracellular ($1.0\,\Omega\cdot\text{m}$) bulk resistivity</w:t>
            </w:r>
          </w:p>
        </w:tc>
        <w:tc>
          <w:tcPr>
            <w:tcW w:type="dxa" w:w="3120"/>
            <w:tcMar>
              <w:top w:w="80" w:type="dxa"/>
              <w:bottom w:w="80" w:type="dxa"/>
              <w:left w:w="120" w:type="dxa"/>
              <w:right w:w="120" w:type="dxa"/>
            </w:tcMar>
          </w:tcPr>
          <w:p>
            <w:pPr>
              <w:spacing w:before="40" w:after="40"/>
            </w:pPr>
            <w:r/>
            <w:r>
              <w:t>$\Omega\cdot\text{m}$</w:t>
            </w:r>
          </w:p>
        </w:tc>
      </w:tr>
      <w:tr>
        <w:tc>
          <w:tcPr>
            <w:tcW w:type="dxa" w:w="3120"/>
            <w:tcMar>
              <w:top w:w="80" w:type="dxa"/>
              <w:bottom w:w="80" w:type="dxa"/>
              <w:left w:w="120" w:type="dxa"/>
              <w:right w:w="120" w:type="dxa"/>
            </w:tcMar>
          </w:tcPr>
          <w:p>
            <w:pPr>
              <w:spacing w:before="40" w:after="40"/>
            </w:pPr>
            <w:r/>
            <w:r>
              <w:t>$C_{m,k}$</w:t>
            </w:r>
          </w:p>
        </w:tc>
        <w:tc>
          <w:tcPr>
            <w:tcW w:type="dxa" w:w="3120"/>
            <w:tcMar>
              <w:top w:w="80" w:type="dxa"/>
              <w:bottom w:w="80" w:type="dxa"/>
              <w:left w:w="120" w:type="dxa"/>
              <w:right w:w="120" w:type="dxa"/>
            </w:tcMar>
          </w:tcPr>
          <w:p>
            <w:pPr>
              <w:spacing w:before="40" w:after="40"/>
            </w:pPr>
            <w:r/>
            <w:r>
              <w:t>Specific membrane capacitance per unit inner area</w:t>
            </w:r>
          </w:p>
        </w:tc>
        <w:tc>
          <w:tcPr>
            <w:tcW w:type="dxa" w:w="3120"/>
            <w:tcMar>
              <w:top w:w="80" w:type="dxa"/>
              <w:bottom w:w="80" w:type="dxa"/>
              <w:left w:w="120" w:type="dxa"/>
              <w:right w:w="120" w:type="dxa"/>
            </w:tcMar>
          </w:tcPr>
          <w:p>
            <w:pPr>
              <w:spacing w:before="40" w:after="40"/>
            </w:pPr>
            <w:r/>
            <w:r>
              <w:t>$\text{F/m}^2$</w:t>
            </w:r>
          </w:p>
        </w:tc>
      </w:tr>
      <w:tr>
        <w:tc>
          <w:tcPr>
            <w:tcW w:type="dxa" w:w="3120"/>
            <w:tcMar>
              <w:top w:w="80" w:type="dxa"/>
              <w:bottom w:w="80" w:type="dxa"/>
              <w:left w:w="120" w:type="dxa"/>
              <w:right w:w="120" w:type="dxa"/>
            </w:tcMar>
          </w:tcPr>
          <w:p>
            <w:pPr>
              <w:spacing w:before="40" w:after="40"/>
            </w:pPr>
            <w:r/>
            <w:r>
              <w:t>$I_{\text{ion},k}, I_{\text{stim},k}$</w:t>
            </w:r>
          </w:p>
        </w:tc>
        <w:tc>
          <w:tcPr>
            <w:tcW w:type="dxa" w:w="3120"/>
            <w:tcMar>
              <w:top w:w="80" w:type="dxa"/>
              <w:bottom w:w="80" w:type="dxa"/>
              <w:left w:w="120" w:type="dxa"/>
              <w:right w:w="120" w:type="dxa"/>
            </w:tcMar>
          </w:tcPr>
          <w:p>
            <w:pPr>
              <w:spacing w:before="40" w:after="40"/>
            </w:pPr>
            <w:r/>
            <w:r>
              <w:t>Transmembrane ionic and injected stimulation current density</w:t>
            </w:r>
          </w:p>
        </w:tc>
        <w:tc>
          <w:tcPr>
            <w:tcW w:type="dxa" w:w="3120"/>
            <w:tcMar>
              <w:top w:w="80" w:type="dxa"/>
              <w:bottom w:w="80" w:type="dxa"/>
              <w:left w:w="120" w:type="dxa"/>
              <w:right w:w="120" w:type="dxa"/>
            </w:tcMar>
          </w:tcPr>
          <w:p>
            <w:pPr>
              <w:spacing w:before="40" w:after="40"/>
            </w:pPr>
            <w:r/>
            <w:r>
              <w:t>$\text{A/m}^2$</w:t>
            </w:r>
          </w:p>
        </w:tc>
      </w:tr>
      <w:tr>
        <w:tc>
          <w:tcPr>
            <w:tcW w:type="dxa" w:w="3120"/>
            <w:tcMar>
              <w:top w:w="80" w:type="dxa"/>
              <w:bottom w:w="80" w:type="dxa"/>
              <w:left w:w="120" w:type="dxa"/>
              <w:right w:w="120" w:type="dxa"/>
            </w:tcMar>
          </w:tcPr>
          <w:p>
            <w:pPr>
              <w:spacing w:before="40" w:after="40"/>
            </w:pPr>
            <w:r/>
            <w:r>
              <w:t>$\bar{g}_{\text{Na}}, \bar{g}_{\text{K}}, g_{\text{leak}}$</w:t>
            </w:r>
          </w:p>
        </w:tc>
        <w:tc>
          <w:tcPr>
            <w:tcW w:type="dxa" w:w="3120"/>
            <w:tcMar>
              <w:top w:w="80" w:type="dxa"/>
              <w:bottom w:w="80" w:type="dxa"/>
              <w:left w:w="120" w:type="dxa"/>
              <w:right w:w="120" w:type="dxa"/>
            </w:tcMar>
          </w:tcPr>
          <w:p>
            <w:pPr>
              <w:spacing w:before="40" w:after="40"/>
            </w:pPr>
            <w:r/>
            <w:r>
              <w:t>Maximum ionic conductance densities (CRRSS / classical HH)</w:t>
            </w:r>
          </w:p>
        </w:tc>
        <w:tc>
          <w:tcPr>
            <w:tcW w:type="dxa" w:w="3120"/>
            <w:tcMar>
              <w:top w:w="80" w:type="dxa"/>
              <w:bottom w:w="80" w:type="dxa"/>
              <w:left w:w="120" w:type="dxa"/>
              <w:right w:w="120" w:type="dxa"/>
            </w:tcMar>
          </w:tcPr>
          <w:p>
            <w:pPr>
              <w:spacing w:before="40" w:after="40"/>
            </w:pPr>
            <w:r/>
            <w:r>
              <w:t>$\text{S/m}^2$ or $\text{mS/cm}^2$</w:t>
            </w:r>
          </w:p>
        </w:tc>
      </w:tr>
      <w:tr>
        <w:tc>
          <w:tcPr>
            <w:tcW w:type="dxa" w:w="3120"/>
            <w:tcMar>
              <w:top w:w="80" w:type="dxa"/>
              <w:bottom w:w="80" w:type="dxa"/>
              <w:left w:w="120" w:type="dxa"/>
              <w:right w:w="120" w:type="dxa"/>
            </w:tcMar>
          </w:tcPr>
          <w:p>
            <w:pPr>
              <w:spacing w:before="40" w:after="40"/>
            </w:pPr>
            <w:r/>
            <w:r>
              <w:t>$\bar{g}_{18}, \bar{g}_{19}$</w:t>
            </w:r>
          </w:p>
        </w:tc>
        <w:tc>
          <w:tcPr>
            <w:tcW w:type="dxa" w:w="3120"/>
            <w:tcMar>
              <w:top w:w="80" w:type="dxa"/>
              <w:bottom w:w="80" w:type="dxa"/>
              <w:left w:w="120" w:type="dxa"/>
              <w:right w:w="120" w:type="dxa"/>
            </w:tcMar>
          </w:tcPr>
          <w:p>
            <w:pPr>
              <w:spacing w:before="40" w:after="40"/>
            </w:pPr>
            <w:r/>
            <w:r>
              <w:t>Maximum Nav1.8 / Nav1.9 conductance densities</w:t>
            </w:r>
          </w:p>
        </w:tc>
        <w:tc>
          <w:tcPr>
            <w:tcW w:type="dxa" w:w="3120"/>
            <w:tcMar>
              <w:top w:w="80" w:type="dxa"/>
              <w:bottom w:w="80" w:type="dxa"/>
              <w:left w:w="120" w:type="dxa"/>
              <w:right w:w="120" w:type="dxa"/>
            </w:tcMar>
          </w:tcPr>
          <w:p>
            <w:pPr>
              <w:spacing w:before="40" w:after="40"/>
            </w:pPr>
            <w:r/>
            <w:r>
              <w:t>$\text{S/m}^2$ or $\text{mS/cm}^2$</w:t>
            </w:r>
          </w:p>
        </w:tc>
      </w:tr>
      <w:tr>
        <w:tc>
          <w:tcPr>
            <w:tcW w:type="dxa" w:w="3120"/>
            <w:tcMar>
              <w:top w:w="80" w:type="dxa"/>
              <w:bottom w:w="80" w:type="dxa"/>
              <w:left w:w="120" w:type="dxa"/>
              <w:right w:w="120" w:type="dxa"/>
            </w:tcMar>
          </w:tcPr>
          <w:p>
            <w:pPr>
              <w:spacing w:before="40" w:after="40"/>
            </w:pPr>
            <w:r/>
            <w:r>
              <w:t>$n$</w:t>
            </w:r>
          </w:p>
        </w:tc>
        <w:tc>
          <w:tcPr>
            <w:tcW w:type="dxa" w:w="3120"/>
            <w:tcMar>
              <w:top w:w="80" w:type="dxa"/>
              <w:bottom w:w="80" w:type="dxa"/>
              <w:left w:w="120" w:type="dxa"/>
              <w:right w:w="120" w:type="dxa"/>
            </w:tcMar>
          </w:tcPr>
          <w:p>
            <w:pPr>
              <w:spacing w:before="40" w:after="40"/>
            </w:pPr>
            <w:r/>
            <w:r>
              <w:t>Number of synchronously active Aβ fibers in multi-fiber bundle</w:t>
            </w:r>
          </w:p>
        </w:tc>
        <w:tc>
          <w:tcPr>
            <w:tcW w:type="dxa" w:w="3120"/>
            <w:tcMar>
              <w:top w:w="80" w:type="dxa"/>
              <w:bottom w:w="80" w:type="dxa"/>
              <w:left w:w="120" w:type="dxa"/>
              <w:right w:w="120" w:type="dxa"/>
            </w:tcMar>
          </w:tcPr>
          <w:p>
            <w:pPr>
              <w:spacing w:before="40" w:after="40"/>
            </w:pPr>
            <w:r/>
            <w:r>
              <w:t>dimensionless</w:t>
            </w:r>
          </w:p>
        </w:tc>
      </w:tr>
      <w:tr>
        <w:tc>
          <w:tcPr>
            <w:tcW w:type="dxa" w:w="3120"/>
            <w:tcMar>
              <w:top w:w="80" w:type="dxa"/>
              <w:bottom w:w="80" w:type="dxa"/>
              <w:left w:w="120" w:type="dxa"/>
              <w:right w:w="120" w:type="dxa"/>
            </w:tcMar>
          </w:tcPr>
          <w:p>
            <w:pPr>
              <w:spacing w:before="40" w:after="40"/>
            </w:pPr>
            <w:r/>
            <w:r>
              <w:t>$\Delta z, \Delta t$</w:t>
            </w:r>
          </w:p>
        </w:tc>
        <w:tc>
          <w:tcPr>
            <w:tcW w:type="dxa" w:w="3120"/>
            <w:tcMar>
              <w:top w:w="80" w:type="dxa"/>
              <w:bottom w:w="80" w:type="dxa"/>
              <w:left w:w="120" w:type="dxa"/>
              <w:right w:w="120" w:type="dxa"/>
            </w:tcMar>
          </w:tcPr>
          <w:p>
            <w:pPr>
              <w:spacing w:before="40" w:after="40"/>
            </w:pPr>
            <w:r/>
            <w:r>
              <w:t>Spatial and temporal discretization steps</w:t>
            </w:r>
          </w:p>
        </w:tc>
        <w:tc>
          <w:tcPr>
            <w:tcW w:type="dxa" w:w="3120"/>
            <w:tcMar>
              <w:top w:w="80" w:type="dxa"/>
              <w:bottom w:w="80" w:type="dxa"/>
              <w:left w:w="120" w:type="dxa"/>
              <w:right w:w="120" w:type="dxa"/>
            </w:tcMar>
          </w:tcPr>
          <w:p>
            <w:pPr>
              <w:spacing w:before="40" w:after="40"/>
            </w:pPr>
            <w:r/>
            <w:r>
              <w:t>m, s ($\mu\text{m}, \mu\text{s}$)</w:t>
            </w:r>
          </w:p>
        </w:tc>
      </w:tr>
    </w:tbl>
    <w:p>
      <w:pPr>
        <w:spacing w:before="80" w:after="80"/>
      </w:pPr>
    </w:p>
    <w:p>
      <w:pPr>
        <w:pBdr>
          <w:bottom w:val="single" w:sz="6" w:space="1" w:color="CCCCCC"/>
        </w:pBdr>
      </w:pPr>
    </w:p>
    <w:p>
      <w:pPr>
        <w:pStyle w:val="Heading2"/>
      </w:pPr>
      <w:r>
        <w:t>Experimental Summary Tables</w:t>
      </w:r>
    </w:p>
    <w:p>
      <w:r>
        <w:rPr>
          <w:b/>
        </w:rPr>
        <w:t>Table 1 Phase 1 (classical HH C-fiber): summary of experimental conditions and outcomes.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40" w:after="40"/>
            </w:pPr>
            <w:r>
              <w:rPr>
                <w:b/>
              </w:rPr>
            </w:r>
            <w:r>
              <w:rPr>
                <w:b/>
              </w:rPr>
              <w:t>Condition</w:t>
            </w:r>
          </w:p>
        </w:tc>
        <w:tc>
          <w:tcPr>
            <w:tcW w:type="dxa" w:w="1872"/>
            <w:shd w:fill="EAEAEA"/>
            <w:tcMar>
              <w:top w:w="80" w:type="dxa"/>
              <w:bottom w:w="80" w:type="dxa"/>
              <w:left w:w="120" w:type="dxa"/>
              <w:right w:w="120" w:type="dxa"/>
            </w:tcMar>
          </w:tcPr>
          <w:p>
            <w:pPr>
              <w:spacing w:before="40" w:after="40"/>
            </w:pPr>
            <w:r>
              <w:rPr>
                <w:b/>
              </w:rPr>
            </w:r>
            <w:r>
              <w:rPr>
                <w:b/>
              </w:rPr>
              <w:t>Maximum $\Delta V$ (mV)</w:t>
            </w:r>
          </w:p>
        </w:tc>
        <w:tc>
          <w:tcPr>
            <w:tcW w:type="dxa" w:w="1872"/>
            <w:shd w:fill="EAEAEA"/>
            <w:tcMar>
              <w:top w:w="80" w:type="dxa"/>
              <w:bottom w:w="80" w:type="dxa"/>
              <w:left w:w="120" w:type="dxa"/>
              <w:right w:w="120" w:type="dxa"/>
            </w:tcMar>
          </w:tcPr>
          <w:p>
            <w:pPr>
              <w:spacing w:before="40" w:after="40"/>
            </w:pPr>
            <w:r>
              <w:rPr>
                <w:b/>
              </w:rPr>
            </w:r>
            <w:r>
              <w:rPr>
                <w:b/>
              </w:rPr>
              <w:t>Propagated AP?</w:t>
            </w:r>
          </w:p>
        </w:tc>
        <w:tc>
          <w:tcPr>
            <w:tcW w:type="dxa" w:w="1872"/>
            <w:shd w:fill="EAEAEA"/>
            <w:tcMar>
              <w:top w:w="80" w:type="dxa"/>
              <w:bottom w:w="80" w:type="dxa"/>
              <w:left w:w="120" w:type="dxa"/>
              <w:right w:w="120" w:type="dxa"/>
            </w:tcMar>
          </w:tcPr>
          <w:p>
            <w:pPr>
              <w:spacing w:before="40" w:after="40"/>
            </w:pPr>
            <w:r>
              <w:rPr>
                <w:b/>
              </w:rPr>
            </w:r>
            <w:r>
              <w:rPr>
                <w:b/>
              </w:rPr>
              <w:t>Event Classification</w:t>
            </w:r>
          </w:p>
        </w:tc>
        <w:tc>
          <w:tcPr>
            <w:tcW w:type="dxa" w:w="1872"/>
            <w:shd w:fill="EAEAEA"/>
            <w:tcMar>
              <w:top w:w="80" w:type="dxa"/>
              <w:bottom w:w="80" w:type="dxa"/>
              <w:left w:w="120" w:type="dxa"/>
              <w:right w:w="120" w:type="dxa"/>
            </w:tcMar>
          </w:tcPr>
          <w:p>
            <w:pPr>
              <w:spacing w:before="40" w:after="40"/>
            </w:pPr>
            <w:r>
              <w:rPr>
                <w:b/>
              </w:rPr>
            </w:r>
            <w:r>
              <w:rPr>
                <w:b/>
              </w:rPr>
              <w:t>Notes</w:t>
            </w:r>
          </w:p>
        </w:tc>
      </w:tr>
      <w:tr>
        <w:tc>
          <w:tcPr>
            <w:tcW w:type="dxa" w:w="1872"/>
            <w:tcMar>
              <w:top w:w="80" w:type="dxa"/>
              <w:bottom w:w="80" w:type="dxa"/>
              <w:left w:w="120" w:type="dxa"/>
              <w:right w:w="120" w:type="dxa"/>
            </w:tcMar>
          </w:tcPr>
          <w:p>
            <w:pPr>
              <w:spacing w:before="40" w:after="40"/>
            </w:pPr>
            <w:r/>
            <w:r>
              <w:rPr>
                <w:b/>
              </w:rPr>
              <w:t>Single pulse ($w_{\text{cleft}} = 20\,\text{nm}$ to $5\,\mu\text{m}$)</w:t>
            </w:r>
          </w:p>
        </w:tc>
        <w:tc>
          <w:tcPr>
            <w:tcW w:type="dxa" w:w="1872"/>
            <w:tcMar>
              <w:top w:w="80" w:type="dxa"/>
              <w:bottom w:w="80" w:type="dxa"/>
              <w:left w:w="120" w:type="dxa"/>
              <w:right w:w="120" w:type="dxa"/>
            </w:tcMar>
          </w:tcPr>
          <w:p>
            <w:pPr>
              <w:spacing w:before="40" w:after="40"/>
            </w:pPr>
            <w:r/>
            <w:r>
              <w:t>$1.325$</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Subthreshold perturbation; decays passively downstream.</w:t>
            </w:r>
          </w:p>
        </w:tc>
      </w:tr>
      <w:tr>
        <w:tc>
          <w:tcPr>
            <w:tcW w:type="dxa" w:w="1872"/>
            <w:tcMar>
              <w:top w:w="80" w:type="dxa"/>
              <w:bottom w:w="80" w:type="dxa"/>
              <w:left w:w="120" w:type="dxa"/>
              <w:right w:w="120" w:type="dxa"/>
            </w:tcMar>
          </w:tcPr>
          <w:p>
            <w:pPr>
              <w:spacing w:before="40" w:after="40"/>
            </w:pPr>
            <w:r/>
            <w:r>
              <w:rPr>
                <w:b/>
              </w:rPr>
              <w:t>Mild tonic bias ($0.1$–$0.5\,\text{A/m}^2$) + pulse</w:t>
            </w:r>
          </w:p>
        </w:tc>
        <w:tc>
          <w:tcPr>
            <w:tcW w:type="dxa" w:w="1872"/>
            <w:tcMar>
              <w:top w:w="80" w:type="dxa"/>
              <w:bottom w:w="80" w:type="dxa"/>
              <w:left w:w="120" w:type="dxa"/>
              <w:right w:w="120" w:type="dxa"/>
            </w:tcMar>
          </w:tcPr>
          <w:p>
            <w:pPr>
              <w:spacing w:before="40" w:after="40"/>
            </w:pPr>
            <w:r/>
            <w:r>
              <w:t>$1.2$–$1.8$</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Elevated baseline ($-55$ to $-50$ mV); marginal response subthreshold.</w:t>
            </w:r>
          </w:p>
        </w:tc>
      </w:tr>
      <w:tr>
        <w:tc>
          <w:tcPr>
            <w:tcW w:type="dxa" w:w="1872"/>
            <w:tcMar>
              <w:top w:w="80" w:type="dxa"/>
              <w:bottom w:w="80" w:type="dxa"/>
              <w:left w:w="120" w:type="dxa"/>
              <w:right w:w="120" w:type="dxa"/>
            </w:tcMar>
          </w:tcPr>
          <w:p>
            <w:pPr>
              <w:spacing w:before="40" w:after="40"/>
            </w:pPr>
            <w:r/>
            <w:r>
              <w:rPr>
                <w:b/>
              </w:rPr>
              <w:t>Aggressive tonic bias ($\ge 0.6\,\text{A/m}^2$)</w:t>
            </w:r>
          </w:p>
        </w:tc>
        <w:tc>
          <w:tcPr>
            <w:tcW w:type="dxa" w:w="1872"/>
            <w:tcMar>
              <w:top w:w="80" w:type="dxa"/>
              <w:bottom w:w="80" w:type="dxa"/>
              <w:left w:w="120" w:type="dxa"/>
              <w:right w:w="120" w:type="dxa"/>
            </w:tcMar>
          </w:tcPr>
          <w:p>
            <w:pPr>
              <w:spacing w:before="40" w:after="40"/>
            </w:pPr>
            <w:r/>
            <w:r>
              <w:t>N/A</w:t>
            </w:r>
          </w:p>
        </w:tc>
        <w:tc>
          <w:tcPr>
            <w:tcW w:type="dxa" w:w="1872"/>
            <w:tcMar>
              <w:top w:w="80" w:type="dxa"/>
              <w:bottom w:w="80" w:type="dxa"/>
              <w:left w:w="120" w:type="dxa"/>
              <w:right w:w="120" w:type="dxa"/>
            </w:tcMar>
          </w:tcPr>
          <w:p>
            <w:pPr>
              <w:spacing w:before="40" w:after="40"/>
            </w:pPr>
            <w:r/>
            <w:r>
              <w:t>Spontaneous</w:t>
            </w:r>
          </w:p>
        </w:tc>
        <w:tc>
          <w:tcPr>
            <w:tcW w:type="dxa" w:w="1872"/>
            <w:tcMar>
              <w:top w:w="80" w:type="dxa"/>
              <w:bottom w:w="80" w:type="dxa"/>
              <w:left w:w="120" w:type="dxa"/>
              <w:right w:w="120" w:type="dxa"/>
            </w:tcMar>
          </w:tcPr>
          <w:p>
            <w:pPr>
              <w:spacing w:before="40" w:after="40"/>
            </w:pPr>
            <w:r/>
            <w:r>
              <w:rPr>
                <w:rFonts w:ascii="Consolas" w:hAnsi="Consolas"/>
                <w:sz w:val="16"/>
              </w:rPr>
              <w:t>INTRINSIC_PACEMAKING</w:t>
            </w:r>
          </w:p>
        </w:tc>
        <w:tc>
          <w:tcPr>
            <w:tcW w:type="dxa" w:w="1872"/>
            <w:tcMar>
              <w:top w:w="80" w:type="dxa"/>
              <w:bottom w:w="80" w:type="dxa"/>
              <w:left w:w="120" w:type="dxa"/>
              <w:right w:w="120" w:type="dxa"/>
            </w:tcMar>
          </w:tcPr>
          <w:p>
            <w:pPr>
              <w:spacing w:before="40" w:after="40"/>
            </w:pPr>
            <w:r/>
            <w:r>
              <w:t>Spontaneous firing independent of Aβ input (model instability).</w:t>
            </w:r>
          </w:p>
        </w:tc>
      </w:tr>
      <w:tr>
        <w:tc>
          <w:tcPr>
            <w:tcW w:type="dxa" w:w="1872"/>
            <w:tcMar>
              <w:top w:w="80" w:type="dxa"/>
              <w:bottom w:w="80" w:type="dxa"/>
              <w:left w:w="120" w:type="dxa"/>
              <w:right w:w="120" w:type="dxa"/>
            </w:tcMar>
          </w:tcPr>
          <w:p>
            <w:pPr>
              <w:spacing w:before="40" w:after="40"/>
            </w:pPr>
            <w:r/>
            <w:r>
              <w:rPr>
                <w:b/>
              </w:rPr>
              <w:t>Gating kinetics shift ($\Delta V_{\text{shift}} \ge 3\,\text{mV}$)</w:t>
            </w:r>
          </w:p>
        </w:tc>
        <w:tc>
          <w:tcPr>
            <w:tcW w:type="dxa" w:w="1872"/>
            <w:tcMar>
              <w:top w:w="80" w:type="dxa"/>
              <w:bottom w:w="80" w:type="dxa"/>
              <w:left w:w="120" w:type="dxa"/>
              <w:right w:w="120" w:type="dxa"/>
            </w:tcMar>
          </w:tcPr>
          <w:p>
            <w:pPr>
              <w:spacing w:before="40" w:after="40"/>
            </w:pPr>
            <w:r/>
            <w:r>
              <w:t>N/A</w:t>
            </w:r>
          </w:p>
        </w:tc>
        <w:tc>
          <w:tcPr>
            <w:tcW w:type="dxa" w:w="1872"/>
            <w:tcMar>
              <w:top w:w="80" w:type="dxa"/>
              <w:bottom w:w="80" w:type="dxa"/>
              <w:left w:w="120" w:type="dxa"/>
              <w:right w:w="120" w:type="dxa"/>
            </w:tcMar>
          </w:tcPr>
          <w:p>
            <w:pPr>
              <w:spacing w:before="40" w:after="40"/>
            </w:pPr>
            <w:r/>
            <w:r>
              <w:t>Spontaneous</w:t>
            </w:r>
          </w:p>
        </w:tc>
        <w:tc>
          <w:tcPr>
            <w:tcW w:type="dxa" w:w="1872"/>
            <w:tcMar>
              <w:top w:w="80" w:type="dxa"/>
              <w:bottom w:w="80" w:type="dxa"/>
              <w:left w:w="120" w:type="dxa"/>
              <w:right w:w="120" w:type="dxa"/>
            </w:tcMar>
          </w:tcPr>
          <w:p>
            <w:pPr>
              <w:spacing w:before="40" w:after="40"/>
            </w:pPr>
            <w:r/>
            <w:r>
              <w:rPr>
                <w:rFonts w:ascii="Consolas" w:hAnsi="Consolas"/>
                <w:sz w:val="16"/>
              </w:rPr>
              <w:t>INTRINSIC_PACEMAKING</w:t>
            </w:r>
          </w:p>
        </w:tc>
        <w:tc>
          <w:tcPr>
            <w:tcW w:type="dxa" w:w="1872"/>
            <w:tcMar>
              <w:top w:w="80" w:type="dxa"/>
              <w:bottom w:w="80" w:type="dxa"/>
              <w:left w:w="120" w:type="dxa"/>
              <w:right w:w="120" w:type="dxa"/>
            </w:tcMar>
          </w:tcPr>
          <w:p>
            <w:pPr>
              <w:spacing w:before="40" w:after="40"/>
            </w:pPr>
            <w:r/>
            <w:r>
              <w:t>Abrupt transition directly into pacemaking (sensitivity test).</w:t>
            </w:r>
          </w:p>
        </w:tc>
      </w:tr>
      <w:tr>
        <w:tc>
          <w:tcPr>
            <w:tcW w:type="dxa" w:w="1872"/>
            <w:tcMar>
              <w:top w:w="80" w:type="dxa"/>
              <w:bottom w:w="80" w:type="dxa"/>
              <w:left w:w="120" w:type="dxa"/>
              <w:right w:w="120" w:type="dxa"/>
            </w:tcMar>
          </w:tcPr>
          <w:p>
            <w:pPr>
              <w:spacing w:before="40" w:after="40"/>
            </w:pPr>
            <w:r/>
            <w:r>
              <w:rPr>
                <w:b/>
              </w:rPr>
              <w:t>100 Hz train (1 pulse, $n=25$)</w:t>
            </w:r>
          </w:p>
        </w:tc>
        <w:tc>
          <w:tcPr>
            <w:tcW w:type="dxa" w:w="1872"/>
            <w:tcMar>
              <w:top w:w="80" w:type="dxa"/>
              <w:bottom w:w="80" w:type="dxa"/>
              <w:left w:w="120" w:type="dxa"/>
              <w:right w:w="120" w:type="dxa"/>
            </w:tcMar>
          </w:tcPr>
          <w:p>
            <w:pPr>
              <w:spacing w:before="40" w:after="40"/>
            </w:pPr>
            <w:r/>
            <w:r>
              <w:t>$5.039$ (mid), $6.015$ (max)</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Subthreshold single volley response.</w:t>
            </w:r>
          </w:p>
        </w:tc>
      </w:tr>
      <w:tr>
        <w:tc>
          <w:tcPr>
            <w:tcW w:type="dxa" w:w="1872"/>
            <w:tcMar>
              <w:top w:w="80" w:type="dxa"/>
              <w:bottom w:w="80" w:type="dxa"/>
              <w:left w:w="120" w:type="dxa"/>
              <w:right w:w="120" w:type="dxa"/>
            </w:tcMar>
          </w:tcPr>
          <w:p>
            <w:pPr>
              <w:spacing w:before="40" w:after="40"/>
            </w:pPr>
            <w:r/>
            <w:r>
              <w:rPr>
                <w:b/>
              </w:rPr>
              <w:t>100 Hz train (2 pulses, $n=25$)</w:t>
            </w:r>
          </w:p>
        </w:tc>
        <w:tc>
          <w:tcPr>
            <w:tcW w:type="dxa" w:w="1872"/>
            <w:tcMar>
              <w:top w:w="80" w:type="dxa"/>
              <w:bottom w:w="80" w:type="dxa"/>
              <w:left w:w="120" w:type="dxa"/>
              <w:right w:w="120" w:type="dxa"/>
            </w:tcMar>
          </w:tcPr>
          <w:p>
            <w:pPr>
              <w:spacing w:before="40" w:after="40"/>
            </w:pPr>
            <w:r/>
            <w:r>
              <w:t>$+24.83$ (mid), $+24.70$ (8 mm)</w:t>
            </w:r>
          </w:p>
        </w:tc>
        <w:tc>
          <w:tcPr>
            <w:tcW w:type="dxa" w:w="1872"/>
            <w:tcMar>
              <w:top w:w="80" w:type="dxa"/>
              <w:bottom w:w="80" w:type="dxa"/>
              <w:left w:w="120" w:type="dxa"/>
              <w:right w:w="120" w:type="dxa"/>
            </w:tcMar>
          </w:tcPr>
          <w:p>
            <w:pPr>
              <w:spacing w:before="40" w:after="40"/>
            </w:pPr>
            <w:r/>
            <w:r>
              <w:rPr>
                <w:b/>
              </w:rPr>
              <w:t>True</w:t>
            </w:r>
          </w:p>
        </w:tc>
        <w:tc>
          <w:tcPr>
            <w:tcW w:type="dxa" w:w="1872"/>
            <w:tcMar>
              <w:top w:w="80" w:type="dxa"/>
              <w:bottom w:w="80" w:type="dxa"/>
              <w:left w:w="120" w:type="dxa"/>
              <w:right w:w="120" w:type="dxa"/>
            </w:tcMar>
          </w:tcPr>
          <w:p>
            <w:pPr>
              <w:spacing w:before="40" w:after="40"/>
            </w:pPr>
            <w:r/>
            <w:r>
              <w:rPr>
                <w:rFonts w:ascii="Consolas" w:hAnsi="Consolas"/>
                <w:sz w:val="16"/>
              </w:rPr>
              <w:t>PROPAGATED_ACTION_POTENTIAL</w:t>
            </w:r>
          </w:p>
        </w:tc>
        <w:tc>
          <w:tcPr>
            <w:tcW w:type="dxa" w:w="1872"/>
            <w:tcMar>
              <w:top w:w="80" w:type="dxa"/>
              <w:bottom w:w="80" w:type="dxa"/>
              <w:left w:w="120" w:type="dxa"/>
              <w:right w:w="120" w:type="dxa"/>
            </w:tcMar>
          </w:tcPr>
          <w:p>
            <w:pPr>
              <w:spacing w:before="40" w:after="40"/>
            </w:pPr>
            <w:r/>
            <w:r>
              <w:rPr>
                <w:b/>
              </w:rPr>
              <w:t>First threshold-crossing pulse; requires $T \ge 35$ ms.</w:t>
            </w:r>
          </w:p>
        </w:tc>
      </w:tr>
      <w:tr>
        <w:tc>
          <w:tcPr>
            <w:tcW w:type="dxa" w:w="1872"/>
            <w:tcMar>
              <w:top w:w="80" w:type="dxa"/>
              <w:bottom w:w="80" w:type="dxa"/>
              <w:left w:w="120" w:type="dxa"/>
              <w:right w:w="120" w:type="dxa"/>
            </w:tcMar>
          </w:tcPr>
          <w:p>
            <w:pPr>
              <w:spacing w:before="40" w:after="40"/>
            </w:pPr>
            <w:r/>
            <w:r>
              <w:rPr>
                <w:b/>
              </w:rPr>
              <w:t>100 Hz train (3, 5, 10 pulses, $n=25$)</w:t>
            </w:r>
          </w:p>
        </w:tc>
        <w:tc>
          <w:tcPr>
            <w:tcW w:type="dxa" w:w="1872"/>
            <w:tcMar>
              <w:top w:w="80" w:type="dxa"/>
              <w:bottom w:w="80" w:type="dxa"/>
              <w:left w:w="120" w:type="dxa"/>
              <w:right w:w="120" w:type="dxa"/>
            </w:tcMar>
          </w:tcPr>
          <w:p>
            <w:pPr>
              <w:spacing w:before="40" w:after="40"/>
            </w:pPr>
            <w:r/>
            <w:r>
              <w:t>$+24.83$ (mid), $+24.70$ (8 mm)</w:t>
            </w:r>
          </w:p>
        </w:tc>
        <w:tc>
          <w:tcPr>
            <w:tcW w:type="dxa" w:w="1872"/>
            <w:tcMar>
              <w:top w:w="80" w:type="dxa"/>
              <w:bottom w:w="80" w:type="dxa"/>
              <w:left w:w="120" w:type="dxa"/>
              <w:right w:w="120" w:type="dxa"/>
            </w:tcMar>
          </w:tcPr>
          <w:p>
            <w:pPr>
              <w:spacing w:before="40" w:after="40"/>
            </w:pPr>
            <w:r/>
            <w:r>
              <w:rPr>
                <w:b/>
              </w:rPr>
              <w:t>True</w:t>
            </w:r>
          </w:p>
        </w:tc>
        <w:tc>
          <w:tcPr>
            <w:tcW w:type="dxa" w:w="1872"/>
            <w:tcMar>
              <w:top w:w="80" w:type="dxa"/>
              <w:bottom w:w="80" w:type="dxa"/>
              <w:left w:w="120" w:type="dxa"/>
              <w:right w:w="120" w:type="dxa"/>
            </w:tcMar>
          </w:tcPr>
          <w:p>
            <w:pPr>
              <w:spacing w:before="40" w:after="40"/>
            </w:pPr>
            <w:r/>
            <w:r>
              <w:rPr>
                <w:rFonts w:ascii="Consolas" w:hAnsi="Consolas"/>
                <w:sz w:val="16"/>
              </w:rPr>
              <w:t>PROPAGATED_ACTION_POTENTIAL</w:t>
            </w:r>
          </w:p>
        </w:tc>
        <w:tc>
          <w:tcPr>
            <w:tcW w:type="dxa" w:w="1872"/>
            <w:tcMar>
              <w:top w:w="80" w:type="dxa"/>
              <w:bottom w:w="80" w:type="dxa"/>
              <w:left w:w="120" w:type="dxa"/>
              <w:right w:w="120" w:type="dxa"/>
            </w:tcMar>
          </w:tcPr>
          <w:p>
            <w:pPr>
              <w:spacing w:before="40" w:after="40"/>
            </w:pPr>
            <w:r/>
            <w:r>
              <w:t>Repetitive fully propagated C-fiber action potentials ($\text{CV}=0.41$ m/s).</w:t>
            </w:r>
          </w:p>
        </w:tc>
      </w:tr>
      <w:tr>
        <w:tc>
          <w:tcPr>
            <w:tcW w:type="dxa" w:w="1872"/>
            <w:tcMar>
              <w:top w:w="80" w:type="dxa"/>
              <w:bottom w:w="80" w:type="dxa"/>
              <w:left w:w="120" w:type="dxa"/>
              <w:right w:w="120" w:type="dxa"/>
            </w:tcMar>
          </w:tcPr>
          <w:p>
            <w:pPr>
              <w:spacing w:before="40" w:after="40"/>
            </w:pPr>
            <w:r/>
            <w:r>
              <w:rPr>
                <w:b/>
              </w:rPr>
              <w:t>Lower-$\kappa$ sensitivity check ($\kappa = 3\times 10^7\,\text{m}^{-2}$)</w:t>
            </w:r>
          </w:p>
        </w:tc>
        <w:tc>
          <w:tcPr>
            <w:tcW w:type="dxa" w:w="1872"/>
            <w:tcMar>
              <w:top w:w="80" w:type="dxa"/>
              <w:bottom w:w="80" w:type="dxa"/>
              <w:left w:w="120" w:type="dxa"/>
              <w:right w:w="120" w:type="dxa"/>
            </w:tcMar>
          </w:tcPr>
          <w:p>
            <w:pPr>
              <w:spacing w:before="40" w:after="40"/>
            </w:pPr>
            <w:r/>
            <w:r>
              <w:t>N/A</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NUMERICAL_ARTIFACT</w:t>
            </w:r>
          </w:p>
        </w:tc>
        <w:tc>
          <w:tcPr>
            <w:tcW w:type="dxa" w:w="1872"/>
            <w:tcMar>
              <w:top w:w="80" w:type="dxa"/>
              <w:bottom w:w="80" w:type="dxa"/>
              <w:left w:w="120" w:type="dxa"/>
              <w:right w:w="120" w:type="dxa"/>
            </w:tcMar>
          </w:tcPr>
          <w:p>
            <w:pPr>
              <w:spacing w:before="40" w:after="40"/>
            </w:pPr>
            <w:r/>
            <w:r>
              <w:t>Numerical instability under lower-$\kappa$ regularization; delayed and geometry-independent.</w:t>
            </w:r>
          </w:p>
        </w:tc>
      </w:tr>
    </w:tbl>
    <w:p>
      <w:pPr>
        <w:spacing w:before="80" w:after="80"/>
      </w:pPr>
    </w:p>
    <w:p>
      <w:pPr>
        <w:pBdr>
          <w:bottom w:val="single" w:sz="6" w:space="1" w:color="CCCCCC"/>
        </w:pBdr>
      </w:pPr>
    </w:p>
    <w:p>
      <w:r>
        <w:rPr>
          <w:b/>
        </w:rPr>
        <w:t>Table 2 Phase 2 (Nav1.8/Nav1.9 C-fiber): summary of experimental conditions and outcomes.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AEA"/>
            <w:tcMar>
              <w:top w:w="80" w:type="dxa"/>
              <w:bottom w:w="80" w:type="dxa"/>
              <w:left w:w="120" w:type="dxa"/>
              <w:right w:w="120" w:type="dxa"/>
            </w:tcMar>
          </w:tcPr>
          <w:p>
            <w:pPr>
              <w:spacing w:before="40" w:after="40"/>
            </w:pPr>
            <w:r>
              <w:rPr>
                <w:b/>
              </w:rPr>
            </w:r>
            <w:r>
              <w:rPr>
                <w:b/>
              </w:rPr>
              <w:t>Condition</w:t>
            </w:r>
          </w:p>
        </w:tc>
        <w:tc>
          <w:tcPr>
            <w:tcW w:type="dxa" w:w="1872"/>
            <w:shd w:fill="EAEAEA"/>
            <w:tcMar>
              <w:top w:w="80" w:type="dxa"/>
              <w:bottom w:w="80" w:type="dxa"/>
              <w:left w:w="120" w:type="dxa"/>
              <w:right w:w="120" w:type="dxa"/>
            </w:tcMar>
          </w:tcPr>
          <w:p>
            <w:pPr>
              <w:spacing w:before="40" w:after="40"/>
            </w:pPr>
            <w:r>
              <w:rPr>
                <w:b/>
              </w:rPr>
            </w:r>
            <w:r>
              <w:rPr>
                <w:b/>
              </w:rPr>
              <w:t>Maximum $\Delta V$ (mV)</w:t>
            </w:r>
          </w:p>
        </w:tc>
        <w:tc>
          <w:tcPr>
            <w:tcW w:type="dxa" w:w="1872"/>
            <w:shd w:fill="EAEAEA"/>
            <w:tcMar>
              <w:top w:w="80" w:type="dxa"/>
              <w:bottom w:w="80" w:type="dxa"/>
              <w:left w:w="120" w:type="dxa"/>
              <w:right w:w="120" w:type="dxa"/>
            </w:tcMar>
          </w:tcPr>
          <w:p>
            <w:pPr>
              <w:spacing w:before="40" w:after="40"/>
            </w:pPr>
            <w:r>
              <w:rPr>
                <w:b/>
              </w:rPr>
            </w:r>
            <w:r>
              <w:rPr>
                <w:b/>
              </w:rPr>
              <w:t>Propagated AP?</w:t>
            </w:r>
          </w:p>
        </w:tc>
        <w:tc>
          <w:tcPr>
            <w:tcW w:type="dxa" w:w="1872"/>
            <w:shd w:fill="EAEAEA"/>
            <w:tcMar>
              <w:top w:w="80" w:type="dxa"/>
              <w:bottom w:w="80" w:type="dxa"/>
              <w:left w:w="120" w:type="dxa"/>
              <w:right w:w="120" w:type="dxa"/>
            </w:tcMar>
          </w:tcPr>
          <w:p>
            <w:pPr>
              <w:spacing w:before="40" w:after="40"/>
            </w:pPr>
            <w:r>
              <w:rPr>
                <w:b/>
              </w:rPr>
            </w:r>
            <w:r>
              <w:rPr>
                <w:b/>
              </w:rPr>
              <w:t>Event Classification</w:t>
            </w:r>
          </w:p>
        </w:tc>
        <w:tc>
          <w:tcPr>
            <w:tcW w:type="dxa" w:w="1872"/>
            <w:shd w:fill="EAEAEA"/>
            <w:tcMar>
              <w:top w:w="80" w:type="dxa"/>
              <w:bottom w:w="80" w:type="dxa"/>
              <w:left w:w="120" w:type="dxa"/>
              <w:right w:w="120" w:type="dxa"/>
            </w:tcMar>
          </w:tcPr>
          <w:p>
            <w:pPr>
              <w:spacing w:before="40" w:after="40"/>
            </w:pPr>
            <w:r>
              <w:rPr>
                <w:b/>
              </w:rPr>
            </w:r>
            <w:r>
              <w:rPr>
                <w:b/>
              </w:rPr>
              <w:t>Notes</w:t>
            </w:r>
          </w:p>
        </w:tc>
      </w:tr>
      <w:tr>
        <w:tc>
          <w:tcPr>
            <w:tcW w:type="dxa" w:w="1872"/>
            <w:tcMar>
              <w:top w:w="80" w:type="dxa"/>
              <w:bottom w:w="80" w:type="dxa"/>
              <w:left w:w="120" w:type="dxa"/>
              <w:right w:w="120" w:type="dxa"/>
            </w:tcMar>
          </w:tcPr>
          <w:p>
            <w:pPr>
              <w:spacing w:before="40" w:after="40"/>
            </w:pPr>
            <w:r/>
            <w:r>
              <w:rPr>
                <w:b/>
              </w:rPr>
              <w:t>Single pulse ($w_{\text{cleft}} = 20\,\text{nm}$ to $5\,\mu\text{m}$)</w:t>
            </w:r>
          </w:p>
        </w:tc>
        <w:tc>
          <w:tcPr>
            <w:tcW w:type="dxa" w:w="1872"/>
            <w:tcMar>
              <w:top w:w="80" w:type="dxa"/>
              <w:bottom w:w="80" w:type="dxa"/>
              <w:left w:w="120" w:type="dxa"/>
              <w:right w:w="120" w:type="dxa"/>
            </w:tcMar>
          </w:tcPr>
          <w:p>
            <w:pPr>
              <w:spacing w:before="40" w:after="40"/>
            </w:pPr>
            <w:r/>
            <w:r>
              <w:t>$&lt;1.0$</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Strictly subthreshold across the tested cleft-width range ($20\,\text{nm}$ to $5\,\mu\text{m}$).</w:t>
            </w:r>
          </w:p>
        </w:tc>
      </w:tr>
      <w:tr>
        <w:tc>
          <w:tcPr>
            <w:tcW w:type="dxa" w:w="1872"/>
            <w:tcMar>
              <w:top w:w="80" w:type="dxa"/>
              <w:bottom w:w="80" w:type="dxa"/>
              <w:left w:w="120" w:type="dxa"/>
              <w:right w:w="120" w:type="dxa"/>
            </w:tcMar>
          </w:tcPr>
          <w:p>
            <w:pPr>
              <w:spacing w:before="40" w:after="40"/>
            </w:pPr>
            <w:r/>
            <w:r>
              <w:rPr>
                <w:b/>
              </w:rPr>
              <w:t>Graded bias ($\le 0.25\,\text{A/m}^2$)</w:t>
            </w:r>
          </w:p>
        </w:tc>
        <w:tc>
          <w:tcPr>
            <w:tcW w:type="dxa" w:w="1872"/>
            <w:tcMar>
              <w:top w:w="80" w:type="dxa"/>
              <w:bottom w:w="80" w:type="dxa"/>
              <w:left w:w="120" w:type="dxa"/>
              <w:right w:w="120" w:type="dxa"/>
            </w:tcMar>
          </w:tcPr>
          <w:p>
            <w:pPr>
              <w:spacing w:before="40" w:after="40"/>
            </w:pPr>
            <w:r/>
            <w:r>
              <w:t>Stable baseline</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QUIESCENT_SENSITIZED</w:t>
            </w:r>
          </w:p>
        </w:tc>
        <w:tc>
          <w:tcPr>
            <w:tcW w:type="dxa" w:w="1872"/>
            <w:tcMar>
              <w:top w:w="80" w:type="dxa"/>
              <w:bottom w:w="80" w:type="dxa"/>
              <w:left w:w="120" w:type="dxa"/>
              <w:right w:w="120" w:type="dxa"/>
            </w:tcMar>
          </w:tcPr>
          <w:p>
            <w:pPr>
              <w:spacing w:before="40" w:after="40"/>
            </w:pPr>
            <w:r/>
            <w:r>
              <w:t>Stable sensitized resting window (up to $-56.8$ mV).</w:t>
            </w:r>
          </w:p>
        </w:tc>
      </w:tr>
      <w:tr>
        <w:tc>
          <w:tcPr>
            <w:tcW w:type="dxa" w:w="1872"/>
            <w:tcMar>
              <w:top w:w="80" w:type="dxa"/>
              <w:bottom w:w="80" w:type="dxa"/>
              <w:left w:w="120" w:type="dxa"/>
              <w:right w:w="120" w:type="dxa"/>
            </w:tcMar>
          </w:tcPr>
          <w:p>
            <w:pPr>
              <w:spacing w:before="40" w:after="40"/>
            </w:pPr>
            <w:r/>
            <w:r>
              <w:rPr>
                <w:b/>
              </w:rPr>
              <w:t>Bias + pulse (edge of window)</w:t>
            </w:r>
          </w:p>
        </w:tc>
        <w:tc>
          <w:tcPr>
            <w:tcW w:type="dxa" w:w="1872"/>
            <w:tcMar>
              <w:top w:w="80" w:type="dxa"/>
              <w:bottom w:w="80" w:type="dxa"/>
              <w:left w:w="120" w:type="dxa"/>
              <w:right w:w="120" w:type="dxa"/>
            </w:tcMar>
          </w:tcPr>
          <w:p>
            <w:pPr>
              <w:spacing w:before="40" w:after="40"/>
            </w:pPr>
            <w:r/>
            <w:r>
              <w:t>$&lt;1.0$</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Marginal ephaptic perturbation remains subthreshold.</w:t>
            </w:r>
          </w:p>
        </w:tc>
      </w:tr>
      <w:tr>
        <w:tc>
          <w:tcPr>
            <w:tcW w:type="dxa" w:w="1872"/>
            <w:tcMar>
              <w:top w:w="80" w:type="dxa"/>
              <w:bottom w:w="80" w:type="dxa"/>
              <w:left w:w="120" w:type="dxa"/>
              <w:right w:w="120" w:type="dxa"/>
            </w:tcMar>
          </w:tcPr>
          <w:p>
            <w:pPr>
              <w:spacing w:before="40" w:after="40"/>
            </w:pPr>
            <w:r/>
            <w:r>
              <w:rPr>
                <w:b/>
              </w:rPr>
              <w:t>Depolarizing block ($\ge 0.3\,\text{A/m}^2$)</w:t>
            </w:r>
          </w:p>
        </w:tc>
        <w:tc>
          <w:tcPr>
            <w:tcW w:type="dxa" w:w="1872"/>
            <w:tcMar>
              <w:top w:w="80" w:type="dxa"/>
              <w:bottom w:w="80" w:type="dxa"/>
              <w:left w:w="120" w:type="dxa"/>
              <w:right w:w="120" w:type="dxa"/>
            </w:tcMar>
          </w:tcPr>
          <w:p>
            <w:pPr>
              <w:spacing w:before="40" w:after="40"/>
            </w:pPr>
            <w:r/>
            <w:r>
              <w:t>N/A</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DEPOLARIZING_BLOCK</w:t>
            </w:r>
          </w:p>
        </w:tc>
        <w:tc>
          <w:tcPr>
            <w:tcW w:type="dxa" w:w="1872"/>
            <w:tcMar>
              <w:top w:w="80" w:type="dxa"/>
              <w:bottom w:w="80" w:type="dxa"/>
              <w:left w:w="120" w:type="dxa"/>
              <w:right w:w="120" w:type="dxa"/>
            </w:tcMar>
          </w:tcPr>
          <w:p>
            <w:pPr>
              <w:spacing w:before="40" w:after="40"/>
            </w:pPr>
            <w:r/>
            <w:r>
              <w:t>Sustained silent state driven by complete Nav1.8 inactivation.</w:t>
            </w:r>
          </w:p>
        </w:tc>
      </w:tr>
      <w:tr>
        <w:tc>
          <w:tcPr>
            <w:tcW w:type="dxa" w:w="1872"/>
            <w:tcMar>
              <w:top w:w="80" w:type="dxa"/>
              <w:bottom w:w="80" w:type="dxa"/>
              <w:left w:w="120" w:type="dxa"/>
              <w:right w:w="120" w:type="dxa"/>
            </w:tcMar>
          </w:tcPr>
          <w:p>
            <w:pPr>
              <w:spacing w:before="40" w:after="40"/>
            </w:pPr>
            <w:r/>
            <w:r>
              <w:rPr>
                <w:b/>
              </w:rPr>
              <w:t>Multi-fiber bundle ($n = 25$, synchronous)</w:t>
            </w:r>
          </w:p>
        </w:tc>
        <w:tc>
          <w:tcPr>
            <w:tcW w:type="dxa" w:w="1872"/>
            <w:tcMar>
              <w:top w:w="80" w:type="dxa"/>
              <w:bottom w:w="80" w:type="dxa"/>
              <w:left w:w="120" w:type="dxa"/>
              <w:right w:w="120" w:type="dxa"/>
            </w:tcMar>
          </w:tcPr>
          <w:p>
            <w:pPr>
              <w:spacing w:before="40" w:after="40"/>
            </w:pPr>
            <w:r/>
            <w:r>
              <w:t>$10.16$ (mid peak $-56.66$ mV)</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Subthreshold spatial summation; plateaus near $-56.3$ mV ($\Delta V \approx 10.5$ mV; rest $-66.82$ mV).</w:t>
            </w:r>
          </w:p>
        </w:tc>
      </w:tr>
      <w:tr>
        <w:tc>
          <w:tcPr>
            <w:tcW w:type="dxa" w:w="1872"/>
            <w:tcMar>
              <w:top w:w="80" w:type="dxa"/>
              <w:bottom w:w="80" w:type="dxa"/>
              <w:left w:w="120" w:type="dxa"/>
              <w:right w:w="120" w:type="dxa"/>
            </w:tcMar>
          </w:tcPr>
          <w:p>
            <w:pPr>
              <w:spacing w:before="40" w:after="40"/>
            </w:pPr>
            <w:r/>
            <w:r>
              <w:rPr>
                <w:b/>
              </w:rPr>
              <w:t>Multi-fiber bundle ($n = 25$, $1.5$ ms jitter)</w:t>
            </w:r>
          </w:p>
        </w:tc>
        <w:tc>
          <w:tcPr>
            <w:tcW w:type="dxa" w:w="1872"/>
            <w:tcMar>
              <w:top w:w="80" w:type="dxa"/>
              <w:bottom w:w="80" w:type="dxa"/>
              <w:left w:w="120" w:type="dxa"/>
              <w:right w:w="120" w:type="dxa"/>
            </w:tcMar>
          </w:tcPr>
          <w:p>
            <w:pPr>
              <w:spacing w:before="40" w:after="40"/>
            </w:pPr>
            <w:r/>
            <w:r>
              <w:t>$0.63$ (mid peak $-66.20$ mV)</w:t>
            </w:r>
          </w:p>
        </w:tc>
        <w:tc>
          <w:tcPr>
            <w:tcW w:type="dxa" w:w="1872"/>
            <w:tcMar>
              <w:top w:w="80" w:type="dxa"/>
              <w:bottom w:w="80" w:type="dxa"/>
              <w:left w:w="120" w:type="dxa"/>
              <w:right w:w="120" w:type="dxa"/>
            </w:tcMar>
          </w:tcPr>
          <w:p>
            <w:pPr>
              <w:spacing w:before="40" w:after="40"/>
            </w:pPr>
            <w:r/>
            <w:r>
              <w:t>False</w:t>
            </w:r>
          </w:p>
        </w:tc>
        <w:tc>
          <w:tcPr>
            <w:tcW w:type="dxa" w:w="1872"/>
            <w:tcMar>
              <w:top w:w="80" w:type="dxa"/>
              <w:bottom w:w="80" w:type="dxa"/>
              <w:left w:w="120" w:type="dxa"/>
              <w:right w:w="120" w:type="dxa"/>
            </w:tcMar>
          </w:tcPr>
          <w:p>
            <w:pPr>
              <w:spacing w:before="40" w:after="40"/>
            </w:pPr>
            <w:r/>
            <w:r>
              <w:rPr>
                <w:rFonts w:ascii="Consolas" w:hAnsi="Consolas"/>
                <w:sz w:val="16"/>
              </w:rPr>
              <w:t>LOCAL_STIMULUS_TRANSIENT</w:t>
            </w:r>
          </w:p>
        </w:tc>
        <w:tc>
          <w:tcPr>
            <w:tcW w:type="dxa" w:w="1872"/>
            <w:tcMar>
              <w:top w:w="80" w:type="dxa"/>
              <w:bottom w:w="80" w:type="dxa"/>
              <w:left w:w="120" w:type="dxa"/>
              <w:right w:w="120" w:type="dxa"/>
            </w:tcMar>
          </w:tcPr>
          <w:p>
            <w:pPr>
              <w:spacing w:before="40" w:after="40"/>
            </w:pPr>
            <w:r/>
            <w:r>
              <w:t>$93.9\%$ attenuation due to reduced temporal overlap of source currents (rest $-66.82$ mV).</w:t>
            </w:r>
          </w:p>
        </w:tc>
      </w:tr>
    </w:tbl>
    <w:p>
      <w:pPr>
        <w:spacing w:before="80" w:after="80"/>
      </w:pPr>
    </w:p>
    <w:p>
      <w:pPr>
        <w:pBdr>
          <w:bottom w:val="single" w:sz="6" w:space="1" w:color="CCCCCC"/>
        </w:pBdr>
      </w:pPr>
    </w:p>
    <w:p>
      <w:r>
        <w:rPr>
          <w:b/>
        </w:rPr>
        <w:t>Table 4 Multi-fiber spatial summation sweep in the Phase 1 classical Hodgkin-Huxley model across synchronized Aβ fiber count $n \in [1, 50]$ ($w_{\text{cleft}} = 20$ nm, fixed baseline $\kappa = 1.0 \times 10^9\,\text{m}^{-2}$, $V_{\text{rest}} = -65.000$ mV).</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AEA"/>
            <w:tcMar>
              <w:top w:w="80" w:type="dxa"/>
              <w:bottom w:w="80" w:type="dxa"/>
              <w:left w:w="120" w:type="dxa"/>
              <w:right w:w="120" w:type="dxa"/>
            </w:tcMar>
          </w:tcPr>
          <w:p>
            <w:pPr>
              <w:spacing w:before="40" w:after="40"/>
            </w:pPr>
            <w:r>
              <w:rPr>
                <w:b/>
              </w:rPr>
            </w:r>
            <w:r>
              <w:rPr>
                <w:b/>
              </w:rPr>
              <w:t>Fiber Count ($n$)</w:t>
            </w:r>
          </w:p>
        </w:tc>
        <w:tc>
          <w:tcPr>
            <w:tcW w:type="dxa" w:w="1170"/>
            <w:shd w:fill="EAEAEA"/>
            <w:tcMar>
              <w:top w:w="80" w:type="dxa"/>
              <w:bottom w:w="80" w:type="dxa"/>
              <w:left w:w="120" w:type="dxa"/>
              <w:right w:w="120" w:type="dxa"/>
            </w:tcMar>
          </w:tcPr>
          <w:p>
            <w:pPr>
              <w:spacing w:before="40" w:after="40"/>
            </w:pPr>
            <w:r>
              <w:rPr>
                <w:b/>
              </w:rPr>
            </w:r>
            <w:r>
              <w:rPr>
                <w:b/>
              </w:rPr>
              <w:t>Downstream Peak $\Delta V$ (mV)</w:t>
            </w:r>
          </w:p>
        </w:tc>
        <w:tc>
          <w:tcPr>
            <w:tcW w:type="dxa" w:w="1170"/>
            <w:shd w:fill="EAEAEA"/>
            <w:tcMar>
              <w:top w:w="80" w:type="dxa"/>
              <w:bottom w:w="80" w:type="dxa"/>
              <w:left w:w="120" w:type="dxa"/>
              <w:right w:w="120" w:type="dxa"/>
            </w:tcMar>
          </w:tcPr>
          <w:p>
            <w:pPr>
              <w:spacing w:before="40" w:after="40"/>
            </w:pPr>
            <w:r>
              <w:rPr>
                <w:b/>
              </w:rPr>
            </w:r>
            <w:r>
              <w:rPr>
                <w:b/>
              </w:rPr>
              <w:t>Downstream Peak $V_2$ (mV)</w:t>
            </w:r>
          </w:p>
        </w:tc>
        <w:tc>
          <w:tcPr>
            <w:tcW w:type="dxa" w:w="1170"/>
            <w:shd w:fill="EAEAEA"/>
            <w:tcMar>
              <w:top w:w="80" w:type="dxa"/>
              <w:bottom w:w="80" w:type="dxa"/>
              <w:left w:w="120" w:type="dxa"/>
              <w:right w:w="120" w:type="dxa"/>
            </w:tcMar>
          </w:tcPr>
          <w:p>
            <w:pPr>
              <w:spacing w:before="40" w:after="40"/>
            </w:pPr>
            <w:r>
              <w:rPr>
                <w:b/>
              </w:rPr>
            </w:r>
            <w:r>
              <w:rPr>
                <w:b/>
              </w:rPr>
              <w:t>Midpoint Peak $V_2$ (mV)</w:t>
            </w:r>
          </w:p>
        </w:tc>
        <w:tc>
          <w:tcPr>
            <w:tcW w:type="dxa" w:w="1170"/>
            <w:shd w:fill="EAEAEA"/>
            <w:tcMar>
              <w:top w:w="80" w:type="dxa"/>
              <w:bottom w:w="80" w:type="dxa"/>
              <w:left w:w="120" w:type="dxa"/>
              <w:right w:w="120" w:type="dxa"/>
            </w:tcMar>
          </w:tcPr>
          <w:p>
            <w:pPr>
              <w:spacing w:before="40" w:after="40"/>
            </w:pPr>
            <w:r>
              <w:rPr>
                <w:b/>
              </w:rPr>
            </w:r>
            <w:r>
              <w:rPr>
                <w:b/>
              </w:rPr>
              <w:t>Aβ CV (m/s)</w:t>
            </w:r>
          </w:p>
        </w:tc>
        <w:tc>
          <w:tcPr>
            <w:tcW w:type="dxa" w:w="1170"/>
            <w:shd w:fill="EAEAEA"/>
            <w:tcMar>
              <w:top w:w="80" w:type="dxa"/>
              <w:bottom w:w="80" w:type="dxa"/>
              <w:left w:w="120" w:type="dxa"/>
              <w:right w:w="120" w:type="dxa"/>
            </w:tcMar>
          </w:tcPr>
          <w:p>
            <w:pPr>
              <w:spacing w:before="40" w:after="40"/>
            </w:pPr>
            <w:r>
              <w:rPr>
                <w:b/>
              </w:rPr>
            </w:r>
            <w:r>
              <w:rPr>
                <w:b/>
              </w:rPr>
              <w:t>Effective $\kappa_{\text{eff}}$ ($\text{m}^{-2}$)</w:t>
            </w:r>
          </w:p>
        </w:tc>
        <w:tc>
          <w:tcPr>
            <w:tcW w:type="dxa" w:w="1170"/>
            <w:shd w:fill="EAEAEA"/>
            <w:tcMar>
              <w:top w:w="80" w:type="dxa"/>
              <w:bottom w:w="80" w:type="dxa"/>
              <w:left w:w="120" w:type="dxa"/>
              <w:right w:w="120" w:type="dxa"/>
            </w:tcMar>
          </w:tcPr>
          <w:p>
            <w:pPr>
              <w:spacing w:before="40" w:after="40"/>
            </w:pPr>
            <w:r>
              <w:rPr>
                <w:b/>
              </w:rPr>
            </w:r>
            <w:r>
              <w:rPr>
                <w:b/>
              </w:rPr>
              <w:t>Effective Length Scale $\lambda_{\text{eff}}$ ($\mu\text{m}$)</w:t>
            </w:r>
          </w:p>
        </w:tc>
        <w:tc>
          <w:tcPr>
            <w:tcW w:type="dxa" w:w="1170"/>
            <w:shd w:fill="EAEAEA"/>
            <w:tcMar>
              <w:top w:w="80" w:type="dxa"/>
              <w:bottom w:w="80" w:type="dxa"/>
              <w:left w:w="120" w:type="dxa"/>
              <w:right w:w="120" w:type="dxa"/>
            </w:tcMar>
          </w:tcPr>
          <w:p>
            <w:pPr>
              <w:spacing w:before="40" w:after="40"/>
            </w:pPr>
            <w:r>
              <w:rPr>
                <w:b/>
              </w:rPr>
            </w:r>
            <w:r>
              <w:rPr>
                <w:b/>
              </w:rPr>
              <w:t>Classification</w:t>
            </w:r>
          </w:p>
        </w:tc>
      </w:tr>
      <w:tr>
        <w:tc>
          <w:tcPr>
            <w:tcW w:type="dxa" w:w="1170"/>
            <w:tcMar>
              <w:top w:w="80" w:type="dxa"/>
              <w:bottom w:w="80" w:type="dxa"/>
              <w:left w:w="120" w:type="dxa"/>
              <w:right w:w="120" w:type="dxa"/>
            </w:tcMar>
          </w:tcPr>
          <w:p>
            <w:pPr>
              <w:spacing w:before="40" w:after="40"/>
            </w:pPr>
            <w:r/>
            <w:r>
              <w:t>1</w:t>
            </w:r>
          </w:p>
        </w:tc>
        <w:tc>
          <w:tcPr>
            <w:tcW w:type="dxa" w:w="1170"/>
            <w:tcMar>
              <w:top w:w="80" w:type="dxa"/>
              <w:bottom w:w="80" w:type="dxa"/>
              <w:left w:w="120" w:type="dxa"/>
              <w:right w:w="120" w:type="dxa"/>
            </w:tcMar>
          </w:tcPr>
          <w:p>
            <w:pPr>
              <w:spacing w:before="40" w:after="40"/>
            </w:pPr>
            <w:r/>
            <w:r>
              <w:t>$1.325$</w:t>
            </w:r>
          </w:p>
        </w:tc>
        <w:tc>
          <w:tcPr>
            <w:tcW w:type="dxa" w:w="1170"/>
            <w:tcMar>
              <w:top w:w="80" w:type="dxa"/>
              <w:bottom w:w="80" w:type="dxa"/>
              <w:left w:w="120" w:type="dxa"/>
              <w:right w:w="120" w:type="dxa"/>
            </w:tcMar>
          </w:tcPr>
          <w:p>
            <w:pPr>
              <w:spacing w:before="40" w:after="40"/>
            </w:pPr>
            <w:r/>
            <w:r>
              <w:t>$-63.675$</w:t>
            </w:r>
          </w:p>
        </w:tc>
        <w:tc>
          <w:tcPr>
            <w:tcW w:type="dxa" w:w="1170"/>
            <w:tcMar>
              <w:top w:w="80" w:type="dxa"/>
              <w:bottom w:w="80" w:type="dxa"/>
              <w:left w:w="120" w:type="dxa"/>
              <w:right w:w="120" w:type="dxa"/>
            </w:tcMar>
          </w:tcPr>
          <w:p>
            <w:pPr>
              <w:spacing w:before="40" w:after="40"/>
            </w:pPr>
            <w:r/>
            <w:r>
              <w:t>$-63.712$</w:t>
            </w:r>
          </w:p>
        </w:tc>
        <w:tc>
          <w:tcPr>
            <w:tcW w:type="dxa" w:w="1170"/>
            <w:tcMar>
              <w:top w:w="80" w:type="dxa"/>
              <w:bottom w:w="80" w:type="dxa"/>
              <w:left w:w="120" w:type="dxa"/>
              <w:right w:w="120" w:type="dxa"/>
            </w:tcMar>
          </w:tcPr>
          <w:p>
            <w:pPr>
              <w:spacing w:before="40" w:after="40"/>
            </w:pPr>
            <w:r/>
            <w:r>
              <w:t>$40.00$</w:t>
            </w:r>
          </w:p>
        </w:tc>
        <w:tc>
          <w:tcPr>
            <w:tcW w:type="dxa" w:w="1170"/>
            <w:tcMar>
              <w:top w:w="80" w:type="dxa"/>
              <w:bottom w:w="80" w:type="dxa"/>
              <w:left w:w="120" w:type="dxa"/>
              <w:right w:w="120" w:type="dxa"/>
            </w:tcMar>
          </w:tcPr>
          <w:p>
            <w:pPr>
              <w:spacing w:before="40" w:after="40"/>
            </w:pPr>
            <w:r/>
            <w:r>
              <w:t>$1.86 \times 10^8$</w:t>
            </w:r>
          </w:p>
        </w:tc>
        <w:tc>
          <w:tcPr>
            <w:tcW w:type="dxa" w:w="1170"/>
            <w:tcMar>
              <w:top w:w="80" w:type="dxa"/>
              <w:bottom w:w="80" w:type="dxa"/>
              <w:left w:w="120" w:type="dxa"/>
              <w:right w:w="120" w:type="dxa"/>
            </w:tcMar>
          </w:tcPr>
          <w:p>
            <w:pPr>
              <w:spacing w:before="40" w:after="40"/>
            </w:pPr>
            <w:r/>
            <w:r>
              <w:t>$73.3$</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2</w:t>
            </w:r>
          </w:p>
        </w:tc>
        <w:tc>
          <w:tcPr>
            <w:tcW w:type="dxa" w:w="1170"/>
            <w:tcMar>
              <w:top w:w="80" w:type="dxa"/>
              <w:bottom w:w="80" w:type="dxa"/>
              <w:left w:w="120" w:type="dxa"/>
              <w:right w:w="120" w:type="dxa"/>
            </w:tcMar>
          </w:tcPr>
          <w:p>
            <w:pPr>
              <w:spacing w:before="40" w:after="40"/>
            </w:pPr>
            <w:r/>
            <w:r>
              <w:t>$2.240$</w:t>
            </w:r>
          </w:p>
        </w:tc>
        <w:tc>
          <w:tcPr>
            <w:tcW w:type="dxa" w:w="1170"/>
            <w:tcMar>
              <w:top w:w="80" w:type="dxa"/>
              <w:bottom w:w="80" w:type="dxa"/>
              <w:left w:w="120" w:type="dxa"/>
              <w:right w:w="120" w:type="dxa"/>
            </w:tcMar>
          </w:tcPr>
          <w:p>
            <w:pPr>
              <w:spacing w:before="40" w:after="40"/>
            </w:pPr>
            <w:r/>
            <w:r>
              <w:t>$-62.760$</w:t>
            </w:r>
          </w:p>
        </w:tc>
        <w:tc>
          <w:tcPr>
            <w:tcW w:type="dxa" w:w="1170"/>
            <w:tcMar>
              <w:top w:w="80" w:type="dxa"/>
              <w:bottom w:w="80" w:type="dxa"/>
              <w:left w:w="120" w:type="dxa"/>
              <w:right w:w="120" w:type="dxa"/>
            </w:tcMar>
          </w:tcPr>
          <w:p>
            <w:pPr>
              <w:spacing w:before="40" w:after="40"/>
            </w:pPr>
            <w:r/>
            <w:r>
              <w:t>$-62.810$</w:t>
            </w:r>
          </w:p>
        </w:tc>
        <w:tc>
          <w:tcPr>
            <w:tcW w:type="dxa" w:w="1170"/>
            <w:tcMar>
              <w:top w:w="80" w:type="dxa"/>
              <w:bottom w:w="80" w:type="dxa"/>
              <w:left w:w="120" w:type="dxa"/>
              <w:right w:w="120" w:type="dxa"/>
            </w:tcMar>
          </w:tcPr>
          <w:p>
            <w:pPr>
              <w:spacing w:before="40" w:after="40"/>
            </w:pPr>
            <w:r/>
            <w:r>
              <w:t>$40.00$</w:t>
            </w:r>
          </w:p>
        </w:tc>
        <w:tc>
          <w:tcPr>
            <w:tcW w:type="dxa" w:w="1170"/>
            <w:tcMar>
              <w:top w:w="80" w:type="dxa"/>
              <w:bottom w:w="80" w:type="dxa"/>
              <w:left w:w="120" w:type="dxa"/>
              <w:right w:w="120" w:type="dxa"/>
            </w:tcMar>
          </w:tcPr>
          <w:p>
            <w:pPr>
              <w:spacing w:before="40" w:after="40"/>
            </w:pPr>
            <w:r/>
            <w:r>
              <w:t>$1.03 \times 10^8$</w:t>
            </w:r>
          </w:p>
        </w:tc>
        <w:tc>
          <w:tcPr>
            <w:tcW w:type="dxa" w:w="1170"/>
            <w:tcMar>
              <w:top w:w="80" w:type="dxa"/>
              <w:bottom w:w="80" w:type="dxa"/>
              <w:left w:w="120" w:type="dxa"/>
              <w:right w:w="120" w:type="dxa"/>
            </w:tcMar>
          </w:tcPr>
          <w:p>
            <w:pPr>
              <w:spacing w:before="40" w:after="40"/>
            </w:pPr>
            <w:r/>
            <w:r>
              <w:t>$98.3$</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5</w:t>
            </w:r>
          </w:p>
        </w:tc>
        <w:tc>
          <w:tcPr>
            <w:tcW w:type="dxa" w:w="1170"/>
            <w:tcMar>
              <w:top w:w="80" w:type="dxa"/>
              <w:bottom w:w="80" w:type="dxa"/>
              <w:left w:w="120" w:type="dxa"/>
              <w:right w:w="120" w:type="dxa"/>
            </w:tcMar>
          </w:tcPr>
          <w:p>
            <w:pPr>
              <w:spacing w:before="40" w:after="40"/>
            </w:pPr>
            <w:r/>
            <w:r>
              <w:t>$3.763$</w:t>
            </w:r>
          </w:p>
        </w:tc>
        <w:tc>
          <w:tcPr>
            <w:tcW w:type="dxa" w:w="1170"/>
            <w:tcMar>
              <w:top w:w="80" w:type="dxa"/>
              <w:bottom w:w="80" w:type="dxa"/>
              <w:left w:w="120" w:type="dxa"/>
              <w:right w:w="120" w:type="dxa"/>
            </w:tcMar>
          </w:tcPr>
          <w:p>
            <w:pPr>
              <w:spacing w:before="40" w:after="40"/>
            </w:pPr>
            <w:r/>
            <w:r>
              <w:t>$-61.237$</w:t>
            </w:r>
          </w:p>
        </w:tc>
        <w:tc>
          <w:tcPr>
            <w:tcW w:type="dxa" w:w="1170"/>
            <w:tcMar>
              <w:top w:w="80" w:type="dxa"/>
              <w:bottom w:w="80" w:type="dxa"/>
              <w:left w:w="120" w:type="dxa"/>
              <w:right w:w="120" w:type="dxa"/>
            </w:tcMar>
          </w:tcPr>
          <w:p>
            <w:pPr>
              <w:spacing w:before="40" w:after="40"/>
            </w:pPr>
            <w:r/>
            <w:r>
              <w:t>$-61.320$</w:t>
            </w:r>
          </w:p>
        </w:tc>
        <w:tc>
          <w:tcPr>
            <w:tcW w:type="dxa" w:w="1170"/>
            <w:tcMar>
              <w:top w:w="80" w:type="dxa"/>
              <w:bottom w:w="80" w:type="dxa"/>
              <w:left w:w="120" w:type="dxa"/>
              <w:right w:w="120" w:type="dxa"/>
            </w:tcMar>
          </w:tcPr>
          <w:p>
            <w:pPr>
              <w:spacing w:before="40" w:after="40"/>
            </w:pPr>
            <w:r/>
            <w:r>
              <w:t>$37.21$</w:t>
            </w:r>
          </w:p>
        </w:tc>
        <w:tc>
          <w:tcPr>
            <w:tcW w:type="dxa" w:w="1170"/>
            <w:tcMar>
              <w:top w:w="80" w:type="dxa"/>
              <w:bottom w:w="80" w:type="dxa"/>
              <w:left w:w="120" w:type="dxa"/>
              <w:right w:w="120" w:type="dxa"/>
            </w:tcMar>
          </w:tcPr>
          <w:p>
            <w:pPr>
              <w:spacing w:before="40" w:after="40"/>
            </w:pPr>
            <w:r/>
            <w:r>
              <w:t>$4.44 \times 10^7$</w:t>
            </w:r>
          </w:p>
        </w:tc>
        <w:tc>
          <w:tcPr>
            <w:tcW w:type="dxa" w:w="1170"/>
            <w:tcMar>
              <w:top w:w="80" w:type="dxa"/>
              <w:bottom w:w="80" w:type="dxa"/>
              <w:left w:w="120" w:type="dxa"/>
              <w:right w:w="120" w:type="dxa"/>
            </w:tcMar>
          </w:tcPr>
          <w:p>
            <w:pPr>
              <w:spacing w:before="40" w:after="40"/>
            </w:pPr>
            <w:r/>
            <w:r>
              <w:t>$150.1$</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10</w:t>
            </w:r>
          </w:p>
        </w:tc>
        <w:tc>
          <w:tcPr>
            <w:tcW w:type="dxa" w:w="1170"/>
            <w:tcMar>
              <w:top w:w="80" w:type="dxa"/>
              <w:bottom w:w="80" w:type="dxa"/>
              <w:left w:w="120" w:type="dxa"/>
              <w:right w:w="120" w:type="dxa"/>
            </w:tcMar>
          </w:tcPr>
          <w:p>
            <w:pPr>
              <w:spacing w:before="40" w:after="40"/>
            </w:pPr>
            <w:r/>
            <w:r>
              <w:t>$4.929$</w:t>
            </w:r>
          </w:p>
        </w:tc>
        <w:tc>
          <w:tcPr>
            <w:tcW w:type="dxa" w:w="1170"/>
            <w:tcMar>
              <w:top w:w="80" w:type="dxa"/>
              <w:bottom w:w="80" w:type="dxa"/>
              <w:left w:w="120" w:type="dxa"/>
              <w:right w:w="120" w:type="dxa"/>
            </w:tcMar>
          </w:tcPr>
          <w:p>
            <w:pPr>
              <w:spacing w:before="40" w:after="40"/>
            </w:pPr>
            <w:r/>
            <w:r>
              <w:t>$-60.071$</w:t>
            </w:r>
          </w:p>
        </w:tc>
        <w:tc>
          <w:tcPr>
            <w:tcW w:type="dxa" w:w="1170"/>
            <w:tcMar>
              <w:top w:w="80" w:type="dxa"/>
              <w:bottom w:w="80" w:type="dxa"/>
              <w:left w:w="120" w:type="dxa"/>
              <w:right w:w="120" w:type="dxa"/>
            </w:tcMar>
          </w:tcPr>
          <w:p>
            <w:pPr>
              <w:spacing w:before="40" w:after="40"/>
            </w:pPr>
            <w:r/>
            <w:r>
              <w:t>$-60.190$</w:t>
            </w:r>
          </w:p>
        </w:tc>
        <w:tc>
          <w:tcPr>
            <w:tcW w:type="dxa" w:w="1170"/>
            <w:tcMar>
              <w:top w:w="80" w:type="dxa"/>
              <w:bottom w:w="80" w:type="dxa"/>
              <w:left w:w="120" w:type="dxa"/>
              <w:right w:w="120" w:type="dxa"/>
            </w:tcMar>
          </w:tcPr>
          <w:p>
            <w:pPr>
              <w:spacing w:before="40" w:after="40"/>
            </w:pPr>
            <w:r/>
            <w:r>
              <w:t>$34.78$</w:t>
            </w:r>
          </w:p>
        </w:tc>
        <w:tc>
          <w:tcPr>
            <w:tcW w:type="dxa" w:w="1170"/>
            <w:tcMar>
              <w:top w:w="80" w:type="dxa"/>
              <w:bottom w:w="80" w:type="dxa"/>
              <w:left w:w="120" w:type="dxa"/>
              <w:right w:w="120" w:type="dxa"/>
            </w:tcMar>
          </w:tcPr>
          <w:p>
            <w:pPr>
              <w:spacing w:before="40" w:after="40"/>
            </w:pPr>
            <w:r/>
            <w:r>
              <w:t>$2.27 \times 10^7$</w:t>
            </w:r>
          </w:p>
        </w:tc>
        <w:tc>
          <w:tcPr>
            <w:tcW w:type="dxa" w:w="1170"/>
            <w:tcMar>
              <w:top w:w="80" w:type="dxa"/>
              <w:bottom w:w="80" w:type="dxa"/>
              <w:left w:w="120" w:type="dxa"/>
              <w:right w:w="120" w:type="dxa"/>
            </w:tcMar>
          </w:tcPr>
          <w:p>
            <w:pPr>
              <w:spacing w:before="40" w:after="40"/>
            </w:pPr>
            <w:r/>
            <w:r>
              <w:t>$209.7$</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15</w:t>
            </w:r>
          </w:p>
        </w:tc>
        <w:tc>
          <w:tcPr>
            <w:tcW w:type="dxa" w:w="1170"/>
            <w:tcMar>
              <w:top w:w="80" w:type="dxa"/>
              <w:bottom w:w="80" w:type="dxa"/>
              <w:left w:w="120" w:type="dxa"/>
              <w:right w:w="120" w:type="dxa"/>
            </w:tcMar>
          </w:tcPr>
          <w:p>
            <w:pPr>
              <w:spacing w:before="40" w:after="40"/>
            </w:pPr>
            <w:r/>
            <w:r>
              <w:t>$5.507$</w:t>
            </w:r>
          </w:p>
        </w:tc>
        <w:tc>
          <w:tcPr>
            <w:tcW w:type="dxa" w:w="1170"/>
            <w:tcMar>
              <w:top w:w="80" w:type="dxa"/>
              <w:bottom w:w="80" w:type="dxa"/>
              <w:left w:w="120" w:type="dxa"/>
              <w:right w:w="120" w:type="dxa"/>
            </w:tcMar>
          </w:tcPr>
          <w:p>
            <w:pPr>
              <w:spacing w:before="40" w:after="40"/>
            </w:pPr>
            <w:r/>
            <w:r>
              <w:t>$-59.493$</w:t>
            </w:r>
          </w:p>
        </w:tc>
        <w:tc>
          <w:tcPr>
            <w:tcW w:type="dxa" w:w="1170"/>
            <w:tcMar>
              <w:top w:w="80" w:type="dxa"/>
              <w:bottom w:w="80" w:type="dxa"/>
              <w:left w:w="120" w:type="dxa"/>
              <w:right w:w="120" w:type="dxa"/>
            </w:tcMar>
          </w:tcPr>
          <w:p>
            <w:pPr>
              <w:spacing w:before="40" w:after="40"/>
            </w:pPr>
            <w:r/>
            <w:r>
              <w:t>$-59.620$</w:t>
            </w:r>
          </w:p>
        </w:tc>
        <w:tc>
          <w:tcPr>
            <w:tcW w:type="dxa" w:w="1170"/>
            <w:tcMar>
              <w:top w:w="80" w:type="dxa"/>
              <w:bottom w:w="80" w:type="dxa"/>
              <w:left w:w="120" w:type="dxa"/>
              <w:right w:w="120" w:type="dxa"/>
            </w:tcMar>
          </w:tcPr>
          <w:p>
            <w:pPr>
              <w:spacing w:before="40" w:after="40"/>
            </w:pPr>
            <w:r/>
            <w:r>
              <w:t>$34.04$</w:t>
            </w:r>
          </w:p>
        </w:tc>
        <w:tc>
          <w:tcPr>
            <w:tcW w:type="dxa" w:w="1170"/>
            <w:tcMar>
              <w:top w:w="80" w:type="dxa"/>
              <w:bottom w:w="80" w:type="dxa"/>
              <w:left w:w="120" w:type="dxa"/>
              <w:right w:w="120" w:type="dxa"/>
            </w:tcMar>
          </w:tcPr>
          <w:p>
            <w:pPr>
              <w:spacing w:before="40" w:after="40"/>
            </w:pPr>
            <w:r/>
            <w:r>
              <w:t>$1.53 \times 10^7$</w:t>
            </w:r>
          </w:p>
        </w:tc>
        <w:tc>
          <w:tcPr>
            <w:tcW w:type="dxa" w:w="1170"/>
            <w:tcMar>
              <w:top w:w="80" w:type="dxa"/>
              <w:bottom w:w="80" w:type="dxa"/>
              <w:left w:w="120" w:type="dxa"/>
              <w:right w:w="120" w:type="dxa"/>
            </w:tcMar>
          </w:tcPr>
          <w:p>
            <w:pPr>
              <w:spacing w:before="40" w:after="40"/>
            </w:pPr>
            <w:r/>
            <w:r>
              <w:t>$255.8$</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20</w:t>
            </w:r>
          </w:p>
        </w:tc>
        <w:tc>
          <w:tcPr>
            <w:tcW w:type="dxa" w:w="1170"/>
            <w:tcMar>
              <w:top w:w="80" w:type="dxa"/>
              <w:bottom w:w="80" w:type="dxa"/>
              <w:left w:w="120" w:type="dxa"/>
              <w:right w:w="120" w:type="dxa"/>
            </w:tcMar>
          </w:tcPr>
          <w:p>
            <w:pPr>
              <w:spacing w:before="40" w:after="40"/>
            </w:pPr>
            <w:r/>
            <w:r>
              <w:t>$5.829$</w:t>
            </w:r>
          </w:p>
        </w:tc>
        <w:tc>
          <w:tcPr>
            <w:tcW w:type="dxa" w:w="1170"/>
            <w:tcMar>
              <w:top w:w="80" w:type="dxa"/>
              <w:bottom w:w="80" w:type="dxa"/>
              <w:left w:w="120" w:type="dxa"/>
              <w:right w:w="120" w:type="dxa"/>
            </w:tcMar>
          </w:tcPr>
          <w:p>
            <w:pPr>
              <w:spacing w:before="40" w:after="40"/>
            </w:pPr>
            <w:r/>
            <w:r>
              <w:t>$-59.171$</w:t>
            </w:r>
          </w:p>
        </w:tc>
        <w:tc>
          <w:tcPr>
            <w:tcW w:type="dxa" w:w="1170"/>
            <w:tcMar>
              <w:top w:w="80" w:type="dxa"/>
              <w:bottom w:w="80" w:type="dxa"/>
              <w:left w:w="120" w:type="dxa"/>
              <w:right w:w="120" w:type="dxa"/>
            </w:tcMar>
          </w:tcPr>
          <w:p>
            <w:pPr>
              <w:spacing w:before="40" w:after="40"/>
            </w:pPr>
            <w:r/>
            <w:r>
              <w:t>$-59.310$</w:t>
            </w:r>
          </w:p>
        </w:tc>
        <w:tc>
          <w:tcPr>
            <w:tcW w:type="dxa" w:w="1170"/>
            <w:tcMar>
              <w:top w:w="80" w:type="dxa"/>
              <w:bottom w:w="80" w:type="dxa"/>
              <w:left w:w="120" w:type="dxa"/>
              <w:right w:w="120" w:type="dxa"/>
            </w:tcMar>
          </w:tcPr>
          <w:p>
            <w:pPr>
              <w:spacing w:before="40" w:after="40"/>
            </w:pPr>
            <w:r/>
            <w:r>
              <w:t>$32.65$</w:t>
            </w:r>
          </w:p>
        </w:tc>
        <w:tc>
          <w:tcPr>
            <w:tcW w:type="dxa" w:w="1170"/>
            <w:tcMar>
              <w:top w:w="80" w:type="dxa"/>
              <w:bottom w:w="80" w:type="dxa"/>
              <w:left w:w="120" w:type="dxa"/>
              <w:right w:w="120" w:type="dxa"/>
            </w:tcMar>
          </w:tcPr>
          <w:p>
            <w:pPr>
              <w:spacing w:before="40" w:after="40"/>
            </w:pPr>
            <w:r/>
            <w:r>
              <w:t>$1.15 \times 10^7$</w:t>
            </w:r>
          </w:p>
        </w:tc>
        <w:tc>
          <w:tcPr>
            <w:tcW w:type="dxa" w:w="1170"/>
            <w:tcMar>
              <w:top w:w="80" w:type="dxa"/>
              <w:bottom w:w="80" w:type="dxa"/>
              <w:left w:w="120" w:type="dxa"/>
              <w:right w:w="120" w:type="dxa"/>
            </w:tcMar>
          </w:tcPr>
          <w:p>
            <w:pPr>
              <w:spacing w:before="40" w:after="40"/>
            </w:pPr>
            <w:r/>
            <w:r>
              <w:t>$294.8$</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rPr>
                <w:b/>
              </w:rPr>
              <w:t>25</w:t>
            </w:r>
          </w:p>
        </w:tc>
        <w:tc>
          <w:tcPr>
            <w:tcW w:type="dxa" w:w="1170"/>
            <w:tcMar>
              <w:top w:w="80" w:type="dxa"/>
              <w:bottom w:w="80" w:type="dxa"/>
              <w:left w:w="120" w:type="dxa"/>
              <w:right w:w="120" w:type="dxa"/>
            </w:tcMar>
          </w:tcPr>
          <w:p>
            <w:pPr>
              <w:spacing w:before="40" w:after="40"/>
            </w:pPr>
            <w:r/>
            <w:r>
              <w:rPr>
                <w:b/>
              </w:rPr>
              <w:t>$6.015$</w:t>
            </w:r>
          </w:p>
        </w:tc>
        <w:tc>
          <w:tcPr>
            <w:tcW w:type="dxa" w:w="1170"/>
            <w:tcMar>
              <w:top w:w="80" w:type="dxa"/>
              <w:bottom w:w="80" w:type="dxa"/>
              <w:left w:w="120" w:type="dxa"/>
              <w:right w:w="120" w:type="dxa"/>
            </w:tcMar>
          </w:tcPr>
          <w:p>
            <w:pPr>
              <w:spacing w:before="40" w:after="40"/>
            </w:pPr>
            <w:r/>
            <w:r>
              <w:rPr>
                <w:b/>
              </w:rPr>
              <w:t>$-58.985$</w:t>
            </w:r>
          </w:p>
        </w:tc>
        <w:tc>
          <w:tcPr>
            <w:tcW w:type="dxa" w:w="1170"/>
            <w:tcMar>
              <w:top w:w="80" w:type="dxa"/>
              <w:bottom w:w="80" w:type="dxa"/>
              <w:left w:w="120" w:type="dxa"/>
              <w:right w:w="120" w:type="dxa"/>
            </w:tcMar>
          </w:tcPr>
          <w:p>
            <w:pPr>
              <w:spacing w:before="40" w:after="40"/>
            </w:pPr>
            <w:r/>
            <w:r>
              <w:rPr>
                <w:b/>
              </w:rPr>
              <w:t>$-59.962$</w:t>
            </w:r>
          </w:p>
        </w:tc>
        <w:tc>
          <w:tcPr>
            <w:tcW w:type="dxa" w:w="1170"/>
            <w:tcMar>
              <w:top w:w="80" w:type="dxa"/>
              <w:bottom w:w="80" w:type="dxa"/>
              <w:left w:w="120" w:type="dxa"/>
              <w:right w:w="120" w:type="dxa"/>
            </w:tcMar>
          </w:tcPr>
          <w:p>
            <w:pPr>
              <w:spacing w:before="40" w:after="40"/>
            </w:pPr>
            <w:r/>
            <w:r>
              <w:rPr>
                <w:b/>
              </w:rPr>
              <w:t>$32.00$</w:t>
            </w:r>
          </w:p>
        </w:tc>
        <w:tc>
          <w:tcPr>
            <w:tcW w:type="dxa" w:w="1170"/>
            <w:tcMar>
              <w:top w:w="80" w:type="dxa"/>
              <w:bottom w:w="80" w:type="dxa"/>
              <w:left w:w="120" w:type="dxa"/>
              <w:right w:w="120" w:type="dxa"/>
            </w:tcMar>
          </w:tcPr>
          <w:p>
            <w:pPr>
              <w:spacing w:before="40" w:after="40"/>
            </w:pPr>
            <w:r/>
            <w:r>
              <w:rPr>
                <w:b/>
              </w:rPr>
              <w:t>$9.23 \times 10^6$</w:t>
            </w:r>
          </w:p>
        </w:tc>
        <w:tc>
          <w:tcPr>
            <w:tcW w:type="dxa" w:w="1170"/>
            <w:tcMar>
              <w:top w:w="80" w:type="dxa"/>
              <w:bottom w:w="80" w:type="dxa"/>
              <w:left w:w="120" w:type="dxa"/>
              <w:right w:w="120" w:type="dxa"/>
            </w:tcMar>
          </w:tcPr>
          <w:p>
            <w:pPr>
              <w:spacing w:before="40" w:after="40"/>
            </w:pPr>
            <w:r/>
            <w:r>
              <w:rPr>
                <w:b/>
              </w:rPr>
              <w:t>$329.1$</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30</w:t>
            </w:r>
          </w:p>
        </w:tc>
        <w:tc>
          <w:tcPr>
            <w:tcW w:type="dxa" w:w="1170"/>
            <w:tcMar>
              <w:top w:w="80" w:type="dxa"/>
              <w:bottom w:w="80" w:type="dxa"/>
              <w:left w:w="120" w:type="dxa"/>
              <w:right w:w="120" w:type="dxa"/>
            </w:tcMar>
          </w:tcPr>
          <w:p>
            <w:pPr>
              <w:spacing w:before="40" w:after="40"/>
            </w:pPr>
            <w:r/>
            <w:r>
              <w:t>$6.121$</w:t>
            </w:r>
          </w:p>
        </w:tc>
        <w:tc>
          <w:tcPr>
            <w:tcW w:type="dxa" w:w="1170"/>
            <w:tcMar>
              <w:top w:w="80" w:type="dxa"/>
              <w:bottom w:w="80" w:type="dxa"/>
              <w:left w:w="120" w:type="dxa"/>
              <w:right w:w="120" w:type="dxa"/>
            </w:tcMar>
          </w:tcPr>
          <w:p>
            <w:pPr>
              <w:spacing w:before="40" w:after="40"/>
            </w:pPr>
            <w:r/>
            <w:r>
              <w:t>$-58.879$</w:t>
            </w:r>
          </w:p>
        </w:tc>
        <w:tc>
          <w:tcPr>
            <w:tcW w:type="dxa" w:w="1170"/>
            <w:tcMar>
              <w:top w:w="80" w:type="dxa"/>
              <w:bottom w:w="80" w:type="dxa"/>
              <w:left w:w="120" w:type="dxa"/>
              <w:right w:w="120" w:type="dxa"/>
            </w:tcMar>
          </w:tcPr>
          <w:p>
            <w:pPr>
              <w:spacing w:before="40" w:after="40"/>
            </w:pPr>
            <w:r/>
            <w:r>
              <w:t>$-59.010$</w:t>
            </w:r>
          </w:p>
        </w:tc>
        <w:tc>
          <w:tcPr>
            <w:tcW w:type="dxa" w:w="1170"/>
            <w:tcMar>
              <w:top w:w="80" w:type="dxa"/>
              <w:bottom w:w="80" w:type="dxa"/>
              <w:left w:w="120" w:type="dxa"/>
              <w:right w:w="120" w:type="dxa"/>
            </w:tcMar>
          </w:tcPr>
          <w:p>
            <w:pPr>
              <w:spacing w:before="40" w:after="40"/>
            </w:pPr>
            <w:r/>
            <w:r>
              <w:t>$30.19$</w:t>
            </w:r>
          </w:p>
        </w:tc>
        <w:tc>
          <w:tcPr>
            <w:tcW w:type="dxa" w:w="1170"/>
            <w:tcMar>
              <w:top w:w="80" w:type="dxa"/>
              <w:bottom w:w="80" w:type="dxa"/>
              <w:left w:w="120" w:type="dxa"/>
              <w:right w:w="120" w:type="dxa"/>
            </w:tcMar>
          </w:tcPr>
          <w:p>
            <w:pPr>
              <w:spacing w:before="40" w:after="40"/>
            </w:pPr>
            <w:r/>
            <w:r>
              <w:t>$7.71 \times 10^6$</w:t>
            </w:r>
          </w:p>
        </w:tc>
        <w:tc>
          <w:tcPr>
            <w:tcW w:type="dxa" w:w="1170"/>
            <w:tcMar>
              <w:top w:w="80" w:type="dxa"/>
              <w:bottom w:w="80" w:type="dxa"/>
              <w:left w:w="120" w:type="dxa"/>
              <w:right w:w="120" w:type="dxa"/>
            </w:tcMar>
          </w:tcPr>
          <w:p>
            <w:pPr>
              <w:spacing w:before="40" w:after="40"/>
            </w:pPr>
            <w:r/>
            <w:r>
              <w:t>$360.3$</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40</w:t>
            </w:r>
          </w:p>
        </w:tc>
        <w:tc>
          <w:tcPr>
            <w:tcW w:type="dxa" w:w="1170"/>
            <w:tcMar>
              <w:top w:w="80" w:type="dxa"/>
              <w:bottom w:w="80" w:type="dxa"/>
              <w:left w:w="120" w:type="dxa"/>
              <w:right w:w="120" w:type="dxa"/>
            </w:tcMar>
          </w:tcPr>
          <w:p>
            <w:pPr>
              <w:spacing w:before="40" w:after="40"/>
            </w:pPr>
            <w:r/>
            <w:r>
              <w:t>$6.197$</w:t>
            </w:r>
          </w:p>
        </w:tc>
        <w:tc>
          <w:tcPr>
            <w:tcW w:type="dxa" w:w="1170"/>
            <w:tcMar>
              <w:top w:w="80" w:type="dxa"/>
              <w:bottom w:w="80" w:type="dxa"/>
              <w:left w:w="120" w:type="dxa"/>
              <w:right w:w="120" w:type="dxa"/>
            </w:tcMar>
          </w:tcPr>
          <w:p>
            <w:pPr>
              <w:spacing w:before="40" w:after="40"/>
            </w:pPr>
            <w:r/>
            <w:r>
              <w:t>$-58.803$</w:t>
            </w:r>
          </w:p>
        </w:tc>
        <w:tc>
          <w:tcPr>
            <w:tcW w:type="dxa" w:w="1170"/>
            <w:tcMar>
              <w:top w:w="80" w:type="dxa"/>
              <w:bottom w:w="80" w:type="dxa"/>
              <w:left w:w="120" w:type="dxa"/>
              <w:right w:w="120" w:type="dxa"/>
            </w:tcMar>
          </w:tcPr>
          <w:p>
            <w:pPr>
              <w:spacing w:before="40" w:after="40"/>
            </w:pPr>
            <w:r/>
            <w:r>
              <w:t>$-58.920$</w:t>
            </w:r>
          </w:p>
        </w:tc>
        <w:tc>
          <w:tcPr>
            <w:tcW w:type="dxa" w:w="1170"/>
            <w:tcMar>
              <w:top w:w="80" w:type="dxa"/>
              <w:bottom w:w="80" w:type="dxa"/>
              <w:left w:w="120" w:type="dxa"/>
              <w:right w:w="120" w:type="dxa"/>
            </w:tcMar>
          </w:tcPr>
          <w:p>
            <w:pPr>
              <w:spacing w:before="40" w:after="40"/>
            </w:pPr>
            <w:r/>
            <w:r>
              <w:t>$28.57$</w:t>
            </w:r>
          </w:p>
        </w:tc>
        <w:tc>
          <w:tcPr>
            <w:tcW w:type="dxa" w:w="1170"/>
            <w:tcMar>
              <w:top w:w="80" w:type="dxa"/>
              <w:bottom w:w="80" w:type="dxa"/>
              <w:left w:w="120" w:type="dxa"/>
              <w:right w:w="120" w:type="dxa"/>
            </w:tcMar>
          </w:tcPr>
          <w:p>
            <w:pPr>
              <w:spacing w:before="40" w:after="40"/>
            </w:pPr>
            <w:r/>
            <w:r>
              <w:t>$5.79 \times 10^6$</w:t>
            </w:r>
          </w:p>
        </w:tc>
        <w:tc>
          <w:tcPr>
            <w:tcW w:type="dxa" w:w="1170"/>
            <w:tcMar>
              <w:top w:w="80" w:type="dxa"/>
              <w:bottom w:w="80" w:type="dxa"/>
              <w:left w:w="120" w:type="dxa"/>
              <w:right w:w="120" w:type="dxa"/>
            </w:tcMar>
          </w:tcPr>
          <w:p>
            <w:pPr>
              <w:spacing w:before="40" w:after="40"/>
            </w:pPr>
            <w:r/>
            <w:r>
              <w:t>$415.6$</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r>
        <w:tc>
          <w:tcPr>
            <w:tcW w:type="dxa" w:w="1170"/>
            <w:tcMar>
              <w:top w:w="80" w:type="dxa"/>
              <w:bottom w:w="80" w:type="dxa"/>
              <w:left w:w="120" w:type="dxa"/>
              <w:right w:w="120" w:type="dxa"/>
            </w:tcMar>
          </w:tcPr>
          <w:p>
            <w:pPr>
              <w:spacing w:before="40" w:after="40"/>
            </w:pPr>
            <w:r/>
            <w:r>
              <w:t>50</w:t>
            </w:r>
          </w:p>
        </w:tc>
        <w:tc>
          <w:tcPr>
            <w:tcW w:type="dxa" w:w="1170"/>
            <w:tcMar>
              <w:top w:w="80" w:type="dxa"/>
              <w:bottom w:w="80" w:type="dxa"/>
              <w:left w:w="120" w:type="dxa"/>
              <w:right w:w="120" w:type="dxa"/>
            </w:tcMar>
          </w:tcPr>
          <w:p>
            <w:pPr>
              <w:spacing w:before="40" w:after="40"/>
            </w:pPr>
            <w:r/>
            <w:r>
              <w:t>$6.184$</w:t>
            </w:r>
          </w:p>
        </w:tc>
        <w:tc>
          <w:tcPr>
            <w:tcW w:type="dxa" w:w="1170"/>
            <w:tcMar>
              <w:top w:w="80" w:type="dxa"/>
              <w:bottom w:w="80" w:type="dxa"/>
              <w:left w:w="120" w:type="dxa"/>
              <w:right w:w="120" w:type="dxa"/>
            </w:tcMar>
          </w:tcPr>
          <w:p>
            <w:pPr>
              <w:spacing w:before="40" w:after="40"/>
            </w:pPr>
            <w:r/>
            <w:r>
              <w:t>$-58.816$</w:t>
            </w:r>
          </w:p>
        </w:tc>
        <w:tc>
          <w:tcPr>
            <w:tcW w:type="dxa" w:w="1170"/>
            <w:tcMar>
              <w:top w:w="80" w:type="dxa"/>
              <w:bottom w:w="80" w:type="dxa"/>
              <w:left w:w="120" w:type="dxa"/>
              <w:right w:w="120" w:type="dxa"/>
            </w:tcMar>
          </w:tcPr>
          <w:p>
            <w:pPr>
              <w:spacing w:before="40" w:after="40"/>
            </w:pPr>
            <w:r/>
            <w:r>
              <w:t>$-58.940$</w:t>
            </w:r>
          </w:p>
        </w:tc>
        <w:tc>
          <w:tcPr>
            <w:tcW w:type="dxa" w:w="1170"/>
            <w:tcMar>
              <w:top w:w="80" w:type="dxa"/>
              <w:bottom w:w="80" w:type="dxa"/>
              <w:left w:w="120" w:type="dxa"/>
              <w:right w:w="120" w:type="dxa"/>
            </w:tcMar>
          </w:tcPr>
          <w:p>
            <w:pPr>
              <w:spacing w:before="40" w:after="40"/>
            </w:pPr>
            <w:r/>
            <w:r>
              <w:t>$27.12$</w:t>
            </w:r>
          </w:p>
        </w:tc>
        <w:tc>
          <w:tcPr>
            <w:tcW w:type="dxa" w:w="1170"/>
            <w:tcMar>
              <w:top w:w="80" w:type="dxa"/>
              <w:bottom w:w="80" w:type="dxa"/>
              <w:left w:w="120" w:type="dxa"/>
              <w:right w:w="120" w:type="dxa"/>
            </w:tcMar>
          </w:tcPr>
          <w:p>
            <w:pPr>
              <w:spacing w:before="40" w:after="40"/>
            </w:pPr>
            <w:r/>
            <w:r>
              <w:t>$4.64 \times 10^6$</w:t>
            </w:r>
          </w:p>
        </w:tc>
        <w:tc>
          <w:tcPr>
            <w:tcW w:type="dxa" w:w="1170"/>
            <w:tcMar>
              <w:top w:w="80" w:type="dxa"/>
              <w:bottom w:w="80" w:type="dxa"/>
              <w:left w:w="120" w:type="dxa"/>
              <w:right w:w="120" w:type="dxa"/>
            </w:tcMar>
          </w:tcPr>
          <w:p>
            <w:pPr>
              <w:spacing w:before="40" w:after="40"/>
            </w:pPr>
            <w:r/>
            <w:r>
              <w:t>$464.3$</w:t>
            </w:r>
          </w:p>
        </w:tc>
        <w:tc>
          <w:tcPr>
            <w:tcW w:type="dxa" w:w="1170"/>
            <w:tcMar>
              <w:top w:w="80" w:type="dxa"/>
              <w:bottom w:w="80" w:type="dxa"/>
              <w:left w:w="120" w:type="dxa"/>
              <w:right w:w="120" w:type="dxa"/>
            </w:tcMar>
          </w:tcPr>
          <w:p>
            <w:pPr>
              <w:spacing w:before="40" w:after="40"/>
            </w:pPr>
            <w:r/>
            <w:r>
              <w:rPr>
                <w:rFonts w:ascii="Consolas" w:hAnsi="Consolas"/>
                <w:sz w:val="16"/>
              </w:rPr>
              <w:t>LOCAL_STIMULUS_TRANSIENT</w:t>
            </w:r>
          </w:p>
        </w:tc>
      </w:tr>
    </w:tbl>
    <w:p>
      <w:pPr>
        <w:spacing w:before="80" w:after="80"/>
      </w:pPr>
    </w:p>
    <w:p>
      <w:pPr>
        <w:pBdr>
          <w:bottom w:val="single" w:sz="6" w:space="1" w:color="CCCCCC"/>
        </w:pBdr>
      </w:pPr>
    </w:p>
    <w:p>
      <w:r>
        <w:rPr>
          <w:b/>
        </w:rPr>
        <w:t>Table 5 Spatial grid refinement and convergence verification holding physical node width fixed ($l_{\text{node}} = 1.0\,\mu\text{m}$, $\Delta t = 2.5\,\mu\text{s}$, $w_{\text{cleft}} = 20$ nm).</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EAEA"/>
            <w:tcMar>
              <w:top w:w="80" w:type="dxa"/>
              <w:bottom w:w="80" w:type="dxa"/>
              <w:left w:w="120" w:type="dxa"/>
              <w:right w:w="120" w:type="dxa"/>
            </w:tcMar>
          </w:tcPr>
          <w:p>
            <w:pPr>
              <w:spacing w:before="40" w:after="40"/>
            </w:pPr>
            <w:r>
              <w:rPr>
                <w:b/>
              </w:rPr>
            </w:r>
            <w:r>
              <w:rPr>
                <w:b/>
              </w:rPr>
              <w:t>Spatial Step $\Delta z$</w:t>
            </w:r>
          </w:p>
        </w:tc>
        <w:tc>
          <w:tcPr>
            <w:tcW w:type="dxa" w:w="1337"/>
            <w:shd w:fill="EAEAEA"/>
            <w:tcMar>
              <w:top w:w="80" w:type="dxa"/>
              <w:bottom w:w="80" w:type="dxa"/>
              <w:left w:w="120" w:type="dxa"/>
              <w:right w:w="120" w:type="dxa"/>
            </w:tcMar>
          </w:tcPr>
          <w:p>
            <w:pPr>
              <w:spacing w:before="40" w:after="40"/>
            </w:pPr>
            <w:r>
              <w:rPr>
                <w:b/>
              </w:rPr>
            </w:r>
            <w:r>
              <w:rPr>
                <w:b/>
              </w:rPr>
              <w:t>Isolated Aβ CV (m/s)</w:t>
            </w:r>
          </w:p>
        </w:tc>
        <w:tc>
          <w:tcPr>
            <w:tcW w:type="dxa" w:w="1337"/>
            <w:shd w:fill="EAEAEA"/>
            <w:tcMar>
              <w:top w:w="80" w:type="dxa"/>
              <w:bottom w:w="80" w:type="dxa"/>
              <w:left w:w="120" w:type="dxa"/>
              <w:right w:w="120" w:type="dxa"/>
            </w:tcMar>
          </w:tcPr>
          <w:p>
            <w:pPr>
              <w:spacing w:before="40" w:after="40"/>
            </w:pPr>
            <w:r>
              <w:rPr>
                <w:b/>
              </w:rPr>
            </w:r>
            <w:r>
              <w:rPr>
                <w:b/>
              </w:rPr>
              <w:t>Isolated Aβ Excursion (mV)</w:t>
            </w:r>
          </w:p>
        </w:tc>
        <w:tc>
          <w:tcPr>
            <w:tcW w:type="dxa" w:w="1337"/>
            <w:shd w:fill="EAEAEA"/>
            <w:tcMar>
              <w:top w:w="80" w:type="dxa"/>
              <w:bottom w:w="80" w:type="dxa"/>
              <w:left w:w="120" w:type="dxa"/>
              <w:right w:w="120" w:type="dxa"/>
            </w:tcMar>
          </w:tcPr>
          <w:p>
            <w:pPr>
              <w:spacing w:before="40" w:after="40"/>
            </w:pPr>
            <w:r>
              <w:rPr>
                <w:b/>
              </w:rPr>
            </w:r>
            <w:r>
              <w:rPr>
                <w:b/>
              </w:rPr>
              <w:t>Single-Pair $\Delta V$ ($n=1$, mV)</w:t>
            </w:r>
          </w:p>
        </w:tc>
        <w:tc>
          <w:tcPr>
            <w:tcW w:type="dxa" w:w="1337"/>
            <w:shd w:fill="EAEAEA"/>
            <w:tcMar>
              <w:top w:w="80" w:type="dxa"/>
              <w:bottom w:w="80" w:type="dxa"/>
              <w:left w:w="120" w:type="dxa"/>
              <w:right w:w="120" w:type="dxa"/>
            </w:tcMar>
          </w:tcPr>
          <w:p>
            <w:pPr>
              <w:spacing w:before="40" w:after="40"/>
            </w:pPr>
            <w:r>
              <w:rPr>
                <w:b/>
              </w:rPr>
            </w:r>
            <w:r>
              <w:rPr>
                <w:b/>
              </w:rPr>
              <w:t>Multi-Fiber $\Delta V$ ($n=25$, mV)</w:t>
            </w:r>
          </w:p>
        </w:tc>
        <w:tc>
          <w:tcPr>
            <w:tcW w:type="dxa" w:w="1337"/>
            <w:shd w:fill="EAEAEA"/>
            <w:tcMar>
              <w:top w:w="80" w:type="dxa"/>
              <w:bottom w:w="80" w:type="dxa"/>
              <w:left w:w="120" w:type="dxa"/>
              <w:right w:w="120" w:type="dxa"/>
            </w:tcMar>
          </w:tcPr>
          <w:p>
            <w:pPr>
              <w:spacing w:before="40" w:after="40"/>
            </w:pPr>
            <w:r>
              <w:rPr>
                <w:b/>
              </w:rPr>
            </w:r>
            <w:r>
              <w:rPr>
                <w:b/>
              </w:rPr>
              <w:t>Classification</w:t>
            </w:r>
          </w:p>
        </w:tc>
        <w:tc>
          <w:tcPr>
            <w:tcW w:type="dxa" w:w="1337"/>
            <w:shd w:fill="EAEAEA"/>
            <w:tcMar>
              <w:top w:w="80" w:type="dxa"/>
              <w:bottom w:w="80" w:type="dxa"/>
              <w:left w:w="120" w:type="dxa"/>
              <w:right w:w="120" w:type="dxa"/>
            </w:tcMar>
          </w:tcPr>
          <w:p>
            <w:pPr>
              <w:spacing w:before="40" w:after="40"/>
            </w:pPr>
            <w:r>
              <w:rPr>
                <w:b/>
              </w:rPr>
            </w:r>
            <w:r>
              <w:rPr>
                <w:b/>
              </w:rPr>
              <w:t>Status</w:t>
            </w:r>
          </w:p>
        </w:tc>
      </w:tr>
      <w:tr>
        <w:tc>
          <w:tcPr>
            <w:tcW w:type="dxa" w:w="1337"/>
            <w:tcMar>
              <w:top w:w="80" w:type="dxa"/>
              <w:bottom w:w="80" w:type="dxa"/>
              <w:left w:w="120" w:type="dxa"/>
              <w:right w:w="120" w:type="dxa"/>
            </w:tcMar>
          </w:tcPr>
          <w:p>
            <w:pPr>
              <w:spacing w:before="40" w:after="40"/>
            </w:pPr>
            <w:r/>
            <w:r>
              <w:t>$20.0\,\mu\text{m}$</w:t>
            </w:r>
          </w:p>
        </w:tc>
        <w:tc>
          <w:tcPr>
            <w:tcW w:type="dxa" w:w="1337"/>
            <w:tcMar>
              <w:top w:w="80" w:type="dxa"/>
              <w:bottom w:w="80" w:type="dxa"/>
              <w:left w:w="120" w:type="dxa"/>
              <w:right w:w="120" w:type="dxa"/>
            </w:tcMar>
          </w:tcPr>
          <w:p>
            <w:pPr>
              <w:spacing w:before="40" w:after="40"/>
            </w:pPr>
            <w:r/>
            <w:r>
              <w:t>$40.82$</w:t>
            </w:r>
          </w:p>
        </w:tc>
        <w:tc>
          <w:tcPr>
            <w:tcW w:type="dxa" w:w="1337"/>
            <w:tcMar>
              <w:top w:w="80" w:type="dxa"/>
              <w:bottom w:w="80" w:type="dxa"/>
              <w:left w:w="120" w:type="dxa"/>
              <w:right w:w="120" w:type="dxa"/>
            </w:tcMar>
          </w:tcPr>
          <w:p>
            <w:pPr>
              <w:spacing w:before="40" w:after="40"/>
            </w:pPr>
            <w:r/>
            <w:r>
              <w:t>$79.99$</w:t>
            </w:r>
          </w:p>
        </w:tc>
        <w:tc>
          <w:tcPr>
            <w:tcW w:type="dxa" w:w="1337"/>
            <w:tcMar>
              <w:top w:w="80" w:type="dxa"/>
              <w:bottom w:w="80" w:type="dxa"/>
              <w:left w:w="120" w:type="dxa"/>
              <w:right w:w="120" w:type="dxa"/>
            </w:tcMar>
          </w:tcPr>
          <w:p>
            <w:pPr>
              <w:spacing w:before="40" w:after="40"/>
            </w:pPr>
            <w:r/>
            <w:r>
              <w:t>$1.347$</w:t>
            </w:r>
          </w:p>
        </w:tc>
        <w:tc>
          <w:tcPr>
            <w:tcW w:type="dxa" w:w="1337"/>
            <w:tcMar>
              <w:top w:w="80" w:type="dxa"/>
              <w:bottom w:w="80" w:type="dxa"/>
              <w:left w:w="120" w:type="dxa"/>
              <w:right w:w="120" w:type="dxa"/>
            </w:tcMar>
          </w:tcPr>
          <w:p>
            <w:pPr>
              <w:spacing w:before="40" w:after="40"/>
            </w:pPr>
            <w:r/>
            <w:r>
              <w:t>$5.968$</w:t>
            </w:r>
          </w:p>
        </w:tc>
        <w:tc>
          <w:tcPr>
            <w:tcW w:type="dxa" w:w="1337"/>
            <w:tcMar>
              <w:top w:w="80" w:type="dxa"/>
              <w:bottom w:w="80" w:type="dxa"/>
              <w:left w:w="120" w:type="dxa"/>
              <w:right w:w="120" w:type="dxa"/>
            </w:tcMar>
          </w:tcPr>
          <w:p>
            <w:pPr>
              <w:spacing w:before="40" w:after="40"/>
            </w:pPr>
            <w:r/>
            <w:r>
              <w:rPr>
                <w:rFonts w:ascii="Consolas" w:hAnsi="Consolas"/>
                <w:sz w:val="16"/>
              </w:rPr>
              <w:t>LOCAL_STIMULUS_TRANSIENT</w:t>
            </w:r>
          </w:p>
        </w:tc>
        <w:tc>
          <w:tcPr>
            <w:tcW w:type="dxa" w:w="1337"/>
            <w:tcMar>
              <w:top w:w="80" w:type="dxa"/>
              <w:bottom w:w="80" w:type="dxa"/>
              <w:left w:w="120" w:type="dxa"/>
              <w:right w:w="120" w:type="dxa"/>
            </w:tcMar>
          </w:tcPr>
          <w:p>
            <w:pPr>
              <w:spacing w:before="40" w:after="40"/>
            </w:pPr>
            <w:r/>
            <w:r>
              <w:t>Reference step</w:t>
            </w:r>
          </w:p>
        </w:tc>
      </w:tr>
      <w:tr>
        <w:tc>
          <w:tcPr>
            <w:tcW w:type="dxa" w:w="1337"/>
            <w:tcMar>
              <w:top w:w="80" w:type="dxa"/>
              <w:bottom w:w="80" w:type="dxa"/>
              <w:left w:w="120" w:type="dxa"/>
              <w:right w:w="120" w:type="dxa"/>
            </w:tcMar>
          </w:tcPr>
          <w:p>
            <w:pPr>
              <w:spacing w:before="40" w:after="40"/>
            </w:pPr>
            <w:r/>
            <w:r>
              <w:rPr>
                <w:b/>
              </w:rPr>
              <w:t>$10.0\,\mu\text{m}$ (Nominal)</w:t>
            </w:r>
          </w:p>
        </w:tc>
        <w:tc>
          <w:tcPr>
            <w:tcW w:type="dxa" w:w="1337"/>
            <w:tcMar>
              <w:top w:w="80" w:type="dxa"/>
              <w:bottom w:w="80" w:type="dxa"/>
              <w:left w:w="120" w:type="dxa"/>
              <w:right w:w="120" w:type="dxa"/>
            </w:tcMar>
          </w:tcPr>
          <w:p>
            <w:pPr>
              <w:spacing w:before="40" w:after="40"/>
            </w:pPr>
            <w:r/>
            <w:r>
              <w:rPr>
                <w:b/>
              </w:rPr>
              <w:t>$41.03$</w:t>
            </w:r>
          </w:p>
        </w:tc>
        <w:tc>
          <w:tcPr>
            <w:tcW w:type="dxa" w:w="1337"/>
            <w:tcMar>
              <w:top w:w="80" w:type="dxa"/>
              <w:bottom w:w="80" w:type="dxa"/>
              <w:left w:w="120" w:type="dxa"/>
              <w:right w:w="120" w:type="dxa"/>
            </w:tcMar>
          </w:tcPr>
          <w:p>
            <w:pPr>
              <w:spacing w:before="40" w:after="40"/>
            </w:pPr>
            <w:r/>
            <w:r>
              <w:rPr>
                <w:b/>
              </w:rPr>
              <w:t>$80.44$</w:t>
            </w:r>
          </w:p>
        </w:tc>
        <w:tc>
          <w:tcPr>
            <w:tcW w:type="dxa" w:w="1337"/>
            <w:tcMar>
              <w:top w:w="80" w:type="dxa"/>
              <w:bottom w:w="80" w:type="dxa"/>
              <w:left w:w="120" w:type="dxa"/>
              <w:right w:w="120" w:type="dxa"/>
            </w:tcMar>
          </w:tcPr>
          <w:p>
            <w:pPr>
              <w:spacing w:before="40" w:after="40"/>
            </w:pPr>
            <w:r/>
            <w:r>
              <w:rPr>
                <w:b/>
              </w:rPr>
              <w:t>$1.325$</w:t>
            </w:r>
          </w:p>
        </w:tc>
        <w:tc>
          <w:tcPr>
            <w:tcW w:type="dxa" w:w="1337"/>
            <w:tcMar>
              <w:top w:w="80" w:type="dxa"/>
              <w:bottom w:w="80" w:type="dxa"/>
              <w:left w:w="120" w:type="dxa"/>
              <w:right w:w="120" w:type="dxa"/>
            </w:tcMar>
          </w:tcPr>
          <w:p>
            <w:pPr>
              <w:spacing w:before="40" w:after="40"/>
            </w:pPr>
            <w:r/>
            <w:r>
              <w:rPr>
                <w:b/>
              </w:rPr>
              <w:t>$6.015$</w:t>
            </w:r>
          </w:p>
        </w:tc>
        <w:tc>
          <w:tcPr>
            <w:tcW w:type="dxa" w:w="1337"/>
            <w:tcMar>
              <w:top w:w="80" w:type="dxa"/>
              <w:bottom w:w="80" w:type="dxa"/>
              <w:left w:w="120" w:type="dxa"/>
              <w:right w:w="120" w:type="dxa"/>
            </w:tcMar>
          </w:tcPr>
          <w:p>
            <w:pPr>
              <w:spacing w:before="40" w:after="40"/>
            </w:pPr>
            <w:r/>
            <w:r>
              <w:rPr>
                <w:rFonts w:ascii="Consolas" w:hAnsi="Consolas"/>
                <w:sz w:val="16"/>
              </w:rPr>
              <w:t>LOCAL_STIMULUS_TRANSIENT</w:t>
            </w:r>
          </w:p>
        </w:tc>
        <w:tc>
          <w:tcPr>
            <w:tcW w:type="dxa" w:w="1337"/>
            <w:tcMar>
              <w:top w:w="80" w:type="dxa"/>
              <w:bottom w:w="80" w:type="dxa"/>
              <w:left w:w="120" w:type="dxa"/>
              <w:right w:w="120" w:type="dxa"/>
            </w:tcMar>
          </w:tcPr>
          <w:p>
            <w:pPr>
              <w:spacing w:before="40" w:after="40"/>
            </w:pPr>
            <w:r/>
            <w:r>
              <w:rPr>
                <w:b/>
              </w:rPr>
              <w:t>Nominal study grid</w:t>
            </w:r>
          </w:p>
        </w:tc>
      </w:tr>
      <w:tr>
        <w:tc>
          <w:tcPr>
            <w:tcW w:type="dxa" w:w="1337"/>
            <w:tcMar>
              <w:top w:w="80" w:type="dxa"/>
              <w:bottom w:w="80" w:type="dxa"/>
              <w:left w:w="120" w:type="dxa"/>
              <w:right w:w="120" w:type="dxa"/>
            </w:tcMar>
          </w:tcPr>
          <w:p>
            <w:pPr>
              <w:spacing w:before="40" w:after="40"/>
            </w:pPr>
            <w:r/>
            <w:r>
              <w:t>$5.0\,\mu\text{m}$</w:t>
            </w:r>
          </w:p>
        </w:tc>
        <w:tc>
          <w:tcPr>
            <w:tcW w:type="dxa" w:w="1337"/>
            <w:tcMar>
              <w:top w:w="80" w:type="dxa"/>
              <w:bottom w:w="80" w:type="dxa"/>
              <w:left w:w="120" w:type="dxa"/>
              <w:right w:w="120" w:type="dxa"/>
            </w:tcMar>
          </w:tcPr>
          <w:p>
            <w:pPr>
              <w:spacing w:before="40" w:after="40"/>
            </w:pPr>
            <w:r/>
            <w:r>
              <w:t>$41.03$</w:t>
            </w:r>
          </w:p>
        </w:tc>
        <w:tc>
          <w:tcPr>
            <w:tcW w:type="dxa" w:w="1337"/>
            <w:tcMar>
              <w:top w:w="80" w:type="dxa"/>
              <w:bottom w:w="80" w:type="dxa"/>
              <w:left w:w="120" w:type="dxa"/>
              <w:right w:w="120" w:type="dxa"/>
            </w:tcMar>
          </w:tcPr>
          <w:p>
            <w:pPr>
              <w:spacing w:before="40" w:after="40"/>
            </w:pPr>
            <w:r/>
            <w:r>
              <w:t>$80.60$</w:t>
            </w:r>
          </w:p>
        </w:tc>
        <w:tc>
          <w:tcPr>
            <w:tcW w:type="dxa" w:w="1337"/>
            <w:tcMar>
              <w:top w:w="80" w:type="dxa"/>
              <w:bottom w:w="80" w:type="dxa"/>
              <w:left w:w="120" w:type="dxa"/>
              <w:right w:w="120" w:type="dxa"/>
            </w:tcMar>
          </w:tcPr>
          <w:p>
            <w:pPr>
              <w:spacing w:before="40" w:after="40"/>
            </w:pPr>
            <w:r/>
            <w:r>
              <w:t>$1.306$</w:t>
            </w:r>
          </w:p>
        </w:tc>
        <w:tc>
          <w:tcPr>
            <w:tcW w:type="dxa" w:w="1337"/>
            <w:tcMar>
              <w:top w:w="80" w:type="dxa"/>
              <w:bottom w:w="80" w:type="dxa"/>
              <w:left w:w="120" w:type="dxa"/>
              <w:right w:w="120" w:type="dxa"/>
            </w:tcMar>
          </w:tcPr>
          <w:p>
            <w:pPr>
              <w:spacing w:before="40" w:after="40"/>
            </w:pPr>
            <w:r/>
            <w:r>
              <w:t>$6.027$</w:t>
            </w:r>
          </w:p>
        </w:tc>
        <w:tc>
          <w:tcPr>
            <w:tcW w:type="dxa" w:w="1337"/>
            <w:tcMar>
              <w:top w:w="80" w:type="dxa"/>
              <w:bottom w:w="80" w:type="dxa"/>
              <w:left w:w="120" w:type="dxa"/>
              <w:right w:w="120" w:type="dxa"/>
            </w:tcMar>
          </w:tcPr>
          <w:p>
            <w:pPr>
              <w:spacing w:before="40" w:after="40"/>
            </w:pPr>
            <w:r/>
            <w:r>
              <w:rPr>
                <w:rFonts w:ascii="Consolas" w:hAnsi="Consolas"/>
                <w:sz w:val="16"/>
              </w:rPr>
              <w:t>LOCAL_STIMULUS_TRANSIENT</w:t>
            </w:r>
          </w:p>
        </w:tc>
        <w:tc>
          <w:tcPr>
            <w:tcW w:type="dxa" w:w="1337"/>
            <w:tcMar>
              <w:top w:w="80" w:type="dxa"/>
              <w:bottom w:w="80" w:type="dxa"/>
              <w:left w:w="120" w:type="dxa"/>
              <w:right w:w="120" w:type="dxa"/>
            </w:tcMar>
          </w:tcPr>
          <w:p>
            <w:pPr>
              <w:spacing w:before="40" w:after="40"/>
            </w:pPr>
            <w:r/>
            <w:r>
              <w:t>Spatially stable</w:t>
            </w:r>
          </w:p>
        </w:tc>
      </w:tr>
      <w:tr>
        <w:tc>
          <w:tcPr>
            <w:tcW w:type="dxa" w:w="1337"/>
            <w:tcMar>
              <w:top w:w="80" w:type="dxa"/>
              <w:bottom w:w="80" w:type="dxa"/>
              <w:left w:w="120" w:type="dxa"/>
              <w:right w:w="120" w:type="dxa"/>
            </w:tcMar>
          </w:tcPr>
          <w:p>
            <w:pPr>
              <w:spacing w:before="40" w:after="40"/>
            </w:pPr>
            <w:r/>
            <w:r>
              <w:t>$2.5\,\mu\text{m}$</w:t>
            </w:r>
          </w:p>
        </w:tc>
        <w:tc>
          <w:tcPr>
            <w:tcW w:type="dxa" w:w="1337"/>
            <w:tcMar>
              <w:top w:w="80" w:type="dxa"/>
              <w:bottom w:w="80" w:type="dxa"/>
              <w:left w:w="120" w:type="dxa"/>
              <w:right w:w="120" w:type="dxa"/>
            </w:tcMar>
          </w:tcPr>
          <w:p>
            <w:pPr>
              <w:spacing w:before="40" w:after="40"/>
            </w:pPr>
            <w:r/>
            <w:r>
              <w:t>$41.03$</w:t>
            </w:r>
          </w:p>
        </w:tc>
        <w:tc>
          <w:tcPr>
            <w:tcW w:type="dxa" w:w="1337"/>
            <w:tcMar>
              <w:top w:w="80" w:type="dxa"/>
              <w:bottom w:w="80" w:type="dxa"/>
              <w:left w:w="120" w:type="dxa"/>
              <w:right w:w="120" w:type="dxa"/>
            </w:tcMar>
          </w:tcPr>
          <w:p>
            <w:pPr>
              <w:spacing w:before="40" w:after="40"/>
            </w:pPr>
            <w:r/>
            <w:r>
              <w:t>$80.67$</w:t>
            </w:r>
          </w:p>
        </w:tc>
        <w:tc>
          <w:tcPr>
            <w:tcW w:type="dxa" w:w="1337"/>
            <w:tcMar>
              <w:top w:w="80" w:type="dxa"/>
              <w:bottom w:w="80" w:type="dxa"/>
              <w:left w:w="120" w:type="dxa"/>
              <w:right w:w="120" w:type="dxa"/>
            </w:tcMar>
          </w:tcPr>
          <w:p>
            <w:pPr>
              <w:spacing w:before="40" w:after="40"/>
            </w:pPr>
            <w:r/>
            <w:r>
              <w:t>$1.294$</w:t>
            </w:r>
          </w:p>
        </w:tc>
        <w:tc>
          <w:tcPr>
            <w:tcW w:type="dxa" w:w="1337"/>
            <w:tcMar>
              <w:top w:w="80" w:type="dxa"/>
              <w:bottom w:w="80" w:type="dxa"/>
              <w:left w:w="120" w:type="dxa"/>
              <w:right w:w="120" w:type="dxa"/>
            </w:tcMar>
          </w:tcPr>
          <w:p>
            <w:pPr>
              <w:spacing w:before="40" w:after="40"/>
            </w:pPr>
            <w:r/>
            <w:r>
              <w:t>$6.029$</w:t>
            </w:r>
          </w:p>
        </w:tc>
        <w:tc>
          <w:tcPr>
            <w:tcW w:type="dxa" w:w="1337"/>
            <w:tcMar>
              <w:top w:w="80" w:type="dxa"/>
              <w:bottom w:w="80" w:type="dxa"/>
              <w:left w:w="120" w:type="dxa"/>
              <w:right w:w="120" w:type="dxa"/>
            </w:tcMar>
          </w:tcPr>
          <w:p>
            <w:pPr>
              <w:spacing w:before="40" w:after="40"/>
            </w:pPr>
            <w:r/>
            <w:r>
              <w:rPr>
                <w:rFonts w:ascii="Consolas" w:hAnsi="Consolas"/>
                <w:sz w:val="16"/>
              </w:rPr>
              <w:t>LOCAL_STIMULUS_TRANSIENT</w:t>
            </w:r>
          </w:p>
        </w:tc>
        <w:tc>
          <w:tcPr>
            <w:tcW w:type="dxa" w:w="1337"/>
            <w:tcMar>
              <w:top w:w="80" w:type="dxa"/>
              <w:bottom w:w="80" w:type="dxa"/>
              <w:left w:w="120" w:type="dxa"/>
              <w:right w:w="120" w:type="dxa"/>
            </w:tcMar>
          </w:tcPr>
          <w:p>
            <w:pPr>
              <w:spacing w:before="40" w:after="40"/>
            </w:pPr>
            <w:r/>
            <w:r>
              <w:t>Spatially stable</w:t>
            </w:r>
          </w:p>
        </w:tc>
      </w:tr>
    </w:tbl>
    <w:p>
      <w:pPr>
        <w:spacing w:before="80" w:after="80"/>
      </w:pPr>
    </w:p>
    <w:p>
      <w:pPr>
        <w:pBdr>
          <w:bottom w:val="single" w:sz="6" w:space="1" w:color="CCCCCC"/>
        </w:pBdr>
      </w:pPr>
    </w:p>
    <w:p>
      <w:pPr>
        <w:pStyle w:val="Heading2"/>
      </w:pPr>
      <w:r>
        <w:t>Declarations</w:t>
      </w:r>
    </w:p>
    <w:p>
      <w:pPr>
        <w:pStyle w:val="Heading3"/>
      </w:pPr>
      <w:r>
        <w:t>Funding</w:t>
      </w:r>
    </w:p>
    <w:p>
      <w:r>
        <w:t>No funding was received for conducting this study.</w:t>
      </w:r>
    </w:p>
    <w:p>
      <w:pPr>
        <w:pStyle w:val="Heading3"/>
      </w:pPr>
      <w:r>
        <w:t>Competing Interests</w:t>
      </w:r>
    </w:p>
    <w:p>
      <w:r>
        <w:t>The author declares that he has no competing interests or financial disclosures relevant to the content of this article.</w:t>
      </w:r>
    </w:p>
    <w:p>
      <w:pPr>
        <w:pStyle w:val="Heading3"/>
      </w:pPr>
      <w:r>
        <w:t>Ethics Approval</w:t>
      </w:r>
    </w:p>
    <w:p>
      <w:r>
        <w:t>Not applicable. This study involves only mathematical and computational modeling; no human participants, clinical records, or live animals were involved.</w:t>
      </w:r>
    </w:p>
    <w:p>
      <w:pPr>
        <w:pStyle w:val="Heading3"/>
      </w:pPr>
      <w:r>
        <w:t>Code Availability</w:t>
      </w:r>
    </w:p>
    <w:p>
      <w:r>
        <w:t>The simulation code implementing the closed-loop core-conductor model, CRRSS kinetics, Nav1.8/Nav1.9 nociceptor kinetics, the multi-fiber bundle formulation, and all verification suites is available at: https://github.com/MinaSaied23/ephaptic-crosstalk.</w:t>
      </w:r>
    </w:p>
    <w:p>
      <w:r>
        <w:t>Simulations were implemented in Python (v3.11/v3.12, RRID:SCR_008394) using NumPy (v1.26.4, RRID:SCR_008633), SciPy (v1.13.0, RRID:SCR_008058), Matplotlib (v3.8.4, RRID:SCR_008624), and Pillow (v10.3.0, RRID:SCR_023337).</w:t>
      </w:r>
    </w:p>
    <w:p>
      <w:pPr>
        <w:pStyle w:val="Heading3"/>
      </w:pPr>
      <w:r>
        <w:t>Author Contributions</w:t>
      </w:r>
    </w:p>
    <w:p>
      <w:r>
        <w:rPr>
          <w:b/>
        </w:rPr>
        <w:t>Mina Saied Attia:</w:t>
      </w:r>
      <w:r>
        <w:t xml:space="preserve"> Conceptualization, Methodology, Software, Validation, Formal Analysis, Investigation, Data Curation, Writing - Original Draft, Writing - Review &amp; Editing, Visualization.</w:t>
      </w:r>
    </w:p>
    <w:p>
      <w:pPr>
        <w:pBdr>
          <w:bottom w:val="single" w:sz="6" w:space="1" w:color="CCCCCC"/>
        </w:pBdr>
      </w:pPr>
    </w:p>
    <w:p>
      <w:pPr>
        <w:pStyle w:val="Heading2"/>
      </w:pPr>
      <w:r>
        <w:t>References</w:t>
      </w:r>
    </w:p>
    <w:p>
      <w:r>
        <w:t xml:space="preserve">Akopian, A. N., Sivilotti, L., &amp; Wood, J. N. (1996). A tetrodotoxin-resistant voltage-gated sodium channel expressed by sensory neurons. </w:t>
      </w:r>
      <w:r>
        <w:rPr>
          <w:i/>
        </w:rPr>
        <w:t>Nature</w:t>
      </w:r>
      <w:r>
        <w:t>, 379(6562), 257–262. https://doi.org/10.1038/379257a0</w:t>
      </w:r>
    </w:p>
    <w:p>
      <w:r>
        <w:t xml:space="preserve">Amir, R., &amp; Devor, M. (2000). Functional cross-excitation between afferent A- and C-neurons in dorsal root ganglia. </w:t>
      </w:r>
      <w:r>
        <w:rPr>
          <w:i/>
        </w:rPr>
        <w:t>Neuroscience</w:t>
      </w:r>
      <w:r>
        <w:t>, 95(1), 189–195. https://doi.org/10.1016/s0306-4522(99)00418-4</w:t>
      </w:r>
    </w:p>
    <w:p>
      <w:r>
        <w:t xml:space="preserve">Arvanitaki, A. (1942). Effects evoked in an axon by the activity of a contiguous one. </w:t>
      </w:r>
      <w:r>
        <w:rPr>
          <w:i/>
        </w:rPr>
        <w:t>Journal of Neurophysiology</w:t>
      </w:r>
      <w:r>
        <w:t>, 5(2), 89–108. https://doi.org/10.1152/jn.1942.5.2.89</w:t>
      </w:r>
    </w:p>
    <w:p>
      <w:r>
        <w:t xml:space="preserve">Asmedi, A., Wibowo, S., &amp; Meliala, L. (2018). Ephaptic crosstalk in painful diabetic neuropathy: An electrodiagnostic study. </w:t>
      </w:r>
      <w:r>
        <w:rPr>
          <w:i/>
        </w:rPr>
        <w:t>Journal of Medical Sciences (Berkala Ilmu Kedokteran)</w:t>
      </w:r>
      <w:r>
        <w:t>, 50(2), 173–179. https://doi.org/10.19106/JMedSci005002201808</w:t>
      </w:r>
    </w:p>
    <w:p>
      <w:r>
        <w:t xml:space="preserve">Chawla, A., &amp; Morgera, S. D. (2022). On the geometry of interacting axon tracts in relation to their functional properties. </w:t>
      </w:r>
      <w:r>
        <w:rPr>
          <w:i/>
        </w:rPr>
        <w:t>Communications in Mathematical Biology and Neuroscience</w:t>
      </w:r>
      <w:r>
        <w:t>, 2022, Article 57. https://doi.org/10.28919/cmbn/7478</w:t>
      </w:r>
    </w:p>
    <w:p>
      <w:r>
        <w:t xml:space="preserve">Chawla, A., &amp; Morgera, S. D. (2024). The ephaptic effect in unmyelinated axon bundles. </w:t>
      </w:r>
      <w:r>
        <w:rPr>
          <w:i/>
        </w:rPr>
        <w:t>IEEE Transactions on Molecular, Biological and Multi-Scale Communications</w:t>
      </w:r>
      <w:r>
        <w:t>, 10(2), 237–248. https://doi.org/10.1109/TMBMC.2024.3392477</w:t>
      </w:r>
    </w:p>
    <w:p>
      <w:r>
        <w:t xml:space="preserve">Chawla, A., Morgera, S. D., &amp; Snider, A. D. (2021a). On axon interaction and its role in neurological networks. </w:t>
      </w:r>
      <w:r>
        <w:rPr>
          <w:i/>
        </w:rPr>
        <w:t>IEEE/ACM Transactions on Computational Biology and Bioinformatics</w:t>
      </w:r>
      <w:r>
        <w:t>, 18(2), 790–796. https://doi.org/10.1109/TCBB.2019.2941689</w:t>
      </w:r>
    </w:p>
    <w:p>
      <w:r>
        <w:t xml:space="preserve">Chawla, P., Sharma, K., &amp; Morgera, S. D. (2021b). Modeling of ephaptic coupling in peripheral nerve fibers. </w:t>
      </w:r>
      <w:r>
        <w:rPr>
          <w:i/>
        </w:rPr>
        <w:t>IEEE Transactions on Neural Systems and Rehabilitation Engineering</w:t>
      </w:r>
      <w:r>
        <w:t>, 29, 2697–2707. https://doi.org/10.1109/TNSRE.2021.3130138</w:t>
      </w:r>
    </w:p>
    <w:p>
      <w:r>
        <w:t xml:space="preserve">Chiu, S. Y., Ritchie, J. M., Rogart, R. B., &amp; Stagg, D. (1979). A quantitative description of membrane currents in rabbit myelinated nerve. </w:t>
      </w:r>
      <w:r>
        <w:rPr>
          <w:i/>
        </w:rPr>
        <w:t>The Journal of Physiology</w:t>
      </w:r>
      <w:r>
        <w:t>, 292, 149–166. https://doi.org/10.1113/jphysiol.1979.sp012843</w:t>
      </w:r>
    </w:p>
    <w:p>
      <w:r>
        <w:t xml:space="preserve">Cummins, T. R., Dib-Hajj, S. D., Black, J. A., Akopian, A. N., Wood, J. N., &amp; Waxman, S. G. (1999). A novel persistent tetrodotoxin-resistant sodium current in SNS-null and wild-type small primary sensory neurons. </w:t>
      </w:r>
      <w:r>
        <w:rPr>
          <w:i/>
        </w:rPr>
        <w:t>Journal of Neuroscience</w:t>
      </w:r>
      <w:r>
        <w:t>, 19(24), RC43. https://doi.org/10.1523/JNEUROSCI.19-24-j0001.1999</w:t>
      </w:r>
    </w:p>
    <w:p>
      <w:r>
        <w:t xml:space="preserve">Devor, M., &amp; Wall, P. D. (1990). Cross-excitation in dorsal root ganglia of nerve-injured and intact rats. </w:t>
      </w:r>
      <w:r>
        <w:rPr>
          <w:i/>
        </w:rPr>
        <w:t>Journal of Neurophysiology</w:t>
      </w:r>
      <w:r>
        <w:t>, 64(6), 1733–1744. https://doi.org/10.1152/jn.1990.64.6.1733</w:t>
      </w:r>
    </w:p>
    <w:p>
      <w:r>
        <w:t xml:space="preserve">Goldwyn, J. H., &amp; Rinzel, J. (2016). Neuronal coupling by endogenous electric fields: Cable theory and applications to coincidence detector neurons in the auditory brain stem. </w:t>
      </w:r>
      <w:r>
        <w:rPr>
          <w:i/>
        </w:rPr>
        <w:t>Journal of Neurophysiology</w:t>
      </w:r>
      <w:r>
        <w:t>, 115(4), 2033–2051. https://doi.org/10.1152/jn.00780.2015</w:t>
      </w:r>
    </w:p>
    <w:p>
      <w:r>
        <w:t xml:space="preserve">Hodgkin, A. L., &amp; Huxley, A. F. (1952). A quantitative description of membrane current and its application to conduction and excitation in nerve. </w:t>
      </w:r>
      <w:r>
        <w:rPr>
          <w:i/>
        </w:rPr>
        <w:t>The Journal of Physiology</w:t>
      </w:r>
      <w:r>
        <w:t>, 117(4), 500–544. https://doi.org/10.1113/jphysiol.1952.sp004764</w:t>
      </w:r>
    </w:p>
    <w:p>
      <w:r>
        <w:t xml:space="preserve">Jæger, K. H., &amp; Tveito, A. (2022). Deriving the bidomain model of cardiac electrophysiology from a cell-based model; properties and comparisons. </w:t>
      </w:r>
      <w:r>
        <w:rPr>
          <w:i/>
        </w:rPr>
        <w:t>Frontiers in Physiology</w:t>
      </w:r>
      <w:r>
        <w:t>, 12, 811029. https://doi.org/10.3389/fphys.2021.811029</w:t>
      </w:r>
    </w:p>
    <w:p>
      <w:r>
        <w:t xml:space="preserve">Jæger, K. H., &amp; Tveito, A. (2026). Extracellular stimulation and ephaptic coupling of neurons in a fully coupled finite element-based Extracellular-Membrane-Intracellular (EMI) model. </w:t>
      </w:r>
      <w:r>
        <w:rPr>
          <w:i/>
        </w:rPr>
        <w:t>Frontiers in Computational Neuroscience</w:t>
      </w:r>
      <w:r>
        <w:t>, 20, 1755548. https://doi.org/10.3389/fncom.2026.1755548</w:t>
      </w:r>
    </w:p>
    <w:p>
      <w:r>
        <w:t xml:space="preserve">Katz, B., &amp; Schmitt, O. H. (1940). Electric interaction between two adjacent nerve fibres. </w:t>
      </w:r>
      <w:r>
        <w:rPr>
          <w:i/>
        </w:rPr>
        <w:t>The Journal of Physiology</w:t>
      </w:r>
      <w:r>
        <w:t>, 97(4), 471–488. https://doi.org/10.1113/jphysiol.1940.sp003823</w:t>
      </w:r>
    </w:p>
    <w:p>
      <w:r>
        <w:t xml:space="preserve">Klein, A. H., Vyshnevska, A., Hartke, T. V., De Col, R., Mankowski, J. L., Turnquist, B., Bosmans, F., Reeh, P. W., Schmelz, M., Carr, R. W., &amp; Ringkamp, M. (2017). Sodium channel Nav1.8 underlies TTX-resistant axonal action potential conduction in somatosensory C-fibers of distal cutaneous nerves. </w:t>
      </w:r>
      <w:r>
        <w:rPr>
          <w:i/>
        </w:rPr>
        <w:t>Journal of Neuroscience</w:t>
      </w:r>
      <w:r>
        <w:t>, 37(20), 5204–5214. https://doi.org/10.1523/JNEUROSCI.3799-16.2017</w:t>
      </w:r>
    </w:p>
    <w:p>
      <w:r>
        <w:t xml:space="preserve">Lindén, H., Hagen, T., Łęski, S., Norheim, E. S., Pettersen, K. H., &amp; Einevoll, G. T. (2014). LFPy: A tool for biophysical simulation of extracellular potentials generated by detailed model neurons. </w:t>
      </w:r>
      <w:r>
        <w:rPr>
          <w:i/>
        </w:rPr>
        <w:t>Frontiers in Neuroinformatics</w:t>
      </w:r>
      <w:r>
        <w:t>, 7, 41. https://doi.org/10.3389/fninf.2013.00041</w:t>
      </w:r>
    </w:p>
    <w:p>
      <w:r>
        <w:t xml:space="preserve">Murinson, B. B., &amp; Griffin, J. W. (2004). C-fiber structure varies with location in peripheral nerve. </w:t>
      </w:r>
      <w:r>
        <w:rPr>
          <w:i/>
        </w:rPr>
        <w:t>Journal of Neuropathology and Experimental Neurology</w:t>
      </w:r>
      <w:r>
        <w:t>, 63(3), 246–254. https://doi.org/10.1093/jnen/63.3.246</w:t>
      </w:r>
    </w:p>
    <w:p>
      <w:r>
        <w:t xml:space="preserve">Pelot, N. A., Catherall, D. C., Thio, B. J., Titus, N. D., Liang, E. D., Henriquez, C. S., &amp; Grill, W. M. (2021). Excitation properties of computational models of unmyelinated peripheral axons. </w:t>
      </w:r>
      <w:r>
        <w:rPr>
          <w:i/>
        </w:rPr>
        <w:t>Journal of Neurophysiology</w:t>
      </w:r>
      <w:r>
        <w:t>, 125(1), 86–104. https://doi.org/10.1152/jn.00315.2020</w:t>
      </w:r>
    </w:p>
    <w:p>
      <w:r>
        <w:t xml:space="preserve">Rappaport, Z. H., &amp; Devor, M. (1994). Trigeminal neuralgia: The role of self-sustaining discharge (ignition) in the medicine and surgery of paroxysmal pain. </w:t>
      </w:r>
      <w:r>
        <w:rPr>
          <w:i/>
        </w:rPr>
        <w:t>Pain</w:t>
      </w:r>
      <w:r>
        <w:t>, 56(2), 127–138. https://doi.org/10.1016/0304-3959(94)90086-6</w:t>
      </w:r>
    </w:p>
    <w:p>
      <w:r>
        <w:t xml:space="preserve">Rasminsky, M. (1980). Ephaptic transmission between single nerve fibres in the spinal nerve roots of dystrophic mice. </w:t>
      </w:r>
      <w:r>
        <w:rPr>
          <w:i/>
        </w:rPr>
        <w:t>The Journal of Physiology</w:t>
      </w:r>
      <w:r>
        <w:t>, 305(1), 151–169. https://doi.org/10.1113/jphysiol.1980.sp013356</w:t>
      </w:r>
    </w:p>
    <w:p>
      <w:r>
        <w:t xml:space="preserve">Reutskiy, S., Rossoni, E., &amp; Tirozzi, B. (2003). Conduction in bundles of demyelinated nerve fibers: Computer simulation. </w:t>
      </w:r>
      <w:r>
        <w:rPr>
          <w:i/>
        </w:rPr>
        <w:t>Biological Cybernetics</w:t>
      </w:r>
      <w:r>
        <w:t>, 89(6), 439–448. https://doi.org/10.1007/s00422-003-0444-2</w:t>
      </w:r>
    </w:p>
    <w:p>
      <w:r>
        <w:t xml:space="preserve">Rossoni, E., Tirozzi, B., &amp; McDonald, M. S. (2003). A model of action potential propagation in bundles of myelinated nerve fibers. </w:t>
      </w:r>
      <w:r>
        <w:rPr>
          <w:i/>
        </w:rPr>
        <w:t>Biological Cybernetics</w:t>
      </w:r>
      <w:r>
        <w:t>, 89(6), 430–440. https://doi.org/10.1007/s00422-003-0443-3</w:t>
      </w:r>
    </w:p>
    <w:p>
      <w:r>
        <w:t xml:space="preserve">Schmidt, H., Hahn, G., Deco, G., &amp; Knösche, T. R. (2021). Ephaptic coupling in white matter fibre bundles modulates axonal transmission delays. </w:t>
      </w:r>
      <w:r>
        <w:rPr>
          <w:i/>
        </w:rPr>
        <w:t>PLOS Computational Biology</w:t>
      </w:r>
      <w:r>
        <w:t>, 17(2), e1007858. https://doi.org/10.1371/journal.pcbi.1007858</w:t>
      </w:r>
    </w:p>
    <w:p>
      <w:r>
        <w:t xml:space="preserve">Schmidt, H., &amp; Knösche, T. R. (2022). Modelling the effect of ephaptic coupling on spike propagation in peripheral nerve fibres. </w:t>
      </w:r>
      <w:r>
        <w:rPr>
          <w:i/>
        </w:rPr>
        <w:t>Biological Cybernetics</w:t>
      </w:r>
      <w:r>
        <w:t>, 116(4), 461–473. https://doi.org/10.1007/s00422-022-00934-9</w:t>
      </w:r>
    </w:p>
    <w:p>
      <w:r>
        <w:t xml:space="preserve">Seltzer, Z., &amp; Devor, M. (1979). Ephaptic transmission in chronically damaged peripheral nerves. </w:t>
      </w:r>
      <w:r>
        <w:rPr>
          <w:i/>
        </w:rPr>
        <w:t>Neurology</w:t>
      </w:r>
      <w:r>
        <w:t>, 29(7), 1061–1064. https://doi.org/10.1212/wnl.29.7.1061</w:t>
      </w:r>
    </w:p>
    <w:p>
      <w:r>
        <w:t xml:space="preserve">Sundt, D., Gamper, N., &amp; Jaffe, D. B. (2015). Spike propagation through the dorsal root ganglia in an unmyelinated sensory neuron: A modeling study. </w:t>
      </w:r>
      <w:r>
        <w:rPr>
          <w:i/>
        </w:rPr>
        <w:t>Journal of Neurophysiology</w:t>
      </w:r>
      <w:r>
        <w:t>, 114(6), 3140–3153. https://doi.org/10.1152/jn.00226.2015</w:t>
      </w:r>
    </w:p>
    <w:p>
      <w:r>
        <w:t xml:space="preserve">Sweeney, J. D., Mortimer, J. T., &amp; Durand, D. M. (1987). Modeling of mammalian myelinated nerve for functional neuromuscular stimulation. In </w:t>
      </w:r>
      <w:r>
        <w:rPr>
          <w:i/>
        </w:rPr>
        <w:t>Proceedings of the 9th Annual Conference of the IEEE Engineering in Medicine and Biology Society</w:t>
      </w:r>
      <w:r>
        <w:t xml:space="preserve"> (pp. 1577–1578). https://doi.org/10.1109/IEMBS.1987.801648</w:t>
      </w:r>
    </w:p>
    <w:p>
      <w:r>
        <w:t xml:space="preserve">Tigerholm, J., Petersson, M. E., Obreja, O., Lampert, A., Carr, R., Schmelz, M., &amp; Fransén, E. (2014). Modeling activity-dependent changes of axonal spike conduction in primary afferent C-nociceptors. </w:t>
      </w:r>
      <w:r>
        <w:rPr>
          <w:i/>
        </w:rPr>
        <w:t>Journal of Neurophysiology</w:t>
      </w:r>
      <w:r>
        <w:t>, 111(9), 1721–1735. https://doi.org/10.1152/jn.00777.2012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