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2FC8F6D" w14:textId="77777777" w:rsidR="00A74203" w:rsidRDefault="00000000">
      <w:pPr>
        <w:pStyle w:val="Title"/>
      </w:pPr>
      <w:r>
        <w:t>Peer review</w:t>
      </w:r>
    </w:p>
    <w:p w14:paraId="1E1718A0" w14:textId="77777777" w:rsidR="00A74203" w:rsidRDefault="00000000">
      <w:pPr>
        <w:pStyle w:val="Subtitle"/>
      </w:pPr>
      <w:r>
        <w:t>Ephaptic crosstalk between Aβ mechanoreceptive afferents and C-fiber nociceptors</w:t>
      </w:r>
    </w:p>
    <w:p w14:paraId="7718654C" w14:textId="77777777" w:rsidR="00A74203" w:rsidRDefault="00000000">
      <w:pPr>
        <w:pStyle w:val="Heading1"/>
      </w:pPr>
      <w:r>
        <w:t>Overall assessment</w:t>
      </w:r>
    </w:p>
    <w:p w14:paraId="7DF31722" w14:textId="130FEC7C" w:rsidR="00A74203" w:rsidRDefault="00000000">
      <w:r>
        <w:t>This manuscript asks whether activity in myelinated mechanoreceptive afferents can influence a nearby nociceptive fiber through a restricted extracellular space. The question is worthwhile, the two-phase design is easy to follow, and the negative single-pair results deserve to be reported. The numerical checks and public code also make the work open to scrutiny. I do, however, recommend several revisions be done before accepting the work. The central issues concern current balance, the Aβ source waveform, the physical interpretation of the extracellular geometry and κ, numerical verification, correspondence between the stated protocols and released code, and the initialization and validation of Phase 2. The central multi-fiber result is potentially important, but its interpretation depends on resolving those issues.</w:t>
      </w:r>
    </w:p>
    <w:p w14:paraId="71CB5D39" w14:textId="77777777" w:rsidR="00A74203" w:rsidRDefault="00000000">
      <w:pPr>
        <w:pStyle w:val="Heading1"/>
      </w:pPr>
      <w:r>
        <w:t>Strengths of the manuscript</w:t>
      </w:r>
    </w:p>
    <w:p w14:paraId="21C446E0" w14:textId="77777777" w:rsidR="00A74203" w:rsidRDefault="00000000">
      <w:pPr>
        <w:numPr>
          <w:ilvl w:val="0"/>
          <w:numId w:val="3"/>
        </w:numPr>
      </w:pPr>
      <w:r>
        <w:t>The study asks a biologically and clinically interesting question about peripheral interactions between mechanoreceptive and nociceptive afferents.</w:t>
      </w:r>
    </w:p>
    <w:p w14:paraId="01DFB9E6" w14:textId="77777777" w:rsidR="00A74203" w:rsidRDefault="00000000">
      <w:pPr>
        <w:numPr>
          <w:ilvl w:val="0"/>
          <w:numId w:val="3"/>
        </w:numPr>
      </w:pPr>
      <w:r>
        <w:t>The two-phase design makes it possible to ask whether the single-pair result depends on the C-fiber membrane model.</w:t>
      </w:r>
    </w:p>
    <w:p w14:paraId="7EEB5AB5" w14:textId="77777777" w:rsidR="00A74203" w:rsidRDefault="00000000">
      <w:pPr>
        <w:numPr>
          <w:ilvl w:val="0"/>
          <w:numId w:val="3"/>
        </w:numPr>
      </w:pPr>
      <w:r>
        <w:t>The experiments consider several possible routes to crosstalk, including cleft width, tonic bias, gate shifts, repeated stimulation, coupling strength, and source count.</w:t>
      </w:r>
    </w:p>
    <w:p w14:paraId="2603CDC4" w14:textId="77777777" w:rsidR="00A74203" w:rsidRDefault="00000000">
      <w:pPr>
        <w:numPr>
          <w:ilvl w:val="0"/>
          <w:numId w:val="3"/>
        </w:numPr>
      </w:pPr>
      <w:r>
        <w:t>Negative findings are reported alongside the positive multi-fiber trend, and the manuscript makes a serious effort to identify unusual numerical events.</w:t>
      </w:r>
    </w:p>
    <w:p w14:paraId="7AF993EB" w14:textId="77777777" w:rsidR="00A74203" w:rsidRDefault="00000000">
      <w:pPr>
        <w:numPr>
          <w:ilvl w:val="0"/>
          <w:numId w:val="3"/>
        </w:numPr>
      </w:pPr>
      <w:r>
        <w:t>The public code and the numerical summaries give readers a concrete basis for examining the model.</w:t>
      </w:r>
    </w:p>
    <w:p w14:paraId="53AC95A8" w14:textId="77777777" w:rsidR="00A74203" w:rsidRDefault="00000000">
      <w:pPr>
        <w:pStyle w:val="Heading1"/>
      </w:pPr>
      <w:r>
        <w:t>Major comments</w:t>
      </w:r>
    </w:p>
    <w:p w14:paraId="1EF62E77" w14:textId="77777777" w:rsidR="00A74203" w:rsidRDefault="00000000">
      <w:pPr>
        <w:pStyle w:val="Heading2"/>
        <w:numPr>
          <w:ilvl w:val="0"/>
          <w:numId w:val="1"/>
        </w:numPr>
      </w:pPr>
      <w:r>
        <w:t>Extracellular current balance</w:t>
      </w:r>
    </w:p>
    <w:p w14:paraId="65615C4D" w14:textId="77777777" w:rsidR="00A74203" w:rsidRDefault="00000000">
      <w:pPr>
        <w:pStyle w:val="ReviewLocation"/>
      </w:pPr>
      <w:r>
        <w:t>Manuscript p. 2, Section 2.1</w:t>
      </w:r>
    </w:p>
    <w:p w14:paraId="631EE457" w14:textId="77777777" w:rsidR="00A74203" w:rsidRDefault="00000000">
      <w:pPr>
        <w:pStyle w:val="ManuscriptExcerpt"/>
        <w:pBdr>
          <w:left w:val="single" w:sz="10" w:space="7" w:color="7D8993"/>
        </w:pBdr>
      </w:pPr>
      <w:r>
        <w:t>“the shared extracellular potential ue satisfies a regularized Poisson equation driven by the combined transmembrane ionic current of both fibers”</w:t>
      </w:r>
    </w:p>
    <w:p w14:paraId="332ACCCD" w14:textId="77777777" w:rsidR="00A74203" w:rsidRDefault="00000000">
      <w:r>
        <w:t>The derivation does not yet show how the source in the extracellular equation follows from the two membrane equations. In the released implementation, that source is formed from ionic current alone. If capacitive and applied currents have been eliminated algebraically, the paper should show the elimination. Without it, readers cannot tell whether the manuscript and code use the same current convention.</w:t>
      </w:r>
    </w:p>
    <w:p w14:paraId="0BFF9D3B" w14:textId="77777777" w:rsidR="00A74203" w:rsidRDefault="00000000">
      <w:r>
        <w:lastRenderedPageBreak/>
        <w:t xml:space="preserve">Hodgkin and Huxley (1952) define total membrane current as the sum of capacitive and ionic components. Goldwyn and Rinzel (2016) likewise formulate intra- and extracellular current balance through total transmembrane current. At repository commit 10f295d (Attia, 2026), I_total is formed from I_ion in </w:t>
      </w:r>
      <w:hyperlink r:id="rId7" w:anchor="L109">
        <w:r>
          <w:rPr>
            <w:rStyle w:val="Hyperlink1"/>
          </w:rPr>
          <w:t>phase1_classical_hh/coupled_model.py, line 109</w:t>
        </w:r>
      </w:hyperlink>
      <w:r>
        <w:t xml:space="preserve"> and in </w:t>
      </w:r>
      <w:hyperlink r:id="rId8" w:anchor="L99">
        <w:r>
          <w:rPr>
            <w:rStyle w:val="Hyperlink1"/>
          </w:rPr>
          <w:t>phase2_nav18_nav19/coupled_navc_model.py, line 99</w:t>
        </w:r>
      </w:hyperlink>
      <w:r>
        <w:t>.</w:t>
      </w:r>
    </w:p>
    <w:p w14:paraId="683FA238" w14:textId="77777777" w:rsidR="00A74203" w:rsidRDefault="00000000">
      <w:r>
        <w:t>The revision should derive the reduced equations from one stated sign convention, give units for every term, and show where capacitive and injected currents enter or cancel. A current-conservation residual or a simple passive coupled-cable benchmark would provide a direct implementation check.</w:t>
      </w:r>
    </w:p>
    <w:p w14:paraId="6C3F2A9D" w14:textId="77777777" w:rsidR="00A74203" w:rsidRDefault="00000000">
      <w:pPr>
        <w:pStyle w:val="Heading2"/>
        <w:numPr>
          <w:ilvl w:val="0"/>
          <w:numId w:val="1"/>
        </w:numPr>
      </w:pPr>
      <w:r>
        <w:t>CRRSS h gate and recovery of the Aβ source</w:t>
      </w:r>
    </w:p>
    <w:p w14:paraId="4E52B4EE" w14:textId="77777777" w:rsidR="00A74203" w:rsidRDefault="00000000">
      <w:pPr>
        <w:pStyle w:val="ReviewLocation"/>
      </w:pPr>
      <w:r>
        <w:t>Manuscript pp. 3 and 6-8, Sections 2.2, 3.1, and 3.5; Figure 2</w:t>
      </w:r>
    </w:p>
    <w:p w14:paraId="55F3FDE1" w14:textId="77777777" w:rsidR="00A74203" w:rsidRDefault="00000000">
      <w:pPr>
        <w:pStyle w:val="ManuscriptExcerpt"/>
        <w:pBdr>
          <w:left w:val="single" w:sz="10" w:space="7" w:color="7D8993"/>
        </w:pBdr>
      </w:pPr>
      <w:r>
        <w:t>“The Aβ-fiber (d = 10 μm) uses CRRSS kinetics”</w:t>
      </w:r>
    </w:p>
    <w:p w14:paraId="0C5F7E67" w14:textId="77777777" w:rsidR="00A74203" w:rsidRDefault="00000000">
      <w:pPr>
        <w:pStyle w:val="ManuscriptExcerpt"/>
        <w:pBdr>
          <w:left w:val="single" w:sz="10" w:space="7" w:color="7D8993"/>
        </w:pBdr>
      </w:pPr>
      <w:r>
        <w:t>“stable spike amplitude (~48 mV)”</w:t>
      </w:r>
    </w:p>
    <w:p w14:paraId="4680EAD7" w14:textId="77777777" w:rsidR="00A74203" w:rsidRDefault="00000000">
      <w:r>
        <w:t>The Aβ waveform deserves a direct check before results based on it are interpreted. With the released rate functions and gate update, the steady-state h gate becomes more available during depolarization. That behavior is difficult to reconcile with an inactivation gate multiplying the sodium current as m²h. The prolonged positive plateau in Figure 2 raises the same question, although the trace alone does not identify the cause.</w:t>
      </w:r>
    </w:p>
    <w:p w14:paraId="5ABE2780" w14:textId="77777777" w:rsidR="00A74203" w:rsidRDefault="00000000">
      <w:r>
        <w:t xml:space="preserve">Chiu et al. (1979) describe rabbit nodal sodium current as a transient inward current followed by repolarization. In </w:t>
      </w:r>
      <w:hyperlink r:id="rId9" w:anchor="L82-L83">
        <w:r>
          <w:rPr>
            <w:rStyle w:val="Hyperlink1"/>
          </w:rPr>
          <w:t>phase1_classical_hh/ephaptic_model.py, lines 82-83</w:t>
        </w:r>
      </w:hyperlink>
      <w:r>
        <w:t>, the logistic 15.6 expression is assigned to alpha_h and the exponential quotient to beta_h, while the update uses alpha_h(1-h) - beta_h h (Attia, 2026). These expressions give h∞ values of about 0.71 at -70 mV and 1.00 at -40 mV. In an 8 ms isolated Aβ-fiber rerun using the stated 100 nA, 0.2 ms stimulus, the injection site reached 187.12 mV and the final spatial voltage remained between 47.69 and 48.35 mV.</w:t>
      </w:r>
    </w:p>
    <w:p w14:paraId="4BFE3AD5" w14:textId="77777777" w:rsidR="00A74203" w:rsidRDefault="00000000">
      <w:r>
        <w:t>Please check the rate names, voltage convention, gate update, and temperature scaling against the intended CRRSS formulation. Showing m∞, h∞, τm, and τh over the modeled voltage range, followed by a trace through repolarization and a second pulse after recovery, would settle the issue. If the waveform changes, the analyses that use it should be rerun.</w:t>
      </w:r>
    </w:p>
    <w:p w14:paraId="7323D558" w14:textId="77777777" w:rsidR="00A74203" w:rsidRDefault="00000000">
      <w:pPr>
        <w:pStyle w:val="Heading2"/>
        <w:numPr>
          <w:ilvl w:val="0"/>
          <w:numId w:val="1"/>
        </w:numPr>
      </w:pPr>
      <w:r>
        <w:t>Cleft geometry and the multi-fiber approximation</w:t>
      </w:r>
    </w:p>
    <w:p w14:paraId="40BC7440" w14:textId="77777777" w:rsidR="00A74203" w:rsidRDefault="00000000">
      <w:pPr>
        <w:pStyle w:val="ReviewLocation"/>
      </w:pPr>
      <w:r>
        <w:t>Manuscript pp. 4-5, Sections 2.3 and 2.6</w:t>
      </w:r>
    </w:p>
    <w:p w14:paraId="18C488A7" w14:textId="77777777" w:rsidR="00A74203" w:rsidRDefault="00000000">
      <w:pPr>
        <w:pStyle w:val="ManuscriptExcerpt"/>
        <w:pBdr>
          <w:left w:val="single" w:sz="10" w:space="7" w:color="7D8993"/>
        </w:pBdr>
      </w:pPr>
      <w:r>
        <w:t>“The longitudinal extracellular resistance re = ρe / Aeff is derived from the annular effective cross-sectional area of the extracellular cleft separating the fibers”</w:t>
      </w:r>
    </w:p>
    <w:p w14:paraId="46BB3A7F" w14:textId="77777777" w:rsidR="00A74203" w:rsidRDefault="00000000">
      <w:pPr>
        <w:pStyle w:val="ManuscriptExcerpt"/>
        <w:pBdr>
          <w:left w:val="single" w:sz="10" w:space="7" w:color="7D8993"/>
        </w:pBdr>
      </w:pPr>
      <w:r>
        <w:t>“we therefore simulate a single representative Aβ cable and scale its contribution to the shared extracellular source term by n”</w:t>
      </w:r>
    </w:p>
    <w:p w14:paraId="17BFED16" w14:textId="77777777" w:rsidR="00A74203" w:rsidRDefault="00000000">
      <w:r>
        <w:t xml:space="preserve">The one-dimensional reduction is a reasonable starting point, but the physical region represented by A_eff is unclear. In the released formula, the effective area remains finite as cleft width approaches zero, so the limiting geometry is not self-evident. The multi-fiber experiment also increases the source from one representative Aβ fiber while holding the extracellular operator and cleft geometry fixed. It is best described as a synchronous source-scaling approximation rather than an explicit anatomical bundle. The feedback description also needs correction: the text says each Aβ fiber's feedback is </w:t>
        <w:lastRenderedPageBreak/>
        <w:t>unaffected by n, whereas the code solves uₑ from the n-scaled source and feeds that field back to the representative Aβ cable.</w:t>
      </w:r>
    </w:p>
    <w:p w14:paraId="38F71B64" w14:textId="77777777" w:rsidR="00A74203" w:rsidRDefault="00000000">
      <w:r>
        <w:t xml:space="preserve">The effective-area expression appears in </w:t>
      </w:r>
      <w:hyperlink r:id="rId10" w:anchor="L40-L44">
        <w:r>
          <w:rPr>
            <w:rStyle w:val="Hyperlink1"/>
          </w:rPr>
          <w:t>phase1_classical_hh/ephaptic_model.py, lines 40-44</w:t>
        </w:r>
      </w:hyperlink>
      <w:r>
        <w:t xml:space="preserve">. In </w:t>
      </w:r>
      <w:hyperlink r:id="rId11" w:anchor="L99-L114">
        <w:r>
          <w:rPr>
            <w:rStyle w:val="Hyperlink1"/>
          </w:rPr>
          <w:t>phase2_nav18_nav19/coupled_navc_model.py</w:t>
        </w:r>
      </w:hyperlink>
      <w:r>
        <w:t>, line 99 scales the Aβ source by n_abeta, line 101 solves for uₑ, and lines 103-114 apply the resulting field to both cables (Attia, 2026). Goldwyn and Rinzel (2016) relate coupling strength to packing and resistivity. Jæger and Tveito (2026) show how distances and extracellular boundaries enter a fully coupled field model.</w:t>
      </w:r>
    </w:p>
    <w:p w14:paraId="7AE2A038" w14:textId="77777777" w:rsidR="00A74203" w:rsidRDefault="00000000">
      <w:r>
        <w:t>The Methods should define the fiber positions, extracellular boundary, A_eff formula, and expected limiting behavior. They should also state what remains fixed when n changes and make the feedback description agree with the implementation. One or two sensitivity cases for packing or synchrony would be enough to show how the source-scaling result depends on those assumptions; a full three-dimensional bundle is not required here.</w:t>
      </w:r>
    </w:p>
    <w:p w14:paraId="63297CD4" w14:textId="77777777" w:rsidR="00A74203" w:rsidRDefault="00000000">
      <w:pPr>
        <w:pStyle w:val="Heading2"/>
        <w:numPr>
          <w:ilvl w:val="0"/>
          <w:numId w:val="1"/>
        </w:numPr>
      </w:pPr>
      <w:r>
        <w:t>Physical role of κ</w:t>
      </w:r>
    </w:p>
    <w:p w14:paraId="49A6ADDA" w14:textId="77777777" w:rsidR="00A74203" w:rsidRDefault="00000000">
      <w:pPr>
        <w:pStyle w:val="ReviewLocation"/>
      </w:pPr>
      <w:r>
        <w:t>Manuscript pp. 4, 8, and 11, Sections 2.3, 3.6, and 3.9</w:t>
      </w:r>
    </w:p>
    <w:p w14:paraId="1A68600F" w14:textId="77777777" w:rsidR="00A74203" w:rsidRDefault="00000000">
      <w:pPr>
        <w:pStyle w:val="ManuscriptExcerpt"/>
        <w:pBdr>
          <w:left w:val="single" w:sz="10" w:space="7" w:color="7D8993"/>
        </w:pBdr>
      </w:pPr>
      <w:r>
        <w:t>“κ was accordingly re-verified, and where necessary strengthened”</w:t>
      </w:r>
    </w:p>
    <w:p w14:paraId="3139ED73" w14:textId="77777777" w:rsidR="00A74203" w:rsidRDefault="00000000">
      <w:pPr>
        <w:pStyle w:val="ManuscriptExcerpt"/>
        <w:pBdr>
          <w:left w:val="single" w:sz="10" w:space="7" w:color="7D8993"/>
        </w:pBdr>
      </w:pPr>
      <w:r>
        <w:t>“We therefore re-calibrated κ specifically for the multi-fiber source magnitude”</w:t>
      </w:r>
    </w:p>
    <w:p w14:paraId="165731FE" w14:textId="77777777" w:rsidR="00A74203" w:rsidRDefault="00000000">
      <w:r>
        <w:t>The manuscript gives κ both a physical and a numerical role. It is introduced as leakage from the restricted extracellular space, then increased when the explicit coupling becomes difficult to integrate. The fixed κ used within the n = 1-25 series is appropriate for comparing those points. The remaining question is why κ changes from 10⁹ m⁻² in the two-fiber experiments to 5×10⁹ and 2×10¹⁰ m⁻² in the multi-fiber tests, and whether results from those experiment families remain physically comparable.</w:t>
      </w:r>
    </w:p>
    <w:p w14:paraId="2A258F41" w14:textId="77777777" w:rsidR="00A74203" w:rsidRDefault="00000000">
      <w:r>
        <w:t xml:space="preserve">Goldwyn and Rinzel (2016) connect ephaptic coupling to packing and resistivity, while Jæger and Tveito (2026) determine current escape from explicit geometry and boundary conditions. These formulations do not choose a leakage parameter from solver behavior. There is also a reproducibility mismatch in </w:t>
      </w:r>
      <w:hyperlink r:id="rId12" w:anchor="L12-L26">
        <w:r>
          <w:rPr>
            <w:rStyle w:val="Hyperlink1"/>
          </w:rPr>
          <w:t>phase1_classical_hh/artifact_timing_check.py</w:t>
        </w:r>
      </w:hyperlink>
      <w:r>
        <w:t>: line 26 labels the plot as κ = 3×10⁷ m⁻², but the call on line 12 does not pass κ and therefore uses the 10⁹ m⁻² default (Attia, 2026).</w:t>
      </w:r>
    </w:p>
    <w:p w14:paraId="7DF56A01" w14:textId="77777777" w:rsidR="00A74203" w:rsidRDefault="00000000">
      <w:r>
        <w:t>A revision should give the physical basis and units for κ and report overlapping n ranges at common fixed values. Solver stiffness should be handled through the integration method or time step so that κ retains one interpretation. Public scripts should pass κ explicitly and save the executed value with the output.</w:t>
      </w:r>
    </w:p>
    <w:p w14:paraId="4AF0ADCF" w14:textId="77777777" w:rsidR="00A74203" w:rsidRDefault="00000000">
      <w:pPr>
        <w:pStyle w:val="Heading2"/>
        <w:numPr>
          <w:ilvl w:val="0"/>
          <w:numId w:val="1"/>
        </w:numPr>
      </w:pPr>
      <w:r>
        <w:t>Numerical verification</w:t>
      </w:r>
    </w:p>
    <w:p w14:paraId="0E48CB60" w14:textId="77777777" w:rsidR="00A74203" w:rsidRDefault="00000000">
      <w:pPr>
        <w:pStyle w:val="ReviewLocation"/>
      </w:pPr>
      <w:r>
        <w:t>Manuscript pp. 4, 6, 8, and 11, Sections 2.4, 3.1, 3.6, and 3.9</w:t>
      </w:r>
    </w:p>
    <w:p w14:paraId="19AEC7F1" w14:textId="77777777" w:rsidR="00A74203" w:rsidRDefault="00000000">
      <w:pPr>
        <w:pStyle w:val="ManuscriptExcerpt"/>
        <w:pBdr>
          <w:left w:val="single" w:sz="10" w:space="7" w:color="7D8993"/>
        </w:pBdr>
      </w:pPr>
      <w:r>
        <w:t>“This scheme is unconditionally stable with respect to axial diffusion but retains a stability ceiling on coupling strength”</w:t>
      </w:r>
    </w:p>
    <w:p w14:paraId="61392684" w14:textId="77777777" w:rsidR="00A74203" w:rsidRDefault="00000000">
      <w:r>
        <w:t>The finer-step run and the timing and duration checks are informative, but they do not establish convergence of the quantities used in the conclusions. The present refinement changes Δz and Δt together. It also appears to represent each node of Ranvier by one grid cell, so changing Δz changes physical node area and source strength while also changing numerical resolution.</w:t>
      </w:r>
    </w:p>
    <w:p w14:paraId="6887781B" w14:textId="77777777" w:rsidR="00A74203" w:rsidRDefault="00000000">
      <w:r>
        <w:lastRenderedPageBreak/>
        <w:t xml:space="preserve">Roache (1994) describes refinement studies in which the physical problem is held fixed and discretization uncertainty is estimated for the reported solution. The manuscript's Aβ conduction velocity changes from 35.6 to 42.6 to 49.6 m/s under joint refinement, a span of about 39 percent. The nodal mask is tied to grid spacing in </w:t>
      </w:r>
      <w:hyperlink r:id="rId13" w:anchor="L31">
        <w:r>
          <w:rPr>
            <w:rStyle w:val="Hyperlink1"/>
          </w:rPr>
          <w:t>phase1_classical_hh/ephaptic_model.py, line 31</w:t>
        </w:r>
      </w:hyperlink>
      <w:r>
        <w:t xml:space="preserve"> (Attia, 2026). Corresponding refinement results are not reported for the source waveform, ephaptic ΔV, arrival time, or the n = 25 classification.</w:t>
      </w:r>
    </w:p>
    <w:p w14:paraId="3017A210" w14:textId="77777777" w:rsidR="00A74203" w:rsidRDefault="00000000">
      <w:r>
        <w:t>The convergence study should hold node width, membrane area, stimulus charge, and other physical parameters fixed while refining Δz and Δt independently. A concise table covering conduction velocity, source waveform, ephaptic ΔV, timing, and spike classification would address the main point. A comparison with an implicit reference solver near the reported ceiling would add confidence. Until convergence is shown, the timing and geometry tests are better described as artifact screens.</w:t>
      </w:r>
    </w:p>
    <w:p w14:paraId="15B11C21" w14:textId="77777777" w:rsidR="00A74203" w:rsidRDefault="00000000">
      <w:pPr>
        <w:pStyle w:val="Heading2"/>
        <w:numPr>
          <w:ilvl w:val="0"/>
          <w:numId w:val="1"/>
        </w:numPr>
      </w:pPr>
      <w:r>
        <w:t>Agreement between the manuscript, code, and outputs</w:t>
      </w:r>
    </w:p>
    <w:p w14:paraId="4690C912" w14:textId="77777777" w:rsidR="00A74203" w:rsidRDefault="00000000">
      <w:pPr>
        <w:pStyle w:val="ReviewLocation"/>
      </w:pPr>
      <w:r>
        <w:t>Manuscript pp. 5, 7-8, and 15, Sections 2.7, 3.2, and 3.5; Code Availability</w:t>
      </w:r>
    </w:p>
    <w:p w14:paraId="3B7EA263" w14:textId="77777777" w:rsidR="00A74203" w:rsidRDefault="00000000">
      <w:pPr>
        <w:pStyle w:val="ManuscriptExcerpt"/>
        <w:pBdr>
          <w:left w:val="single" w:sz="10" w:space="7" w:color="7D8993"/>
        </w:pBdr>
      </w:pPr>
      <w:r>
        <w:t>“monitors the full spatiotemporal C-fiber membrane potential for any ectopic threshold crossing”</w:t>
      </w:r>
    </w:p>
    <w:p w14:paraId="04288A8F" w14:textId="77777777" w:rsidR="00A74203" w:rsidRDefault="00000000">
      <w:pPr>
        <w:pStyle w:val="ManuscriptExcerpt"/>
        <w:pBdr>
          <w:left w:val="single" w:sz="10" w:space="7" w:color="7D8993"/>
        </w:pBdr>
      </w:pPr>
      <w:r>
        <w:t>“The simulation code implementing the core-conductor model, the CRRSS, classical HH, and Nav1.8/Nav1.9 kinetics, the multi-fiber bundle formulation, and the artifact-detection protocols described in this paper is available”</w:t>
      </w:r>
    </w:p>
    <w:p w14:paraId="22583437" w14:textId="77777777" w:rsidR="00A74203" w:rsidRDefault="00000000">
      <w:r>
        <w:t>Several reported analyses cannot yet be traced to an exact public script and output. The endpoint also changes between a midpoint maximum and a full spatial threshold search. Because the paper distinguishes a propagated C-fiber spike from a local or numerical excursion, it needs one consistent endpoint definition.</w:t>
      </w:r>
    </w:p>
    <w:p w14:paraId="2CD7F886" w14:textId="77777777" w:rsidR="00A74203" w:rsidRDefault="00000000">
      <w:r>
        <w:t xml:space="preserve">For example, </w:t>
      </w:r>
      <w:hyperlink r:id="rId14" w:anchor="L19-L22">
        <w:r>
          <w:rPr>
            <w:rStyle w:val="Hyperlink1"/>
          </w:rPr>
          <w:t>phase1_classical_hh/experiment1_single_pulse.py, lines 19-22</w:t>
        </w:r>
      </w:hyperlink>
      <w:r>
        <w:t xml:space="preserve"> reports the absolute maximum of v2_mid, and </w:t>
      </w:r>
      <w:hyperlink r:id="rId15" w:anchor="L129-L134">
        <w:r>
          <w:rPr>
            <w:rStyle w:val="Hyperlink1"/>
          </w:rPr>
          <w:t>phase1_classical_hh/coupled_model.py, lines 129 and 134</w:t>
        </w:r>
      </w:hyperlink>
      <w:r>
        <w:t xml:space="preserve"> stores and classifies that midpoint trace. By contrast, </w:t>
      </w:r>
      <w:hyperlink r:id="rId16" w:anchor="L4-L11">
        <w:r>
          <w:rPr>
            <w:rStyle w:val="Hyperlink1"/>
          </w:rPr>
          <w:t>phase1_classical_hh/experiment_summation.py</w:t>
        </w:r>
      </w:hyperlink>
      <w:r>
        <w:t xml:space="preserve"> searches compartments 200-800, sets sens_bias = 0.5, and tests 50, 100, 200, and 400 Hz rather than the unsensitized 50-800 Hz protocol stated in the manuscript (Attia, 2026). The reviewed snapshot also lacks exact public scripts and raw arrays for several Phase 2 results. Sandve et al. (2013) recommend preserving the route from code and parameters to every reported result, and Springer Nature (n.d.) asks authors to make code and model parameter data available.</w:t>
      </w:r>
    </w:p>
    <w:p w14:paraId="7465FEA6" w14:textId="77777777" w:rsidR="00A74203" w:rsidRDefault="00000000">
      <w:r>
        <w:t>A frozen release with a short manifest should link each figure, table, and numerical claim to its script, configuration, raw output, and plotting command. The manuscript should define baseline, ephaptic ΔV, exclusion region, readout position, search window, and propagated-spike criterion in one place, then reconcile the bias, frequency, duration, cleft-width, κ, and source-count settings before the results are regenerated.</w:t>
      </w:r>
    </w:p>
    <w:p w14:paraId="07E71B92" w14:textId="77777777" w:rsidR="00A74203" w:rsidRDefault="00000000">
      <w:pPr>
        <w:pStyle w:val="Heading2"/>
        <w:numPr>
          <w:ilvl w:val="0"/>
          <w:numId w:val="1"/>
        </w:numPr>
      </w:pPr>
      <w:r>
        <w:lastRenderedPageBreak/>
        <w:t>Phase 2 resting state and stimulus units</w:t>
      </w:r>
    </w:p>
    <w:p w14:paraId="48196DDB" w14:textId="77777777" w:rsidR="00A74203" w:rsidRDefault="00000000">
      <w:pPr>
        <w:pStyle w:val="ReviewLocation"/>
      </w:pPr>
      <w:r>
        <w:t>Manuscript pp. 4 and 9-10, Sections 2.5, 3.7, and 3.8; Figure 3a</w:t>
      </w:r>
    </w:p>
    <w:p w14:paraId="12983EC8" w14:textId="77777777" w:rsidR="00A74203" w:rsidRDefault="00000000">
      <w:pPr>
        <w:pStyle w:val="ManuscriptExcerpt"/>
        <w:pBdr>
          <w:left w:val="single" w:sz="10" w:space="7" w:color="7D8993"/>
        </w:pBdr>
      </w:pPr>
      <w:r>
        <w:t>“rheobase between 0.5 and 1.0 nA for a 1 ms pulse”</w:t>
      </w:r>
    </w:p>
    <w:p w14:paraId="75AD386C" w14:textId="77777777" w:rsidR="00A74203" w:rsidRDefault="00000000">
      <w:pPr>
        <w:pStyle w:val="ManuscriptExcerpt"/>
        <w:pBdr>
          <w:left w:val="single" w:sz="10" w:space="7" w:color="7D8993"/>
        </w:pBdr>
      </w:pPr>
      <w:r>
        <w:t>“Long-duration (300 ms) simulation with no Aβ input confirmed the resting state is genuinely stable”</w:t>
      </w:r>
    </w:p>
    <w:p w14:paraId="115A892A" w14:textId="77777777" w:rsidR="00A74203" w:rsidRDefault="00000000">
      <w:r>
        <w:t>Phase 2 should be presented as an exploratory Nav1.8/Nav1.9-HH hybrid until its units, resting state, waveform, and recovery are documented more fully. The manuscript reports the point-neuron rheobase in nA, while tune_point.py adds stim_amp directly to an equation in current-density units and defines no membrane area. The coupled model starts at -55 mV even though that value is not an equilibrium of the implemented currents. Only biased cases receive the 6 ms settling step, which is shorter than the stated 17 ms inactivation time constant.</w:t>
      </w:r>
    </w:p>
    <w:p w14:paraId="594CC262" w14:textId="77777777" w:rsidR="00A74203" w:rsidRDefault="00000000">
      <w:r>
        <w:t xml:space="preserve">In </w:t>
      </w:r>
      <w:hyperlink r:id="rId17" w:anchor="L19-L36">
        <w:r>
          <w:rPr>
            <w:rStyle w:val="Hyperlink1"/>
          </w:rPr>
          <w:t>phase2_nav18_nav19/tune_point.py</w:t>
        </w:r>
      </w:hyperlink>
      <w:r>
        <w:t xml:space="preserve">, stim_amp is defined on line 19 and added directly to the current-density equation on line 36. The cable code converts an absolute compartment current through membrane area in </w:t>
      </w:r>
      <w:hyperlink r:id="rId18" w:anchor="L70">
        <w:r>
          <w:rPr>
            <w:rStyle w:val="Hyperlink1"/>
          </w:rPr>
          <w:t>phase2_nav18_nav19/navc_cable.py, line 70</w:t>
        </w:r>
      </w:hyperlink>
      <w:r>
        <w:t xml:space="preserve">. In </w:t>
      </w:r>
      <w:hyperlink r:id="rId19" w:anchor="L57-L67">
        <w:r>
          <w:rPr>
            <w:rStyle w:val="Hyperlink1"/>
          </w:rPr>
          <w:t>phase2_nav18_nav19/coupled_navc_model.py, lines 57-67</w:t>
        </w:r>
      </w:hyperlink>
      <w:r>
        <w:t>, voltage and gates are initialized directly, and 6 ms of settling is applied only when sens_bias is nonzero (Attia, 2026). In a no-stimulus 5 ms rerun at n = 1, w = 200 nm, and κ = 2×10¹⁰ m⁻², the midpoint moved from -55.008 to -65.681 mV. That baseline shift is much larger than the reported 0.2-0.3 mV single-pair effect. Akopian et al. (1996), Cummins et al. (1999), and Klein et al. (2017) support the selected channel families, but not the complete tuned parameter set. Pelot et al. (2021), Sundt et al. (2015), and Tigerholm et al. (2014) show why propagation alone is not a complete validation of an unmyelinated sensory-axon model.</w:t>
      </w:r>
    </w:p>
    <w:p w14:paraId="70CA174B" w14:textId="77777777" w:rsidR="00A74203" w:rsidRDefault="00000000">
      <w:r>
        <w:t>The point and cable stimuli should use consistent units, with the membrane area for absolute-current conversion defined explicitly. Every condition should be settled to a stated residual tolerance. Basic checks should cover rest, input resistance, rheobase under a defined geometry, waveform, recovery, and conduction, with matched no-stimulus controls used to calculate ephaptic responses. A limited conductance sensitivity analysis is appropriate; adopting a second full membrane model is optional.</w:t>
      </w:r>
    </w:p>
    <w:p w14:paraId="13EC9574" w14:textId="77777777" w:rsidR="00A74203" w:rsidRDefault="00000000">
      <w:pPr>
        <w:pStyle w:val="Heading2"/>
      </w:pPr>
      <w:r>
        <w:t>Central result</w:t>
      </w:r>
    </w:p>
    <w:p w14:paraId="762E4AB2" w14:textId="77777777" w:rsidR="00A74203" w:rsidRDefault="00000000">
      <w:r>
        <w:t>The approximately 8 mV n-series is the manuscript's main positive result. After resolving Major Comments 1-7, please provide the value for every sampled n together with the exact script and raw output. Report the final effect size for the tested geometry, synchrony, parameter set, and verified numerical range.</w:t>
      </w:r>
    </w:p>
    <w:p w14:paraId="68F47A69" w14:textId="77777777" w:rsidR="00A74203" w:rsidRDefault="00000000">
      <w:pPr>
        <w:pStyle w:val="Heading1"/>
      </w:pPr>
      <w:r>
        <w:t>Minor comments</w:t>
      </w:r>
    </w:p>
    <w:p w14:paraId="0608EFA1" w14:textId="77777777" w:rsidR="00A74203" w:rsidRDefault="00000000">
      <w:pPr>
        <w:pStyle w:val="Heading2"/>
        <w:numPr>
          <w:ilvl w:val="0"/>
          <w:numId w:val="2"/>
        </w:numPr>
      </w:pPr>
      <w:r>
        <w:t>Standardize equations and nomenclature</w:t>
      </w:r>
    </w:p>
    <w:p w14:paraId="1FDDB308" w14:textId="77777777" w:rsidR="00A74203" w:rsidRDefault="00000000">
      <w:pPr>
        <w:pStyle w:val="ReviewLocation"/>
      </w:pPr>
      <w:r>
        <w:t>Manuscript pp. 2-5 and 14</w:t>
      </w:r>
    </w:p>
    <w:p w14:paraId="1729EE95" w14:textId="77777777" w:rsidR="00A74203" w:rsidRDefault="00000000">
      <w:r>
        <w:t>The manuscript alternates between forms such as ue and u_e, while the Nomenclature includes source-like forms such as v_{m,k} and w_cleft. Please use native Word equations and one form for each symbol in the text, figures, tables, and Nomenclature.</w:t>
      </w:r>
    </w:p>
    <w:p w14:paraId="3EB29834" w14:textId="77777777" w:rsidR="00A74203" w:rsidRDefault="00000000">
      <w:pPr>
        <w:pStyle w:val="Heading2"/>
        <w:numPr>
          <w:ilvl w:val="0"/>
          <w:numId w:val="2"/>
        </w:numPr>
      </w:pPr>
      <w:r>
        <w:lastRenderedPageBreak/>
        <w:t>Describe classical HH as a simplified baseline</w:t>
      </w:r>
    </w:p>
    <w:p w14:paraId="6485E711" w14:textId="77777777" w:rsidR="00A74203" w:rsidRDefault="00000000">
      <w:pPr>
        <w:pStyle w:val="ReviewLocation"/>
      </w:pPr>
      <w:r>
        <w:t>Manuscript p. 3, Section 2.2</w:t>
      </w:r>
    </w:p>
    <w:p w14:paraId="7FFE71C1" w14:textId="77777777" w:rsidR="00A74203" w:rsidRDefault="00000000">
      <w:r>
        <w:t>The description “this is the field's standard formulation and the one on which essentially all prior closed-loop ephaptic models rely” is too broad for mammalian peripheral sensory axons. Pelot et al. (2021), Sundt et al. (2015), and Tigerholm et al. (2014) document materially different unmyelinated and sensory-axon formulations. “A deliberately simplified classical-HH baseline” would describe the role of Phase 1 more accurately.</w:t>
      </w:r>
    </w:p>
    <w:p w14:paraId="5F5EFF9C" w14:textId="77777777" w:rsidR="00A74203" w:rsidRDefault="00000000">
      <w:pPr>
        <w:pStyle w:val="Heading2"/>
        <w:numPr>
          <w:ilvl w:val="0"/>
          <w:numId w:val="2"/>
        </w:numPr>
      </w:pPr>
      <w:r>
        <w:t>Separate normal Remak anatomy from lesion geometry</w:t>
      </w:r>
    </w:p>
    <w:p w14:paraId="5A80DF4F" w14:textId="77777777" w:rsidR="00A74203" w:rsidRDefault="00000000">
      <w:pPr>
        <w:pStyle w:val="ReviewLocation"/>
      </w:pPr>
      <w:r>
        <w:t>Manuscript pp. 5 and 12, Section 2.6 and Discussion</w:t>
      </w:r>
    </w:p>
    <w:p w14:paraId="1D03B929" w14:textId="77777777" w:rsidR="00A74203" w:rsidRDefault="00000000">
      <w:r>
        <w:t>The phrases “several Aβ mechanoreceptive afferents converging on a local Remak bundle” and “a Remak bundle or compressed nerve segment does not contain one Aβ fiber and one C-fiber in isolation” combine normal and pathological settings. Murinson and Griffin (2004) describe normal Remak bundles as groups of unmyelinated axons supported by a nonmyelinating Schwann cell, commonly with Schwann-cell processes between axons. A large myelinated Aβ fiber is not ordinarily part of that bundle. The Discussion should identify the pathological change that would remove or alter intervening barriers and create the proposed shared Aβ-to-C extracellular pathway.</w:t>
      </w:r>
    </w:p>
    <w:p w14:paraId="32E31D1B" w14:textId="77777777" w:rsidR="00A74203" w:rsidRDefault="00000000">
      <w:pPr>
        <w:pStyle w:val="Heading2"/>
        <w:numPr>
          <w:ilvl w:val="0"/>
          <w:numId w:val="2"/>
        </w:numPr>
      </w:pPr>
      <w:r>
        <w:t>Present the gate shift as a sensitivity test</w:t>
      </w:r>
    </w:p>
    <w:p w14:paraId="4DE06C06" w14:textId="77777777" w:rsidR="00A74203" w:rsidRDefault="00000000">
      <w:pPr>
        <w:pStyle w:val="ReviewLocation"/>
      </w:pPr>
      <w:r>
        <w:t>Manuscript pp. 6 and 8, Sections 2.8 and 3.4</w:t>
      </w:r>
    </w:p>
    <w:p w14:paraId="359D0C81" w14:textId="77777777" w:rsidR="00A74203" w:rsidRDefault="00000000">
      <w:r>
        <w:t>The manuscript calls the uniform shift “a parsimonious first approximation of net inflammatory sensitization within the classical HH framework” and later reports “a sharp transition between quiescence and spontaneous oscillation”. Applying the same voltage shift to all sodium and potassium gates is a mathematical sensitivity test, not a channel-specific model of inflammation. Pelot et al. (2021) and Klein et al. (2017) treat the relevant conductances separately. Please describe the observed transition in the tested sweep. The manuscript also calls the behavior “consistent with the known Hopf-bifurcation structure of type II excitable membrane models”; that term needs an appropriate dynamical analysis.</w:t>
      </w:r>
    </w:p>
    <w:p w14:paraId="64F58109" w14:textId="77777777" w:rsidR="00A74203" w:rsidRDefault="00000000">
      <w:pPr>
        <w:pStyle w:val="Heading2"/>
        <w:numPr>
          <w:ilvl w:val="0"/>
          <w:numId w:val="2"/>
        </w:numPr>
      </w:pPr>
      <w:r>
        <w:t>Temper the two-phase validation claim</w:t>
      </w:r>
    </w:p>
    <w:p w14:paraId="39641DBF" w14:textId="77777777" w:rsidR="00A74203" w:rsidRDefault="00000000">
      <w:pPr>
        <w:pStyle w:val="ReviewLocation"/>
      </w:pPr>
      <w:r>
        <w:t>Manuscript pp. 12 and 14, Discussion and Conclusion</w:t>
      </w:r>
    </w:p>
    <w:p w14:paraId="50D5FC4E" w14:textId="77777777" w:rsidR="00A74203" w:rsidRDefault="00000000">
      <w:r>
        <w:t>The Discussion says that the second phase “rules out the specific objection that a classical-HH nociceptor model is simply the wrong biology”, and the Conclusion calls the model “biophysically validated”. The two phases share the extracellular reduction, Aβ source, geometry, and numerical coupling. Their agreement is therefore a robustness check within one framework. Please state that no spike occurred in the tested single-pair implementations and parameter ranges. “Biophysically motivated”, or a short list of properties that pass validation after revision, would be more accurate.</w:t>
      </w:r>
    </w:p>
    <w:p w14:paraId="3C3D26F6" w14:textId="77777777" w:rsidR="00A74203" w:rsidRDefault="00000000">
      <w:pPr>
        <w:pStyle w:val="Heading2"/>
        <w:numPr>
          <w:ilvl w:val="0"/>
          <w:numId w:val="2"/>
        </w:numPr>
      </w:pPr>
      <w:r>
        <w:lastRenderedPageBreak/>
        <w:t>Revise the Figure 3 caption</w:t>
      </w:r>
    </w:p>
    <w:p w14:paraId="110C710E" w14:textId="77777777" w:rsidR="00A74203" w:rsidRDefault="00000000">
      <w:pPr>
        <w:pStyle w:val="ReviewLocation"/>
      </w:pPr>
      <w:r>
        <w:t>Manuscript p. 10, Figure 3b</w:t>
      </w:r>
    </w:p>
    <w:p w14:paraId="2559D6B7" w14:textId="77777777" w:rsidR="00A74203" w:rsidRDefault="00000000">
      <w:r>
        <w:t>The caption states, “The monotonic ≈8 mV trend does not cross threshold within this verified range”. The visible low- and intermediate-n points appear to fluctuate before the larger change at n = 25. Unless the regenerated values are strictly ordered, describe the series as an overall increase with small fluctuations.</w:t>
      </w:r>
    </w:p>
    <w:p w14:paraId="028EFFE7" w14:textId="77777777" w:rsidR="00A74203" w:rsidRDefault="00000000">
      <w:pPr>
        <w:pStyle w:val="Heading2"/>
        <w:numPr>
          <w:ilvl w:val="0"/>
          <w:numId w:val="2"/>
        </w:numPr>
      </w:pPr>
      <w:r>
        <w:t>Rewrite the contribution statement</w:t>
      </w:r>
    </w:p>
    <w:p w14:paraId="42FBF717" w14:textId="77777777" w:rsidR="00A74203" w:rsidRDefault="00000000">
      <w:pPr>
        <w:pStyle w:val="ReviewLocation"/>
      </w:pPr>
      <w:r>
        <w:t>Manuscript p. 15, Author Contributions</w:t>
      </w:r>
    </w:p>
    <w:p w14:paraId="574313B5" w14:textId="77777777" w:rsidR="00A74203" w:rsidRDefault="00000000">
      <w:r>
        <w:t>The sentence “The entire experiment, the code, testing ground, research, conclusion, and documentation was done by the only author Mina Saied” should be replaced with a concise account of the sole author's work. A free-text statement could identify conceptualization, methodology, software, validation, formal analysis, visualization, and writing. The CRediT terminology defined by the National Information Standards Organization (2022) is an option. The phrase “testing ground” should be removed.</w:t>
      </w:r>
    </w:p>
    <w:p w14:paraId="7C3A9B21" w14:textId="77777777" w:rsidR="00A74203" w:rsidRDefault="00000000">
      <w:pPr>
        <w:pStyle w:val="Heading2"/>
        <w:numPr>
          <w:ilvl w:val="0"/>
          <w:numId w:val="2"/>
        </w:numPr>
      </w:pPr>
      <w:r>
        <w:t>Add RRIDs for software resources</w:t>
      </w:r>
    </w:p>
    <w:p w14:paraId="2EF874C0" w14:textId="77777777" w:rsidR="00A74203" w:rsidRDefault="00000000">
      <w:pPr>
        <w:pStyle w:val="ReviewLocation"/>
      </w:pPr>
      <w:r>
        <w:t>Manuscript Methods and Code Availability sections</w:t>
      </w:r>
    </w:p>
    <w:p w14:paraId="6B105A93" w14:textId="77777777" w:rsidR="00A74203" w:rsidRDefault="00000000">
      <w:r>
        <w:t>The manuscript does not currently report Research Resource Identifiers. Journal of Computational Neuroscience guidance encourages authors to use RRIDs for key resources, including software (Springer Nature, n.d.). Please report the exact software versions and the available identifiers for Python (RRID:SCR_008394), NumPy (RRID:SCR_008633), SciPy (RRID:SCR_008058), Matplotlib (RRID:SCR_008624), and Pillow (RRID:SCR_023337). Because this is a computational study, biological-resource RRIDs do not appear to be applicable.</w:t>
      </w:r>
    </w:p>
    <w:p w14:paraId="4357FC3E" w14:textId="77777777" w:rsidR="00A74203" w:rsidRDefault="00000000">
      <w:pPr>
        <w:pStyle w:val="Heading2"/>
        <w:numPr>
          <w:ilvl w:val="0"/>
          <w:numId w:val="2"/>
        </w:numPr>
      </w:pPr>
      <w:r>
        <w:t>Correct the reference metadata</w:t>
      </w:r>
    </w:p>
    <w:p w14:paraId="2174A92C" w14:textId="77777777" w:rsidR="00A74203" w:rsidRDefault="00000000">
      <w:pPr>
        <w:pStyle w:val="ReviewLocation"/>
      </w:pPr>
      <w:r>
        <w:t>Manuscript p. 15, References</w:t>
      </w:r>
    </w:p>
    <w:p w14:paraId="138ABDE0" w14:textId="77777777" w:rsidR="00A74203" w:rsidRDefault="00000000">
      <w:r>
        <w:t>The entry beginning “Jæger, K. H., Tveito, A., et al. (2021). A cell-based Extracellular-Membrane-Intracellular (EMI) model of excitable tissue” does not match the verified record. Jæger and Tveito (2022) published “Deriving the bidomain model of cardiac electrophysiology from a cell-based model; properties and comparisons.” Three other entries also need correction: Pelot et al. (2021) is in Journal of Neurophysiology 125(1), 86-104; Tigerholm et al. (2014) is in issue 111(9); and Klein et al. (2017) is in Journal of Neuroscience 37(20), 5204-5214. Please apply the journal's reference style, check every in-text citation against the final list, and use full DOI links where available.</w:t>
      </w:r>
    </w:p>
    <w:p w14:paraId="4CA2F964" w14:textId="77777777" w:rsidR="00A74203" w:rsidRDefault="00000000">
      <w:pPr>
        <w:pStyle w:val="Heading1"/>
      </w:pPr>
      <w:r>
        <w:t>References cited</w:t>
      </w:r>
    </w:p>
    <w:p w14:paraId="234641F4" w14:textId="77777777" w:rsidR="00A74203" w:rsidRDefault="00000000">
      <w:pPr>
        <w:pStyle w:val="ReferenceEntry"/>
      </w:pPr>
      <w:r>
        <w:t xml:space="preserve">Akopian, A. N., Sivilotti, L., and Wood, J. N. (1996). A tetrodotoxin-resistant voltage-gated sodium channel expressed by sensory neurons. </w:t>
      </w:r>
      <w:r>
        <w:rPr>
          <w:i/>
        </w:rPr>
        <w:t>Nature</w:t>
      </w:r>
      <w:r>
        <w:t xml:space="preserve">, 379(6562), 257-262. </w:t>
      </w:r>
      <w:hyperlink r:id="rId20">
        <w:r>
          <w:rPr>
            <w:rStyle w:val="Hyperlink1"/>
          </w:rPr>
          <w:t>https://doi.org/10.1038/379257a0</w:t>
        </w:r>
      </w:hyperlink>
    </w:p>
    <w:p w14:paraId="595CF233" w14:textId="77777777" w:rsidR="00A74203" w:rsidRDefault="00000000">
      <w:pPr>
        <w:pStyle w:val="ReferenceEntry"/>
      </w:pPr>
      <w:r>
        <w:t xml:space="preserve">Attia, M. S. (2026). Ephaptic-crosstalk source repository, commit 10f295ddbadbeb72b20cf506e26695faaa1388b7. Accessed 3 September 2026. </w:t>
      </w:r>
      <w:r>
        <w:rPr>
          <w:i/>
        </w:rPr>
        <w:t>GitHub</w:t>
      </w:r>
      <w:r>
        <w:t xml:space="preserve">. </w:t>
      </w:r>
      <w:hyperlink r:id="rId21">
        <w:r>
          <w:rPr>
            <w:rStyle w:val="Hyperlink1"/>
          </w:rPr>
          <w:t>https://github.com/MinaSaied23/ephaptic-crosstalk/tree/10f295ddbadbeb72b20cf506e26695faaa1388b7</w:t>
        </w:r>
      </w:hyperlink>
    </w:p>
    <w:p w14:paraId="5DC47015" w14:textId="77777777" w:rsidR="00A74203" w:rsidRDefault="00000000">
      <w:pPr>
        <w:pStyle w:val="ReferenceEntry"/>
      </w:pPr>
      <w:r>
        <w:t xml:space="preserve">Chiu, S. Y., Ritchie, J. M., Rogart, R. B., and Stagg, D. (1979). A quantitative description of membrane currents in rabbit myelinated nerve. </w:t>
      </w:r>
      <w:r>
        <w:rPr>
          <w:i/>
        </w:rPr>
        <w:t>The Journal of Physiology</w:t>
      </w:r>
      <w:r>
        <w:t xml:space="preserve">, 292, 149-166. </w:t>
      </w:r>
      <w:hyperlink r:id="rId22">
        <w:r>
          <w:rPr>
            <w:rStyle w:val="Hyperlink1"/>
          </w:rPr>
          <w:t>https://doi.org/10.1113/jphysiol.1979.sp012843</w:t>
        </w:r>
      </w:hyperlink>
    </w:p>
    <w:p w14:paraId="540CC280" w14:textId="77777777" w:rsidR="00A74203" w:rsidRDefault="00000000">
      <w:pPr>
        <w:pStyle w:val="ReferenceEntry"/>
      </w:pPr>
      <w:r>
        <w:t xml:space="preserve">Cummins, T. R., Dib-Hajj, S. D., Black, J. A., Akopian, A. N., Wood, J. N., and Waxman, S. G. (1999). A novel persistent tetrodotoxin-resistant sodium current in SNS-null and wild-type small primary sensory neurons. </w:t>
      </w:r>
      <w:r>
        <w:rPr>
          <w:i/>
        </w:rPr>
        <w:t>Journal of Neuroscience</w:t>
      </w:r>
      <w:r>
        <w:t xml:space="preserve">, 19(24), RC43. </w:t>
      </w:r>
      <w:hyperlink r:id="rId23">
        <w:r>
          <w:rPr>
            <w:rStyle w:val="Hyperlink1"/>
          </w:rPr>
          <w:t>https://doi.org/10.1523/JNEUROSCI.19-24-j0001.1999</w:t>
        </w:r>
      </w:hyperlink>
    </w:p>
    <w:p w14:paraId="088E7F6C" w14:textId="77777777" w:rsidR="00A74203" w:rsidRDefault="00000000">
      <w:pPr>
        <w:pStyle w:val="ReferenceEntry"/>
      </w:pPr>
      <w:r>
        <w:t xml:space="preserve">Goldwyn, J. H., and Rinzel, J. (2016). Neuronal coupling by endogenous electric fields: Cable theory and applications to coincidence detector neurons in the auditory brain stem. </w:t>
      </w:r>
      <w:r>
        <w:rPr>
          <w:i/>
        </w:rPr>
        <w:t>Journal of Neurophysiology</w:t>
      </w:r>
      <w:r>
        <w:t xml:space="preserve">, 115(4), 2033-2051. </w:t>
      </w:r>
      <w:hyperlink r:id="rId24">
        <w:r>
          <w:rPr>
            <w:rStyle w:val="Hyperlink1"/>
          </w:rPr>
          <w:t>https://doi.org/10.1152/jn.00780.2015</w:t>
        </w:r>
      </w:hyperlink>
    </w:p>
    <w:p w14:paraId="5DBAFA52" w14:textId="77777777" w:rsidR="00A74203" w:rsidRDefault="00000000">
      <w:pPr>
        <w:pStyle w:val="ReferenceEntry"/>
      </w:pPr>
      <w:r>
        <w:lastRenderedPageBreak/>
        <w:t xml:space="preserve">Hodgkin, A. L., and Huxley, A. F. (1952). A quantitative description of membrane current and its application to conduction and excitation in nerve. </w:t>
      </w:r>
      <w:r>
        <w:rPr>
          <w:i/>
        </w:rPr>
        <w:t>The Journal of Physiology</w:t>
      </w:r>
      <w:r>
        <w:t xml:space="preserve">, 117(4), 500-544. </w:t>
      </w:r>
      <w:hyperlink r:id="rId25">
        <w:r>
          <w:rPr>
            <w:rStyle w:val="Hyperlink1"/>
          </w:rPr>
          <w:t>https://doi.org/10.1113/jphysiol.1952.sp004764</w:t>
        </w:r>
      </w:hyperlink>
    </w:p>
    <w:p w14:paraId="6921FC72" w14:textId="77777777" w:rsidR="00A74203" w:rsidRDefault="00000000">
      <w:pPr>
        <w:pStyle w:val="ReferenceEntry"/>
      </w:pPr>
      <w:r>
        <w:t xml:space="preserve">Jæger, K. H., and Tveito, A. (2022). Deriving the bidomain model of cardiac electrophysiology from a cell-based model; properties and comparisons. </w:t>
      </w:r>
      <w:r>
        <w:rPr>
          <w:i/>
        </w:rPr>
        <w:t>Frontiers in Physiology</w:t>
      </w:r>
      <w:r>
        <w:t xml:space="preserve">, 12, 811029. </w:t>
      </w:r>
      <w:hyperlink r:id="rId26">
        <w:r>
          <w:rPr>
            <w:rStyle w:val="Hyperlink1"/>
          </w:rPr>
          <w:t>https://doi.org/10.3389/fphys.2021.811029</w:t>
        </w:r>
      </w:hyperlink>
    </w:p>
    <w:p w14:paraId="57DE8764" w14:textId="77777777" w:rsidR="00A74203" w:rsidRDefault="00000000">
      <w:pPr>
        <w:pStyle w:val="ReferenceEntry"/>
      </w:pPr>
      <w:r>
        <w:t xml:space="preserve">Jæger, K. H., and Tveito, A. (2026). Extracellular stimulation and ephaptic coupling of neurons in a fully coupled finite element-based Extracellular-Membrane-Intracellular (EMI) model. </w:t>
      </w:r>
      <w:r>
        <w:rPr>
          <w:i/>
        </w:rPr>
        <w:t>Frontiers in Computational Neuroscience</w:t>
      </w:r>
      <w:r>
        <w:t xml:space="preserve">, 20, 1755548. </w:t>
      </w:r>
      <w:hyperlink r:id="rId27">
        <w:r>
          <w:rPr>
            <w:rStyle w:val="Hyperlink1"/>
          </w:rPr>
          <w:t>https://doi.org/10.3389/fncom.2026.1755548</w:t>
        </w:r>
      </w:hyperlink>
    </w:p>
    <w:p w14:paraId="0EFCE956" w14:textId="77777777" w:rsidR="00A74203" w:rsidRDefault="00000000">
      <w:pPr>
        <w:pStyle w:val="ReferenceEntry"/>
      </w:pPr>
      <w:r>
        <w:t xml:space="preserve">Klein, A. H., Vyshnevska, A., Hartke, T. V., De Col, R., Mankowski, J. L., Turnquist, B., Bosmans, F., Reeh, P. W., Schmelz, M., Carr, R. W., and Ringkamp, M. (2017). Sodium channel Nav1.8 underlies TTX-resistant axonal action potential conduction in somatosensory C-fibers of distal cutaneous nerves. </w:t>
      </w:r>
      <w:r>
        <w:rPr>
          <w:i/>
        </w:rPr>
        <w:t>Journal of Neuroscience</w:t>
      </w:r>
      <w:r>
        <w:t xml:space="preserve">, 37(20), 5204-5214. </w:t>
      </w:r>
      <w:hyperlink r:id="rId28">
        <w:r>
          <w:rPr>
            <w:rStyle w:val="Hyperlink1"/>
          </w:rPr>
          <w:t>https://doi.org/10.1523/JNEUROSCI.3799-16.2017</w:t>
        </w:r>
      </w:hyperlink>
    </w:p>
    <w:p w14:paraId="17905233" w14:textId="77777777" w:rsidR="00A74203" w:rsidRDefault="00000000">
      <w:pPr>
        <w:pStyle w:val="ReferenceEntry"/>
      </w:pPr>
      <w:r>
        <w:t xml:space="preserve">Murinson, B. B., and Griffin, J. W. (2004). C-fiber structure varies with location in peripheral nerve. </w:t>
      </w:r>
      <w:r>
        <w:rPr>
          <w:i/>
        </w:rPr>
        <w:t>Journal of Neuropathology and Experimental Neurology</w:t>
      </w:r>
      <w:r>
        <w:t xml:space="preserve">, 63(3), 246-254. </w:t>
      </w:r>
      <w:hyperlink r:id="rId29">
        <w:r>
          <w:rPr>
            <w:rStyle w:val="Hyperlink1"/>
          </w:rPr>
          <w:t>https://doi.org/10.1093/jnen/63.3.246</w:t>
        </w:r>
      </w:hyperlink>
    </w:p>
    <w:p w14:paraId="16AE2CB8" w14:textId="77777777" w:rsidR="00A74203" w:rsidRDefault="00000000">
      <w:pPr>
        <w:pStyle w:val="ReferenceEntry"/>
      </w:pPr>
      <w:r>
        <w:t xml:space="preserve">National Information Standards Organization. (2022). CRediT: Contributor Roles Taxonomy. </w:t>
      </w:r>
      <w:r>
        <w:rPr>
          <w:i/>
        </w:rPr>
        <w:t>ANSI/NISO Z39.104-2022</w:t>
      </w:r>
      <w:r>
        <w:t xml:space="preserve">. </w:t>
      </w:r>
      <w:hyperlink r:id="rId30">
        <w:r>
          <w:rPr>
            <w:rStyle w:val="Hyperlink1"/>
          </w:rPr>
          <w:t>https://doi.org/10.3789/ansi.niso.z39.104-2022</w:t>
        </w:r>
      </w:hyperlink>
    </w:p>
    <w:p w14:paraId="32F65F8B" w14:textId="77777777" w:rsidR="00A74203" w:rsidRDefault="00000000">
      <w:pPr>
        <w:pStyle w:val="ReferenceEntry"/>
      </w:pPr>
      <w:r>
        <w:t xml:space="preserve">Pelot, N. A., Catherall, D. C., Thio, B. J., Titus, N. D., Liang, E. D., Henriquez, C. S., and Grill, W. M. (2021). Excitation properties of computational models of unmyelinated peripheral axons. </w:t>
      </w:r>
      <w:r>
        <w:rPr>
          <w:i/>
        </w:rPr>
        <w:t>Journal of Neurophysiology</w:t>
      </w:r>
      <w:r>
        <w:t xml:space="preserve">, 125(1), 86-104. </w:t>
      </w:r>
      <w:hyperlink r:id="rId31">
        <w:r>
          <w:rPr>
            <w:rStyle w:val="Hyperlink1"/>
          </w:rPr>
          <w:t>https://doi.org/10.1152/jn.00315.2020</w:t>
        </w:r>
      </w:hyperlink>
    </w:p>
    <w:p w14:paraId="30BC2306" w14:textId="77777777" w:rsidR="00A74203" w:rsidRDefault="00000000">
      <w:pPr>
        <w:pStyle w:val="ReferenceEntry"/>
      </w:pPr>
      <w:r>
        <w:t xml:space="preserve">Roache, P. J. (1994). Perspective: A method for uniform reporting of grid refinement studies. </w:t>
      </w:r>
      <w:r>
        <w:rPr>
          <w:i/>
        </w:rPr>
        <w:t>Journal of Fluids Engineering</w:t>
      </w:r>
      <w:r>
        <w:t xml:space="preserve">, 116(3), 405-413. </w:t>
      </w:r>
      <w:hyperlink r:id="rId32">
        <w:r>
          <w:rPr>
            <w:rStyle w:val="Hyperlink1"/>
          </w:rPr>
          <w:t>https://doi.org/10.1115/1.2910291</w:t>
        </w:r>
      </w:hyperlink>
    </w:p>
    <w:p w14:paraId="3C987A9E" w14:textId="77777777" w:rsidR="00A74203" w:rsidRDefault="00000000">
      <w:pPr>
        <w:pStyle w:val="ReferenceEntry"/>
      </w:pPr>
      <w:r>
        <w:t xml:space="preserve">Sandve, G. K., Nekrutenko, A., Taylor, J., and Hovig, E. (2013). Ten simple rules for reproducible computational research. </w:t>
      </w:r>
      <w:r>
        <w:rPr>
          <w:i/>
        </w:rPr>
        <w:t>PLOS Computational Biology</w:t>
      </w:r>
      <w:r>
        <w:t xml:space="preserve">, 9(10), e1003285. </w:t>
      </w:r>
      <w:hyperlink r:id="rId33">
        <w:r>
          <w:rPr>
            <w:rStyle w:val="Hyperlink1"/>
          </w:rPr>
          <w:t>https://doi.org/10.1371/journal.pcbi.1003285</w:t>
        </w:r>
      </w:hyperlink>
    </w:p>
    <w:p w14:paraId="40A4C648" w14:textId="77777777" w:rsidR="00A74203" w:rsidRDefault="00000000">
      <w:pPr>
        <w:pStyle w:val="ReferenceEntry"/>
      </w:pPr>
      <w:r>
        <w:t xml:space="preserve">Springer Nature. (n.d.). Journal of Computational Neuroscience: Submission guidelines. Accessed 3 September 2026. </w:t>
      </w:r>
      <w:hyperlink r:id="rId34">
        <w:r>
          <w:rPr>
            <w:rStyle w:val="Hyperlink1"/>
          </w:rPr>
          <w:t>https://link.springer.com/journal/10827/submission-guidelines</w:t>
        </w:r>
      </w:hyperlink>
    </w:p>
    <w:p w14:paraId="0C578B8E" w14:textId="77777777" w:rsidR="00A74203" w:rsidRDefault="00000000">
      <w:pPr>
        <w:pStyle w:val="ReferenceEntry"/>
      </w:pPr>
      <w:r>
        <w:t xml:space="preserve">Sundt, D., Gamper, N., and Jaffe, D. B. (2015). Spike propagation through the dorsal root ganglia in an unmyelinated sensory neuron: A modeling study. </w:t>
      </w:r>
      <w:r>
        <w:rPr>
          <w:i/>
        </w:rPr>
        <w:t>Journal of Neurophysiology</w:t>
      </w:r>
      <w:r>
        <w:t xml:space="preserve">, 114(6), 3140-3153. </w:t>
      </w:r>
      <w:hyperlink r:id="rId35">
        <w:r>
          <w:rPr>
            <w:rStyle w:val="Hyperlink1"/>
          </w:rPr>
          <w:t>https://doi.org/10.1152/jn.00226.2015</w:t>
        </w:r>
      </w:hyperlink>
    </w:p>
    <w:p w14:paraId="1591806F" w14:textId="77777777" w:rsidR="00A74203" w:rsidRDefault="00000000">
      <w:pPr>
        <w:pStyle w:val="ReferenceEntry"/>
      </w:pPr>
      <w:r>
        <w:t xml:space="preserve">Tigerholm, J., Petersson, M. E., Obreja, O., Lampert, A., Carr, R., Schmelz, M., and Fransén, E. (2014). Modeling activity-dependent changes of axonal spike conduction in primary afferent C-nociceptors. </w:t>
      </w:r>
      <w:r>
        <w:rPr>
          <w:i/>
        </w:rPr>
        <w:t>Journal of Neurophysiology</w:t>
      </w:r>
      <w:r>
        <w:t xml:space="preserve">, 111(9), 1721-1735. </w:t>
      </w:r>
      <w:hyperlink r:id="rId36">
        <w:r>
          <w:rPr>
            <w:rStyle w:val="Hyperlink1"/>
          </w:rPr>
          <w:t>https://doi.org/10.1152/jn.00777.2012</w:t>
        </w:r>
      </w:hyperlink>
    </w:p>
    <w:sectPr w:rsidR="00A74203">
      <w:footerReference w:type="default" r:id="rId37"/>
      <w:pgSz w:w="12240" w:h="15840"/>
      <w:pgMar w:top="1440" w:right="1440" w:bottom="1440" w:left="1440" w:header="648" w:footer="64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CC214AC" w14:textId="77777777" w:rsidR="00742FD1" w:rsidRDefault="00742FD1">
      <w:pPr>
        <w:spacing w:after="0" w:line="240" w:lineRule="auto"/>
      </w:pPr>
      <w:r>
        <w:separator/>
      </w:r>
    </w:p>
  </w:endnote>
  <w:endnote w:type="continuationSeparator" w:id="0">
    <w:p w14:paraId="401D9243" w14:textId="77777777" w:rsidR="00742FD1" w:rsidRDefault="00742F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D2A353E" w14:textId="77777777" w:rsidR="00A74203" w:rsidRDefault="00000000">
    <w:pPr>
      <w:pStyle w:val="Footer"/>
      <w:jc w:val="right"/>
    </w:pPr>
    <w:r>
      <w:rPr>
        <w:color w:val="68727C"/>
        <w:sz w:val="18"/>
      </w:rPr>
      <w:t xml:space="preserve">Page </w:t>
    </w:r>
    <w:r>
      <w:rPr>
        <w:color w:val="68727C"/>
        <w:sz w:val="18"/>
      </w:rPr>
      <w:fldChar w:fldCharType="begin"/>
    </w:r>
    <w:r>
      <w:rPr>
        <w:color w:val="68727C"/>
        <w:sz w:val="18"/>
      </w:rPr>
      <w:instrText xml:space="preserve"> PAGE </w:instrText>
    </w:r>
    <w:r w:rsidR="00BA79DB">
      <w:rPr>
        <w:color w:val="68727C"/>
        <w:sz w:val="18"/>
      </w:rPr>
      <w:fldChar w:fldCharType="separate"/>
    </w:r>
    <w:r w:rsidR="00BA79DB">
      <w:rPr>
        <w:noProof/>
        <w:color w:val="68727C"/>
        <w:sz w:val="18"/>
      </w:rPr>
      <w:t>1</w:t>
    </w:r>
    <w:r>
      <w:rPr>
        <w:color w:val="68727C"/>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E7AA89C" w14:textId="77777777" w:rsidR="00742FD1" w:rsidRDefault="00742FD1">
      <w:pPr>
        <w:spacing w:after="0" w:line="240" w:lineRule="auto"/>
      </w:pPr>
      <w:r>
        <w:separator/>
      </w:r>
    </w:p>
  </w:footnote>
  <w:footnote w:type="continuationSeparator" w:id="0">
    <w:p w14:paraId="1564DC06" w14:textId="77777777" w:rsidR="00742FD1" w:rsidRDefault="00742FD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FA3130B"/>
    <w:multiLevelType w:val="singleLevel"/>
    <w:tmpl w:val="8B50FC9A"/>
    <w:lvl w:ilvl="0">
      <w:start w:val="1"/>
      <w:numFmt w:val="decimal"/>
      <w:lvlText w:val="%1."/>
      <w:lvlJc w:val="left"/>
      <w:pPr>
        <w:ind w:left="360" w:hanging="360"/>
      </w:pPr>
      <w:rPr>
        <w:rFonts w:ascii="Calibri" w:hAnsi="Calibri"/>
      </w:rPr>
    </w:lvl>
  </w:abstractNum>
  <w:abstractNum w:abstractNumId="1" w15:restartNumberingAfterBreak="0">
    <w:nsid w:val="5BF808C7"/>
    <w:multiLevelType w:val="singleLevel"/>
    <w:tmpl w:val="E79E2920"/>
    <w:lvl w:ilvl="0">
      <w:start w:val="1"/>
      <w:numFmt w:val="bullet"/>
      <w:lvlText w:val="•"/>
      <w:lvlJc w:val="left"/>
      <w:pPr>
        <w:ind w:left="720" w:hanging="360"/>
      </w:pPr>
      <w:rPr>
        <w:rFonts w:ascii="Arial" w:hAnsi="Arial"/>
      </w:rPr>
    </w:lvl>
  </w:abstractNum>
  <w:abstractNum w:abstractNumId="2" w15:restartNumberingAfterBreak="0">
    <w:nsid w:val="653B4D64"/>
    <w:multiLevelType w:val="singleLevel"/>
    <w:tmpl w:val="768A0B86"/>
    <w:lvl w:ilvl="0">
      <w:start w:val="1"/>
      <w:numFmt w:val="decimal"/>
      <w:lvlText w:val="%1."/>
      <w:lvlJc w:val="left"/>
      <w:pPr>
        <w:ind w:left="360" w:hanging="360"/>
      </w:pPr>
      <w:rPr>
        <w:rFonts w:ascii="Calibri" w:hAnsi="Calibri"/>
      </w:rPr>
    </w:lvl>
  </w:abstractNum>
  <w:num w:numId="1" w16cid:durableId="693311699">
    <w:abstractNumId w:val="0"/>
  </w:num>
  <w:num w:numId="2" w16cid:durableId="636297202">
    <w:abstractNumId w:val="2"/>
  </w:num>
  <w:num w:numId="3" w16cid:durableId="1281492104">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A74203"/>
    <w:rsid w:val="00742FD1"/>
    <w:rsid w:val="00A620F6"/>
    <w:rsid w:val="00A74203"/>
    <w:rsid w:val="00BA79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B228D27"/>
  <w15:docId w15:val="{61670425-B19D-3B49-BDDC-387F1D5306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64" w:lineRule="auto"/>
    </w:pPr>
    <w:rPr>
      <w:color w:val="202A33"/>
    </w:rPr>
  </w:style>
  <w:style w:type="paragraph" w:styleId="Heading1">
    <w:name w:val="heading 1"/>
    <w:basedOn w:val="Normal"/>
    <w:next w:val="Normal"/>
    <w:link w:val="Heading1Char"/>
    <w:uiPriority w:val="9"/>
    <w:qFormat/>
    <w:pPr>
      <w:keepNext/>
      <w:keepLines/>
      <w:spacing w:before="320" w:after="140"/>
      <w:outlineLvl w:val="0"/>
    </w:pPr>
    <w:rPr>
      <w:b/>
      <w:bCs/>
      <w:color w:val="2E74B5"/>
      <w:sz w:val="32"/>
      <w:szCs w:val="28"/>
    </w:rPr>
  </w:style>
  <w:style w:type="paragraph" w:styleId="Heading2">
    <w:name w:val="heading 2"/>
    <w:basedOn w:val="Normal"/>
    <w:next w:val="Normal"/>
    <w:link w:val="Heading2Char"/>
    <w:uiPriority w:val="9"/>
    <w:unhideWhenUsed/>
    <w:qFormat/>
    <w:pPr>
      <w:keepNext/>
      <w:keepLines/>
      <w:spacing w:before="240" w:after="100"/>
      <w:outlineLvl w:val="1"/>
    </w:pPr>
    <w:rPr>
      <w:b/>
      <w:bCs/>
      <w:color w:val="2E74B5"/>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rPr>
      <w:rFonts w:ascii="Calibri" w:eastAsia="Calibri" w:hAnsi="Calibri" w:cs="Calibri"/>
    </w:rPr>
  </w:style>
  <w:style w:type="character" w:customStyle="1" w:styleId="Heading1Char">
    <w:name w:val="Heading 1 Char"/>
    <w:basedOn w:val="DefaultParagraphFont"/>
    <w:link w:val="Heading1"/>
    <w:uiPriority w:val="9"/>
    <w:rPr>
      <w:rFonts w:ascii="Calibri" w:eastAsia="Calibri" w:hAnsi="Calibri" w:cs="Calibri"/>
      <w:b/>
      <w:bCs/>
      <w:color w:val="365F91"/>
      <w:sz w:val="28"/>
      <w:szCs w:val="28"/>
    </w:rPr>
  </w:style>
  <w:style w:type="character" w:customStyle="1" w:styleId="Heading2Char">
    <w:name w:val="Heading 2 Char"/>
    <w:basedOn w:val="DefaultParagraphFont"/>
    <w:link w:val="Heading2"/>
    <w:uiPriority w:val="9"/>
    <w:rPr>
      <w:rFonts w:ascii="Calibri" w:eastAsia="Calibri" w:hAnsi="Calibri" w:cs="Calibri"/>
      <w:b/>
      <w:bCs/>
      <w:color w:val="4F81BD"/>
      <w:sz w:val="26"/>
      <w:szCs w:val="26"/>
    </w:rPr>
  </w:style>
  <w:style w:type="paragraph" w:styleId="Title">
    <w:name w:val="Title"/>
    <w:basedOn w:val="Normal"/>
    <w:next w:val="Normal"/>
    <w:link w:val="TitleChar"/>
    <w:uiPriority w:val="10"/>
    <w:qFormat/>
    <w:pPr>
      <w:pBdr>
        <w:bottom w:val="single" w:sz="8" w:space="4" w:color="4F81BD"/>
      </w:pBdr>
      <w:spacing w:after="60" w:line="240" w:lineRule="auto"/>
      <w:contextualSpacing/>
    </w:pPr>
    <w:rPr>
      <w:b/>
      <w:spacing w:val="5"/>
      <w:kern w:val="28"/>
      <w:sz w:val="40"/>
      <w:szCs w:val="52"/>
    </w:rPr>
  </w:style>
  <w:style w:type="character" w:customStyle="1" w:styleId="TitleChar">
    <w:name w:val="Title Char"/>
    <w:basedOn w:val="DefaultParagraphFont"/>
    <w:link w:val="Title"/>
    <w:uiPriority w:val="10"/>
    <w:rPr>
      <w:rFonts w:ascii="Calibri" w:eastAsia="Calibri" w:hAnsi="Calibri" w:cs="Calibri"/>
      <w:color w:val="17365D"/>
      <w:spacing w:val="5"/>
      <w:kern w:val="28"/>
      <w:sz w:val="52"/>
      <w:szCs w:val="52"/>
    </w:rPr>
  </w:style>
  <w:style w:type="paragraph" w:styleId="Subtitle">
    <w:name w:val="Subtitle"/>
    <w:basedOn w:val="Normal"/>
    <w:next w:val="Normal"/>
    <w:link w:val="SubtitleChar"/>
    <w:uiPriority w:val="11"/>
    <w:qFormat/>
    <w:pPr>
      <w:spacing w:after="320" w:line="252" w:lineRule="auto"/>
    </w:pPr>
    <w:rPr>
      <w:iCs/>
      <w:color w:val="68727C"/>
      <w:spacing w:val="15"/>
      <w:sz w:val="24"/>
      <w:szCs w:val="24"/>
    </w:rPr>
  </w:style>
  <w:style w:type="character" w:customStyle="1" w:styleId="SubtitleChar">
    <w:name w:val="Subtitle Char"/>
    <w:basedOn w:val="DefaultParagraphFont"/>
    <w:link w:val="Subtitle"/>
    <w:uiPriority w:val="11"/>
    <w:rPr>
      <w:rFonts w:ascii="Calibri" w:eastAsia="Calibri" w:hAnsi="Calibri" w:cs="Calibri"/>
      <w:i/>
      <w:iCs/>
      <w:color w:val="4F81BD"/>
      <w:spacing w:val="15"/>
      <w:sz w:val="24"/>
      <w:szCs w:val="24"/>
    </w:rPr>
  </w:style>
  <w:style w:type="paragraph" w:customStyle="1" w:styleId="ReviewLocation">
    <w:name w:val="Review Location"/>
    <w:pPr>
      <w:keepNext/>
      <w:spacing w:after="80"/>
    </w:pPr>
    <w:rPr>
      <w:i/>
      <w:color w:val="68727C"/>
      <w:sz w:val="18"/>
    </w:rPr>
  </w:style>
  <w:style w:type="paragraph" w:customStyle="1" w:styleId="ManuscriptExcerpt">
    <w:name w:val="Manuscript Excerpt"/>
    <w:pPr>
      <w:keepNext/>
      <w:spacing w:before="20" w:after="100" w:line="252" w:lineRule="auto"/>
      <w:ind w:left="288" w:right="72"/>
    </w:pPr>
    <w:rPr>
      <w:i/>
      <w:color w:val="7D8993"/>
      <w:sz w:val="20"/>
    </w:rPr>
  </w:style>
  <w:style w:type="paragraph" w:customStyle="1" w:styleId="ReferenceEntry">
    <w:name w:val="Reference Entry"/>
    <w:pPr>
      <w:spacing w:after="100" w:line="252" w:lineRule="auto"/>
      <w:ind w:left="432" w:hanging="432"/>
    </w:pPr>
    <w:rPr>
      <w:color w:val="202A33"/>
      <w:sz w:val="19"/>
    </w:rPr>
  </w:style>
  <w:style w:type="character" w:customStyle="1" w:styleId="Hyperlink1">
    <w:name w:val="Hyperlink1"/>
    <w:rPr>
      <w:rFonts w:ascii="Calibri" w:eastAsia="Calibri" w:hAnsi="Calibri" w:cs="Calibri"/>
      <w:color w:val="2E74B5"/>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Relationships xmlns="http://schemas.openxmlformats.org/package/2006/relationships"><Relationship Id="rId1" Target="numbering.xml" Type="http://schemas.openxmlformats.org/officeDocument/2006/relationships/numbering"/><Relationship Id="rId10" Target="https://github.com/MinaSaied23/ephaptic-crosstalk/blob/10f295ddbadbeb72b20cf506e26695faaa1388b7/phase1_classical_hh/ephaptic_model.py" TargetMode="External" Type="http://schemas.openxmlformats.org/officeDocument/2006/relationships/hyperlink"/><Relationship Id="rId11" Target="https://github.com/MinaSaied23/ephaptic-crosstalk/blob/10f295ddbadbeb72b20cf506e26695faaa1388b7/phase2_nav18_nav19/coupled_navc_model.py" TargetMode="External" Type="http://schemas.openxmlformats.org/officeDocument/2006/relationships/hyperlink"/><Relationship Id="rId12" Target="https://github.com/MinaSaied23/ephaptic-crosstalk/blob/10f295ddbadbeb72b20cf506e26695faaa1388b7/phase1_classical_hh/artifact_timing_check.py" TargetMode="External" Type="http://schemas.openxmlformats.org/officeDocument/2006/relationships/hyperlink"/><Relationship Id="rId13" Target="https://github.com/MinaSaied23/ephaptic-crosstalk/blob/10f295ddbadbeb72b20cf506e26695faaa1388b7/phase1_classical_hh/ephaptic_model.py" TargetMode="External" Type="http://schemas.openxmlformats.org/officeDocument/2006/relationships/hyperlink"/><Relationship Id="rId14" Target="https://github.com/MinaSaied23/ephaptic-crosstalk/blob/10f295ddbadbeb72b20cf506e26695faaa1388b7/phase1_classical_hh/experiment1_single_pulse.py" TargetMode="External" Type="http://schemas.openxmlformats.org/officeDocument/2006/relationships/hyperlink"/><Relationship Id="rId15" Target="https://github.com/MinaSaied23/ephaptic-crosstalk/blob/10f295ddbadbeb72b20cf506e26695faaa1388b7/phase1_classical_hh/coupled_model.py" TargetMode="External" Type="http://schemas.openxmlformats.org/officeDocument/2006/relationships/hyperlink"/><Relationship Id="rId16" Target="https://github.com/MinaSaied23/ephaptic-crosstalk/blob/10f295ddbadbeb72b20cf506e26695faaa1388b7/phase1_classical_hh/experiment_summation.py" TargetMode="External" Type="http://schemas.openxmlformats.org/officeDocument/2006/relationships/hyperlink"/><Relationship Id="rId17" Target="https://github.com/MinaSaied23/ephaptic-crosstalk/blob/10f295ddbadbeb72b20cf506e26695faaa1388b7/phase2_nav18_nav19/tune_point.py" TargetMode="External" Type="http://schemas.openxmlformats.org/officeDocument/2006/relationships/hyperlink"/><Relationship Id="rId18" Target="https://github.com/MinaSaied23/ephaptic-crosstalk/blob/10f295ddbadbeb72b20cf506e26695faaa1388b7/phase2_nav18_nav19/navc_cable.py" TargetMode="External" Type="http://schemas.openxmlformats.org/officeDocument/2006/relationships/hyperlink"/><Relationship Id="rId19" Target="https://github.com/MinaSaied23/ephaptic-crosstalk/blob/10f295ddbadbeb72b20cf506e26695faaa1388b7/phase2_nav18_nav19/coupled_navc_model.py" TargetMode="External" Type="http://schemas.openxmlformats.org/officeDocument/2006/relationships/hyperlink"/><Relationship Id="rId2" Target="styles.xml" Type="http://schemas.openxmlformats.org/officeDocument/2006/relationships/styles"/><Relationship Id="rId20" Target="https://doi.org/10.1038/379257a0" TargetMode="External" Type="http://schemas.openxmlformats.org/officeDocument/2006/relationships/hyperlink"/><Relationship Id="rId21" Target="https://github.com/MinaSaied23/ephaptic-crosstalk/tree/10f295ddbadbeb72b20cf506e26695faaa1388b7" TargetMode="External" Type="http://schemas.openxmlformats.org/officeDocument/2006/relationships/hyperlink"/><Relationship Id="rId22" Target="https://doi.org/10.1113/jphysiol.1979.sp012843" TargetMode="External" Type="http://schemas.openxmlformats.org/officeDocument/2006/relationships/hyperlink"/><Relationship Id="rId23" Target="https://doi.org/10.1523/JNEUROSCI.19-24-j0001.1999" TargetMode="External" Type="http://schemas.openxmlformats.org/officeDocument/2006/relationships/hyperlink"/><Relationship Id="rId24" Target="https://doi.org/10.1152/jn.00780.2015" TargetMode="External" Type="http://schemas.openxmlformats.org/officeDocument/2006/relationships/hyperlink"/><Relationship Id="rId25" Target="https://doi.org/10.1113/jphysiol.1952.sp004764" TargetMode="External" Type="http://schemas.openxmlformats.org/officeDocument/2006/relationships/hyperlink"/><Relationship Id="rId26" Target="https://doi.org/10.3389/fphys.2021.811029" TargetMode="External" Type="http://schemas.openxmlformats.org/officeDocument/2006/relationships/hyperlink"/><Relationship Id="rId27" Target="https://doi.org/10.3389/fncom.2026.1755548" TargetMode="External" Type="http://schemas.openxmlformats.org/officeDocument/2006/relationships/hyperlink"/><Relationship Id="rId28" Target="https://doi.org/10.1523/JNEUROSCI.3799-16.2017" TargetMode="External" Type="http://schemas.openxmlformats.org/officeDocument/2006/relationships/hyperlink"/><Relationship Id="rId29" Target="https://doi.org/10.1093/jnen/63.3.246" TargetMode="External" Type="http://schemas.openxmlformats.org/officeDocument/2006/relationships/hyperlink"/><Relationship Id="rId3" Target="settings.xml" Type="http://schemas.openxmlformats.org/officeDocument/2006/relationships/settings"/><Relationship Id="rId30" Target="https://doi.org/10.3789/ansi.niso.z39.104-2022" TargetMode="External" Type="http://schemas.openxmlformats.org/officeDocument/2006/relationships/hyperlink"/><Relationship Id="rId31" Target="https://doi.org/10.1152/jn.00315.2020" TargetMode="External" Type="http://schemas.openxmlformats.org/officeDocument/2006/relationships/hyperlink"/><Relationship Id="rId32" Target="https://doi.org/10.1115/1.2910291" TargetMode="External" Type="http://schemas.openxmlformats.org/officeDocument/2006/relationships/hyperlink"/><Relationship Id="rId33" Target="https://doi.org/10.1371/journal.pcbi.1003285" TargetMode="External" Type="http://schemas.openxmlformats.org/officeDocument/2006/relationships/hyperlink"/><Relationship Id="rId34" Target="https://link.springer.com/journal/10827/submission-guidelines" TargetMode="External" Type="http://schemas.openxmlformats.org/officeDocument/2006/relationships/hyperlink"/><Relationship Id="rId35" Target="https://doi.org/10.1152/jn.00226.2015" TargetMode="External" Type="http://schemas.openxmlformats.org/officeDocument/2006/relationships/hyperlink"/><Relationship Id="rId36" Target="https://doi.org/10.1152/jn.00777.2012" TargetMode="External" Type="http://schemas.openxmlformats.org/officeDocument/2006/relationships/hyperlink"/><Relationship Id="rId37" Target="footer1.xml" Type="http://schemas.openxmlformats.org/officeDocument/2006/relationships/footer"/><Relationship Id="rId38" Target="fontTable.xml" Type="http://schemas.openxmlformats.org/officeDocument/2006/relationships/fontTable"/><Relationship Id="rId39" Target="theme/theme1.xml" Type="http://schemas.openxmlformats.org/officeDocument/2006/relationships/theme"/><Relationship Id="rId4" Target="webSettings.xml" Type="http://schemas.openxmlformats.org/officeDocument/2006/relationships/webSettings"/><Relationship Id="rId5" Target="footnotes.xml" Type="http://schemas.openxmlformats.org/officeDocument/2006/relationships/footnotes"/><Relationship Id="rId6" Target="endnotes.xml" Type="http://schemas.openxmlformats.org/officeDocument/2006/relationships/endnotes"/><Relationship Id="rId7" Target="https://github.com/MinaSaied23/ephaptic-crosstalk/blob/10f295ddbadbeb72b20cf506e26695faaa1388b7/phase1_classical_hh/coupled_model.py" TargetMode="External" Type="http://schemas.openxmlformats.org/officeDocument/2006/relationships/hyperlink"/><Relationship Id="rId8" Target="https://github.com/MinaSaied23/ephaptic-crosstalk/blob/10f295ddbadbeb72b20cf506e26695faaa1388b7/phase2_nav18_nav19/coupled_navc_model.py" TargetMode="External" Type="http://schemas.openxmlformats.org/officeDocument/2006/relationships/hyperlink"/><Relationship Id="rId9" Target="https://github.com/MinaSaied23/ephaptic-crosstalk/blob/10f295ddbadbeb72b20cf506e26695faaa1388b7/phase1_classical_hh/ephaptic_model.py" TargetMode="External" Type="http://schemas.openxmlformats.org/officeDocument/2006/relationships/hyperlink"/></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8</Pages>
  <Words>3932</Words>
  <Characters>22417</Characters>
  <Application>Microsoft Office Word</Application>
  <DocSecurity>0</DocSecurity>
  <Lines>186</Lines>
  <Paragraphs>52</Paragraphs>
  <ScaleCrop>false</ScaleCrop>
  <Company/>
  <LinksUpToDate>false</LinksUpToDate>
  <CharactersWithSpaces>26297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2026-09-03T19:55:00Z</dcterms:created>
  <dcterms:modified xsi:type="dcterms:W3CDTF">2026-09-04T15:53:00Z</dcterms:modified>
  <cp:revision>2</cp:revision>
  <dc:subject>Reviewer comments</dc:subject>
  <dc:title>Peer review: Ephaptic crosstalk between Aβ mechanoreceptive afferents and C-fiber nociceptors</dc:title>
</cp:coreProperties>
</file>