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1.png" ContentType="image/png"/>
  <Override PartName="/word/media/rId58.png" ContentType="image/png"/>
  <Override PartName="/word/media/rId61.png" ContentType="image/png"/>
  <Override PartName="/word/media/image32.png" ContentType="image/png"/>
  <Override PartName="/word/media/image23.png" ContentType="image/png"/>
  <Override PartName="/word/media/image33.png" ContentType="image/png"/>
  <Override PartName="/word/media/image3.png" ContentType="image/png"/>
  <Override PartName="/word/media/image34.png" ContentType="image/png"/>
  <Override PartName="/word/media/image24.png" ContentType="image/png"/>
  <Override PartName="/word/media/image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Supplementary Information: Ephaptic Aβ-to-C-Fiber Crosstalk and Multi-Fiber Spatial Summation</w:t>
      </w:r>
    </w:p>
    <w:p>
      <w:pPr>
        <w:pStyle w:val="Author"/>
      </w:pPr>
      <w:r>
        <w:t xml:space="preserve">Mina Saied Attia Rizk</w:t>
      </w:r>
    </w:p>
    <w:bookmarkStart w:id="50" w:name="s1-numerical-verification"/>
    <w:p>
      <w:pPr>
        <w:pStyle w:val="Heading2"/>
      </w:pPr>
      <w:r>
        <w:t xml:space="preserve">S1 Numerical verification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Δt = 2.5 µs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lagged, Δt = 0.125 µs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monolithic, Δt = 5 µs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monolithic, Δt = 0.125 µs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21.72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S1.</w:t>
      </w:r>
      <w:r>
        <w:t xml:space="preserve"> </w:t>
      </w:r>
      <w:r>
        <w:t xml:space="preserve">The lagged coupling scheme vs the monolithic scheme, in the extended-compartment configuration (HH E</w:t>
      </w:r>
      <w:r>
        <w:rPr>
          <w:vertAlign w:val="subscript"/>
        </w:rPr>
        <w:t xml:space="preserve">Na</w:t>
      </w:r>
      <w:r>
        <w:t xml:space="preserve"> </w:t>
      </w:r>
      <w:r>
        <w:t xml:space="preserve">= +35.64 mV, 100-nA stimulus inside the compartment, Δz = 10 µm). Entries are the peak C-fiber depolarization between z = 3 and 8 mm (mV). The lagged error grows with</w:t>
      </w:r>
      <w:r>
        <w:t xml:space="preserve"> </w:t>
      </w:r>
      <w:r>
        <w:rPr>
          <w:i/>
          <w:iCs/>
        </w:rPr>
        <w:t xml:space="preserve">n</w:t>
      </w:r>
      <w:r>
        <w:t xml:space="preserve">; the monolithic values are Δt-independent to within 2.4 %.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Δz 20 µm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Δz 10 µm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production (5 µm, 1 µs)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Δz 1.25 µm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Δt 0.125 µs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conductance-implicit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23.78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S2.</w:t>
      </w:r>
      <w:r>
        <w:t xml:space="preserve"> </w:t>
      </w:r>
      <w:r>
        <w:t xml:space="preserve">Grid and time-step refinement of the peak C-fiber depolarization in the lesion (mV) in the production configuration. Unless stated, Δz = 5 µm, Δt = 1 µs, explicit ionic currents.</w:t>
      </w:r>
      <w:r>
        <w:t xml:space="preserve"> </w:t>
      </w:r>
      <w:r>
        <w:t xml:space="preserve">“Conductance-implicit”</w:t>
      </w:r>
      <w:r>
        <w:t xml:space="preserve">: ionic conductances in the system matrix.</w:t>
      </w:r>
    </w:p>
    <w:bookmarkEnd w:id="50"/>
    <w:bookmarkStart w:id="54" w:name="s2-membrane-verification"/>
    <w:p>
      <w:pPr>
        <w:pStyle w:val="Heading2"/>
      </w:pPr>
      <w:r>
        <w:t xml:space="preserve">S2 Membrane verification</w:t>
      </w:r>
    </w:p>
    <w:p>
      <w:pPr>
        <w:pStyle w:val="CaptionedFigure"/>
      </w:pPr>
      <w:r>
        <w:drawing>
          <wp:inline>
            <wp:extent cx="5943600" cy="1631523"/>
            <wp:effectExtent b="0" l="0" r="0" t="0"/>
            <wp:docPr descr="Fig. S1 Verification of the Aβ source. (a) CRRSS steady-state activation and inactivation and (b) their time constants over the modelled range, at 37 °C. (c) Action potential at a node (z = 5 mm) followed through repolarization to rest. (d) Paired-pulse recovery: peak of the response at z = 8 mm after a second stimulus, against the interpulse interval. Grey crosses mark intervals at which no second action potential propagates; the value plotted there is the decaying tail of the first action potential, not a second spike." title="" id="52" name="Picture"/>
            <a:graphic>
              <a:graphicData uri="http://schemas.openxmlformats.org/drawingml/2006/picture">
                <pic:pic>
                  <pic:nvPicPr>
                    <pic:cNvPr descr="../results/figures/figS1_membrane_verificatio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1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S1</w:t>
      </w:r>
      <w:r>
        <w:t xml:space="preserve"> </w:t>
      </w:r>
      <w:r>
        <w:t xml:space="preserve">Verification of the Aβ source. (a) CRRSS steady-state activation and inactivation and (b) their time constants over the modelled range, at 37 °C. (c) Action potential at a node (z = 5 mm) followed through repolarization to rest. (d) Paired-pulse recovery: peak of the response at z = 8 mm after a second stimulus, against the interpulse interval. Grey crosses mark intervals at which no second action potential propagates; the value plotted there is the decaying tail of the first action potential, not a second spike.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interval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APs at z = 8 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2nd AP peak (mV)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2nd AP CV (m/s)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2nd AP conducts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S3.</w:t>
      </w:r>
      <w:r>
        <w:t xml:space="preserve"> </w:t>
      </w:r>
      <w:r>
        <w:t xml:space="preserve">Paired-pulse recovery of the isolated Aβ fiber (2 × threshold, 0.2-ms pulses at node 0; counts and peaks read at z = 8 mm). The first action potential conducts at 40.0 m/s in every run.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C-fiber membrane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rest (mV)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τ</w:t>
            </w:r>
            <w:r>
              <w:rPr>
                <w:vertAlign w:val="subscript"/>
              </w:rPr>
              <w:t xml:space="preserve">m</w:t>
            </w:r>
            <w:r>
              <w:t xml:space="preserve"> </w:t>
            </w:r>
            <w:r>
              <w:t xml:space="preserve">at rest (ms)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λ, small signal (µm)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w:r>
              <w:rPr>
                <w:vertAlign w:val="subscript"/>
              </w:rPr>
              <w:t xml:space="preserve">in</w:t>
            </w:r>
            <w:r>
              <w:t xml:space="preserve"> </w:t>
            </w:r>
            <w:r>
              <w:t xml:space="preserve">predicted (MΩ)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  <w:r>
              <w:rPr>
                <w:vertAlign w:val="subscript"/>
              </w:rPr>
              <w:t xml:space="preserve">in</w:t>
            </w:r>
            <w:r>
              <w:t xml:space="preserve"> </w:t>
            </w:r>
            <w:r>
              <w:t xml:space="preserve">measured (MΩ)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rheobase, 1 ms (nA)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-66.82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S4.</w:t>
      </w:r>
      <w:r>
        <w:t xml:space="preserve"> </w:t>
      </w:r>
      <w:r>
        <w:t xml:space="preserve">Passive properties of the isolated C-fiber membranes under the production geometry. λ and</w:t>
      </w:r>
      <w:r>
        <w:t xml:space="preserve"> </w:t>
      </w:r>
      <w:r>
        <w:rPr>
          <w:i/>
          <w:iCs/>
        </w:rPr>
        <w:t xml:space="preserve">R</w:t>
      </w:r>
      <w:r>
        <w:rPr>
          <w:vertAlign w:val="subscript"/>
        </w:rPr>
        <w:t xml:space="preserve">in</w:t>
      </w:r>
      <w:r>
        <w:t xml:space="preserve"> </w:t>
      </w:r>
      <w:r>
        <w:t xml:space="preserve">are small-signal values, computed from the slope conductance d</w:t>
      </w:r>
      <w:r>
        <w:rPr>
          <w:i/>
          <w:iCs/>
        </w:rPr>
        <w:t xml:space="preserve">I</w:t>
      </w:r>
      <w:r>
        <w:rPr>
          <w:vertAlign w:val="subscript"/>
        </w:rPr>
        <w:t xml:space="preserve">ion</w:t>
      </w:r>
      <w:r>
        <w:t xml:space="preserve">/d</w:t>
      </w:r>
      <w:r>
        <w:rPr>
          <w:i/>
          <w:iCs/>
        </w:rPr>
        <w:t xml:space="preserve">V</w:t>
      </w:r>
      <w:r>
        <w:t xml:space="preserve"> </w:t>
      </w:r>
      <w:r>
        <w:t xml:space="preserve">at rest;</w:t>
      </w:r>
      <w:r>
        <w:t xml:space="preserve"> </w:t>
      </w:r>
      <w:r>
        <w:rPr>
          <w:i/>
          <w:iCs/>
        </w:rPr>
        <w:t xml:space="preserve">R</w:t>
      </w:r>
      <w:r>
        <w:rPr>
          <w:vertAlign w:val="subscript"/>
        </w:rPr>
        <w:t xml:space="preserve">in</w:t>
      </w:r>
      <w:r>
        <w:t xml:space="preserve"> </w:t>
      </w:r>
      <w:r>
        <w:t xml:space="preserve">measured is the steady response to a 1-pA injection at z = 5 mm. Rheobase is for a 1-ms point injection at the same site.</w:t>
      </w:r>
    </w:p>
    <w:bookmarkEnd w:id="54"/>
    <w:bookmarkStart w:id="55" w:name="s3-strengthduration-characterization"/>
    <w:p>
      <w:pPr>
        <w:pStyle w:val="Heading2"/>
      </w:pPr>
      <w:r>
        <w:t xml:space="preserve">S3 Strength–duration characterization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C-fiber membrane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Q_th 0.1 ms (pC)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V_peak 0.1 ms (mV)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V_peak 1 ms (mV)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V_peak 20 ms (mV)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I_th 0.1 / I_th 20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HH, 6.3 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HH, 25 °C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HH, conductances ×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HH, rates &amp; conductances ×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HH, rates &amp; conductances ×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NavC, τ</w:t>
            </w:r>
            <w:r>
              <w:rPr>
                <w:vertAlign w:val="subscript"/>
              </w:rPr>
              <w:t xml:space="preserve">m8</w:t>
            </w:r>
            <w:r>
              <w:t xml:space="preserve"> </w:t>
            </w:r>
            <w:r>
              <w:t xml:space="preserve">= 1.5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NavC, τ</w:t>
            </w:r>
            <w:r>
              <w:rPr>
                <w:vertAlign w:val="subscript"/>
              </w:rPr>
              <w:t xml:space="preserve">m8</w:t>
            </w:r>
            <w:r>
              <w:t xml:space="preserve"> </w:t>
            </w:r>
            <w:r>
              <w:t xml:space="preserve">= 0.05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NavC, time constants ÷ 10, conductances ×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S5.</w:t>
      </w:r>
      <w:r>
        <w:t xml:space="preserve"> </w:t>
      </w:r>
      <w:r>
        <w:t xml:space="preserve">Point current injection at z = 5 mm into the isolated C-fiber. Q</w:t>
      </w:r>
      <w:r>
        <w:rPr>
          <w:vertAlign w:val="subscript"/>
        </w:rPr>
        <w:t xml:space="preserve">th</w:t>
      </w:r>
      <w:r>
        <w:t xml:space="preserve">: threshold charge for a 0.1-ms pulse; V</w:t>
      </w:r>
      <w:r>
        <w:rPr>
          <w:vertAlign w:val="subscript"/>
        </w:rPr>
        <w:t xml:space="preserve">peak</w:t>
      </w:r>
      <w:r>
        <w:t xml:space="preserve">: largest membrane potential at the injection site for a pulse 0.5 % below threshold; last column: ratio of threshold currents for 0.1-ms and 20-ms pulses.</w:t>
      </w:r>
    </w:p>
    <w:bookmarkEnd w:id="55"/>
    <w:bookmarkStart w:id="56" w:name="s4-sensitizing-bias"/>
    <w:p>
      <w:pPr>
        <w:pStyle w:val="Heading2"/>
      </w:pPr>
      <w:r>
        <w:t xml:space="preserve">S4 Sensitizing bias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 (A/m²)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rest (mV)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spontaneous 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 V, n = 25 (mV)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 V, n = 100 (mV)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evoked AP (any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-64.20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-44.9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-62.27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-35.4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-66.82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-59.30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-56.11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-52.20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-49.52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-47.39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-45.55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-43.90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S6.</w:t>
      </w:r>
      <w:r>
        <w:t xml:space="preserve"> </w:t>
      </w:r>
      <w:r>
        <w:t xml:space="preserve">Uniform depolarizing bias current on the C-fiber (production configuration).</w:t>
      </w:r>
      <w:r>
        <w:t xml:space="preserve"> </w:t>
      </w:r>
      <w:r>
        <w:t xml:space="preserve">“Spontaneous AP”</w:t>
      </w:r>
      <w:r>
        <w:t xml:space="preserve">: no-stimulus control of 200 ms. Peak V: largest C-fiber membrane potential in the lesion after the Aβ volley. The HH resting state is linearly stable up to 0.095 A m</w:t>
      </w:r>
      <w:r>
        <w:rPr>
          <w:vertAlign w:val="superscript"/>
        </w:rPr>
        <w:t xml:space="preserve">−2</w:t>
      </w:r>
      <w:r>
        <w:t xml:space="preserve"> </w:t>
      </w:r>
      <w:r>
        <w:t xml:space="preserve">and unstable from 0.1 A m</w:t>
      </w:r>
      <w:r>
        <w:rPr>
          <w:vertAlign w:val="superscript"/>
        </w:rPr>
        <w:t xml:space="preserve">−2</w:t>
      </w:r>
      <w:r>
        <w:t xml:space="preserve">; the NavC resting state stays stable over the whole tested range (to 4 A m</w:t>
      </w:r>
      <w:r>
        <w:rPr>
          <w:vertAlign w:val="superscript"/>
        </w:rPr>
        <w:t xml:space="preserve">−2</w:t>
      </w:r>
      <w:r>
        <w:t xml:space="preserve">) and a second stable, depolarized state appears above 2.75 A m</w:t>
      </w:r>
      <w:r>
        <w:rPr>
          <w:vertAlign w:val="superscript"/>
        </w:rPr>
        <w:t xml:space="preserve">−2</w:t>
      </w:r>
      <w:r>
        <w:t xml:space="preserve"> </w:t>
      </w:r>
      <w:r>
        <w:t xml:space="preserve">(space-clamped analysis with linear stability from the Jacobian,</w:t>
      </w:r>
      <w:r>
        <w:t xml:space="preserve"> </w:t>
      </w:r>
      <w:r>
        <w:rPr>
          <w:rStyle w:val="VerbatimChar"/>
        </w:rPr>
        <w:t xml:space="preserve">e10_equilibria.csv</w:t>
      </w:r>
      <w:r>
        <w:t xml:space="preserve">).</w:t>
      </w:r>
    </w:p>
    <w:bookmarkEnd w:id="56"/>
    <w:bookmarkStart w:id="57" w:name="X94f465482c3df29c8d7b385cabe91f5141f284a"/>
    <w:p>
      <w:pPr>
        <w:pStyle w:val="Heading2"/>
      </w:pPr>
      <w:r>
        <w:t xml:space="preserve">S5 Temporal dispersion: convergence in the number of onset phases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Δz (µm)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spacing W/(K−1) (µs)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peak ΔV (mV)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phases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phases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phases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phases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phases 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 Δz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 Δz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 Δz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S7.</w:t>
      </w:r>
      <w:r>
        <w:t xml:space="preserve"> </w:t>
      </w:r>
      <w:r>
        <w:t xml:space="preserve">Dispersed volley (</w:t>
      </w:r>
      <w:r>
        <w:rPr>
          <w:i/>
          <w:iCs/>
        </w:rPr>
        <w:t xml:space="preserve">n</w:t>
      </w:r>
      <w:r>
        <w:t xml:space="preserve"> </w:t>
      </w:r>
      <w:r>
        <w:t xml:space="preserve">= 25,</w:t>
      </w:r>
      <w:r>
        <w:t xml:space="preserve"> </w:t>
      </w:r>
      <w:r>
        <w:rPr>
          <w:i/>
          <w:iCs/>
        </w:rPr>
        <w:t xml:space="preserve">W</w:t>
      </w:r>
      <w:r>
        <w:t xml:space="preserve"> </w:t>
      </w:r>
      <w:r>
        <w:t xml:space="preserve">= 1.5 ms, NavC). The peak depends on the number of onset phases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until the spacing</w:t>
      </w:r>
      <w:r>
        <w:t xml:space="preserve"> </w:t>
      </w:r>
      <w:r>
        <w:rPr>
          <w:i/>
          <w:iCs/>
        </w:rPr>
        <w:t xml:space="preserve">W</w:t>
      </w:r>
      <w:r>
        <w:t xml:space="preserve">/(</w:t>
      </w:r>
      <w:r>
        <w:rPr>
          <w:i/>
          <w:iCs/>
        </w:rPr>
        <w:t xml:space="preserve">K</w:t>
      </w:r>
      <w:r>
        <w:t xml:space="preserve"> </w:t>
      </w:r>
      <w:r>
        <w:t xml:space="preserve">− 1) is well below the ~0.1-ms duration of one fiber’s contribution; the production runs use a spacing of at most 25 µs. Grid refinement at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= 41 changes the peak by 6.2 %, so the sweep is run at Δz = 20 µm. One classification does depend on that choice: the synchronous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25 volley is close to Aβ conduction block, and on Δz = 20 µm its action potentials still cross the lesion, slowly (13 m/s), where every grid from Δz = 10 µm down blocks them (Table S2). The peak depolarization differs by only 2.3 % between the two grids, and the attenuations quoted in the text are ratios taken within one grid, so neither the attenuation nor the primary endpoint is affected.</w:t>
      </w:r>
    </w:p>
    <w:bookmarkEnd w:id="57"/>
    <w:bookmarkStart w:id="64" w:name="X2397a42bcf604765721666d0e14a9f6dc08dde9"/>
    <w:p>
      <w:pPr>
        <w:pStyle w:val="Heading2"/>
      </w:pPr>
      <w:r>
        <w:t xml:space="preserve">S6 The extended-compartment configuration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electrode current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Aβ stimulus (nA)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propagating C-fiber AP for n 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initiation (mm)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Aβ node 0 peak, n = 25 (mV)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(n ≤ 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(n ≤ 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(n ≤ 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(n ≤ 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omitted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(n ≤ 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(n ≤ 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(n ≤ 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(n ≤ 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(n ≤ 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(n ≤ 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none (n ≤ 50)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NavC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S8.</w:t>
      </w:r>
      <w:r>
        <w:t xml:space="preserve"> </w:t>
      </w:r>
      <w:r>
        <w:t xml:space="preserve">Shared compartment along the whole cable, sealed ends, Aβ electrode at node 0 inside the compartment (κ = 10</w:t>
      </w:r>
      <w:r>
        <w:rPr>
          <w:vertAlign w:val="superscript"/>
        </w:rPr>
        <w:t xml:space="preserve">9</w:t>
      </w:r>
      <w:r>
        <w:t xml:space="preserve"> </w:t>
      </w:r>
      <w:r>
        <w:t xml:space="preserve">m</w:t>
      </w:r>
      <w:r>
        <w:rPr>
          <w:vertAlign w:val="superscript"/>
        </w:rPr>
        <w:t xml:space="preserve">−2</w:t>
      </w:r>
      <w:r>
        <w:t xml:space="preserve">,</w:t>
      </w:r>
      <w:r>
        <w:t xml:space="preserve"> </w:t>
      </w:r>
      <w:r>
        <w:rPr>
          <w:i/>
          <w:iCs/>
        </w:rPr>
        <w:t xml:space="preserve">A</w:t>
      </w:r>
      <w:r>
        <w:rPr>
          <w:vertAlign w:val="subscript"/>
        </w:rPr>
        <w:t xml:space="preserve">e</w:t>
      </w:r>
      <w:r>
        <w:t xml:space="preserve"> </w:t>
      </w:r>
      <w:r>
        <w:t xml:space="preserve">= 16.4 µm</w:t>
      </w:r>
      <w:r>
        <w:rPr>
          <w:vertAlign w:val="superscript"/>
        </w:rPr>
        <w:t xml:space="preserve">2</w:t>
      </w:r>
      <w:r>
        <w:t xml:space="preserve">). C-fiber action potentials are launched at the electrode site only with suprathreshold electrode currents; the electrode-site membrane potentials show the non-physiological state produced by 100 nA.</w:t>
      </w:r>
    </w:p>
    <w:p>
      <w:pPr>
        <w:pStyle w:val="CaptionedFigure"/>
      </w:pPr>
      <w:r>
        <w:drawing>
          <wp:inline>
            <wp:extent cx="5943600" cy="2014544"/>
            <wp:effectExtent b="0" l="0" r="0" t="0"/>
            <wp:docPr descr="Fig. S2 Earlier full-length geometry. (a, b) Peak C-fiber membrane potential at the electrode site z = 0 vs n for Aβ stimuli of 2× threshold to 100 nA (stars: propagating C-fiber AP launched at the electrode). (c) Peak Aβ membrane potential at the stimulated node." title="" id="59" name="Picture"/>
            <a:graphic>
              <a:graphicData uri="http://schemas.openxmlformats.org/drawingml/2006/picture">
                <pic:pic>
                  <pic:nvPicPr>
                    <pic:cNvPr descr="../results/figures/figS2_full_length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4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S2</w:t>
      </w:r>
      <w:r>
        <w:t xml:space="preserve"> </w:t>
      </w:r>
      <w:r>
        <w:t xml:space="preserve">Earlier full-length geometry. (a, b) Peak C-fiber membrane potential at the electrode site z = 0 vs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for Aβ stimuli of 2× threshold to 100 nA (stars: propagating C-fiber AP launched at the electrode). (c) Peak Aβ membrane potential at the stimulated node.</w:t>
      </w:r>
    </w:p>
    <w:p>
      <w:pPr>
        <w:pStyle w:val="CaptionedFigure"/>
      </w:pPr>
      <w:r>
        <w:drawing>
          <wp:inline>
            <wp:extent cx="4457700" cy="1848111"/>
            <wp:effectExtent b="0" l="0" r="0" t="0"/>
            <wp:docPr descr="Fig. S3 Lesion length (a) and Aβ stimulus strength (b) in the production configuration (NavC). No C-fiber action potential occurred." title="" id="62" name="Picture"/>
            <a:graphic>
              <a:graphicData uri="http://schemas.openxmlformats.org/drawingml/2006/picture">
                <pic:pic>
                  <pic:nvPicPr>
                    <pic:cNvPr descr="../results/figures/figS3_lesion_stimulu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848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Fig. S3</w:t>
      </w:r>
      <w:r>
        <w:t xml:space="preserve"> </w:t>
      </w:r>
      <w:r>
        <w:t xml:space="preserve">Lesion length (a) and Aβ stimulus strength (b) in the production configuration (NavC). No C-fiber action potential occurred.</w:t>
      </w:r>
    </w:p>
    <w:bookmarkEnd w:id="64"/>
    <w:sectPr w:rsidR="009D0094">
      <w:footerReference r:id="rId41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8B829" w14:textId="77777777" w:rsidR="009D0094" w:rsidRDefault="00000000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291AD7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747C3246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E82EB910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AF889DAA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15:restartNumberingAfterBreak="0" w:abstractNumId="3">
    <w:nsid w:val="00A99412"/>
    <w:multiLevelType w:val="multilevel"/>
    <w:tmpl w:val="ACD05B78"/>
    <w:lvl w:ilvl="0">
      <w:start w:val="2"/>
      <w:numFmt w:val="decimal"/>
      <w:lvlText w:val="%1."/>
      <w:lvlJc w:val="left"/>
      <w:pPr>
        <w:ind w:hanging="480" w:left="720"/>
      </w:pPr>
    </w:lvl>
    <w:lvl w:ilvl="1">
      <w:start w:val="2"/>
      <w:numFmt w:val="decimal"/>
      <w:lvlText w:val="%2."/>
      <w:lvlJc w:val="left"/>
      <w:pPr>
        <w:ind w:hanging="480" w:left="1440"/>
      </w:pPr>
    </w:lvl>
    <w:lvl w:ilvl="2">
      <w:start w:val="2"/>
      <w:numFmt w:val="decimal"/>
      <w:lvlText w:val="%3."/>
      <w:lvlJc w:val="left"/>
      <w:pPr>
        <w:ind w:hanging="480" w:left="2160"/>
      </w:pPr>
    </w:lvl>
    <w:lvl w:ilvl="3">
      <w:start w:val="2"/>
      <w:numFmt w:val="decimal"/>
      <w:lvlText w:val="%4."/>
      <w:lvlJc w:val="left"/>
      <w:pPr>
        <w:ind w:hanging="480" w:left="2880"/>
      </w:pPr>
    </w:lvl>
    <w:lvl w:ilvl="4">
      <w:start w:val="2"/>
      <w:numFmt w:val="decimal"/>
      <w:lvlText w:val="%5."/>
      <w:lvlJc w:val="left"/>
      <w:pPr>
        <w:ind w:hanging="480" w:left="3600"/>
      </w:pPr>
    </w:lvl>
    <w:lvl w:ilvl="5">
      <w:start w:val="2"/>
      <w:numFmt w:val="decimal"/>
      <w:lvlText w:val="%6."/>
      <w:lvlJc w:val="left"/>
      <w:pPr>
        <w:ind w:hanging="480" w:left="4320"/>
      </w:pPr>
    </w:lvl>
    <w:lvl w:ilvl="6">
      <w:start w:val="2"/>
      <w:numFmt w:val="decimal"/>
      <w:lvlText w:val="%7."/>
      <w:lvlJc w:val="left"/>
      <w:pPr>
        <w:ind w:hanging="480" w:left="5040"/>
      </w:pPr>
    </w:lvl>
    <w:lvl w:ilvl="7">
      <w:start w:val="2"/>
      <w:numFmt w:val="decimal"/>
      <w:lvlText w:val="%8."/>
      <w:lvlJc w:val="left"/>
      <w:pPr>
        <w:ind w:hanging="480" w:left="5760"/>
      </w:pPr>
    </w:lvl>
    <w:lvl w:ilvl="8">
      <w:start w:val="2"/>
      <w:numFmt w:val="decimal"/>
      <w:lvlText w:val="%9."/>
      <w:lvlJc w:val="left"/>
      <w:pPr>
        <w:ind w:hanging="480" w:left="6480"/>
      </w:pPr>
    </w:lvl>
  </w:abstractNum>
  <w:abstractNum w15:restartNumberingAfterBreak="0" w:abstractNumId="4">
    <w:nsid w:val="2D1F49ED"/>
    <w:multiLevelType w:val="hybridMultilevel"/>
    <w:tmpl w:val="BD80579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5F115162"/>
    <w:multiLevelType w:val="hybridMultilevel"/>
    <w:tmpl w:val="E89AFC12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97955456" w:numId="1">
    <w:abstractNumId w:val="0"/>
  </w:num>
  <w:num w16cid:durableId="2043817824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65634185" w:numId="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16cid:durableId="1437483621" w:numId="4">
    <w:abstractNumId w:val="1"/>
  </w:num>
  <w:num w16cid:durableId="337469443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51415032" w:numId="6">
    <w:abstractNumId w:val="1"/>
  </w:num>
  <w:num w16cid:durableId="824853214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73681018" w:numId="8">
    <w:abstractNumId w:val="1"/>
  </w:num>
  <w:num w16cid:durableId="2017807710" w:numId="9">
    <w:abstractNumId w:val="1"/>
  </w:num>
  <w:num w16cid:durableId="286814287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06712554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39739278" w:numId="12">
    <w:abstractNumId w:val="5"/>
  </w:num>
  <w:num w16cid:durableId="619075096" w:numId="13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0094"/>
    <w:rsid w:val="001B3105"/>
    <w:rsid w:val="00231E84"/>
    <w:rsid w:val="00291AD7"/>
    <w:rsid w:val="00851FC2"/>
    <w:rsid w:val="009439FA"/>
    <w:rsid w:val="009D0094"/>
    <w:rsid w:val="00C94053"/>
  </w:rsids>
  <w:themeFontLang w:bidi="ar-SA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Pr>
      <w:rFonts w:ascii="Times New Roman" w:cs="Times New Roman" w:eastAsia="Times New Roman" w:hAnsi="Times New Roman"/>
      <w:color w:val="000000"/>
      <w:sz w:val="22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40"/>
      <w:outlineLvl w:val="0"/>
    </w:pPr>
    <w:rPr>
      <w:b/>
      <w:bCs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b/>
      <w:bCs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40"/>
      <w:outlineLvl w:val="3"/>
    </w:pPr>
    <w:rPr>
      <w:b/>
      <w:bCs/>
      <w:i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b/>
      <w:bCs/>
      <w:sz w:val="32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160"/>
    </w:pPr>
    <w:rPr>
      <w:rFonts w:ascii="Times New Roman" w:cs="Times New Roman" w:eastAsia="Times New Roman" w:hAnsi="Times New Roman"/>
      <w:color w:val="000000"/>
      <w:sz w:val="22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Pr>
      <w:rFonts w:ascii="Times New Roman" w:cs="Times New Roman" w:eastAsia="Times New Roman" w:hAnsi="Times New Roman"/>
      <w:color w:val="000000"/>
      <w:sz w:val="22"/>
      <w:szCs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  <w:rPr>
      <w:sz w:val="20"/>
    </w:rPr>
  </w:style>
  <w:style w:customStyle="1" w:styleId="ImageCaption" w:type="paragraph">
    <w:name w:val="Image Caption"/>
    <w:basedOn w:val="Caption"/>
    <w:rPr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ListParagraph" w:type="paragraph">
    <w:name w:val="List Paragraph"/>
    <w:basedOn w:val="Normal"/>
    <w:rsid w:val="00291AD7"/>
    <w:pPr>
      <w:ind w:left="720"/>
      <w:contextualSpacing/>
    </w:pPr>
  </w:style>
  <w:style w:styleId="UnresolvedMention" w:type="character">
    <w:name w:val="Unresolved Mention"/>
    <w:basedOn w:val="DefaultParagraphFont"/>
    <w:uiPriority w:val="99"/>
    <w:semiHidden/>
    <w:unhideWhenUsed/>
    <w:rsid w:val="00291AD7"/>
    <w:rPr>
      <w:color w:val="605E5C"/>
      <w:shd w:color="auto" w:fill="E1DFDD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9" Target="numbering.xml" /><Relationship Type="http://schemas.openxmlformats.org/officeDocument/2006/relationships/styles" Id="rId48" Target="styles.xml" /><Relationship Type="http://schemas.openxmlformats.org/officeDocument/2006/relationships/settings" Id="rId47" Target="settings.xml" /><Relationship Type="http://schemas.openxmlformats.org/officeDocument/2006/relationships/webSettings" Id="rId46" Target="webSettings.xml" /><Relationship Type="http://schemas.openxmlformats.org/officeDocument/2006/relationships/fontTable" Id="rId45" Target="fontTable.xml" /><Relationship Type="http://schemas.openxmlformats.org/officeDocument/2006/relationships/theme" Id="rId44" Target="theme/theme1.xml" /><Relationship Type="http://schemas.openxmlformats.org/officeDocument/2006/relationships/footnotes" Id="rId43" Target="footnotes.xml" /><Relationship Type="http://schemas.openxmlformats.org/officeDocument/2006/relationships/comments" Id="rId42" Target="comments.xml" /><Relationship Id="rId39" Target="media/image33.png" Type="http://schemas.openxmlformats.org/officeDocument/2006/relationships/image" /><Relationship Id="rId16" Target="media/image10.png" Type="http://schemas.openxmlformats.org/officeDocument/2006/relationships/image" /><Relationship Id="rId29" Target="media/image23.png" Type="http://schemas.openxmlformats.org/officeDocument/2006/relationships/image" /><Relationship Id="rId41" Target="footer1.xml" Type="http://schemas.openxmlformats.org/officeDocument/2006/relationships/footer" /><Relationship Id="rId40" Target="media/image34.png" Type="http://schemas.openxmlformats.org/officeDocument/2006/relationships/image" /><Relationship Id="rId9" Target="media/image3.png" Type="http://schemas.openxmlformats.org/officeDocument/2006/relationships/image" /><Relationship Id="rId30" Target="media/image24.png" Type="http://schemas.openxmlformats.org/officeDocument/2006/relationships/image" /><Relationship Id="rId38" Target="media/image32.png" Type="http://schemas.openxmlformats.org/officeDocument/2006/relationships/image" /><Relationship Type="http://schemas.openxmlformats.org/officeDocument/2006/relationships/image" Id="rId51" Target="media/rId51.png" /><Relationship Type="http://schemas.openxmlformats.org/officeDocument/2006/relationships/image" Id="rId58" Target="media/rId58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9274</Words>
  <Characters>52862</Characters>
  <Application>Microsoft Office Word</Application>
  <DocSecurity>0</DocSecurity>
  <Lines>440</Lines>
  <Paragraphs>124</Paragraphs>
  <ScaleCrop>false</ScaleCrop>
  <Company/>
  <LinksUpToDate>false</LinksUpToDate>
  <CharactersWithSpaces>62012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Information: Ephaptic Aβ-to-C-Fiber Crosstalk and Multi-Fiber Spatial Summation</dc:title>
  <dc:creator>Mina Saied Attia Rizk</dc:creator>
  <dc:language>en-GB</dc:language>
  <cp:keywords/>
  <dcterms:created xsi:type="dcterms:W3CDTF">2026-10-02T09:48:54Z</dcterms:created>
  <dcterms:modified xsi:type="dcterms:W3CDTF">2026-10-02T09:48:54Z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