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response-to-the-reviewers"/>
    <w:p>
      <w:pPr>
        <w:pStyle w:val="Heading1"/>
      </w:pPr>
      <w:r>
        <w:t xml:space="preserve">Response to the reviewers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Ephaptic Aβ-to-C-Fiber Crosstalk and Multi-Fiber Spatial Summation: A Closed-Loop Core-Conductor Study with Nociceptor-Realistic Channel Kinetics</w:t>
      </w:r>
      <w:r>
        <w:t xml:space="preserve"> </w:t>
      </w:r>
      <w:r>
        <w:rPr>
          <w:b/>
          <w:bCs/>
        </w:rPr>
        <w:t xml:space="preserve">Journal:</w:t>
      </w:r>
      <w:r>
        <w:t xml:space="preserve"> </w:t>
      </w:r>
      <w:r>
        <w:rPr>
          <w:i/>
          <w:iCs/>
        </w:rPr>
        <w:t xml:space="preserve">Journal of Computational Neuroscience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Mina Saied Attia Rizk</w:t>
      </w:r>
    </w:p>
    <w:p>
      <w:r>
        <w:pict>
          <v:rect style="width:0;height:1.5pt" o:hralign="center" o:hrstd="t" o:hr="t"/>
        </w:pict>
      </w:r>
    </w:p>
    <w:bookmarkStart w:id="50" w:name="X9b5f134b7752bd2cad3ff27fbbda28b8cd99087"/>
    <w:p>
      <w:pPr>
        <w:pStyle w:val="Heading2"/>
      </w:pPr>
      <w:r>
        <w:t xml:space="preserve">Statement before the point-by-point replies</w:t>
      </w:r>
    </w:p>
    <w:p>
      <w:pPr>
        <w:pStyle w:val="FirstParagraph"/>
      </w:pPr>
      <w:r>
        <w:t xml:space="preserve">I thank both reviewers for the time they gave this manuscript. Reviewer 2’s report sent me back to</w:t>
      </w:r>
      <w:r>
        <w:t xml:space="preserve"> </w:t>
      </w:r>
      <w:r>
        <w:t xml:space="preserve">the implementation rather than to the text, and that re-examination found two errors that neither</w:t>
      </w:r>
      <w:r>
        <w:t xml:space="preserve"> </w:t>
      </w:r>
      <w:r>
        <w:t xml:space="preserve">reviewer could have been expected to find in full, and whose consequences reach the central result.</w:t>
      </w:r>
      <w:r>
        <w:t xml:space="preserve"> </w:t>
      </w:r>
      <w:r>
        <w:t xml:space="preserve">I set them out here rather than leaving them to be discovered among the replies.</w:t>
      </w:r>
    </w:p>
    <w:p>
      <w:pPr>
        <w:pStyle w:val="BodyText"/>
      </w:pPr>
      <w:r>
        <w:rPr>
          <w:b/>
          <w:bCs/>
        </w:rPr>
        <w:t xml:space="preserve">1. The inactivation gate of the Aβ membrane was inverted.</w:t>
      </w:r>
      <w:r>
        <w:t xml:space="preserve"> </w:t>
      </w:r>
      <w:r>
        <w:t xml:space="preserve">Reviewer 2 is right (Major 2). In the</w:t>
      </w:r>
      <w:r>
        <w:t xml:space="preserve"> </w:t>
      </w:r>
      <w:r>
        <w:t xml:space="preserve">submitted code the two CRRSS</w:t>
      </w:r>
      <w:r>
        <w:t xml:space="preserve"> </w:t>
      </w:r>
      <w:r>
        <w:rPr>
          <w:i/>
          <w:iCs/>
        </w:rPr>
        <w:t xml:space="preserve">h</w:t>
      </w:r>
      <w:r>
        <w:t xml:space="preserve">-rate expressions were exchanged, so steady-state inactivation rose</w:t>
      </w:r>
      <w:r>
        <w:t xml:space="preserve"> </w:t>
      </w:r>
      <w:r>
        <w:t xml:space="preserve">with depolarization and the action potential settled on a positive plateau instead of repolarizing.</w:t>
      </w:r>
      <w:r>
        <w:t xml:space="preserve"> </w:t>
      </w:r>
      <w:r>
        <w:t xml:space="preserve">The rates are corrected. Inactivation now falls from</w:t>
      </w:r>
      <w:r>
        <w:t xml:space="preserve"> </w:t>
      </w:r>
      <w:r>
        <w:rPr>
          <w:i/>
          <w:iCs/>
        </w:rPr>
        <w:t xml:space="preserve">h</w:t>
      </w:r>
      <w:r>
        <w:rPr>
          <w:vertAlign w:val="subscript"/>
        </w:rPr>
        <w:t xml:space="preserve">∞</w:t>
      </w:r>
      <w:r>
        <w:t xml:space="preserve"> </w:t>
      </w:r>
      <w:r>
        <w:t xml:space="preserve">= 0.750 at −80 mV to</w:t>
      </w:r>
      <w:r>
        <w:t xml:space="preserve"> </w:t>
      </w:r>
      <w:r>
        <w:t xml:space="preserve">0.001 at −40 mV, the action potential returns to rest within 0.65 ms</w:t>
      </w:r>
      <w:r>
        <w:t xml:space="preserve"> </w:t>
      </w:r>
      <w:r>
        <w:t xml:space="preserve">(Fig. S1), and the fiber shows an ordinary refractory period and recovery (Table S3). Everything</w:t>
      </w:r>
      <w:r>
        <w:t xml:space="preserve"> </w:t>
      </w:r>
      <w:r>
        <w:t xml:space="preserve">that uses the Aβ fiber as its source has been recomputed.</w:t>
      </w:r>
    </w:p>
    <w:p>
      <w:pPr>
        <w:pStyle w:val="BodyText"/>
      </w:pPr>
      <w:r>
        <w:rPr>
          <w:b/>
          <w:bCs/>
        </w:rPr>
        <w:t xml:space="preserve">2. The coupling scheme was not convergent in the number of fibers.</w:t>
      </w:r>
      <w:r>
        <w:t xml:space="preserve"> </w:t>
      </w:r>
      <w:r>
        <w:t xml:space="preserve">The submitted solver computed</w:t>
      </w:r>
      <w:r>
        <w:t xml:space="preserve"> </w:t>
      </w:r>
      <w:r>
        <w:t xml:space="preserve">the extracellular potential from the previous step’s membrane potentials and fed it back explicitly.</w:t>
      </w:r>
      <w:r>
        <w:t xml:space="preserve"> </w:t>
      </w:r>
      <w:r>
        <w:t xml:space="preserve">That lagged term cancels a fraction</w:t>
      </w:r>
      <w:r>
        <w:t xml:space="preserve"> </w:t>
      </w:r>
      <w:r>
        <w:rPr>
          <w:i/>
          <w:iCs/>
        </w:rPr>
        <w:t xml:space="preserve">n g</w:t>
      </w:r>
      <w:r>
        <w:rPr>
          <w:vertAlign w:val="subscript"/>
        </w:rPr>
        <w:t xml:space="preserve">1</w:t>
      </w:r>
      <w:r>
        <w:t xml:space="preserve">/Σ</w:t>
      </w:r>
      <w:r>
        <w:rPr>
          <w:vertAlign w:val="subscript"/>
        </w:rPr>
        <w:t xml:space="preserve">G</w:t>
      </w:r>
      <w:r>
        <w:t xml:space="preserve"> </w:t>
      </w:r>
      <w:r>
        <w:t xml:space="preserve">of the implicit axial term, so its time-step error</w:t>
      </w:r>
      <w:r>
        <w:t xml:space="preserve"> </w:t>
      </w:r>
      <w:r>
        <w:t xml:space="preserve">grows with the number of fibers: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25 the submitted scheme gives 6.10 mV where</w:t>
      </w:r>
      <w:r>
        <w:t xml:space="preserve"> </w:t>
      </w:r>
      <w:r>
        <w:t xml:space="preserve">the converged answer is 15.42 mV. The reported ≈8 mV multi-fiber trend, and the</w:t>
      </w:r>
      <w:r>
        <w:t xml:space="preserve"> </w:t>
      </w:r>
      <w:r>
        <w:t xml:space="preserve">“stability ceiling”</w:t>
      </w:r>
      <w:r>
        <w:t xml:space="preserve"> </w:t>
      </w:r>
      <w:r>
        <w:t xml:space="preserve">and artifact-detection protocol built around it, were therefore properties of the</w:t>
      </w:r>
      <w:r>
        <w:t xml:space="preserve"> </w:t>
      </w:r>
      <w:r>
        <w:t xml:space="preserve">discretization. Intracellular and extracellular potentials are now advanced together by backward</w:t>
      </w:r>
      <w:r>
        <w:t xml:space="preserve"> </w:t>
      </w:r>
      <w:r>
        <w:t xml:space="preserve">Euler in one banded solve, and every endpoint is shown to converge (Section 3.1, Tables S1–S2).</w:t>
      </w:r>
    </w:p>
    <w:p>
      <w:pPr>
        <w:pStyle w:val="BodyText"/>
      </w:pPr>
      <w:r>
        <w:rPr>
          <w:b/>
          <w:bCs/>
        </w:rPr>
        <w:t xml:space="preserve">What this does to the conclusions.</w:t>
      </w:r>
      <w:r>
        <w:t xml:space="preserve"> </w:t>
      </w:r>
      <w:r>
        <w:t xml:space="preserve">The direction of the central finding is unchanged and is now</w:t>
      </w:r>
      <w:r>
        <w:t xml:space="preserve"> </w:t>
      </w:r>
      <w:r>
        <w:t xml:space="preserve">much better supported: no propagating C-fiber action potential occurs for any standard membrane,</w:t>
      </w:r>
      <w:r>
        <w:t xml:space="preserve"> </w:t>
      </w:r>
      <w:r>
        <w:t xml:space="preserve">over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1–300, five decades of extracellular leak, lesion lengths of 1–7 mm, stimuli of 1.2–20 ×</w:t>
      </w:r>
      <w:r>
        <w:t xml:space="preserve"> </w:t>
      </w:r>
      <w:r>
        <w:t xml:space="preserve">threshold, 50–400-Hz trains, onset dispersion, or sensitizing bias. What changes is the multi-fiber</w:t>
      </w:r>
      <w:r>
        <w:t xml:space="preserve"> </w:t>
      </w:r>
      <w:r>
        <w:t xml:space="preserve">story. Summation does not saturate; it grows to 26.9 mV and is then limited by failure of</w:t>
      </w:r>
      <w:r>
        <w:t xml:space="preserve"> </w:t>
      </w:r>
      <w:r>
        <w:t xml:space="preserve">the Aβ action potential inside the confined lesion — the same confinement that strengthens the</w:t>
      </w:r>
      <w:r>
        <w:t xml:space="preserve"> </w:t>
      </w:r>
      <w:r>
        <w:t xml:space="preserve">coupling blocks its source. The submitted manuscript’s proposal that multi-fiber spatial summation</w:t>
      </w:r>
      <w:r>
        <w:t xml:space="preserve"> </w:t>
      </w:r>
      <w:r>
        <w:t xml:space="preserve">is</w:t>
      </w:r>
      <w:r>
        <w:t xml:space="preserve"> </w:t>
      </w:r>
      <w:r>
        <w:t xml:space="preserve">“a plausible, partially-supported candidate mechanism”</w:t>
      </w:r>
      <w:r>
        <w:t xml:space="preserve"> </w:t>
      </w:r>
      <w:r>
        <w:t xml:space="preserve">is therefore withdrawn, and the title has</w:t>
      </w:r>
      <w:r>
        <w:t xml:space="preserve"> </w:t>
      </w:r>
      <w:r>
        <w:t xml:space="preserve">been changed from</w:t>
      </w:r>
      <w:r>
        <w:t xml:space="preserve"> </w:t>
      </w:r>
      <w:r>
        <w:t xml:space="preserve">“… Requires Multi-Fiber Spatial Summation”</w:t>
      </w:r>
      <w:r>
        <w:t xml:space="preserve"> </w:t>
      </w:r>
      <w:r>
        <w:t xml:space="preserve">accordingly. The artifact-detection</w:t>
      </w:r>
      <w:r>
        <w:t xml:space="preserve"> </w:t>
      </w:r>
      <w:r>
        <w:t xml:space="preserve">protocol is gone, replaced by convergence evidence.</w:t>
      </w:r>
    </w:p>
    <w:p>
      <w:pPr>
        <w:pStyle w:val="BodyText"/>
      </w:pPr>
      <w:r>
        <w:t xml:space="preserve">Because so much was recomputed, the code was rewritten as a single documented package with one</w:t>
      </w:r>
      <w:r>
        <w:t xml:space="preserve"> </w:t>
      </w:r>
      <w:r>
        <w:t xml:space="preserve">parameter module, and every number, table and figure in the manuscript is now generated from the</w:t>
      </w:r>
      <w:r>
        <w:t xml:space="preserve"> </w:t>
      </w:r>
      <w:r>
        <w:t xml:space="preserve">simulation outputs by a script (</w:t>
      </w:r>
      <w:r>
        <w:rPr>
          <w:rStyle w:val="VerbatimChar"/>
        </w:rPr>
        <w:t xml:space="preserve">src/build_tables.py</w:t>
      </w:r>
      <w:r>
        <w:t xml:space="preserve">); the build fails if any quoted value has no</w:t>
      </w:r>
      <w:r>
        <w:t xml:space="preserve"> </w:t>
      </w:r>
      <w:r>
        <w:t xml:space="preserve">generating run behind it.</w:t>
      </w:r>
      <w:r>
        <w:t xml:space="preserve"> </w:t>
      </w:r>
      <w:r>
        <w:rPr>
          <w:rStyle w:val="VerbatimChar"/>
        </w:rPr>
        <w:t xml:space="preserve">docs/MANIFEST.md</w:t>
      </w:r>
      <w:r>
        <w:t xml:space="preserve"> </w:t>
      </w:r>
      <w:r>
        <w:t xml:space="preserve">links every figure, table and number to its script and</w:t>
      </w:r>
      <w:r>
        <w:t xml:space="preserve"> </w:t>
      </w:r>
      <w:r>
        <w:t xml:space="preserve">raw output. An AI assistant (Claude, Anthropic) was used in the re-implementation and in editing;</w:t>
      </w:r>
      <w:r>
        <w:t xml:space="preserve"> </w:t>
      </w:r>
      <w:r>
        <w:t xml:space="preserve">this is declared in the manuscript, and I have checked the code, results and text and take</w:t>
      </w:r>
      <w:r>
        <w:t xml:space="preserve"> </w:t>
      </w:r>
      <w:r>
        <w:t xml:space="preserve">responsibility for them.</w:t>
      </w:r>
    </w:p>
    <w:p>
      <w:pPr>
        <w:pStyle w:val="BodyText"/>
      </w:pPr>
      <w:r>
        <w:rPr>
          <w:b/>
          <w:bCs/>
        </w:rPr>
        <w:t xml:space="preserve">A note on the revised file.</w:t>
      </w:r>
      <w:r>
        <w:t xml:space="preserve"> </w:t>
      </w:r>
      <w:r>
        <w:t xml:space="preserve">Because the solver, the analysis and every number were rebuilt, a</w:t>
      </w:r>
      <w:r>
        <w:t xml:space="preserve"> </w:t>
      </w:r>
      <w:r>
        <w:t xml:space="preserve">tracked-changes file against the submitted version would mark almost every line and would not help</w:t>
      </w:r>
      <w:r>
        <w:t xml:space="preserve"> </w:t>
      </w:r>
      <w:r>
        <w:t xml:space="preserve">the reviewers see what changed. A clean manuscript is therefore provided, and this letter is the</w:t>
      </w:r>
      <w:r>
        <w:t xml:space="preserve"> </w:t>
      </w:r>
      <w:r>
        <w:t xml:space="preserve">record of the changes: each reply names the section, figure or table where the change can be</w:t>
      </w:r>
      <w:r>
        <w:t xml:space="preserve"> </w:t>
      </w:r>
      <w:r>
        <w:t xml:space="preserve">checked, and</w:t>
      </w:r>
      <w:r>
        <w:t xml:space="preserve"> </w:t>
      </w:r>
      <w:r>
        <w:rPr>
          <w:rStyle w:val="VerbatimChar"/>
        </w:rPr>
        <w:t xml:space="preserve">docs/MANIFEST.md</w:t>
      </w:r>
      <w:r>
        <w:t xml:space="preserve"> </w:t>
      </w:r>
      <w:r>
        <w:t xml:space="preserve">in the repository links every figure, table and quoted number to the</w:t>
      </w:r>
      <w:r>
        <w:t xml:space="preserve"> </w:t>
      </w:r>
      <w:r>
        <w:t xml:space="preserve">script and raw output behind it. A tracked-changes version can of course be supplied if the editor</w:t>
      </w:r>
      <w:r>
        <w:t xml:space="preserve"> </w:t>
      </w:r>
      <w:r>
        <w:t xml:space="preserve">would like one.</w:t>
      </w:r>
    </w:p>
    <w:p>
      <w:r>
        <w:pict>
          <v:rect style="width:0;height:1.5pt" o:hralign="center" o:hrstd="t" o:hr="t"/>
        </w:pict>
      </w:r>
    </w:p>
    <w:bookmarkEnd w:id="50"/>
    <w:bookmarkStart w:id="51" w:name="reviewer-1"/>
    <w:p>
      <w:pPr>
        <w:pStyle w:val="Heading2"/>
      </w:pPr>
      <w:r>
        <w:t xml:space="preserve">Reviewer 1</w:t>
      </w:r>
    </w:p>
    <w:p>
      <w:pPr>
        <w:pStyle w:val="BlockText"/>
      </w:pPr>
      <w:r>
        <w:rPr>
          <w:i/>
          <w:iCs/>
        </w:rPr>
        <w:t xml:space="preserve">“This is a very well written and worked out paper … We encourage the author to study higher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 (two and three) formulations as well … As a minor point which should be addressed before</w:t>
      </w:r>
      <w:r>
        <w:rPr>
          <w:i/>
          <w:iCs/>
        </w:rPr>
        <w:t xml:space="preserve"> </w:t>
      </w:r>
      <w:r>
        <w:rPr>
          <w:i/>
          <w:iCs/>
        </w:rPr>
        <w:t xml:space="preserve">acceptance: please cite the 2003 work of Reutskiy-Rossoni-Tirozzi on conduction in bundles of</w:t>
      </w:r>
      <w:r>
        <w:rPr>
          <w:i/>
          <w:iCs/>
        </w:rPr>
        <w:t xml:space="preserve"> </w:t>
      </w:r>
      <w:r>
        <w:rPr>
          <w:i/>
          <w:iCs/>
        </w:rPr>
        <w:t xml:space="preserve">demyelinated nerve fibers.”</w:t>
      </w:r>
    </w:p>
    <w:p>
      <w:pPr>
        <w:pStyle w:val="FirstParagraph"/>
      </w:pPr>
      <w:r>
        <w:t xml:space="preserve">I thank the reviewer for the encouraging assessment.</w:t>
      </w:r>
    </w:p>
    <w:p>
      <w:pPr>
        <w:pStyle w:val="BodyText"/>
      </w:pPr>
      <w:r>
        <w:rPr>
          <w:b/>
          <w:bCs/>
        </w:rPr>
        <w:t xml:space="preserve">R1.1 — Reutskiy, Rossoni and Tirozzi (2003).</w:t>
      </w:r>
      <w:r>
        <w:t xml:space="preserve"> </w:t>
      </w:r>
      <w:r>
        <w:t xml:space="preserve">Cited, in the Introduction, among the closed-loop</w:t>
      </w:r>
      <w:r>
        <w:t xml:space="preserve"> </w:t>
      </w:r>
      <w:r>
        <w:t xml:space="preserve">core-conductor treatments of bundles of demyelinated fibers that precede this work.</w:t>
      </w:r>
    </w:p>
    <w:p>
      <w:pPr>
        <w:pStyle w:val="BodyText"/>
      </w:pPr>
      <w:r>
        <w:rPr>
          <w:b/>
          <w:bCs/>
        </w:rPr>
        <w:t xml:space="preserve">R1.2 — Higher-dimensional formulations.</w:t>
      </w:r>
      <w:r>
        <w:t xml:space="preserve"> </w:t>
      </w:r>
      <w:r>
        <w:t xml:space="preserve">Chawla, Morgera and Snider (</w:t>
      </w:r>
      <w:r>
        <w:rPr>
          <w:i/>
          <w:iCs/>
        </w:rPr>
        <w:t xml:space="preserve">IEEE/ACM TCBB</w:t>
      </w:r>
      <w:r>
        <w:t xml:space="preserve">) and Chawla</w:t>
      </w:r>
      <w:r>
        <w:t xml:space="preserve"> </w:t>
      </w:r>
      <w:r>
        <w:t xml:space="preserve">and Morgera (2024) are now cited in the Introduction alongside the other higher-dimensional and</w:t>
      </w:r>
      <w:r>
        <w:t xml:space="preserve"> </w:t>
      </w:r>
      <w:r>
        <w:t xml:space="preserve">resistor-network treatments, and the Discussion names the move to a resolved two- or</w:t>
      </w:r>
      <w:r>
        <w:t xml:space="preserve"> </w:t>
      </w:r>
      <w:r>
        <w:t xml:space="preserve">three-dimensional geometry, specifically a fully coupled EMI formulation (Jæger &amp; Tveito, 2026), as</w:t>
      </w:r>
      <w:r>
        <w:t xml:space="preserve"> </w:t>
      </w:r>
      <w:r>
        <w:t xml:space="preserve">the step that would test the one-dimensional mean-field reduction used here. The present study stays</w:t>
      </w:r>
      <w:r>
        <w:t xml:space="preserve"> </w:t>
      </w:r>
      <w:r>
        <w:t xml:space="preserve">one-dimensional; Section 2.3 and Section 3.5 now state what that reduction does and does not</w:t>
      </w:r>
      <w:r>
        <w:t xml:space="preserve"> </w:t>
      </w:r>
      <w:r>
        <w:t xml:space="preserve">represent, and quantify the error of its mean-field step (0.9 %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</w:t>
      </w:r>
      <w:r>
        <w:t xml:space="preserve"> </w:t>
      </w:r>
      <w:r>
        <w:t xml:space="preserve">rising to 15 %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50).</w:t>
      </w:r>
    </w:p>
    <w:p>
      <w:r>
        <w:pict>
          <v:rect style="width:0;height:1.5pt" o:hralign="center" o:hrstd="t" o:hr="t"/>
        </w:pict>
      </w:r>
    </w:p>
    <w:bookmarkEnd w:id="51"/>
    <w:bookmarkStart w:id="52" w:name="reviewer-2-major-comments"/>
    <w:p>
      <w:pPr>
        <w:pStyle w:val="Heading2"/>
      </w:pPr>
      <w:r>
        <w:t xml:space="preserve">Reviewer 2 — major comments</w:t>
      </w:r>
    </w:p>
    <w:p>
      <w:pPr>
        <w:pStyle w:val="FirstParagraph"/>
      </w:pPr>
      <w:r>
        <w:rPr>
          <w:b/>
          <w:bCs/>
        </w:rPr>
        <w:t xml:space="preserve">R2.1 Extracellular current balance.</w:t>
      </w:r>
      <w:r>
        <w:t xml:space="preserve"> </w:t>
      </w:r>
      <w:r>
        <w:t xml:space="preserve">Done. Section 2.1 now derives the compartment equation from one stated sign convention, with units</w:t>
      </w:r>
      <w:r>
        <w:t xml:space="preserve"> </w:t>
      </w:r>
      <w:r>
        <w:t xml:space="preserve">for every term, and shows where the capacitive and applied currents enter: the axial current that</w:t>
      </w:r>
      <w:r>
        <w:t xml:space="preserve"> </w:t>
      </w:r>
      <w:r>
        <w:t xml:space="preserve">each fiber delivers to the compartment is</w:t>
      </w:r>
      <w:r>
        <w:t xml:space="preserve"> </w:t>
      </w:r>
      <w:r>
        <w:rPr>
          <w:i/>
          <w:iCs/>
        </w:rPr>
        <w:t xml:space="preserve">g</w:t>
      </w:r>
      <w:r>
        <w:rPr>
          <w:vertAlign w:val="subscript"/>
        </w:rPr>
        <w:t xml:space="preserve">k</w:t>
      </w:r>
      <w:r>
        <w:t xml:space="preserve"> </w:t>
      </w:r>
      <w:r>
        <w:t xml:space="preserve">∂²(</w:t>
      </w:r>
      <w:r>
        <w:rPr>
          <w:i/>
          <w:iCs/>
        </w:rPr>
        <w:t xml:space="preserve">v</w:t>
      </w:r>
      <w:r>
        <w:rPr>
          <w:vertAlign w:val="subscript"/>
        </w:rPr>
        <w:t xml:space="preserve">k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u</w:t>
      </w:r>
      <w:r>
        <w:rPr>
          <w:vertAlign w:val="subscript"/>
        </w:rPr>
        <w:t xml:space="preserve">e</w:t>
      </w:r>
      <w:r>
        <w:t xml:space="preserve">)/∂z², so the capacitive and</w:t>
      </w:r>
      <w:r>
        <w:t xml:space="preserve"> </w:t>
      </w:r>
      <w:r>
        <w:t xml:space="preserve">ionic terms are not separated in the source, and electrode current that enters the compartment is</w:t>
      </w:r>
      <w:r>
        <w:t xml:space="preserve"> </w:t>
      </w:r>
      <w:r>
        <w:t xml:space="preserve">returned through it. The physical Kirchhoff residual of the assembled system is reported as a</w:t>
      </w:r>
      <w:r>
        <w:t xml:space="preserve"> </w:t>
      </w:r>
      <w:r>
        <w:t xml:space="preserve">result, not as an algebraic solver residual: it is at most 1e-10 of the peak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e02_kcl.csv</w:t>
      </w:r>
      <w:r>
        <w:t xml:space="preserve">). The submitted implementation’s ionic-only source is one of the things corrected.</w:t>
      </w:r>
    </w:p>
    <w:p>
      <w:pPr>
        <w:pStyle w:val="BodyText"/>
      </w:pPr>
      <w:r>
        <w:rPr>
          <w:b/>
          <w:bCs/>
        </w:rPr>
        <w:t xml:space="preserve">R2.2 CRRSS h gate and recovery of the Aβ source.</w:t>
      </w:r>
      <w:r>
        <w:t xml:space="preserve"> </w:t>
      </w:r>
      <w:r>
        <w:t xml:space="preserve">The reviewer’s diagnosis was correct; see the statement above. Section 3.3 and Fig. S1 now report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∞</w:t>
      </w:r>
      <w:r>
        <w:t xml:space="preserve">,</w:t>
      </w:r>
      <w:r>
        <w:t xml:space="preserve"> </w:t>
      </w:r>
      <w:r>
        <w:rPr>
          <w:i/>
          <w:iCs/>
        </w:rPr>
        <w:t xml:space="preserve">h</w:t>
      </w:r>
      <w:r>
        <w:rPr>
          <w:vertAlign w:val="subscript"/>
        </w:rPr>
        <w:t xml:space="preserve">∞</w:t>
      </w:r>
      <w:r>
        <w:t xml:space="preserve">, τ</w:t>
      </w:r>
      <w:r>
        <w:rPr>
          <w:vertAlign w:val="subscript"/>
        </w:rPr>
        <w:t xml:space="preserve">m</w:t>
      </w:r>
      <w:r>
        <w:t xml:space="preserve"> </w:t>
      </w:r>
      <w:r>
        <w:t xml:space="preserve">and τ</w:t>
      </w:r>
      <w:r>
        <w:rPr>
          <w:vertAlign w:val="subscript"/>
        </w:rPr>
        <w:t xml:space="preserve">h</w:t>
      </w:r>
      <w:r>
        <w:t xml:space="preserve"> </w:t>
      </w:r>
      <w:r>
        <w:t xml:space="preserve">over the modelled range, an action potential followed through</w:t>
      </w:r>
      <w:r>
        <w:t xml:space="preserve"> </w:t>
      </w:r>
      <w:r>
        <w:t xml:space="preserve">repolarization to rest, and a paired-pulse protocol: a second stimulus at</w:t>
      </w:r>
      <w:r>
        <w:t xml:space="preserve"> </w:t>
      </w:r>
      <w:r>
        <w:t xml:space="preserve">0.50 ms evokes no propagating action potential, recovery begins at</w:t>
      </w:r>
      <w:r>
        <w:t xml:space="preserve"> </w:t>
      </w:r>
      <w:r>
        <w:t xml:space="preserve">0.75 ms, and by 2.0 ms the second action potential matches the</w:t>
      </w:r>
      <w:r>
        <w:t xml:space="preserve"> </w:t>
      </w:r>
      <w:r>
        <w:t xml:space="preserve">first (Table S3). The uncoupled fiber conducts at 40.4 m/s with a</w:t>
      </w:r>
      <w:r>
        <w:t xml:space="preserve"> </w:t>
      </w:r>
      <w:r>
        <w:t xml:space="preserve">80.8-mV excursion, and the stimulus is now 3.02 nA — twice the measured</w:t>
      </w:r>
      <w:r>
        <w:t xml:space="preserve"> </w:t>
      </w:r>
      <w:r>
        <w:t xml:space="preserve">threshold of 1.51 nA — applied outside the lesion, instead of 100 nA inside the</w:t>
      </w:r>
      <w:r>
        <w:t xml:space="preserve"> </w:t>
      </w:r>
      <w:r>
        <w:t xml:space="preserve">compartment, which drove node 0 to +786 mV. All analyses were rerun.</w:t>
      </w:r>
    </w:p>
    <w:p>
      <w:pPr>
        <w:pStyle w:val="BodyText"/>
      </w:pPr>
      <w:r>
        <w:rPr>
          <w:b/>
          <w:bCs/>
        </w:rPr>
        <w:t xml:space="preserve">R2.3 Cleft geometry and the multi-fiber approximation.</w:t>
      </w:r>
      <w:r>
        <w:t xml:space="preserve"> </w:t>
      </w:r>
      <w:r>
        <w:t xml:space="preserve">Reframed as the reviewer suggests. The compartment is described as a one-dimensional mean-field</w:t>
      </w:r>
      <w:r>
        <w:t xml:space="preserve"> </w:t>
      </w:r>
      <w:r>
        <w:t xml:space="preserve">channel of cross-section</w:t>
      </w:r>
      <w:r>
        <w:t xml:space="preserve"> </w:t>
      </w:r>
      <w:r>
        <w:rPr>
          <w:i/>
          <w:iCs/>
        </w:rPr>
        <w:t xml:space="preserve">A</w:t>
      </w:r>
      <w:r>
        <w:rPr>
          <w:vertAlign w:val="subscript"/>
        </w:rPr>
        <w:t xml:space="preserve">e</w:t>
      </w:r>
      <w:r>
        <w:t xml:space="preserve">, not as a resolved bundle; Section 2.3 gives the fiber geometry, the</w:t>
      </w:r>
      <w:r>
        <w:t xml:space="preserve"> </w:t>
      </w:r>
      <w:r>
        <w:t xml:space="preserve">grounded-bulk boundary outside the lesion, the area formula and its limiting behaviour, and states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A</w:t>
      </w:r>
      <w:r>
        <w:rPr>
          <w:vertAlign w:val="subscript"/>
        </w:rPr>
        <w:t xml:space="preserve">e</w:t>
      </w:r>
      <w:r>
        <w:t xml:space="preserve"> </w:t>
      </w:r>
      <w:r>
        <w:t xml:space="preserve">= 16.4 µm² spread around one fiber corresponds to a 497-nm periaxonal gap, so the</w:t>
      </w:r>
      <w:r>
        <w:t xml:space="preserve"> </w:t>
      </w:r>
      <w:r>
        <w:t xml:space="preserve">model does not resolve a 20-nm cleft as such. Because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fibers sharing</w:t>
      </w:r>
      <w:r>
        <w:t xml:space="preserve"> </w:t>
      </w:r>
      <w:r>
        <w:rPr>
          <w:i/>
          <w:iCs/>
        </w:rPr>
        <w:t xml:space="preserve">A</w:t>
      </w:r>
      <w:r>
        <w:rPr>
          <w:vertAlign w:val="subscript"/>
        </w:rPr>
        <w:t xml:space="preserve">e</w:t>
      </w:r>
      <w:r>
        <w:t xml:space="preserve"> </w:t>
      </w:r>
      <w:r>
        <w:t xml:space="preserve">are equivalent to one</w:t>
      </w:r>
      <w:r>
        <w:t xml:space="preserve"> </w:t>
      </w:r>
      <w:r>
        <w:t xml:space="preserve">fiber in</w:t>
      </w:r>
      <w:r>
        <w:t xml:space="preserve"> </w:t>
      </w:r>
      <w:r>
        <w:rPr>
          <w:i/>
          <w:iCs/>
        </w:rPr>
        <w:t xml:space="preserve">A</w:t>
      </w:r>
      <w:r>
        <w:rPr>
          <w:vertAlign w:val="subscript"/>
        </w:rPr>
        <w:t xml:space="preserve">e</w:t>
      </w:r>
      <w:r>
        <w:t xml:space="preserve">/</w:t>
      </w:r>
      <w:r>
        <w:rPr>
          <w:i/>
          <w:iCs/>
        </w:rPr>
        <w:t xml:space="preserve">n</w:t>
      </w:r>
      <w:r>
        <w:t xml:space="preserve">, every multi-fiber result is also reported as an extracellular cross-section per</w:t>
      </w:r>
      <w:r>
        <w:t xml:space="preserve"> </w:t>
      </w:r>
      <w:r>
        <w:t xml:space="preserve">fiber and an equivalent gap</w:t>
      </w:r>
      <w:r>
        <w:t xml:space="preserve"> </w:t>
      </w:r>
      <w:r>
        <w:rPr>
          <w:i/>
          <w:iCs/>
        </w:rPr>
        <w:t xml:space="preserve">w</w:t>
      </w:r>
      <w:r>
        <w:rPr>
          <w:vertAlign w:val="subscript"/>
        </w:rPr>
        <w:t xml:space="preserve">eq</w:t>
      </w:r>
      <w:r>
        <w:t xml:space="preserve"> </w:t>
      </w:r>
      <w:r>
        <w:t xml:space="preserve">(21 nm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25, 5 nm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100). The</w:t>
      </w:r>
      <w:r>
        <w:t xml:space="preserve"> </w:t>
      </w:r>
      <w:r>
        <w:t xml:space="preserve">experiment is called a synchronous source-scaling approximation, its mean-field error is measured</w:t>
      </w:r>
      <w:r>
        <w:t xml:space="preserve"> </w:t>
      </w:r>
      <w:r>
        <w:t xml:space="preserve">(above), and an alternative closure in which every fiber carries its own sleeve is run as a check</w:t>
      </w:r>
      <w:r>
        <w:t xml:space="preserve"> </w:t>
      </w:r>
      <w:r>
        <w:t xml:space="preserve">(Section 3.5, Fig. 5c). The feedback description is corrected: the field solved from the</w:t>
      </w:r>
      <w:r>
        <w:t xml:space="preserve"> </w:t>
      </w:r>
      <w:r>
        <w:rPr>
          <w:i/>
          <w:iCs/>
        </w:rPr>
        <w:t xml:space="preserve">n</w:t>
      </w:r>
      <w:r>
        <w:t xml:space="preserve">-scaled</w:t>
      </w:r>
      <w:r>
        <w:t xml:space="preserve"> </w:t>
      </w:r>
      <w:r>
        <w:t xml:space="preserve">source is fed back to the representative cable, as the implementation does.</w:t>
      </w:r>
    </w:p>
    <w:p>
      <w:pPr>
        <w:pStyle w:val="BodyText"/>
      </w:pPr>
      <w:r>
        <w:rPr>
          <w:b/>
          <w:bCs/>
        </w:rPr>
        <w:t xml:space="preserve">R2.4 Physical role of κ.</w:t>
      </w:r>
      <w:r>
        <w:t xml:space="preserve"> </w:t>
      </w:r>
      <w:r>
        <w:t xml:space="preserve">κ now has one interpretation and is never changed for solver behaviour. Section 2.3 gives its</w:t>
      </w:r>
      <w:r>
        <w:t xml:space="preserve"> </w:t>
      </w:r>
      <w:r>
        <w:t xml:space="preserve">definition (κ =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bscript"/>
        </w:rPr>
        <w:t xml:space="preserve">e</w:t>
      </w:r>
      <w:r>
        <w:rPr>
          <w:i/>
          <w:iCs/>
        </w:rPr>
        <w:t xml:space="preserve">G</w:t>
      </w:r>
      <w:r>
        <w:rPr>
          <w:vertAlign w:val="subscript"/>
        </w:rPr>
        <w:t xml:space="preserve">e</w:t>
      </w:r>
      <w:r>
        <w:t xml:space="preserve">, m⁻², equivalently a compartment length constant λ</w:t>
      </w:r>
      <w:r>
        <w:rPr>
          <w:vertAlign w:val="subscript"/>
        </w:rPr>
        <w:t xml:space="preserve">e</w:t>
      </w:r>
      <w:r>
        <w:t xml:space="preserve"> </w:t>
      </w:r>
      <w:r>
        <w:t xml:space="preserve">= κ</w:t>
      </w:r>
      <w:r>
        <w:rPr>
          <w:vertAlign w:val="superscript"/>
        </w:rPr>
        <w:t xml:space="preserve">−1/2</w:t>
      </w:r>
      <w:r>
        <w:t xml:space="preserve">) and</w:t>
      </w:r>
      <w:r>
        <w:t xml:space="preserve"> </w:t>
      </w:r>
      <w:r>
        <w:t xml:space="preserve">states plainly that the submitted version’s value was calibrated to produce a response of a few mV</w:t>
      </w:r>
      <w:r>
        <w:t xml:space="preserve"> </w:t>
      </w:r>
      <w:r>
        <w:t xml:space="preserve">and then raised when the explicit scheme became hard to integrate. In place of calibration, κ is</w:t>
      </w:r>
      <w:r>
        <w:t xml:space="preserve"> </w:t>
      </w:r>
      <w:r>
        <w:t xml:space="preserve">swept over five decades, 10⁶–10¹¹ m⁻², at every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(154 runs): no C-fiber action</w:t>
      </w:r>
      <w:r>
        <w:t xml:space="preserve"> </w:t>
      </w:r>
      <w:r>
        <w:t xml:space="preserve">potential occurs anywhere in that range, and the largest depolarization is 33.9 mV.</w:t>
      </w:r>
      <w:r>
        <w:t xml:space="preserve"> </w:t>
      </w:r>
      <w:r>
        <w:t xml:space="preserve">Stiffness is handled by the implicit scheme, as the reviewer recommends. Every script now writes the</w:t>
      </w:r>
      <w:r>
        <w:t xml:space="preserve"> </w:t>
      </w:r>
      <w:r>
        <w:t xml:space="preserve">parameter set it actually ran into a</w:t>
      </w:r>
      <w:r>
        <w:t xml:space="preserve"> </w:t>
      </w:r>
      <w:r>
        <w:rPr>
          <w:rStyle w:val="VerbatimChar"/>
        </w:rPr>
        <w:t xml:space="preserve">.meta.json</w:t>
      </w:r>
      <w:r>
        <w:t xml:space="preserve"> </w:t>
      </w:r>
      <w:r>
        <w:t xml:space="preserve">beside its output; the mislabelled</w:t>
      </w:r>
      <w:r>
        <w:t xml:space="preserve"> </w:t>
      </w:r>
      <w:r>
        <w:rPr>
          <w:rStyle w:val="VerbatimChar"/>
        </w:rPr>
        <w:t xml:space="preserve">artifact_timing_check.py</w:t>
      </w:r>
      <w:r>
        <w:t xml:space="preserve"> </w:t>
      </w:r>
      <w:r>
        <w:t xml:space="preserve">was deleted with the rest of the superseded code.</w:t>
      </w:r>
    </w:p>
    <w:p>
      <w:pPr>
        <w:pStyle w:val="BodyText"/>
      </w:pPr>
      <w:r>
        <w:rPr>
          <w:b/>
          <w:bCs/>
        </w:rPr>
        <w:t xml:space="preserve">R2.5 Numerical verification.</w:t>
      </w:r>
      <w:r>
        <w:t xml:space="preserve"> </w:t>
      </w:r>
      <w:r>
        <w:t xml:space="preserve">Rebuilt along the lines the reviewer sets out. The root cause of the 35.6 → 42.6 → 49.6 m/s velocity</w:t>
      </w:r>
      <w:r>
        <w:t xml:space="preserve"> </w:t>
      </w:r>
      <w:r>
        <w:t xml:space="preserve">drift was that the nodal mask was tied to the grid: refining Δz changed the physical node. Each node</w:t>
      </w:r>
      <w:r>
        <w:t xml:space="preserve"> </w:t>
      </w:r>
      <w:r>
        <w:t xml:space="preserve">is now homogenized into its compartment with area fraction</w:t>
      </w:r>
      <w:r>
        <w:t xml:space="preserve"> </w:t>
      </w:r>
      <w:r>
        <w:rPr>
          <w:i/>
          <w:iCs/>
        </w:rPr>
        <w:t xml:space="preserve">l</w:t>
      </w:r>
      <w:r>
        <w:rPr>
          <w:vertAlign w:val="subscript"/>
        </w:rPr>
        <w:t xml:space="preserve">node</w:t>
      </w:r>
      <w:r>
        <w:t xml:space="preserve">/Δz, so nodal membrane area,</w:t>
      </w:r>
      <w:r>
        <w:t xml:space="preserve"> </w:t>
      </w:r>
      <w:r>
        <w:t xml:space="preserve">capacitance and conductance are grid-invariant, and the stimulus is specified as a current, not a</w:t>
      </w:r>
      <w:r>
        <w:t xml:space="preserve"> </w:t>
      </w:r>
      <w:r>
        <w:t xml:space="preserve">current density. Δt and Δz are then refined independently at fixed physics (Table S2): the production</w:t>
      </w:r>
      <w:r>
        <w:t xml:space="preserve"> </w:t>
      </w:r>
      <w:r>
        <w:t xml:space="preserve">values change by at most 0.4 % under Δt refinement and 0.5 %</w:t>
      </w:r>
      <w:r>
        <w:t xml:space="preserve"> </w:t>
      </w:r>
      <w:r>
        <w:t xml:space="preserve">under Δz refinement, with the spike classification invariant throughout. A conductance-implicit</w:t>
      </w:r>
      <w:r>
        <w:t xml:space="preserve"> </w:t>
      </w:r>
      <w:r>
        <w:t xml:space="preserve">variant of the scheme serves as the independent reference solver the reviewer asks for, agreeing to</w:t>
      </w:r>
      <w:r>
        <w:t xml:space="preserve"> </w:t>
      </w:r>
      <w:r>
        <w:t xml:space="preserve">within 1.1 %. Conduction velocity, the source waveform, ephaptic Δ</w:t>
      </w:r>
      <w:r>
        <w:rPr>
          <w:i/>
          <w:iCs/>
        </w:rPr>
        <w:t xml:space="preserve">V</w:t>
      </w:r>
      <w:r>
        <w:t xml:space="preserve">, timing</w:t>
      </w:r>
      <w:r>
        <w:t xml:space="preserve"> </w:t>
      </w:r>
      <w:r>
        <w:t xml:space="preserve">and classification are all covered.</w:t>
      </w:r>
    </w:p>
    <w:p>
      <w:pPr>
        <w:pStyle w:val="BodyText"/>
      </w:pPr>
      <w:r>
        <w:rPr>
          <w:b/>
          <w:bCs/>
        </w:rPr>
        <w:t xml:space="preserve">R2.6 Agreement between manuscript, code and outputs.</w:t>
      </w:r>
      <w:r>
        <w:t xml:space="preserve"> </w:t>
      </w:r>
      <w:r>
        <w:t xml:space="preserve">One endpoint is now defined once (Section 2.7) and applied to every run: a propagating C-fiber action</w:t>
      </w:r>
      <w:r>
        <w:t xml:space="preserve"> </w:t>
      </w:r>
      <w:r>
        <w:t xml:space="preserve">potential is an overshoot of 0 mV over at least 3 mm whose front moves outward at 0.05–5 m/s, with</w:t>
      </w:r>
      <w:r>
        <w:t xml:space="preserve"> </w:t>
      </w:r>
      <w:r>
        <w:t xml:space="preserve">Δ</w:t>
      </w:r>
      <w:r>
        <w:rPr>
          <w:i/>
          <w:iCs/>
        </w:rPr>
        <w:t xml:space="preserve">V</w:t>
      </w:r>
      <w:r>
        <w:t xml:space="preserve"> </w:t>
      </w:r>
      <w:r>
        <w:t xml:space="preserve">measured against the exact resting state. The midpoint-maximum readout is gone. Every quoted</w:t>
      </w:r>
      <w:r>
        <w:t xml:space="preserve"> </w:t>
      </w:r>
      <w:r>
        <w:t xml:space="preserve">number, table and figure is generated from</w:t>
      </w:r>
      <w:r>
        <w:t xml:space="preserve"> </w:t>
      </w:r>
      <w:r>
        <w:rPr>
          <w:rStyle w:val="VerbatimChar"/>
        </w:rPr>
        <w:t xml:space="preserve">results/data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src/build_tables.py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docs/MANIFEST.md</w:t>
      </w:r>
      <w:r>
        <w:t xml:space="preserve"> </w:t>
      </w:r>
      <w:r>
        <w:t xml:space="preserve">lists, for each figure, table and number, the script that produces it and the raw</w:t>
      </w:r>
      <w:r>
        <w:t xml:space="preserve"> </w:t>
      </w:r>
      <w:r>
        <w:t xml:space="preserve">output it reads; each CSV has a</w:t>
      </w:r>
      <w:r>
        <w:t xml:space="preserve"> </w:t>
      </w:r>
      <w:r>
        <w:rPr>
          <w:rStyle w:val="VerbatimChar"/>
        </w:rPr>
        <w:t xml:space="preserve">.meta.json</w:t>
      </w:r>
      <w:r>
        <w:t xml:space="preserve"> </w:t>
      </w:r>
      <w:r>
        <w:t xml:space="preserve">recording its parameters;</w:t>
      </w:r>
      <w:r>
        <w:t xml:space="preserve"> </w:t>
      </w:r>
      <w:r>
        <w:rPr>
          <w:rStyle w:val="VerbatimChar"/>
        </w:rPr>
        <w:t xml:space="preserve">python run_all.py</w:t>
      </w:r>
      <w:r>
        <w:t xml:space="preserve"> </w:t>
      </w:r>
      <w:r>
        <w:t xml:space="preserve">regenerates everything and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 </w:t>
      </w:r>
      <w:r>
        <w:t xml:space="preserve">checks the model, the current balance, the parameter</w:t>
      </w:r>
      <w:r>
        <w:t xml:space="preserve"> </w:t>
      </w:r>
      <w:r>
        <w:t xml:space="preserve">set and the stored values. Settings that differed between text and code (bias, frequency, duration,</w:t>
      </w:r>
      <w:r>
        <w:t xml:space="preserve"> </w:t>
      </w:r>
      <w:r>
        <w:t xml:space="preserve">cleft width, κ, source count) were reconciled before anything was regenerated.</w:t>
      </w:r>
    </w:p>
    <w:p>
      <w:pPr>
        <w:pStyle w:val="BodyText"/>
      </w:pPr>
      <w:r>
        <w:rPr>
          <w:b/>
          <w:bCs/>
        </w:rPr>
        <w:t xml:space="preserve">R2.7 Phase 2 resting state and stimulus units.</w:t>
      </w:r>
      <w:r>
        <w:t xml:space="preserve"> </w:t>
      </w:r>
      <w:r>
        <w:t xml:space="preserve">Done. Point and cable stimuli use the same convention: a current in amperes, converted through the</w:t>
      </w:r>
      <w:r>
        <w:t xml:space="preserve"> </w:t>
      </w:r>
      <w:r>
        <w:t xml:space="preserve">compartment membrane area, with the area stated. Every run starts from the exact coupled steady</w:t>
      </w:r>
      <w:r>
        <w:t xml:space="preserve"> </w:t>
      </w:r>
      <w:r>
        <w:t xml:space="preserve">state, obtained by Newton iteration from the space-clamped equilibrium, rather than from an asserted</w:t>
      </w:r>
      <w:r>
        <w:t xml:space="preserve"> </w:t>
      </w:r>
      <w:r>
        <w:t xml:space="preserve">−55 mV, and every sensitization condition has a matched no-stimulus control, so the baseline drift</w:t>
      </w:r>
      <w:r>
        <w:t xml:space="preserve"> </w:t>
      </w:r>
      <w:r>
        <w:t xml:space="preserve">the reviewer measured (−55.008 → −65.681 mV) cannot contaminate an ephaptic response. Section 3.3 and</w:t>
      </w:r>
      <w:r>
        <w:t xml:space="preserve"> </w:t>
      </w:r>
      <w:r>
        <w:t xml:space="preserve">Table S4 add the basic characterization asked for: resting potential, small-signal input resistance</w:t>
      </w:r>
      <w:r>
        <w:t xml:space="preserve"> </w:t>
      </w:r>
      <w:r>
        <w:t xml:space="preserve">(measured 61 MΩ against 61 MΩ predicted for NavC, agreeing to</w:t>
      </w:r>
      <w:r>
        <w:t xml:space="preserve"> </w:t>
      </w:r>
      <w:r>
        <w:t xml:space="preserve">0.2 %), passive time constant, length constant and the rheobase of a 1-ms point</w:t>
      </w:r>
      <w:r>
        <w:t xml:space="preserve"> </w:t>
      </w:r>
      <w:r>
        <w:t xml:space="preserve">injection (0.70 nA), alongside waveform and conduction (Table 2). The membrane is</w:t>
      </w:r>
      <w:r>
        <w:t xml:space="preserve"> </w:t>
      </w:r>
      <w:r>
        <w:t xml:space="preserve">described throughout as a phenomenological Nav1.8/Nav1.9 model, with each calibrated parameter named</w:t>
      </w:r>
      <w:r>
        <w:t xml:space="preserve"> </w:t>
      </w:r>
      <w:r>
        <w:t xml:space="preserve">as calibrated, and the conductance sensitivity analysis spans temperature, time compression, τ</w:t>
      </w:r>
      <w:r>
        <w:rPr>
          <w:vertAlign w:val="subscript"/>
        </w:rPr>
        <w:t xml:space="preserve">m8</w:t>
      </w:r>
      <w:r>
        <w:t xml:space="preserve"> </w:t>
      </w:r>
      <w:r>
        <w:t xml:space="preserve">and conductance scaling (Section 3.7).</w:t>
      </w:r>
    </w:p>
    <w:p>
      <w:pPr>
        <w:pStyle w:val="BodyText"/>
      </w:pPr>
      <w:r>
        <w:rPr>
          <w:b/>
          <w:bCs/>
        </w:rPr>
        <w:t xml:space="preserve">R2.8 Central result.</w:t>
      </w:r>
      <w:r>
        <w:t xml:space="preserve"> </w:t>
      </w:r>
      <w:r>
        <w:t xml:space="preserve">Table 3 reports every sampled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from 1 to 300: the depolarization for both membranes, the</w:t>
      </w:r>
      <w:r>
        <w:t xml:space="preserve"> </w:t>
      </w:r>
      <w:r>
        <w:t xml:space="preserve">hyperpolarization, min</w:t>
      </w:r>
      <w:r>
        <w:t xml:space="preserve"> </w:t>
      </w:r>
      <w:r>
        <w:rPr>
          <w:i/>
          <w:iCs/>
        </w:rPr>
        <w:t xml:space="preserve">u</w:t>
      </w:r>
      <w:r>
        <w:rPr>
          <w:vertAlign w:val="subscript"/>
        </w:rPr>
        <w:t xml:space="preserve">e</w:t>
      </w:r>
      <w:r>
        <w:t xml:space="preserve">, whether the Aβ action potential still crosses the lesion, its velocity</w:t>
      </w:r>
      <w:r>
        <w:t xml:space="preserve"> </w:t>
      </w:r>
      <w:r>
        <w:t xml:space="preserve">there, the safety factor α* for each membrane, and the spike classification — all generated from</w:t>
      </w:r>
      <w:r>
        <w:t xml:space="preserve"> </w:t>
      </w:r>
      <w:r>
        <w:rPr>
          <w:rStyle w:val="VerbatimChar"/>
        </w:rPr>
        <w:t xml:space="preserve">e03_n_sweep.csv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e07_safety_factor.csv</w:t>
      </w:r>
      <w:r>
        <w:t xml:space="preserve">. For the tested geometry, synchrony and parameter set,</w:t>
      </w:r>
      <w:r>
        <w:t xml:space="preserve"> </w:t>
      </w:r>
      <w:r>
        <w:t xml:space="preserve">within the verified numerical range: one Aβ fiber gives 1.56 mV; the largest value at any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26.9 mV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100; the Aβ action potential fails inside the lesion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25 (</w:t>
      </w:r>
      <w:r>
        <w:rPr>
          <w:i/>
          <w:iCs/>
        </w:rPr>
        <w:t xml:space="preserve">w</w:t>
      </w:r>
      <w:r>
        <w:rPr>
          <w:vertAlign w:val="subscript"/>
        </w:rPr>
        <w:t xml:space="preserve">eq</w:t>
      </w:r>
      <w:r>
        <w:t xml:space="preserve"> </w:t>
      </w:r>
      <w:r>
        <w:t xml:space="preserve">≈ 21 nm); and no propagating C-fiber action potential</w:t>
      </w:r>
      <w:r>
        <w:t xml:space="preserve"> </w:t>
      </w:r>
      <w:r>
        <w:t xml:space="preserve">occurs at any</w:t>
      </w:r>
      <w:r>
        <w:t xml:space="preserve"> </w:t>
      </w:r>
      <w:r>
        <w:rPr>
          <w:i/>
          <w:iCs/>
        </w:rPr>
        <w:t xml:space="preserve">n</w:t>
      </w:r>
      <w:r>
        <w:t xml:space="preserve">, with a minimum safety factor of 1.3 across the standard membranes.</w:t>
      </w:r>
    </w:p>
    <w:p>
      <w:r>
        <w:pict>
          <v:rect style="width:0;height:1.5pt" o:hralign="center" o:hrstd="t" o:hr="t"/>
        </w:pict>
      </w:r>
    </w:p>
    <w:bookmarkEnd w:id="52"/>
    <w:bookmarkStart w:id="53" w:name="reviewer-2-minor-comments"/>
    <w:p>
      <w:pPr>
        <w:pStyle w:val="Heading2"/>
      </w:pPr>
      <w:r>
        <w:t xml:space="preserve">Reviewer 2 — minor comments</w:t>
      </w:r>
    </w:p>
    <w:p>
      <w:pPr>
        <w:pStyle w:val="FirstParagraph"/>
      </w:pPr>
      <w:r>
        <w:rPr>
          <w:b/>
          <w:bCs/>
        </w:rPr>
        <w:t xml:space="preserve">R2.m1 Equations and nomenclature.</w:t>
      </w:r>
      <w:r>
        <w:t xml:space="preserve"> </w:t>
      </w:r>
      <w:r>
        <w:t xml:space="preserve">The manuscript is built with native Word equations (via</w:t>
      </w:r>
      <w:r>
        <w:t xml:space="preserve"> </w:t>
      </w:r>
      <w:r>
        <w:t xml:space="preserve">pandoc), and each symbol now has one form in text, figures, tables and the parameter table. The</w:t>
      </w:r>
      <w:r>
        <w:t xml:space="preserve"> </w:t>
      </w:r>
      <w:r>
        <w:t xml:space="preserve">Nomenclature section was removed in favour of Table 1, which lists every symbol with its value,</w:t>
      </w:r>
      <w:r>
        <w:t xml:space="preserve"> </w:t>
      </w:r>
      <w:r>
        <w:t xml:space="preserve">units and source.</w:t>
      </w:r>
    </w:p>
    <w:p>
      <w:pPr>
        <w:pStyle w:val="BodyText"/>
      </w:pPr>
      <w:r>
        <w:rPr>
          <w:b/>
          <w:bCs/>
        </w:rPr>
        <w:t xml:space="preserve">R2.m2 Classical HH as a simplified baseline.</w:t>
      </w:r>
      <w:r>
        <w:t xml:space="preserve"> </w:t>
      </w:r>
      <w:r>
        <w:t xml:space="preserve">The claim that it is</w:t>
      </w:r>
      <w:r>
        <w:t xml:space="preserve"> </w:t>
      </w:r>
      <w:r>
        <w:t xml:space="preserve">“the field’s standard</w:t>
      </w:r>
      <w:r>
        <w:t xml:space="preserve"> </w:t>
      </w:r>
      <w:r>
        <w:t xml:space="preserve">formulation and the one on which essentially all prior closed-loop ephaptic models rely”</w:t>
      </w:r>
      <w:r>
        <w:t xml:space="preserve"> </w:t>
      </w:r>
      <w:r>
        <w:t xml:space="preserve">is gone.</w:t>
      </w:r>
      <w:r>
        <w:t xml:space="preserve"> </w:t>
      </w:r>
      <w:r>
        <w:t xml:space="preserve">Section 2.2 presents it as a deliberately simplified baseline and cites Tigerholm et al. (2014),</w:t>
      </w:r>
      <w:r>
        <w:t xml:space="preserve"> </w:t>
      </w:r>
      <w:r>
        <w:t xml:space="preserve">Sundt et al. (2015) and Pelot et al. (2021) for the materially different formulations used for</w:t>
      </w:r>
      <w:r>
        <w:t xml:space="preserve"> </w:t>
      </w:r>
      <w:r>
        <w:t xml:space="preserve">mammalian unmyelinated sensory axons.</w:t>
      </w:r>
    </w:p>
    <w:p>
      <w:pPr>
        <w:pStyle w:val="BodyText"/>
      </w:pPr>
      <w:r>
        <w:rPr>
          <w:b/>
          <w:bCs/>
        </w:rPr>
        <w:t xml:space="preserve">R2.m3 Normal Remak anatomy vs lesion geometry.</w:t>
      </w:r>
      <w:r>
        <w:t xml:space="preserve"> </w:t>
      </w:r>
      <w:r>
        <w:t xml:space="preserve">The Discussion now separates them: a normal Remak</w:t>
      </w:r>
      <w:r>
        <w:t xml:space="preserve"> </w:t>
      </w:r>
      <w:r>
        <w:t xml:space="preserve">bundle is unmyelinated axons held by a non-myelinating Schwann cell, usually with Schwann-cell</w:t>
      </w:r>
      <w:r>
        <w:t xml:space="preserve"> </w:t>
      </w:r>
      <w:r>
        <w:t xml:space="preserve">processes between them, and does not ordinarily contain a large myelinated fiber (Murinson &amp;</w:t>
      </w:r>
      <w:r>
        <w:t xml:space="preserve"> </w:t>
      </w:r>
      <w:r>
        <w:t xml:space="preserve">Griffin, 2004). The pathological change the model presupposes — loss of myelin together with</w:t>
      </w:r>
      <w:r>
        <w:t xml:space="preserve"> </w:t>
      </w:r>
      <w:r>
        <w:t xml:space="preserve">retraction of the intervening Schwann-cell processes, so that an exposed Aβ axolemma and a C-fiber</w:t>
      </w:r>
      <w:r>
        <w:t xml:space="preserve"> </w:t>
      </w:r>
      <w:r>
        <w:t xml:space="preserve">share one restricted space over millimetres — is now named explicitly.</w:t>
      </w:r>
    </w:p>
    <w:p>
      <w:pPr>
        <w:pStyle w:val="BodyText"/>
      </w:pPr>
      <w:r>
        <w:rPr>
          <w:b/>
          <w:bCs/>
        </w:rPr>
        <w:t xml:space="preserve">R2.m4 The gate shift as a sensitivity test.</w:t>
      </w:r>
      <w:r>
        <w:t xml:space="preserve"> </w:t>
      </w:r>
      <w:r>
        <w:t xml:space="preserve">The uniform shift has been dropped rather than</w:t>
      </w:r>
      <w:r>
        <w:t xml:space="preserve"> </w:t>
      </w:r>
      <w:r>
        <w:t xml:space="preserve">relabelled. Sensitization is now a uniform depolarizing bias current, and the transition the</w:t>
      </w:r>
      <w:r>
        <w:t xml:space="preserve"> </w:t>
      </w:r>
      <w:r>
        <w:t xml:space="preserve">submitted version described loosely as a Hopf bifurcation is treated with the analysis the reviewer</w:t>
      </w:r>
      <w:r>
        <w:t xml:space="preserve"> </w:t>
      </w:r>
      <w:r>
        <w:t xml:space="preserve">asks for: the space-clamped equilibria are continued against the bias and classified by the</w:t>
      </w:r>
      <w:r>
        <w:t xml:space="preserve"> </w:t>
      </w:r>
      <w:r>
        <w:t xml:space="preserve">eigenvalues of the membrane Jacobian, so the loss of stability is located rather than asserted</w:t>
      </w:r>
      <w:r>
        <w:t xml:space="preserve"> </w:t>
      </w:r>
      <w:r>
        <w:t xml:space="preserve">(Section 3.7, Table S6). Every biased run has a no-stimulus control.</w:t>
      </w:r>
    </w:p>
    <w:p>
      <w:pPr>
        <w:pStyle w:val="BodyText"/>
      </w:pPr>
      <w:r>
        <w:rPr>
          <w:b/>
          <w:bCs/>
        </w:rPr>
        <w:t xml:space="preserve">R2.m5 Figure 3 caption.</w:t>
      </w:r>
      <w:r>
        <w:t xml:space="preserve"> </w:t>
      </w:r>
      <w:r>
        <w:t xml:space="preserve">The claim of a monotonic ≈8 mV trend is withdrawn with the result it</w:t>
      </w:r>
      <w:r>
        <w:t xml:space="preserve"> </w:t>
      </w:r>
      <w:r>
        <w:t xml:space="preserve">described. The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series is now given in full in Table 3 and plotted in Fig. 5, and the text states</w:t>
      </w:r>
      <w:r>
        <w:t xml:space="preserve"> </w:t>
      </w:r>
      <w:r>
        <w:t xml:space="preserve">where it rises, where it peaks and where it collapses as the Aβ source fails, rather than asserting</w:t>
      </w:r>
      <w:r>
        <w:t xml:space="preserve"> </w:t>
      </w:r>
      <w:r>
        <w:t xml:space="preserve">monotonicity.</w:t>
      </w:r>
    </w:p>
    <w:p>
      <w:pPr>
        <w:pStyle w:val="BodyText"/>
      </w:pPr>
      <w:r>
        <w:rPr>
          <w:b/>
          <w:bCs/>
        </w:rPr>
        <w:t xml:space="preserve">R2.m6 Author contributions.</w:t>
      </w:r>
      <w:r>
        <w:t xml:space="preserve"> </w:t>
      </w:r>
      <w:r>
        <w:t xml:space="preserve">Rewritten in CRediT terms: conceptualization, methodology, software,</w:t>
      </w:r>
      <w:r>
        <w:t xml:space="preserve"> </w:t>
      </w:r>
      <w:r>
        <w:t xml:space="preserve">validation, formal analysis, investigation, data curation, writing (original draft, review and</w:t>
      </w:r>
      <w:r>
        <w:t xml:space="preserve"> </w:t>
      </w:r>
      <w:r>
        <w:t xml:space="preserve">editing), visualization.</w:t>
      </w:r>
      <w:r>
        <w:t xml:space="preserve"> </w:t>
      </w:r>
      <w:r>
        <w:t xml:space="preserve">“Testing ground”</w:t>
      </w:r>
      <w:r>
        <w:t xml:space="preserve"> </w:t>
      </w:r>
      <w:r>
        <w:t xml:space="preserve">is gone.</w:t>
      </w:r>
    </w:p>
    <w:p>
      <w:pPr>
        <w:pStyle w:val="BodyText"/>
      </w:pPr>
      <w:r>
        <w:rPr>
          <w:b/>
          <w:bCs/>
        </w:rPr>
        <w:t xml:space="preserve">R2.m7 RRIDs.</w:t>
      </w:r>
      <w:r>
        <w:t xml:space="preserve"> </w:t>
      </w:r>
      <w:r>
        <w:t xml:space="preserve">Added to Code Availability, with versions: Python 3.11 (RRID:SCR_008394), NumPy</w:t>
      </w:r>
      <w:r>
        <w:t xml:space="preserve"> </w:t>
      </w:r>
      <w:r>
        <w:t xml:space="preserve">1.26.4 (RRID:SCR_008633), SciPy 1.13.0 (RRID:SCR_008058), pandas 2.2.2 (RRID:SCR_018214), Matplotlib</w:t>
      </w:r>
      <w:r>
        <w:t xml:space="preserve"> </w:t>
      </w:r>
      <w:r>
        <w:t xml:space="preserve">3.8.4 (RRID:SCR_008624). Biological-resource RRIDs are not applicable.</w:t>
      </w:r>
    </w:p>
    <w:p>
      <w:pPr>
        <w:pStyle w:val="BodyText"/>
      </w:pPr>
      <w:r>
        <w:rPr>
          <w:b/>
          <w:bCs/>
        </w:rPr>
        <w:t xml:space="preserve">R2.m8 Reference metadata.</w:t>
      </w:r>
      <w:r>
        <w:t xml:space="preserve"> </w:t>
      </w:r>
      <w:r>
        <w:t xml:space="preserve">Corrected throughout: Pelot et al. (2021)</w:t>
      </w:r>
      <w:r>
        <w:t xml:space="preserve"> </w:t>
      </w:r>
      <w:r>
        <w:rPr>
          <w:i/>
          <w:iCs/>
        </w:rPr>
        <w:t xml:space="preserve">J Neurophysiol</w:t>
      </w:r>
      <w:r>
        <w:t xml:space="preserve"> </w:t>
      </w:r>
      <w:r>
        <w:t xml:space="preserve">125(1),</w:t>
      </w:r>
      <w:r>
        <w:t xml:space="preserve"> </w:t>
      </w:r>
      <w:r>
        <w:t xml:space="preserve">86–104; Tigerholm et al. (2014) 111(9), 1721–1735; Klein et al. (2017)</w:t>
      </w:r>
      <w:r>
        <w:t xml:space="preserve"> </w:t>
      </w:r>
      <w:r>
        <w:rPr>
          <w:i/>
          <w:iCs/>
        </w:rPr>
        <w:t xml:space="preserve">J Neurosci</w:t>
      </w:r>
      <w:r>
        <w:t xml:space="preserve"> </w:t>
      </w:r>
      <w:r>
        <w:t xml:space="preserve">37(20),</w:t>
      </w:r>
      <w:r>
        <w:t xml:space="preserve"> </w:t>
      </w:r>
      <w:r>
        <w:t xml:space="preserve">5204–5214. The mis-stated Jæger and Tveito entry has been replaced by the EMI paper actually relied</w:t>
      </w:r>
      <w:r>
        <w:t xml:space="preserve"> </w:t>
      </w:r>
      <w:r>
        <w:t xml:space="preserve">on (Jæger &amp; Tveito, 2026), and the cardiac bidomain paper is no longer cited as an ephaptic model.</w:t>
      </w:r>
      <w:r>
        <w:t xml:space="preserve"> </w:t>
      </w:r>
      <w:r>
        <w:t xml:space="preserve">Every in-text citation was checked against the final list, and DOIs are given throughout.</w:t>
      </w:r>
    </w:p>
    <w:p>
      <w:pPr>
        <w:pStyle w:val="BodyText"/>
      </w:pPr>
      <w:r>
        <w:rPr>
          <w:b/>
          <w:bCs/>
        </w:rPr>
        <w:t xml:space="preserve">R2.m9 Validation claims tempered.</w:t>
      </w:r>
      <w:r>
        <w:t xml:space="preserve"> </w:t>
      </w:r>
      <w:r>
        <w:t xml:space="preserve">The Discussion no longer says the second phase</w:t>
      </w:r>
      <w:r>
        <w:t xml:space="preserve"> </w:t>
      </w:r>
      <w:r>
        <w:t xml:space="preserve">“rules out”</w:t>
      </w:r>
      <w:r>
        <w:t xml:space="preserve"> </w:t>
      </w:r>
      <w:r>
        <w:t xml:space="preserve">the</w:t>
      </w:r>
      <w:r>
        <w:t xml:space="preserve"> </w:t>
      </w:r>
      <w:r>
        <w:t xml:space="preserve">objection that classical HH is the wrong biology, and the Conclusion no longer calls the model</w:t>
      </w:r>
      <w:r>
        <w:t xml:space="preserve"> </w:t>
      </w:r>
      <w:r>
        <w:t xml:space="preserve">“biophysically validated”</w:t>
      </w:r>
      <w:r>
        <w:t xml:space="preserve">. The claim made is the one the runs support: no propagating action</w:t>
      </w:r>
      <w:r>
        <w:t xml:space="preserve"> </w:t>
      </w:r>
      <w:r>
        <w:t xml:space="preserve">potential occurred in the tested implementations and parameter ranges, and the two membranes agree</w:t>
      </w:r>
      <w:r>
        <w:t xml:space="preserve"> </w:t>
      </w:r>
      <w:r>
        <w:t xml:space="preserve">because they share the extracellular reduction, the source and the numerics, which makes their</w:t>
      </w:r>
      <w:r>
        <w:t xml:space="preserve"> </w:t>
      </w:r>
      <w:r>
        <w:t xml:space="preserve">agreement a robustness check within one framework.</w:t>
      </w:r>
    </w:p>
    <w:p>
      <w:r>
        <w:pict>
          <v:rect style="width:0;height:1.5pt" o:hralign="center" o:hrstd="t" o:hr="t"/>
        </w:pict>
      </w:r>
    </w:p>
    <w:bookmarkEnd w:id="53"/>
    <w:bookmarkStart w:id="54" w:name="Xe2e382ae4756f1c3e383ff3f974e8cf9bafe683"/>
    <w:p>
      <w:pPr>
        <w:pStyle w:val="Heading2"/>
      </w:pPr>
      <w:r>
        <w:t xml:space="preserve">Items the author should confirm before submission</w:t>
      </w:r>
    </w:p>
    <w:p>
      <w:pPr>
        <w:pStyle w:val="Compact"/>
        <w:numPr>
          <w:ilvl w:val="0"/>
          <w:numId w:val="1001"/>
        </w:numPr>
      </w:pPr>
      <w:r>
        <w:t xml:space="preserve">The AI-assistance statement in Declarations (wording and placement per journal policy).</w:t>
      </w:r>
    </w:p>
    <w:p>
      <w:pPr>
        <w:pStyle w:val="Compact"/>
        <w:numPr>
          <w:ilvl w:val="0"/>
          <w:numId w:val="1001"/>
        </w:numPr>
      </w:pPr>
      <w:r>
        <w:t xml:space="preserve">Whether to cite a clinical source for dynamic mechanical allodynia in the Introduction; the</w:t>
      </w:r>
      <w:r>
        <w:t xml:space="preserve"> </w:t>
      </w:r>
      <w:r>
        <w:t xml:space="preserve">revision currently cites only the mechanistic literature.</w:t>
      </w:r>
    </w:p>
    <w:bookmarkEnd w:id="54"/>
    <w:bookmarkEnd w:id="55"/>
    <w:sectPr w:rsidR="009D0094">
      <w:footerReference r:id="rId41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B829" w14:textId="77777777" w:rsidR="009D0094" w:rsidRDefault="0000000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291AD7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747C324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82EB910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AF889DAA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3">
    <w:nsid w:val="00A99412"/>
    <w:multiLevelType w:val="multilevel"/>
    <w:tmpl w:val="ACD05B78"/>
    <w:lvl w:ilvl="0">
      <w:start w:val="2"/>
      <w:numFmt w:val="decimal"/>
      <w:lvlText w:val="%1."/>
      <w:lvlJc w:val="left"/>
      <w:pPr>
        <w:ind w:hanging="480" w:left="720"/>
      </w:pPr>
    </w:lvl>
    <w:lvl w:ilvl="1">
      <w:start w:val="2"/>
      <w:numFmt w:val="decimal"/>
      <w:lvlText w:val="%2."/>
      <w:lvlJc w:val="left"/>
      <w:pPr>
        <w:ind w:hanging="480" w:left="1440"/>
      </w:pPr>
    </w:lvl>
    <w:lvl w:ilvl="2">
      <w:start w:val="2"/>
      <w:numFmt w:val="decimal"/>
      <w:lvlText w:val="%3."/>
      <w:lvlJc w:val="left"/>
      <w:pPr>
        <w:ind w:hanging="480" w:left="2160"/>
      </w:pPr>
    </w:lvl>
    <w:lvl w:ilvl="3">
      <w:start w:val="2"/>
      <w:numFmt w:val="decimal"/>
      <w:lvlText w:val="%4."/>
      <w:lvlJc w:val="left"/>
      <w:pPr>
        <w:ind w:hanging="480" w:left="2880"/>
      </w:pPr>
    </w:lvl>
    <w:lvl w:ilvl="4">
      <w:start w:val="2"/>
      <w:numFmt w:val="decimal"/>
      <w:lvlText w:val="%5."/>
      <w:lvlJc w:val="left"/>
      <w:pPr>
        <w:ind w:hanging="480" w:left="3600"/>
      </w:pPr>
    </w:lvl>
    <w:lvl w:ilvl="5">
      <w:start w:val="2"/>
      <w:numFmt w:val="decimal"/>
      <w:lvlText w:val="%6."/>
      <w:lvlJc w:val="left"/>
      <w:pPr>
        <w:ind w:hanging="480" w:left="4320"/>
      </w:pPr>
    </w:lvl>
    <w:lvl w:ilvl="6">
      <w:start w:val="2"/>
      <w:numFmt w:val="decimal"/>
      <w:lvlText w:val="%7."/>
      <w:lvlJc w:val="left"/>
      <w:pPr>
        <w:ind w:hanging="480" w:left="5040"/>
      </w:pPr>
    </w:lvl>
    <w:lvl w:ilvl="7">
      <w:start w:val="2"/>
      <w:numFmt w:val="decimal"/>
      <w:lvlText w:val="%8."/>
      <w:lvlJc w:val="left"/>
      <w:pPr>
        <w:ind w:hanging="480" w:left="5760"/>
      </w:pPr>
    </w:lvl>
    <w:lvl w:ilvl="8">
      <w:start w:val="2"/>
      <w:numFmt w:val="decimal"/>
      <w:lvlText w:val="%9."/>
      <w:lvlJc w:val="left"/>
      <w:pPr>
        <w:ind w:hanging="480" w:left="6480"/>
      </w:pPr>
    </w:lvl>
  </w:abstractNum>
  <w:abstractNum w15:restartNumberingAfterBreak="0" w:abstractNumId="4">
    <w:nsid w:val="2D1F49ED"/>
    <w:multiLevelType w:val="hybridMultilevel"/>
    <w:tmpl w:val="BD80579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5F115162"/>
    <w:multiLevelType w:val="hybridMultilevel"/>
    <w:tmpl w:val="E89AFC1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97955456" w:numId="1">
    <w:abstractNumId w:val="0"/>
  </w:num>
  <w:num w16cid:durableId="2043817824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5634185"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16cid:durableId="1437483621" w:numId="4">
    <w:abstractNumId w:val="1"/>
  </w:num>
  <w:num w16cid:durableId="337469443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51415032" w:numId="6">
    <w:abstractNumId w:val="1"/>
  </w:num>
  <w:num w16cid:durableId="824853214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73681018" w:numId="8">
    <w:abstractNumId w:val="1"/>
  </w:num>
  <w:num w16cid:durableId="2017807710" w:numId="9">
    <w:abstractNumId w:val="1"/>
  </w:num>
  <w:num w16cid:durableId="286814287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06712554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39739278" w:numId="12">
    <w:abstractNumId w:val="5"/>
  </w:num>
  <w:num w16cid:durableId="619075096" w:numId="13">
    <w:abstractNumId w:val="4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094"/>
    <w:rsid w:val="001B3105"/>
    <w:rsid w:val="00231E84"/>
    <w:rsid w:val="00291AD7"/>
    <w:rsid w:val="00851FC2"/>
    <w:rsid w:val="009439FA"/>
    <w:rsid w:val="009D0094"/>
    <w:rsid w:val="00C94053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b/>
      <w:bCs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b/>
      <w:bCs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40"/>
      <w:outlineLvl w:val="3"/>
    </w:pPr>
    <w:rPr>
      <w:b/>
      <w:bCs/>
      <w:i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60"/>
    </w:pPr>
    <w:rPr>
      <w:rFonts w:ascii="Times New Roman" w:cs="Times New Roman" w:eastAsia="Times New Roman" w:hAnsi="Times New Roman"/>
      <w:color w:val="000000"/>
      <w:sz w:val="22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Pr>
      <w:rFonts w:ascii="Times New Roman" w:cs="Times New Roman" w:eastAsia="Times New Roman" w:hAnsi="Times New Roman"/>
      <w:color w:val="000000"/>
      <w:sz w:val="22"/>
      <w:szCs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  <w:rPr>
      <w:sz w:val="20"/>
    </w:rPr>
  </w:style>
  <w:style w:customStyle="1" w:styleId="ImageCaption" w:type="paragraph">
    <w:name w:val="Image Caption"/>
    <w:basedOn w:val="Caption"/>
    <w:rPr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ListParagraph" w:type="paragraph">
    <w:name w:val="List Paragraph"/>
    <w:basedOn w:val="Normal"/>
    <w:rsid w:val="00291AD7"/>
    <w:pPr>
      <w:ind w:left="720"/>
      <w:contextualSpacing/>
    </w:pPr>
  </w:style>
  <w:style w:styleId="UnresolvedMention" w:type="character">
    <w:name w:val="Unresolved Mention"/>
    <w:basedOn w:val="DefaultParagraphFont"/>
    <w:uiPriority w:val="99"/>
    <w:semiHidden/>
    <w:unhideWhenUsed/>
    <w:rsid w:val="00291AD7"/>
    <w:rPr>
      <w:color w:val="605E5C"/>
      <w:shd w:color="auto" w:fill="E1DFDD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9274</Words>
  <Characters>52862</Characters>
  <Application>Microsoft Office Word</Application>
  <DocSecurity>0</DocSecurity>
  <Lines>440</Lines>
  <Paragraphs>124</Paragraphs>
  <ScaleCrop>false</ScaleCrop>
  <Company/>
  <LinksUpToDate>false</LinksUpToDate>
  <CharactersWithSpaces>62012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2026-10-02T10:10:00Z</dcterms:created>
  <dcterms:modified xsi:type="dcterms:W3CDTF">2026-10-02T10:10:00Z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