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Aβ-to-C-Fiber Crosstalk and Multi-Fiber Spatial Summation: A Closed-Loop Core-Conductor Study with Nociceptor-Realistic Channel Kinetics</w:t>
      </w:r>
    </w:p>
    <w:p>
      <w:pPr>
        <w:pStyle w:val="Author"/>
      </w:pPr>
      <w:r>
        <w:t xml:space="preserve">Mina Saied Attia Rizk</w:t>
      </w:r>
    </w:p>
    <w:p>
      <w:pPr>
        <w:pStyle w:val="FirstParagraph"/>
      </w:pPr>
      <w:r>
        <w:t xml:space="preserve">New Cairo STEM School, Cairo, Egypt</w:t>
      </w:r>
      <w:r>
        <w:br/>
      </w:r>
      <w:r>
        <w:t xml:space="preserve">Corresponding author: Mina.3024031@stemnewcairo.moe.edu.eg</w:t>
      </w:r>
      <w:r>
        <w:br/>
      </w:r>
      <w:r>
        <w:t xml:space="preserve">ORCID: [author to insert ORCID iD before submission]</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Two features of the problem make it easy to get wrong numerically, and we treat both explicitly. A coupling scheme that evaluates the extracellular potential from the previous time step has an error that grows with the number of fibers, so an apparent saturation of multi-fiber summation can be produced by the discretization alone; we therefore solve the coupled system monolithically and verify convergence for every endpoint. And a stimulating electrode placed inside the restricted compartment drives it far outside the physiological range, so we place the Aβ stimulus outside the lesion and report what happens when it is not.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(Section 2.3); varied over five decades</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cross-section of a fiber pair whose surrounding space is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3.5).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3.5).</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a calibration rather than a measurement: it is the value at which a single fiber pair produces a response of a few millivolts, which is the regime this study is about. Because that is a choice and not a datum, no conclusion is drawn from it alone, and κ is varied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A cheaper and widely used alternative is to compute</w:t>
      </w:r>
      <w:r>
        <w:t xml:space="preserve"> </w:t>
      </w:r>
      <w:r>
        <w:rPr>
          <w:i/>
          <w:iCs/>
        </w:rPr>
        <w:t xml:space="preserve">u</w:t>
      </w:r>
      <w:r>
        <w:rPr>
          <w:vertAlign w:val="subscript"/>
        </w:rPr>
        <w:t xml:space="preserve">e</w:t>
      </w:r>
      <w:r>
        <w:t xml:space="preserve"> </w:t>
      </w:r>
      <w:r>
        <w:t xml:space="preserve">from the membrane potentials of the previous step and feed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which keeps the two cables independent and tridiagonal.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implement that scheme as well (</w:t>
      </w:r>
      <w:r>
        <w:rPr>
          <w:rStyle w:val="VerbatimChar"/>
        </w:rPr>
        <w:t xml:space="preserve">run_lagged</w:t>
      </w:r>
      <w:r>
        <w:t xml:space="preserve">) and quantify its error against the monolithic solution (Section 3.1), because the error is invisible at</w:t>
      </w:r>
      <w:r>
        <w:t xml:space="preserve"> </w:t>
      </w:r>
      <w:r>
        <w:rPr>
          <w:i/>
          <w:iCs/>
        </w:rPr>
        <w:t xml:space="preserve">n</w:t>
      </w:r>
      <w:r>
        <w:t xml:space="preserve"> </w:t>
      </w:r>
      <w:r>
        <w:t xml:space="preserve">= 1, where the two schemes agree, and appears only as fibers are added.</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S7).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2"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lagged scheme underestimates the multi-fiber response, and its error grows with the number of fibers (Fig. 2a; Table S1). In the extended-compartment configuration of Section 3.9, the</w:t>
      </w:r>
      <w:r>
        <w:t xml:space="preserve"> </w:t>
      </w:r>
      <w:r>
        <w:rPr>
          <w:i/>
          <w:iCs/>
        </w:rPr>
        <w:t xml:space="preserve">n</w:t>
      </w:r>
      <w:r>
        <w:t xml:space="preserve"> </w:t>
      </w:r>
      <w:r>
        <w:t xml:space="preserve">= 25 response is 6.10 mV at Δt = 2.5 µs and rises to 15.41 mV at Δt = 0.125 µs. The monolithic scheme gives 15.42 mV already at Δt = 2.5 µs and 15.47 mV at 0.125 µs. At</w:t>
      </w:r>
      <w:r>
        <w:t xml:space="preserve"> </w:t>
      </w:r>
      <w:r>
        <w:rPr>
          <w:i/>
          <w:iCs/>
        </w:rPr>
        <w:t xml:space="preserve">n</w:t>
      </w:r>
      <w:r>
        <w:t xml:space="preserve"> </w:t>
      </w:r>
      <w:r>
        <w:t xml:space="preserve">= 50 the two schemes differ by more than a factor of three at Δt = 2.5 µs (6.28 vs 21.44 mV). Over Δt = 5–0.125 µs the monolithic responses change by at most 2.4 % for</w:t>
      </w:r>
      <w:r>
        <w:t xml:space="preserve"> </w:t>
      </w:r>
      <w:r>
        <w:rPr>
          <w:i/>
          <w:iCs/>
        </w:rPr>
        <w:t xml:space="preserve">n</w:t>
      </w:r>
      <w:r>
        <w:t xml:space="preserve"> </w:t>
      </w:r>
      <w:r>
        <w:t xml:space="preserve">= 1–50. A multi-fiber response computed with the lagged scheme at a step of a few microseconds therefore appears to saturate, and the apparent saturation is the shape of the time-step error rather than a property of the model.</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xtended-compartment configuration: C-fiber depolarization vs time step for the lagged coupling scheme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Extended-compartment configuration: C-fiber depolarization vs time step for the lagged coupling scheme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a 100-nA stimulus — a value large enough to be used when the electrode is treated as a boundary condition rather than as a physiological input —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3.7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w:t>
            </w:r>
            <w:r>
              <w:rPr>
                <w:vertAlign w:val="subscript"/>
              </w:rPr>
              <w:t xml:space="preserve">m</w:t>
            </w:r>
            <w:r>
              <w:t xml:space="preserve"> </w:t>
            </w:r>
            <w:r>
              <w:t xml:space="preserve">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w:t>
            </w:r>
            <w:r>
              <w:rPr>
                <w:vertAlign w:val="subscript"/>
              </w:rPr>
              <w:t xml:space="preserve">50</w:t>
            </w:r>
            <w:r>
              <w:t xml:space="preserve"> </w:t>
            </w:r>
            <w:r>
              <w:t xml:space="preserve">(ms)</w:t>
            </w:r>
          </w:p>
        </w:tc>
        <w:tc>
          <w:tcPr/>
          <w:p>
            <w:pPr>
              <w:pStyle w:val="Compact"/>
              <w:jc w:val="right"/>
            </w:pPr>
            <w:r>
              <w:t xml:space="preserve">conducts</w:t>
            </w:r>
          </w:p>
        </w:tc>
      </w:tr>
      <w:tr>
        <w:tc>
          <w:tcPr/>
          <w:p>
            <w:pPr>
              <w:pStyle w:val="Compact"/>
              <w:jc w:val="left"/>
            </w:pPr>
            <w:r>
              <w:t xml:space="preserve">HH, 6.3 °C (Phase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1.5 ms (Phase 2)</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0" w:name="Xe2f58f23bd840aed7441ba50d7fbd89096d17fe"/>
    <w:p>
      <w:pPr>
        <w:pStyle w:val="Heading3"/>
      </w:pPr>
      <w:r>
        <w:t xml:space="preserve">3.3 Verification of the Aβ source waveform and of the C-fiber passive properties</w:t>
      </w:r>
    </w:p>
    <w:p>
      <w:pPr>
        <w:pStyle w:val="FirstParagraph"/>
      </w:pPr>
      <w:r>
        <w:t xml:space="preserve">Because the Aβ action potential is the source of everything that follows, its gating was checked</w:t>
      </w:r>
      <w:r>
        <w:t xml:space="preserve"> </w:t>
      </w:r>
      <w:r>
        <w:t xml:space="preserve">directly (Table S3; Fig. S1). In the CRRSS membrane used here, steady-state inactivation falls with</w:t>
      </w:r>
      <w:r>
        <w:t xml:space="preserve"> </w:t>
      </w:r>
      <w:r>
        <w:t xml:space="preserve">depolarization, from</w:t>
      </w:r>
      <w:r>
        <w:t xml:space="preserve"> </w:t>
      </w:r>
      <w:r>
        <w:rPr>
          <w:i/>
          <w:iCs/>
        </w:rPr>
        <w:t xml:space="preserve">h</w:t>
      </w:r>
      <w:r>
        <w:rPr>
          <w:vertAlign w:val="subscript"/>
        </w:rPr>
        <w:t xml:space="preserve">∞</w:t>
      </w:r>
      <w:r>
        <w:t xml:space="preserve"> </w:t>
      </w:r>
      <w:r>
        <w:t xml:space="preserve">= 0.750 at −80 mV to 0.289 at −70 mV and</w:t>
      </w:r>
      <w:r>
        <w:t xml:space="preserve"> </w:t>
      </w:r>
      <w:r>
        <w:t xml:space="preserve">0.001 at −40 mV (half-inactivation at -74 mV), while activation rises from</w:t>
      </w:r>
      <w:r>
        <w:t xml:space="preserve"> </w:t>
      </w:r>
      <w:r>
        <w:rPr>
          <w:i/>
          <w:iCs/>
        </w:rPr>
        <w:t xml:space="preserve">m</w:t>
      </w:r>
      <w:r>
        <w:rPr>
          <w:vertAlign w:val="subscript"/>
        </w:rPr>
        <w:t xml:space="preserve">∞</w:t>
      </w:r>
      <w:r>
        <w:t xml:space="preserve"> </w:t>
      </w:r>
      <w:r>
        <w:t xml:space="preserve">= 0.003 to 0.980 over the same range; τ</w:t>
      </w:r>
      <w:r>
        <w:rPr>
          <w:vertAlign w:val="subscript"/>
        </w:rPr>
        <w:t xml:space="preserve">m</w:t>
      </w:r>
      <w:r>
        <w:t xml:space="preserve"> </w:t>
      </w:r>
      <w:r>
        <w:t xml:space="preserve">= 12 µs and</w:t>
      </w:r>
      <w:r>
        <w:t xml:space="preserve"> </w:t>
      </w:r>
      <w:r>
        <w:t xml:space="preserve">τ</w:t>
      </w:r>
      <w:r>
        <w:rPr>
          <w:vertAlign w:val="subscript"/>
        </w:rPr>
        <w:t xml:space="preserve">h</w:t>
      </w:r>
      <w:r>
        <w:t xml:space="preserve"> </w:t>
      </w:r>
      <w:r>
        <w:t xml:space="preserve">= 192 µs at rest. The action potential at a node is therefore a transient: it</w:t>
      </w:r>
      <w:r>
        <w:t xml:space="preserve"> </w:t>
      </w:r>
      <w:r>
        <w:t xml:space="preserve">rises from -79.99 mV to +0.7 mV and returns to within 1 mV of rest</w:t>
      </w:r>
      <w:r>
        <w:t xml:space="preserve"> </w:t>
      </w:r>
      <w:r>
        <w:t xml:space="preserve">0.65 ms after the stimulus, ending the 5-ms run at</w:t>
      </w:r>
      <w:r>
        <w:t xml:space="preserve"> </w:t>
      </w:r>
      <w:r>
        <w:t xml:space="preserve">-79.99 mV. A paired-pulse protocol gives the expected refractory behaviour: a second</w:t>
      </w:r>
      <w:r>
        <w:t xml:space="preserve"> </w:t>
      </w:r>
      <w:r>
        <w:t xml:space="preserve">stimulus 0.50 ms after the first evokes no propagating action potential,</w:t>
      </w:r>
      <w:r>
        <w:t xml:space="preserve"> </w:t>
      </w:r>
      <w:r>
        <w:t xml:space="preserve">recovery begins at 0.75 ms, and by 2.0 ms the second action</w:t>
      </w:r>
      <w:r>
        <w:t xml:space="preserve"> </w:t>
      </w:r>
      <w:r>
        <w:t xml:space="preserve">potential matches the first in peak and velocity (Table S3).</w:t>
      </w:r>
    </w:p>
    <w:p>
      <w:pPr>
        <w:pStyle w:val="BodyText"/>
      </w:pPr>
      <w:r>
        <w:t xml:space="preserve">The C-fiber was characterized passively under the same geometry (Table S4). Measured input</w:t>
      </w:r>
      <w:r>
        <w:t xml:space="preserve"> </w:t>
      </w:r>
      <w:r>
        <w:t xml:space="preserve">resistance at the injection site agrees with the small-signal cable prediction</w:t>
      </w:r>
      <w:r>
        <w:t xml:space="preserve"> </w:t>
      </w:r>
      <w:r>
        <w:t xml:space="preserve">0.5·√(</w:t>
      </w:r>
      <w:r>
        <w:rPr>
          <w:i/>
          <w:iCs/>
        </w:rPr>
        <w:t xml:space="preserve">r</w:t>
      </w:r>
      <w:r>
        <w:rPr>
          <w:vertAlign w:val="subscript"/>
        </w:rPr>
        <w:t xml:space="preserve">m</w:t>
      </w:r>
      <w:r>
        <w:rPr>
          <w:i/>
          <w:iCs/>
        </w:rPr>
        <w:t xml:space="preserve">r</w:t>
      </w:r>
      <w:r>
        <w:rPr>
          <w:vertAlign w:val="subscript"/>
        </w:rPr>
        <w:t xml:space="preserve">i</w:t>
      </w:r>
      <w:r>
        <w:t xml:space="preserve">) to within 0.2 % (69 MΩ for HH,</w:t>
      </w:r>
      <w:r>
        <w:t xml:space="preserve"> </w:t>
      </w:r>
      <w:r>
        <w:t xml:space="preserve">61 MΩ for NavC), and the rheobase of a 1-ms point injection is</w:t>
      </w:r>
      <w:r>
        <w:t xml:space="preserve"> </w:t>
      </w:r>
      <w:r>
        <w:t xml:space="preserve">0.16 nA and 0.70 nA respectively. The small-signal length constants</w:t>
      </w:r>
      <w:r>
        <w:t xml:space="preserve"> </w:t>
      </w:r>
      <w:r>
        <w:t xml:space="preserve">are 198 and 176 µm; they are shorter than the values obtained from the</w:t>
      </w:r>
      <w:r>
        <w:t xml:space="preserve"> </w:t>
      </w:r>
      <w:r>
        <w:t xml:space="preserve">resting chord conductance (260 and 250 µm) because the</w:t>
      </w:r>
      <w:r>
        <w:t xml:space="preserve"> </w:t>
      </w:r>
      <w:r>
        <w:t xml:space="preserve">slope conductance at rest is about twice the chord conductance.</w:t>
      </w:r>
    </w:p>
    <w:bookmarkEnd w:id="70"/>
    <w:bookmarkStart w:id="74" w:name="anatomy-of-the-ephaptic-drive"/>
    <w:p>
      <w:pPr>
        <w:pStyle w:val="Heading3"/>
      </w:pPr>
      <w:r>
        <w:t xml:space="preserve">3.4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2" name="Picture"/>
            <a:graphic>
              <a:graphicData uri="http://schemas.openxmlformats.org/drawingml/2006/picture">
                <pic:pic>
                  <pic:nvPicPr>
                    <pic:cNvPr descr="../results/figures/fig4_drive.png" id="73" name="Picture"/>
                    <pic:cNvPicPr>
                      <a:picLocks noChangeArrowheads="1" noChangeAspect="1"/>
                    </pic:cNvPicPr>
                  </pic:nvPicPr>
                  <pic:blipFill>
                    <a:blip r:embed="rId71"/>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4"/>
    <w:bookmarkStart w:id="78" w:name="X743e176060571699d22b67616899a21348f948c"/>
    <w:p>
      <w:pPr>
        <w:pStyle w:val="Heading3"/>
      </w:pPr>
      <w:r>
        <w:t xml:space="preserve">3.5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3.6).</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6" name="Picture"/>
            <a:graphic>
              <a:graphicData uri="http://schemas.openxmlformats.org/drawingml/2006/picture">
                <pic:pic>
                  <pic:nvPicPr>
                    <pic:cNvPr descr="../results/figures/fig5_n_sweep.png" id="77" name="Picture"/>
                    <pic:cNvPicPr>
                      <a:picLocks noChangeArrowheads="1" noChangeAspect="1"/>
                    </pic:cNvPicPr>
                  </pic:nvPicPr>
                  <pic:blipFill>
                    <a:blip r:embed="rId75"/>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8"/>
    <w:bookmarkStart w:id="82" w:name="how-far-is-the-drive-from-threshold"/>
    <w:p>
      <w:pPr>
        <w:pStyle w:val="Heading3"/>
      </w:pPr>
      <w:r>
        <w:t xml:space="preserve">3.6 How far is the drive from threshold?</w:t>
      </w:r>
    </w:p>
    <w:p>
      <w:pPr>
        <w:pStyle w:val="FirstParagraph"/>
      </w:pPr>
      <w:r>
        <w:t xml:space="preserve">A fixed voltage threshold does not apply to this drive. For point current injections into the isolated C-fiber (Fig. 6a, b; Table S5),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80" name="Picture"/>
            <a:graphic>
              <a:graphicData uri="http://schemas.openxmlformats.org/drawingml/2006/picture">
                <pic:pic>
                  <pic:nvPicPr>
                    <pic:cNvPr descr="../results/figures/fig6_threshold.png" id="81" name="Picture"/>
                    <pic:cNvPicPr>
                      <a:picLocks noChangeArrowheads="1" noChangeAspect="1"/>
                    </pic:cNvPicPr>
                  </pic:nvPicPr>
                  <pic:blipFill>
                    <a:blip r:embed="rId79"/>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2"/>
    <w:bookmarkStart w:id="86" w:name="sensitivity-analysis-1"/>
    <w:p>
      <w:pPr>
        <w:pStyle w:val="Heading3"/>
      </w:pPr>
      <w:r>
        <w:t xml:space="preserve">3.7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S6).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S3).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4" name="Picture"/>
            <a:graphic>
              <a:graphicData uri="http://schemas.openxmlformats.org/drawingml/2006/picture">
                <pic:pic>
                  <pic:nvPicPr>
                    <pic:cNvPr descr="../results/figures/fig7_sensitivity.png" id="85" name="Picture"/>
                    <pic:cNvPicPr>
                      <a:picLocks noChangeArrowheads="1" noChangeAspect="1"/>
                    </pic:cNvPicPr>
                  </pic:nvPicPr>
                  <pic:blipFill>
                    <a:blip r:embed="rId83"/>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6"/>
    <w:bookmarkStart w:id="90" w:name="X1eb3a92b1fd4b1a0cfde318bcf539b85becde5a"/>
    <w:p>
      <w:pPr>
        <w:pStyle w:val="Heading3"/>
      </w:pPr>
      <w:r>
        <w:t xml:space="preserve">3.8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S7).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8" name="Picture"/>
            <a:graphic>
              <a:graphicData uri="http://schemas.openxmlformats.org/drawingml/2006/picture">
                <pic:pic>
                  <pic:nvPicPr>
                    <pic:cNvPr descr="../results/figures/fig8_dispersion_trains.png" id="89" name="Picture"/>
                    <pic:cNvPicPr>
                      <a:picLocks noChangeArrowheads="1" noChangeAspect="1"/>
                    </pic:cNvPicPr>
                  </pic:nvPicPr>
                  <pic:blipFill>
                    <a:blip r:embed="rId87"/>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90"/>
    <w:bookmarkStart w:id="91" w:name="X8308cdac235aa385dae24616d62b92735321c83"/>
    <w:p>
      <w:pPr>
        <w:pStyle w:val="Heading3"/>
      </w:pPr>
      <w:r>
        <w:t xml:space="preserve">3.9 Stimulation inside the compartment: the extended-compartment configuration</w:t>
      </w:r>
    </w:p>
    <w:p>
      <w:pPr>
        <w:pStyle w:val="FirstParagraph"/>
      </w:pPr>
      <w:r>
        <w:t xml:space="preserve">The production configuration keeps the stimulating electrode outside the restricted compartment, because an electrode inside it is not a physiological input. To show what that choice is worth, we repeated the synchronous sweep with the shared compartment spanning the whole cable, so that the Aβ electrode lies inside it (Fig. S2; Table S8). Two treatments of the electrode current were compared: returning it through the compartment, which is what current conservation requires, and omitting it from the extracellular source, which is the commoner simplification.</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a 100-nA stimulus the electrode site became non-physiological under both treatments, and C-fiber APs appeared there. Omitting the electrode current from the extracellular source,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A 100-Hz train of five pulses through the same electrode adds nothing: it fires the C-fiber only where a single pulse already does (100 nA, HH,</w:t>
      </w:r>
      <w:r>
        <w:t xml:space="preserve"> </w:t>
      </w:r>
      <w:r>
        <w:rPr>
          <w:i/>
          <w:iCs/>
        </w:rPr>
        <w:t xml:space="preserve">n</w:t>
      </w:r>
      <w:r>
        <w:t xml:space="preserve"> </w:t>
      </w:r>
      <w:r>
        <w:t xml:space="preserve">≥ 25), and it does so within 0.05 ms of the</w:t>
      </w:r>
      <w:r>
        <w:t xml:space="preserve"> </w:t>
      </w:r>
      <w:r>
        <w:rPr>
          <w:i/>
          <w:iCs/>
        </w:rPr>
        <w:t xml:space="preserve">first</w:t>
      </w:r>
      <w:r>
        <w:t xml:space="preserve"> </w:t>
      </w:r>
      <w:r>
        <w:t xml:space="preserve">pulse, at the electrode (0.07 mm), not through accumulation over the train; with the physiological stimulus no train evoked a C-fiber AP. Either way, the phenomenon belongs to a suprathreshold electrode placed inside the extracellular compartment, not to ephaptic coupling between fibers.</w:t>
      </w:r>
    </w:p>
    <w:p>
      <w:pPr>
        <w:pStyle w:val="BodyText"/>
      </w:pPr>
      <w:r>
        <w:t xml:space="preserve">The same configuration also accounts for threshold crossings at low κ (κ = 3 × 10</w:t>
      </w:r>
      <w:r>
        <w:rPr>
          <w:vertAlign w:val="superscript"/>
        </w:rPr>
        <w:t xml:space="preserve">7</w:t>
      </w:r>
      <w:r>
        <w:t xml:space="preserve"> </w:t>
      </w:r>
      <w:r>
        <w:t xml:space="preserve">m</w:t>
      </w:r>
      <w:r>
        <w:rPr>
          <w:vertAlign w:val="superscript"/>
        </w:rPr>
        <w:t xml:space="preserve">−2</w:t>
      </w:r>
      <w:r>
        <w:t xml:space="preserve">), which are easily mistaken for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1"/>
    <w:bookmarkEnd w:id="92"/>
    <w:bookmarkStart w:id="99" w:name="discussion"/>
    <w:p>
      <w:pPr>
        <w:pStyle w:val="Heading2"/>
      </w:pPr>
      <w:r>
        <w:t xml:space="preserve">4 Discussion</w:t>
      </w:r>
    </w:p>
    <w:bookmarkStart w:id="93"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3"/>
    <w:bookmarkStart w:id="94"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(198 µm for HH, 176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4"/>
    <w:bookmarkStart w:id="95" w:name="what-limits-multi-fiber-summation"/>
    <w:p>
      <w:pPr>
        <w:pStyle w:val="Heading3"/>
      </w:pPr>
      <w:r>
        <w:t xml:space="preserve">4.3 What limits multi-fiber summation</w:t>
      </w:r>
    </w:p>
    <w:p>
      <w:pPr>
        <w:pStyle w:val="FirstParagraph"/>
      </w:pPr>
      <w:r>
        <w:t xml:space="preserve">A multi-fiber response computed with a lagged coupling scheme plateaus, and the plateau invites a physical reading: shunting by the parallel axoplasmic conductance of the added fibers. It is not one. The plateau is the scheme’s time-step error,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and it disappears under refinement.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5"/>
    <w:bookmarkStart w:id="96"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A C-fiber spike during a 100-Hz train occurs only when the train is delivered through a 100-nA electrode inside the compartment, and then on the first pulse and at the electrode, so it is a property of the stimulation site rather than of the coupling or of the train (Section 3.9).</w:t>
      </w:r>
    </w:p>
    <w:bookmarkEnd w:id="96"/>
    <w:bookmarkStart w:id="97" w:name="limitations"/>
    <w:p>
      <w:pPr>
        <w:pStyle w:val="Heading3"/>
      </w:pPr>
      <w:r>
        <w:t xml:space="preserve">4.5 Limitations</w:t>
      </w:r>
    </w:p>
    <w:p>
      <w:pPr>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r>
        <w:t xml:space="preserve"> </w:t>
      </w:r>
      <w:r>
        <w:t xml:space="preserve">The geometry assumed here is pathological, not normal. A normal Remak bundle is a group of</w:t>
      </w:r>
      <w:r>
        <w:t xml:space="preserve"> </w:t>
      </w:r>
      <w:r>
        <w:t xml:space="preserve">unmyelinated axons held by a non-myelinating Schwann cell, usually with Schwann-cell processes</w:t>
      </w:r>
      <w:r>
        <w:t xml:space="preserve"> </w:t>
      </w:r>
      <w:r>
        <w:t xml:space="preserve">between the axons, and a large myelinated Aβ fiber is not ordinarily part of it (Murinson &amp; Griffin,</w:t>
      </w:r>
      <w:r>
        <w:t xml:space="preserve"> </w:t>
      </w:r>
      <w:r>
        <w:t xml:space="preserve">2004); in intact nerve, Schwann-cell cytoplasm and basal lamina separate an Aβ internode from</w:t>
      </w:r>
      <w:r>
        <w:t xml:space="preserve"> </w:t>
      </w:r>
      <w:r>
        <w:t xml:space="preserve">neighbouring C-fibers. The configuration modelled here therefore presupposes a specific pathological</w:t>
      </w:r>
      <w:r>
        <w:t xml:space="preserve"> </w:t>
      </w:r>
      <w:r>
        <w:t xml:space="preserve">change: loss of myelin over a stretch of an Aβ fiber together with retraction or loss of the</w:t>
      </w:r>
      <w:r>
        <w:t xml:space="preserve"> </w:t>
      </w:r>
      <w:r>
        <w:t xml:space="preserve">intervening Schwann-cell processes, so that an exposed Aβ axolemma and a C-fiber axolemma come to</w:t>
      </w:r>
      <w:r>
        <w:t xml:space="preserve"> </w:t>
      </w:r>
      <w:r>
        <w:t xml:space="preserve">share one restricted extracellular space over millimetres. That is the configuration in which</w:t>
      </w:r>
      <w:r>
        <w:t xml:space="preserve"> </w:t>
      </w:r>
      <w:r>
        <w:t xml:space="preserve">ephaptic cross-excitation has been reported experimentally in damaged nerve and in dysmyelinated</w:t>
      </w:r>
      <w:r>
        <w:t xml:space="preserve"> </w:t>
      </w:r>
      <w:r>
        <w:t xml:space="preserve">roots (Rasminsky, 1980; Seltzer &amp; Devor, 1979). Our results say what such a configuration would have</w:t>
      </w:r>
      <w:r>
        <w:t xml:space="preserve"> </w:t>
      </w:r>
      <w:r>
        <w:t xml:space="preserve">to achieve electrically, not how often it occurs.</w:t>
      </w:r>
    </w:p>
    <w:p>
      <w:pPr>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7"/>
    <w:bookmarkStart w:id="98"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8"/>
    <w:bookmarkEnd w:id="99"/>
    <w:bookmarkStart w:id="100"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100"/>
    <w:bookmarkStart w:id="101"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(RRID:SCR_008394) with NumPy 1.26.4 (RRID:SCR_008633), SciPy 1.13.0 (RRID:SCR_008058), pandas 2.2.2 (RRID:SCR_018214) and Matplotlib 3.8.4 (RRID:SCR_008624). The banded solves use the LAPACK routines</w:t>
      </w:r>
      <w:r>
        <w:t xml:space="preserve"> </w:t>
      </w:r>
      <w:r>
        <w:rPr>
          <w:rStyle w:val="VerbatimChar"/>
        </w:rPr>
        <w:t xml:space="preserve">dgbtrf</w:t>
      </w:r>
      <w:r>
        <w:t xml:space="preserve"> </w:t>
      </w:r>
      <w:r>
        <w:t xml:space="preserve">and</w:t>
      </w:r>
      <w:r>
        <w:t xml:space="preserve"> </w:t>
      </w:r>
      <w:r>
        <w:rPr>
          <w:rStyle w:val="VerbatimChar"/>
        </w:rPr>
        <w:t xml:space="preserve">dgbtrs</w:t>
      </w:r>
      <w:r>
        <w:t xml:space="preserve"> </w:t>
      </w:r>
      <w:r>
        <w:t xml:space="preserve">through SciPy. No biological resources were used in this study.</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1"/>
    <w:bookmarkStart w:id="102"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2"/>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1"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Aβ-to-C-Fiber Crosstalk and Multi-Fiber Spatial Summation: A Closed-Loop Core-Conductor Study with Nociceptor-Realistic Channel Kinetics</dc:title>
  <dc:creator>Mina Saied Attia Rizk</dc:creator>
  <dc:language>en-GB</dc:language>
  <cp:keywords/>
  <dcterms:created xsi:type="dcterms:W3CDTF">2026-10-02T10:09:56Z</dcterms:created>
  <dcterms:modified xsi:type="dcterms:W3CDTF">2026-10-02T10:09:56Z</dcterms:modified>
</cp:coreProperties>
</file>

<file path=docProps/custom.xml><?xml version="1.0" encoding="utf-8"?>
<Properties xmlns="http://schemas.openxmlformats.org/officeDocument/2006/custom-properties" xmlns:vt="http://schemas.openxmlformats.org/officeDocument/2006/docPropsVTypes"/>
</file>