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Aβ-to-C-Fiber Crosstalk and Multi-Fiber Spatial Summation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vs the monolithic scheme, in the extended-compartment configuration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4" w:name="s2-membrane-verification"/>
    <w:p>
      <w:pPr>
        <w:pStyle w:val="Heading2"/>
      </w:pPr>
      <w:r>
        <w:t xml:space="preserve">S2 Membrane verification</w:t>
      </w:r>
    </w:p>
    <w:p>
      <w:pPr>
        <w:pStyle w:val="CaptionedFigure"/>
      </w:pPr>
      <w:r>
        <w:drawing>
          <wp:inline>
            <wp:extent cx="5943600" cy="1631523"/>
            <wp:effectExtent b="0" l="0" r="0" t="0"/>
            <wp:docPr descr="Fig. S1 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" title="" id="52" name="Picture"/>
            <a:graphic>
              <a:graphicData uri="http://schemas.openxmlformats.org/drawingml/2006/picture">
                <pic:pic>
                  <pic:nvPicPr>
                    <pic:cNvPr descr="../results/figures/figS1_membrane_verific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at z = 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peak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CV 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conducts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Paired-pulse recovery of the isolated Aβ fiber (2 × threshold, 0.2-ms pulses at node 0; counts and peaks read at z = 8 mm). The first action potential conducts at 40.0 m/s in every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τ</w:t>
            </w:r>
            <w:r>
              <w:rPr>
                <w:vertAlign w:val="subscript"/>
              </w:rPr>
              <w:t xml:space="preserve">m</w:t>
            </w:r>
            <w:r>
              <w:t xml:space="preserve"> </w:t>
            </w:r>
            <w:r>
              <w:t xml:space="preserve">at rest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λ, small signal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predicted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measured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rheobase, 1 ms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Passive properties of the isolated C-fiber membranes under the production geometry. λ and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are small-signal values, computed from the slope conductance d</w:t>
      </w:r>
      <w:r>
        <w:rPr>
          <w:i/>
          <w:iCs/>
        </w:rPr>
        <w:t xml:space="preserve">I</w:t>
      </w:r>
      <w:r>
        <w:rPr>
          <w:vertAlign w:val="subscript"/>
        </w:rPr>
        <w:t xml:space="preserve">ion</w:t>
      </w:r>
      <w:r>
        <w:t xml:space="preserve">/d</w:t>
      </w:r>
      <w:r>
        <w:rPr>
          <w:i/>
          <w:iCs/>
        </w:rPr>
        <w:t xml:space="preserve">V</w:t>
      </w:r>
      <w:r>
        <w:t xml:space="preserve"> </w:t>
      </w:r>
      <w:r>
        <w:t xml:space="preserve">at rest;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measured is the steady response to a 1-pA injection at z = 5 mm. Rheobase is for a 1-ms point injection at the same site.</w:t>
      </w:r>
    </w:p>
    <w:bookmarkEnd w:id="54"/>
    <w:bookmarkStart w:id="55" w:name="s3-strengthduration-characterization"/>
    <w:p>
      <w:pPr>
        <w:pStyle w:val="Heading2"/>
      </w:pPr>
      <w:r>
        <w:t xml:space="preserve">S3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5"/>
    <w:bookmarkStart w:id="56" w:name="s4-sensitizing-bias"/>
    <w:p>
      <w:pPr>
        <w:pStyle w:val="Heading2"/>
      </w:pPr>
      <w:r>
        <w:t xml:space="preserve">S4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6"/>
    <w:bookmarkStart w:id="57" w:name="X94f465482c3df29c8d7b385cabe91f5141f284a"/>
    <w:p>
      <w:pPr>
        <w:pStyle w:val="Heading2"/>
      </w:pPr>
      <w:r>
        <w:t xml:space="preserve">S5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7"/>
    <w:bookmarkStart w:id="64" w:name="X2397a42bcf604765721666d0e14a9f6dc08dde9"/>
    <w:p>
      <w:pPr>
        <w:pStyle w:val="Heading2"/>
      </w:pPr>
      <w:r>
        <w:t xml:space="preserve">S6 The extended-compartment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2 Earlier full-length geometry. (a, b) Peak C-fiber membrane potential at the electrode site z = 0 vs n for Aβ stimuli of 2× threshold to 100 nA (stars: propagating C-fiber AP launched at the electrode). (c) Peak Aβ membrane potential at the stimulated node." title="" id="59" name="Picture"/>
            <a:graphic>
              <a:graphicData uri="http://schemas.openxmlformats.org/drawingml/2006/picture">
                <pic:pic>
                  <pic:nvPicPr>
                    <pic:cNvPr descr="../results/figures/figS2_full_length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848111"/>
            <wp:effectExtent b="0" l="0" r="0" t="0"/>
            <wp:docPr descr="Fig. S3 Lesion length (a) and Aβ stimulus strength (b) in the production configuration (NavC). No C-fiber action potential occurred." title="" id="62" name="Picture"/>
            <a:graphic>
              <a:graphicData uri="http://schemas.openxmlformats.org/drawingml/2006/picture">
                <pic:pic>
                  <pic:nvPicPr>
                    <pic:cNvPr descr="../results/figures/figS3_lesion_stimul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848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S3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4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41" Target="footer1.xml" Type="http://schemas.openxmlformats.org/officeDocument/2006/relationships/footer" /><Relationship Type="http://schemas.openxmlformats.org/officeDocument/2006/relationships/image" Id="rId51" Target="media/rId51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Aβ-to-C-Fiber Crosstalk and Multi-Fiber Spatial Summation</dc:title>
  <dc:creator>Mina Saied Attia Rizk</dc:creator>
  <dc:language>en-GB</dc:language>
  <cp:keywords/>
  <dcterms:created xsi:type="dcterms:W3CDTF">2026-10-02T10:09:59Z</dcterms:created>
  <dcterms:modified xsi:type="dcterms:W3CDTF">2026-10-02T10:09:59Z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