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Generic Configurable Real Estate</w:t>
        <w:br/>
        <w:t>Business &amp; Financial Management Platform</w:t>
      </w:r>
    </w:p>
    <w:p>
      <w:pPr>
        <w:jc w:val="center"/>
      </w:pPr>
      <w:r>
        <w:rPr>
          <w:i/>
        </w:rPr>
        <w:t>Product Vision &amp; Concept Document</w:t>
      </w:r>
    </w:p>
    <w:p>
      <w:r>
        <w:t>Purpose: Present the complete vision of a configurable real-estate platform where property structures, costs, market rates, pricing, sales, brokers, commissions, contracts, payment plans, workflows, calculations and reporting are driven by business inputs, rules and formulas rather than hardcoded assumptions.</w:t>
      </w:r>
    </w:p>
    <w:p>
      <w:pPr>
        <w:pStyle w:val="Heading1"/>
      </w:pPr>
      <w:r>
        <w:t>1. Executive Vision</w:t>
      </w:r>
    </w:p>
    <w:p>
      <w:r>
        <w:t>This is not a system that reproduces one fixed real-estate process. It is a generic business platform capable of modeling different companies, projects, cost structures, pricing models, sales organizations, commission schemes, contracts and payment plans through configuration.</w:t>
      </w:r>
    </w:p>
    <w:p>
      <w:pPr>
        <w:pStyle w:val="NoSpacing"/>
      </w:pPr>
      <w:r>
        <w:rPr>
          <w:rFonts w:ascii="Courier New" w:hAnsi="Courier New"/>
          <w:sz w:val="18"/>
        </w:rPr>
        <w:t>Business Inputs + Market Data + Configuration + Rules + Formulas</w:t>
        <w:br/>
        <w:t xml:space="preserve">                         ↓</w:t>
        <w:br/>
        <w:t xml:space="preserve">                 Generic Business Engines</w:t>
        <w:br/>
        <w:t xml:space="preserve">                         ↓</w:t>
        <w:br/>
        <w:t xml:space="preserve">          Calculated Results + Transactions</w:t>
        <w:br/>
        <w:t xml:space="preserve">                         ↓</w:t>
        <w:br/>
        <w:t xml:space="preserve">             Operations + Finance + Reports</w:t>
      </w:r>
    </w:p>
    <w:p>
      <w:pPr>
        <w:pStyle w:val="Heading1"/>
      </w:pPr>
      <w:r>
        <w:t>2. Core Principle</w:t>
      </w:r>
    </w:p>
    <w:p>
      <w:r>
        <w:t>No major business assumption should be hardcoded when it can reasonably be represented as configurable data.</w:t>
      </w:r>
    </w:p>
    <w:p>
      <w:pPr>
        <w:pStyle w:val="ListBullet"/>
      </w:pPr>
      <w:r>
        <w:t>Property hierarchy and attributes are configurable.</w:t>
      </w:r>
    </w:p>
    <w:p>
      <w:pPr>
        <w:pStyle w:val="ListBullet"/>
      </w:pPr>
      <w:r>
        <w:t>Cost categories, materials and cost items are configurable.</w:t>
      </w:r>
    </w:p>
    <w:p>
      <w:pPr>
        <w:pStyle w:val="ListBullet"/>
      </w:pPr>
      <w:r>
        <w:t>Market prices and rates are time- and location-aware.</w:t>
      </w:r>
    </w:p>
    <w:p>
      <w:pPr>
        <w:pStyle w:val="ListBullet"/>
      </w:pPr>
      <w:r>
        <w:t>Quantity and cost formulas are configurable.</w:t>
      </w:r>
    </w:p>
    <w:p>
      <w:pPr>
        <w:pStyle w:val="ListBullet"/>
      </w:pPr>
      <w:r>
        <w:t>Pricing, discount and premium rules are configurable.</w:t>
      </w:r>
    </w:p>
    <w:p>
      <w:pPr>
        <w:pStyle w:val="ListBullet"/>
      </w:pPr>
      <w:r>
        <w:t>Sales workflows, commission schemes and payment plans are configurable.</w:t>
      </w:r>
    </w:p>
    <w:p>
      <w:pPr>
        <w:pStyle w:val="ListBullet"/>
      </w:pPr>
      <w:r>
        <w:t>Approval thresholds, notifications and reporting rules are configurable.</w:t>
      </w:r>
    </w:p>
    <w:p>
      <w:pPr>
        <w:pStyle w:val="Heading1"/>
      </w:pPr>
      <w:r>
        <w:t>3. Generic Platform Core</w:t>
      </w:r>
    </w:p>
    <w:p>
      <w:pPr>
        <w:pStyle w:val="Heading2"/>
      </w:pPr>
      <w:r>
        <w:t>Configuration Engine</w:t>
      </w:r>
    </w:p>
    <w:p>
      <w:r>
        <w:t>Defines entities, attributes, relationships, units, lists and business settings.</w:t>
      </w:r>
    </w:p>
    <w:p>
      <w:pPr>
        <w:pStyle w:val="Heading2"/>
      </w:pPr>
      <w:r>
        <w:t>Rule Engine</w:t>
      </w:r>
    </w:p>
    <w:p>
      <w:r>
        <w:t>Evaluates configurable conditions and executes business rules.</w:t>
      </w:r>
    </w:p>
    <w:p>
      <w:pPr>
        <w:pStyle w:val="Heading2"/>
      </w:pPr>
      <w:r>
        <w:t>Formula / Calculation Engine</w:t>
      </w:r>
    </w:p>
    <w:p>
      <w:r>
        <w:t>Calculates values from inputs, variables, market rates and formulas.</w:t>
      </w:r>
    </w:p>
    <w:p>
      <w:pPr>
        <w:pStyle w:val="Heading2"/>
      </w:pPr>
      <w:r>
        <w:t>Workflow Engine</w:t>
      </w:r>
    </w:p>
    <w:p>
      <w:r>
        <w:t>Controls configurable lifecycle stages, transitions and approvals.</w:t>
      </w:r>
    </w:p>
    <w:p>
      <w:pPr>
        <w:pStyle w:val="Heading2"/>
      </w:pPr>
      <w:r>
        <w:t>Market Data Engine</w:t>
      </w:r>
    </w:p>
    <w:p>
      <w:r>
        <w:t>Stores current and historical market rates, prices and assumptions.</w:t>
      </w:r>
    </w:p>
    <w:p>
      <w:pPr>
        <w:pStyle w:val="Heading2"/>
      </w:pPr>
      <w:r>
        <w:t>Transaction Engine</w:t>
      </w:r>
    </w:p>
    <w:p>
      <w:r>
        <w:t>Creates and tracks operational transactions and calculated results.</w:t>
      </w:r>
    </w:p>
    <w:p>
      <w:pPr>
        <w:pStyle w:val="Heading2"/>
      </w:pPr>
      <w:r>
        <w:t>Reporting &amp; Analytics Engine</w:t>
      </w:r>
    </w:p>
    <w:p>
      <w:r>
        <w:t>Produces dashboards, forecasts, variance analysis and management reports.</w:t>
      </w:r>
    </w:p>
    <w:p>
      <w:pPr>
        <w:pStyle w:val="Heading1"/>
      </w:pPr>
      <w:r>
        <w:t>4. End-to-End Lifecycle</w:t>
      </w:r>
    </w:p>
    <w:p>
      <w:pPr>
        <w:pStyle w:val="NoSpacing"/>
      </w:pPr>
      <w:r>
        <w:rPr>
          <w:rFonts w:ascii="Courier New" w:hAnsi="Courier New"/>
          <w:sz w:val="18"/>
        </w:rPr>
        <w:t>Land / Acquisition</w:t>
        <w:br/>
        <w:t xml:space="preserve">      ↓</w:t>
        <w:br/>
        <w:t>Development Structure</w:t>
        <w:br/>
        <w:t xml:space="preserve">      ↓</w:t>
        <w:br/>
        <w:t>Construction &amp; Cost Modeling</w:t>
        <w:br/>
        <w:t xml:space="preserve">      ↓</w:t>
        <w:br/>
        <w:t>Market Rates &amp; Forecasting</w:t>
        <w:br/>
        <w:t xml:space="preserve">      ↓</w:t>
        <w:br/>
        <w:t>Pricing</w:t>
        <w:br/>
        <w:t xml:space="preserve">      ↓</w:t>
        <w:br/>
        <w:t>Leads &amp; Sales</w:t>
        <w:br/>
        <w:t xml:space="preserve">      ↓</w:t>
        <w:br/>
        <w:t>Brokers / Agents / Commission</w:t>
        <w:br/>
        <w:t xml:space="preserve">      ↓</w:t>
        <w:br/>
        <w:t>Reservation &amp; Contract</w:t>
        <w:br/>
        <w:t xml:space="preserve">      ↓</w:t>
        <w:br/>
        <w:t>Payment Plan &amp; Collection</w:t>
        <w:br/>
        <w:t xml:space="preserve">      ↓</w:t>
        <w:br/>
        <w:t>Profitability</w:t>
        <w:br/>
        <w:t xml:space="preserve">      ↓</w:t>
        <w:br/>
        <w:t>Reporting</w:t>
      </w:r>
    </w:p>
    <w:p>
      <w:pPr>
        <w:pStyle w:val="Heading1"/>
      </w:pPr>
      <w:r>
        <w:t>5. Land &amp; Acquisition</w:t>
      </w:r>
    </w:p>
    <w:p>
      <w:pPr>
        <w:pStyle w:val="ListBullet"/>
      </w:pPr>
      <w:r>
        <w:t>Area, location, ownership and legal information</w:t>
      </w:r>
    </w:p>
    <w:p>
      <w:pPr>
        <w:pStyle w:val="ListBullet"/>
      </w:pPr>
      <w:r>
        <w:t>Purchase price or market-based valuation</w:t>
      </w:r>
    </w:p>
    <w:p>
      <w:pPr>
        <w:pStyle w:val="ListBullet"/>
      </w:pPr>
      <w:r>
        <w:t>Price per SQM or other unit</w:t>
      </w:r>
    </w:p>
    <w:p>
      <w:pPr>
        <w:pStyle w:val="ListBullet"/>
      </w:pPr>
      <w:r>
        <w:t>Registration, taxes, legal and government fees</w:t>
      </w:r>
    </w:p>
    <w:p>
      <w:pPr>
        <w:pStyle w:val="ListBullet"/>
      </w:pPr>
      <w:r>
        <w:t>Other acquisition expenses</w:t>
      </w:r>
    </w:p>
    <w:p>
      <w:pPr>
        <w:pStyle w:val="ListBullet"/>
      </w:pPr>
      <w:r>
        <w:t>Historical and current market values</w:t>
      </w:r>
    </w:p>
    <w:p>
      <w:pPr>
        <w:pStyle w:val="ListBullet"/>
      </w:pPr>
      <w:r>
        <w:t>Configurable acquisition formulas</w:t>
      </w:r>
    </w:p>
    <w:p>
      <w:pPr>
        <w:pStyle w:val="Heading1"/>
      </w:pPr>
      <w:r>
        <w:t>6. Project &amp; Property Structure</w:t>
      </w:r>
    </w:p>
    <w:p>
      <w:pPr>
        <w:pStyle w:val="ListBullet"/>
      </w:pPr>
      <w:r>
        <w:t>Land → Project → Building → Floor → Unit</w:t>
      </w:r>
    </w:p>
    <w:p>
      <w:pPr>
        <w:pStyle w:val="ListBullet"/>
      </w:pPr>
      <w:r>
        <w:t>Land → Project → Zone → Unit</w:t>
      </w:r>
    </w:p>
    <w:p>
      <w:pPr>
        <w:pStyle w:val="ListBullet"/>
      </w:pPr>
      <w:r>
        <w:t>Project → Residential / Commercial / Parking / Other Assets</w:t>
      </w:r>
    </w:p>
    <w:p>
      <w:pPr>
        <w:pStyle w:val="ListBullet"/>
      </w:pPr>
      <w:r>
        <w:t>The hierarchy and attributes can vary by project.</w:t>
      </w:r>
    </w:p>
    <w:p>
      <w:pPr>
        <w:pStyle w:val="Heading1"/>
      </w:pPr>
      <w:r>
        <w:t>7. Construction &amp; Cost Management</w:t>
      </w:r>
    </w:p>
    <w:p>
      <w:pPr>
        <w:pStyle w:val="ListBullet"/>
      </w:pPr>
      <w:r>
        <w:t>Excavation and foundation</w:t>
      </w:r>
    </w:p>
    <w:p>
      <w:pPr>
        <w:pStyle w:val="ListBullet"/>
      </w:pPr>
      <w:r>
        <w:t>Concrete and reinforcement steel</w:t>
      </w:r>
    </w:p>
    <w:p>
      <w:pPr>
        <w:pStyle w:val="ListBullet"/>
      </w:pPr>
      <w:r>
        <w:t>Cement, sand, blocks and bricks</w:t>
      </w:r>
    </w:p>
    <w:p>
      <w:pPr>
        <w:pStyle w:val="ListBullet"/>
      </w:pPr>
      <w:r>
        <w:t>Waterproofing and insulation</w:t>
      </w:r>
    </w:p>
    <w:p>
      <w:pPr>
        <w:pStyle w:val="ListBullet"/>
      </w:pPr>
      <w:r>
        <w:t>Tiles, marble, paint, glass, aluminum and wood</w:t>
      </w:r>
    </w:p>
    <w:p>
      <w:pPr>
        <w:pStyle w:val="ListBullet"/>
      </w:pPr>
      <w:r>
        <w:t>Electrical, plumbing, HVAC and fire fighting</w:t>
      </w:r>
    </w:p>
    <w:p>
      <w:pPr>
        <w:pStyle w:val="ListBullet"/>
      </w:pPr>
      <w:r>
        <w:t>Elevators and specialized systems</w:t>
      </w:r>
    </w:p>
    <w:p>
      <w:pPr>
        <w:pStyle w:val="ListBullet"/>
      </w:pPr>
      <w:r>
        <w:t>Labor, engineers, supervisors and contractors</w:t>
      </w:r>
    </w:p>
    <w:p>
      <w:pPr>
        <w:pStyle w:val="ListBullet"/>
      </w:pPr>
      <w:r>
        <w:t>Equipment and machinery</w:t>
      </w:r>
    </w:p>
    <w:p>
      <w:pPr>
        <w:pStyle w:val="ListBullet"/>
      </w:pPr>
      <w:r>
        <w:t>Transportation, waste and logistics</w:t>
      </w:r>
    </w:p>
    <w:p>
      <w:pPr>
        <w:pStyle w:val="ListBullet"/>
      </w:pPr>
      <w:r>
        <w:t>Consultants and professional services</w:t>
      </w:r>
    </w:p>
    <w:p>
      <w:pPr>
        <w:pStyle w:val="ListBullet"/>
      </w:pPr>
      <w:r>
        <w:t>Government, legal and regulatory fees</w:t>
      </w:r>
    </w:p>
    <w:p>
      <w:pPr>
        <w:pStyle w:val="ListBullet"/>
      </w:pPr>
      <w:r>
        <w:t>Financing, marketing, sales and other expenses</w:t>
      </w:r>
    </w:p>
    <w:p>
      <w:pPr>
        <w:pStyle w:val="Heading1"/>
      </w:pPr>
      <w:r>
        <w:t>8. Material &amp; Market Rate Management</w:t>
      </w:r>
    </w:p>
    <w:p>
      <w:pPr>
        <w:pStyle w:val="ListBullet"/>
      </w:pPr>
      <w:r>
        <w:t>Material/service name</w:t>
      </w:r>
    </w:p>
    <w:p>
      <w:pPr>
        <w:pStyle w:val="ListBullet"/>
      </w:pPr>
      <w:r>
        <w:t>Category and unit of measure</w:t>
      </w:r>
    </w:p>
    <w:p>
      <w:pPr>
        <w:pStyle w:val="ListBullet"/>
      </w:pPr>
      <w:r>
        <w:t>Market rate and currency</w:t>
      </w:r>
    </w:p>
    <w:p>
      <w:pPr>
        <w:pStyle w:val="ListBullet"/>
      </w:pPr>
      <w:r>
        <w:t>Location</w:t>
      </w:r>
    </w:p>
    <w:p>
      <w:pPr>
        <w:pStyle w:val="ListBullet"/>
      </w:pPr>
      <w:r>
        <w:t>Supplier/source</w:t>
      </w:r>
    </w:p>
    <w:p>
      <w:pPr>
        <w:pStyle w:val="ListBullet"/>
      </w:pPr>
      <w:r>
        <w:t>Effective dates</w:t>
      </w:r>
    </w:p>
    <w:p>
      <w:pPr>
        <w:pStyle w:val="ListBullet"/>
      </w:pPr>
      <w:r>
        <w:t>Historical rates and changes</w:t>
      </w:r>
    </w:p>
    <w:p>
      <w:pPr>
        <w:pStyle w:val="Heading1"/>
      </w:pPr>
      <w:r>
        <w:t>10. Cost Allocation</w:t>
      </w:r>
    </w:p>
    <w:p>
      <w:pPr>
        <w:pStyle w:val="ListBullet"/>
      </w:pPr>
      <w:r>
        <w:t>Area-based</w:t>
      </w:r>
    </w:p>
    <w:p>
      <w:pPr>
        <w:pStyle w:val="ListBullet"/>
      </w:pPr>
      <w:r>
        <w:t>Value-based</w:t>
      </w:r>
    </w:p>
    <w:p>
      <w:pPr>
        <w:pStyle w:val="ListBullet"/>
      </w:pPr>
      <w:r>
        <w:t>Unit-based</w:t>
      </w:r>
    </w:p>
    <w:p>
      <w:pPr>
        <w:pStyle w:val="ListBullet"/>
      </w:pPr>
      <w:r>
        <w:t>Usage-based</w:t>
      </w:r>
    </w:p>
    <w:p>
      <w:pPr>
        <w:pStyle w:val="ListBullet"/>
      </w:pPr>
      <w:r>
        <w:t>Percentage-based</w:t>
      </w:r>
    </w:p>
    <w:p>
      <w:pPr>
        <w:pStyle w:val="ListBullet"/>
      </w:pPr>
      <w:r>
        <w:t>Custom formula allocation</w:t>
      </w:r>
    </w:p>
    <w:p>
      <w:pPr>
        <w:pStyle w:val="Heading1"/>
      </w:pPr>
      <w:r>
        <w:t>12. Leads, Customers &amp; Sales</w:t>
      </w:r>
    </w:p>
    <w:p>
      <w:pPr>
        <w:pStyle w:val="ListBullet"/>
      </w:pPr>
      <w:r>
        <w:t>Website, campaigns, brokers, referrals, walk-ins, call centers, social media, manual entry or API</w:t>
      </w:r>
    </w:p>
    <w:p>
      <w:pPr>
        <w:pStyle w:val="ListBullet"/>
      </w:pPr>
      <w:r>
        <w:t>Lead qualification and opportunity management</w:t>
      </w:r>
    </w:p>
    <w:p>
      <w:pPr>
        <w:pStyle w:val="ListBullet"/>
      </w:pPr>
      <w:r>
        <w:t>Customer and prospect records</w:t>
      </w:r>
    </w:p>
    <w:p>
      <w:pPr>
        <w:pStyle w:val="ListBullet"/>
      </w:pPr>
      <w:r>
        <w:t>Property/unit selection</w:t>
      </w:r>
    </w:p>
    <w:p>
      <w:pPr>
        <w:pStyle w:val="ListBullet"/>
      </w:pPr>
      <w:r>
        <w:t>Reservation and conversion</w:t>
      </w:r>
    </w:p>
    <w:p>
      <w:pPr>
        <w:pStyle w:val="ListBullet"/>
      </w:pPr>
      <w:r>
        <w:t>Sales ownership and assignment</w:t>
      </w:r>
    </w:p>
    <w:p>
      <w:pPr>
        <w:pStyle w:val="Heading1"/>
      </w:pPr>
      <w:r>
        <w:t>13. Brokers, Sales Agents &amp; Organizations</w:t>
      </w:r>
    </w:p>
    <w:p>
      <w:pPr>
        <w:pStyle w:val="ListBullet"/>
      </w:pPr>
      <w:r>
        <w:t>Sales agents</w:t>
      </w:r>
    </w:p>
    <w:p>
      <w:pPr>
        <w:pStyle w:val="ListBullet"/>
      </w:pPr>
      <w:r>
        <w:t>Sales teams and managers</w:t>
      </w:r>
    </w:p>
    <w:p>
      <w:pPr>
        <w:pStyle w:val="ListBullet"/>
      </w:pPr>
      <w:r>
        <w:t>External brokers and broker companies</w:t>
      </w:r>
    </w:p>
    <w:p>
      <w:pPr>
        <w:pStyle w:val="ListBullet"/>
      </w:pPr>
      <w:r>
        <w:t>Referral partners</w:t>
      </w:r>
    </w:p>
    <w:p>
      <w:pPr>
        <w:pStyle w:val="ListBullet"/>
      </w:pPr>
      <w:r>
        <w:t>Sales channels</w:t>
      </w:r>
    </w:p>
    <w:p>
      <w:pPr>
        <w:pStyle w:val="ListBullet"/>
      </w:pPr>
      <w:r>
        <w:t>Configurable relationships and data visibility</w:t>
      </w:r>
    </w:p>
    <w:p>
      <w:pPr>
        <w:pStyle w:val="Heading1"/>
      </w:pPr>
      <w:r>
        <w:t>15. Contract Engine</w:t>
      </w:r>
    </w:p>
    <w:p>
      <w:pPr>
        <w:pStyle w:val="ListBullet"/>
      </w:pPr>
      <w:r>
        <w:t>Contract types</w:t>
      </w:r>
    </w:p>
    <w:p>
      <w:pPr>
        <w:pStyle w:val="ListBullet"/>
      </w:pPr>
      <w:r>
        <w:t>Dynamic fields and commercial terms</w:t>
      </w:r>
    </w:p>
    <w:p>
      <w:pPr>
        <w:pStyle w:val="ListBullet"/>
      </w:pPr>
      <w:r>
        <w:t>Approval workflow</w:t>
      </w:r>
    </w:p>
    <w:p>
      <w:pPr>
        <w:pStyle w:val="ListBullet"/>
      </w:pPr>
      <w:r>
        <w:t>Document templates</w:t>
      </w:r>
    </w:p>
    <w:p>
      <w:pPr>
        <w:pStyle w:val="ListBullet"/>
      </w:pPr>
      <w:r>
        <w:t>Calculated values</w:t>
      </w:r>
    </w:p>
    <w:p>
      <w:pPr>
        <w:pStyle w:val="ListBullet"/>
      </w:pPr>
      <w:r>
        <w:t>Contract lifecycle</w:t>
      </w:r>
    </w:p>
    <w:p>
      <w:pPr>
        <w:pStyle w:val="ListBullet"/>
      </w:pPr>
      <w:r>
        <w:t>Custom contract types</w:t>
      </w:r>
    </w:p>
    <w:p>
      <w:pPr>
        <w:pStyle w:val="Heading1"/>
      </w:pPr>
      <w:r>
        <w:t>17. Collection &amp; Receivables</w:t>
      </w:r>
    </w:p>
    <w:p>
      <w:pPr>
        <w:pStyle w:val="ListBullet"/>
      </w:pPr>
      <w:r>
        <w:t>Due obligations</w:t>
      </w:r>
    </w:p>
    <w:p>
      <w:pPr>
        <w:pStyle w:val="ListBullet"/>
      </w:pPr>
      <w:r>
        <w:t>Invoices or payment requests</w:t>
      </w:r>
    </w:p>
    <w:p>
      <w:pPr>
        <w:pStyle w:val="ListBullet"/>
      </w:pPr>
      <w:r>
        <w:t>Payment allocation</w:t>
      </w:r>
    </w:p>
    <w:p>
      <w:pPr>
        <w:pStyle w:val="ListBullet"/>
      </w:pPr>
      <w:r>
        <w:t>Outstanding balances</w:t>
      </w:r>
    </w:p>
    <w:p>
      <w:pPr>
        <w:pStyle w:val="ListBullet"/>
      </w:pPr>
      <w:r>
        <w:t>Overdue amounts</w:t>
      </w:r>
    </w:p>
    <w:p>
      <w:pPr>
        <w:pStyle w:val="ListBullet"/>
      </w:pPr>
      <w:r>
        <w:t>Collection percentage</w:t>
      </w:r>
    </w:p>
    <w:p>
      <w:pPr>
        <w:pStyle w:val="ListBullet"/>
      </w:pPr>
      <w:r>
        <w:t>Grace periods and penalties</w:t>
      </w:r>
    </w:p>
    <w:p>
      <w:pPr>
        <w:pStyle w:val="Heading1"/>
      </w:pPr>
      <w:r>
        <w:t>18. Expense Management</w:t>
      </w:r>
    </w:p>
    <w:p>
      <w:pPr>
        <w:pStyle w:val="ListBullet"/>
      </w:pPr>
      <w:r>
        <w:t>Marketing</w:t>
      </w:r>
    </w:p>
    <w:p>
      <w:pPr>
        <w:pStyle w:val="ListBullet"/>
      </w:pPr>
      <w:r>
        <w:t>Legal</w:t>
      </w:r>
    </w:p>
    <w:p>
      <w:pPr>
        <w:pStyle w:val="ListBullet"/>
      </w:pPr>
      <w:r>
        <w:t>Finance</w:t>
      </w:r>
    </w:p>
    <w:p>
      <w:pPr>
        <w:pStyle w:val="ListBullet"/>
      </w:pPr>
      <w:r>
        <w:t>Transportation</w:t>
      </w:r>
    </w:p>
    <w:p>
      <w:pPr>
        <w:pStyle w:val="ListBullet"/>
      </w:pPr>
      <w:r>
        <w:t>Consultants</w:t>
      </w:r>
    </w:p>
    <w:p>
      <w:pPr>
        <w:pStyle w:val="ListBullet"/>
      </w:pPr>
      <w:r>
        <w:t>Maintenance</w:t>
      </w:r>
    </w:p>
    <w:p>
      <w:pPr>
        <w:pStyle w:val="ListBullet"/>
      </w:pPr>
      <w:r>
        <w:t>Operations</w:t>
      </w:r>
    </w:p>
    <w:p>
      <w:pPr>
        <w:pStyle w:val="ListBullet"/>
      </w:pPr>
      <w:r>
        <w:t>Government fees</w:t>
      </w:r>
    </w:p>
    <w:p>
      <w:pPr>
        <w:pStyle w:val="ListBullet"/>
      </w:pPr>
      <w:r>
        <w:t>Sales</w:t>
      </w:r>
    </w:p>
    <w:p>
      <w:pPr>
        <w:pStyle w:val="ListBullet"/>
      </w:pPr>
      <w:r>
        <w:t>Any custom expense category</w:t>
      </w:r>
    </w:p>
    <w:p>
      <w:pPr>
        <w:pStyle w:val="Heading1"/>
      </w:pPr>
      <w:r>
        <w:t>21. Notification Engine</w:t>
      </w:r>
    </w:p>
    <w:p>
      <w:pPr>
        <w:pStyle w:val="ListBullet"/>
      </w:pPr>
      <w:r>
        <w:t>Payment due</w:t>
      </w:r>
    </w:p>
    <w:p>
      <w:pPr>
        <w:pStyle w:val="ListBullet"/>
      </w:pPr>
      <w:r>
        <w:t>Payment overdue</w:t>
      </w:r>
    </w:p>
    <w:p>
      <w:pPr>
        <w:pStyle w:val="ListBullet"/>
      </w:pPr>
      <w:r>
        <w:t>Reservation expiry</w:t>
      </w:r>
    </w:p>
    <w:p>
      <w:pPr>
        <w:pStyle w:val="ListBullet"/>
      </w:pPr>
      <w:r>
        <w:t>Contract expiry</w:t>
      </w:r>
    </w:p>
    <w:p>
      <w:pPr>
        <w:pStyle w:val="ListBullet"/>
      </w:pPr>
      <w:r>
        <w:t>Approval required</w:t>
      </w:r>
    </w:p>
    <w:p>
      <w:pPr>
        <w:pStyle w:val="ListBullet"/>
      </w:pPr>
      <w:r>
        <w:t>Commission eligibility</w:t>
      </w:r>
    </w:p>
    <w:p>
      <w:pPr>
        <w:pStyle w:val="ListBullet"/>
      </w:pPr>
      <w:r>
        <w:t>Market rate changes</w:t>
      </w:r>
    </w:p>
    <w:p>
      <w:pPr>
        <w:pStyle w:val="ListBullet"/>
      </w:pPr>
      <w:r>
        <w:t>Cost threshold alerts</w:t>
      </w:r>
    </w:p>
    <w:p>
      <w:pPr>
        <w:pStyle w:val="ListBullet"/>
      </w:pPr>
      <w:r>
        <w:t>Custom business notifications</w:t>
      </w:r>
    </w:p>
    <w:p>
      <w:pPr>
        <w:pStyle w:val="Heading1"/>
      </w:pPr>
      <w:r>
        <w:t>22. Reporting &amp; Analytics</w:t>
      </w:r>
    </w:p>
    <w:p>
      <w:pPr>
        <w:pStyle w:val="ListBullet"/>
      </w:pPr>
      <w:r>
        <w:t>Property inventory and availability</w:t>
      </w:r>
    </w:p>
    <w:p>
      <w:pPr>
        <w:pStyle w:val="ListBullet"/>
      </w:pPr>
      <w:r>
        <w:t>Project and construction cost</w:t>
      </w:r>
    </w:p>
    <w:p>
      <w:pPr>
        <w:pStyle w:val="ListBullet"/>
      </w:pPr>
      <w:r>
        <w:t>Budget vs actual vs forecast</w:t>
      </w:r>
    </w:p>
    <w:p>
      <w:pPr>
        <w:pStyle w:val="ListBullet"/>
      </w:pPr>
      <w:r>
        <w:t>Cost per SQM and cost per unit</w:t>
      </w:r>
    </w:p>
    <w:p>
      <w:pPr>
        <w:pStyle w:val="ListBullet"/>
      </w:pPr>
      <w:r>
        <w:t>Market price analysis</w:t>
      </w:r>
    </w:p>
    <w:p>
      <w:pPr>
        <w:pStyle w:val="ListBullet"/>
      </w:pPr>
      <w:r>
        <w:t>Lead and sales conversion</w:t>
      </w:r>
    </w:p>
    <w:p>
      <w:pPr>
        <w:pStyle w:val="ListBullet"/>
      </w:pPr>
      <w:r>
        <w:t>Agent and broker performance</w:t>
      </w:r>
    </w:p>
    <w:p>
      <w:pPr>
        <w:pStyle w:val="ListBullet"/>
      </w:pPr>
      <w:r>
        <w:t>Commission liabilities and payments</w:t>
      </w:r>
    </w:p>
    <w:p>
      <w:pPr>
        <w:pStyle w:val="ListBullet"/>
      </w:pPr>
      <w:r>
        <w:t>Revenue and collections</w:t>
      </w:r>
    </w:p>
    <w:p>
      <w:pPr>
        <w:pStyle w:val="ListBullet"/>
      </w:pPr>
      <w:r>
        <w:t>Outstanding and overdue balances</w:t>
      </w:r>
    </w:p>
    <w:p>
      <w:pPr>
        <w:pStyle w:val="ListBullet"/>
      </w:pPr>
      <w:r>
        <w:t>Project/unit profitability</w:t>
      </w:r>
    </w:p>
    <w:p>
      <w:pPr>
        <w:pStyle w:val="ListBullet"/>
      </w:pPr>
      <w:r>
        <w:t>Management dashboards</w:t>
      </w:r>
    </w:p>
    <w:p>
      <w:pPr>
        <w:pStyle w:val="Heading1"/>
      </w:pPr>
      <w:r>
        <w:t>9. Generic Cost Calculation</w:t>
      </w:r>
    </w:p>
    <w:p>
      <w:r>
        <w:t>A cost item may be calculated using different methods.</w:t>
      </w:r>
    </w:p>
    <w:p>
      <w:pPr>
        <w:pStyle w:val="NoSpacing"/>
      </w:pPr>
      <w:r>
        <w:rPr>
          <w:rFonts w:ascii="Courier New" w:hAnsi="Courier New"/>
          <w:sz w:val="18"/>
        </w:rPr>
        <w:t>Fixed Amount</w:t>
        <w:br/>
        <w:t>Quantity × Market Rate</w:t>
        <w:br/>
        <w:t>Quantity × Consumption Factor × Market Rate</w:t>
        <w:br/>
        <w:t>Base Cost × Percentage</w:t>
        <w:br/>
        <w:t>Formula using multiple variables</w:t>
        <w:br/>
        <w:t>Custom business rule</w:t>
      </w:r>
    </w:p>
    <w:p>
      <w:pPr>
        <w:pStyle w:val="NoSpacing"/>
      </w:pPr>
      <w:r>
        <w:rPr>
          <w:rFonts w:ascii="Courier New" w:hAnsi="Courier New"/>
          <w:sz w:val="18"/>
        </w:rPr>
        <w:t>Steel Cost = Built-up Area × Steel Consumption / SQM × Market Steel Rate</w:t>
        <w:br/>
        <w:t>Labor Cost = Man-hours × Hourly Rate</w:t>
        <w:br/>
        <w:t>Contingency = Construction Cost × Configured Percentage</w:t>
      </w:r>
    </w:p>
    <w:p>
      <w:pPr>
        <w:pStyle w:val="Heading1"/>
      </w:pPr>
      <w:r>
        <w:t>11. Pricing Engine</w:t>
      </w:r>
    </w:p>
    <w:p>
      <w:pPr>
        <w:pStyle w:val="NoSpacing"/>
      </w:pPr>
      <w:r>
        <w:rPr>
          <w:rFonts w:ascii="Courier New" w:hAnsi="Courier New"/>
          <w:sz w:val="18"/>
        </w:rPr>
        <w:t>Base Cost</w:t>
        <w:br/>
        <w:t xml:space="preserve"> + Margin</w:t>
        <w:br/>
        <w:t xml:space="preserve"> + Location / Floor / View / Feature Premiums</w:t>
        <w:br/>
        <w:t xml:space="preserve"> - Discounts</w:t>
        <w:br/>
        <w:t xml:space="preserve"> + Taxes / Fees</w:t>
        <w:br/>
        <w:t xml:space="preserve"> = Final Selling Price</w:t>
      </w:r>
    </w:p>
    <w:p>
      <w:pPr>
        <w:pStyle w:val="ListBullet"/>
      </w:pPr>
      <w:r>
        <w:t>Fixed pricing</w:t>
      </w:r>
    </w:p>
    <w:p>
      <w:pPr>
        <w:pStyle w:val="ListBullet"/>
      </w:pPr>
      <w:r>
        <w:t>Price per SQM</w:t>
      </w:r>
    </w:p>
    <w:p>
      <w:pPr>
        <w:pStyle w:val="ListBullet"/>
      </w:pPr>
      <w:r>
        <w:t>Cost-plus pricing</w:t>
      </w:r>
    </w:p>
    <w:p>
      <w:pPr>
        <w:pStyle w:val="ListBullet"/>
      </w:pPr>
      <w:r>
        <w:t>Market-based pricing</w:t>
      </w:r>
    </w:p>
    <w:p>
      <w:pPr>
        <w:pStyle w:val="ListBullet"/>
      </w:pPr>
      <w:r>
        <w:t>Tiered pricing</w:t>
      </w:r>
    </w:p>
    <w:p>
      <w:pPr>
        <w:pStyle w:val="ListBullet"/>
      </w:pPr>
      <w:r>
        <w:t>Customer-specific pricing</w:t>
      </w:r>
    </w:p>
    <w:p>
      <w:pPr>
        <w:pStyle w:val="ListBullet"/>
      </w:pPr>
      <w:r>
        <w:t>Promotional pricing</w:t>
      </w:r>
    </w:p>
    <w:p>
      <w:pPr>
        <w:pStyle w:val="ListBullet"/>
      </w:pPr>
      <w:r>
        <w:t>Date-based pricing</w:t>
      </w:r>
    </w:p>
    <w:p>
      <w:pPr>
        <w:pStyle w:val="ListBullet"/>
      </w:pPr>
      <w:r>
        <w:t>Project/unit-specific rules</w:t>
      </w:r>
    </w:p>
    <w:p>
      <w:pPr>
        <w:pStyle w:val="Heading1"/>
      </w:pPr>
      <w:r>
        <w:t>14. Commission Engine</w:t>
      </w:r>
    </w:p>
    <w:p>
      <w:pPr>
        <w:pStyle w:val="NoSpacing"/>
      </w:pPr>
      <w:r>
        <w:rPr>
          <w:rFonts w:ascii="Courier New" w:hAnsi="Courier New"/>
          <w:sz w:val="18"/>
        </w:rPr>
        <w:t>Commission = Sale Value × Rate</w:t>
        <w:br/>
        <w:t>Commission = Collected Amount × Rate</w:t>
        <w:br/>
        <w:t>Tiered Commission by Deal Value</w:t>
        <w:br/>
        <w:t>Property / Project / Agent / Broker-specific Commission</w:t>
        <w:br/>
        <w:t>Custom Commission Formula</w:t>
      </w:r>
    </w:p>
    <w:p>
      <w:pPr>
        <w:pStyle w:val="NoSpacing"/>
      </w:pPr>
      <w:r>
        <w:rPr>
          <w:rFonts w:ascii="Courier New" w:hAnsi="Courier New"/>
          <w:sz w:val="18"/>
        </w:rPr>
        <w:t>Example: 0–2M → 1% | 2M–5M → 1.5% | Above 5M → 2.5%</w:t>
      </w:r>
    </w:p>
    <w:p>
      <w:r>
        <w:t>A transaction can distribute commissions among broker, sales agent, manager, team or referral partner. Eligibility, approval and payment timing are configurable.</w:t>
      </w:r>
    </w:p>
    <w:p>
      <w:pPr>
        <w:pStyle w:val="NoSpacing"/>
      </w:pPr>
      <w:r>
        <w:rPr>
          <w:rFonts w:ascii="Courier New" w:hAnsi="Courier New"/>
          <w:sz w:val="18"/>
        </w:rPr>
        <w:t>Calculated → Eligible → Approved → Payable → Paid</w:t>
      </w:r>
    </w:p>
    <w:p>
      <w:pPr>
        <w:pStyle w:val="Heading1"/>
      </w:pPr>
      <w:r>
        <w:t>16. Payment Plan Engine</w:t>
      </w:r>
    </w:p>
    <w:p>
      <w:pPr>
        <w:pStyle w:val="NoSpacing"/>
      </w:pPr>
      <w:r>
        <w:rPr>
          <w:rFonts w:ascii="Courier New" w:hAnsi="Courier New"/>
          <w:sz w:val="18"/>
        </w:rPr>
        <w:t>10% Booking</w:t>
        <w:br/>
        <w:t>20% Contract</w:t>
        <w:br/>
        <w:t>30% After 6 Months</w:t>
        <w:br/>
        <w:t>20% After 12 Months</w:t>
        <w:br/>
        <w:t>20% Handover</w:t>
      </w:r>
    </w:p>
    <w:p>
      <w:r>
        <w:t>Other models can include monthly, quarterly, yearly, custom-date, milestone, balloon, handover, interest, discount and other configurable payment structures.</w:t>
      </w:r>
    </w:p>
    <w:p>
      <w:pPr>
        <w:pStyle w:val="Heading1"/>
      </w:pPr>
      <w:r>
        <w:t>19. Profitability Engine</w:t>
      </w:r>
    </w:p>
    <w:p>
      <w:pPr>
        <w:pStyle w:val="NoSpacing"/>
      </w:pPr>
      <w:r>
        <w:rPr>
          <w:rFonts w:ascii="Courier New" w:hAnsi="Courier New"/>
          <w:sz w:val="18"/>
        </w:rPr>
        <w:t>Total Revenue - Total Cost = Gross Profit</w:t>
        <w:br/>
        <w:t>Gross Profit - Operating / Financial Costs = Net Profit</w:t>
      </w:r>
    </w:p>
    <w:p>
      <w:pPr>
        <w:pStyle w:val="ListBullet"/>
      </w:pPr>
      <w:r>
        <w:t>Project profitability</w:t>
      </w:r>
    </w:p>
    <w:p>
      <w:pPr>
        <w:pStyle w:val="ListBullet"/>
      </w:pPr>
      <w:r>
        <w:t>Building profitability</w:t>
      </w:r>
    </w:p>
    <w:p>
      <w:pPr>
        <w:pStyle w:val="ListBullet"/>
      </w:pPr>
      <w:r>
        <w:t>Unit profitability</w:t>
      </w:r>
    </w:p>
    <w:p>
      <w:pPr>
        <w:pStyle w:val="ListBullet"/>
      </w:pPr>
      <w:r>
        <w:t>Profit per SQM</w:t>
      </w:r>
    </w:p>
    <w:p>
      <w:pPr>
        <w:pStyle w:val="ListBullet"/>
      </w:pPr>
      <w:r>
        <w:t>Expected vs actual profit</w:t>
      </w:r>
    </w:p>
    <w:p>
      <w:pPr>
        <w:pStyle w:val="ListBullet"/>
      </w:pPr>
      <w:r>
        <w:t>Forecast profit</w:t>
      </w:r>
    </w:p>
    <w:p>
      <w:pPr>
        <w:pStyle w:val="ListBullet"/>
      </w:pPr>
      <w:r>
        <w:t>Margin percentage</w:t>
      </w:r>
    </w:p>
    <w:p>
      <w:pPr>
        <w:pStyle w:val="ListBullet"/>
      </w:pPr>
      <w:r>
        <w:t>ROI and configurable KPIs</w:t>
      </w:r>
    </w:p>
    <w:p>
      <w:pPr>
        <w:pStyle w:val="Heading1"/>
      </w:pPr>
      <w:r>
        <w:t>20. Workflow &amp; Approval Engine</w:t>
      </w:r>
    </w:p>
    <w:p>
      <w:pPr>
        <w:pStyle w:val="NoSpacing"/>
      </w:pPr>
      <w:r>
        <w:rPr>
          <w:rFonts w:ascii="Courier New" w:hAnsi="Courier New"/>
          <w:sz w:val="18"/>
        </w:rPr>
        <w:t>Draft → Submitted → Review → Approval → Approved → Completed</w:t>
      </w:r>
    </w:p>
    <w:p>
      <w:r>
        <w:t>Stages, conditions, roles and approval thresholds are configurable. For example, different discount levels can route to different approvers.</w:t>
      </w:r>
    </w:p>
    <w:p>
      <w:pPr>
        <w:pStyle w:val="Heading1"/>
      </w:pPr>
      <w:r>
        <w:t>23. Generic Formula Model</w:t>
      </w:r>
    </w:p>
    <w:p>
      <w:pPr>
        <w:pStyle w:val="NoSpacing"/>
      </w:pPr>
      <w:r>
        <w:rPr>
          <w:rFonts w:ascii="Courier New" w:hAnsi="Courier New"/>
          <w:sz w:val="18"/>
        </w:rPr>
        <w:t>Inputs + Variables + Market Data + Operators + Functions + Conditions = Calculated Result</w:t>
      </w:r>
    </w:p>
    <w:p>
      <w:r>
        <w:t>The objective is to allow business-defined formulas without changing application code for every new commercial scenario.</w:t>
      </w:r>
    </w:p>
    <w:p>
      <w:pPr>
        <w:pStyle w:val="Heading1"/>
      </w:pPr>
      <w:r>
        <w:t>24. Generic Rule Model</w:t>
      </w:r>
    </w:p>
    <w:p>
      <w:pPr>
        <w:pStyle w:val="NoSpacing"/>
      </w:pPr>
      <w:r>
        <w:rPr>
          <w:rFonts w:ascii="Courier New" w:hAnsi="Courier New"/>
          <w:sz w:val="18"/>
        </w:rPr>
        <w:t>IF condition(s)</w:t>
        <w:br/>
        <w:t>THEN action(s)</w:t>
        <w:br/>
        <w:t>ELSE alternative action(s)</w:t>
      </w:r>
    </w:p>
    <w:p>
      <w:pPr>
        <w:pStyle w:val="ListBullet"/>
      </w:pPr>
      <w:r>
        <w:t>Eligibility rules</w:t>
      </w:r>
    </w:p>
    <w:p>
      <w:pPr>
        <w:pStyle w:val="ListBullet"/>
      </w:pPr>
      <w:r>
        <w:t>Pricing rules</w:t>
      </w:r>
    </w:p>
    <w:p>
      <w:pPr>
        <w:pStyle w:val="ListBullet"/>
      </w:pPr>
      <w:r>
        <w:t>Commission rules</w:t>
      </w:r>
    </w:p>
    <w:p>
      <w:pPr>
        <w:pStyle w:val="ListBullet"/>
      </w:pPr>
      <w:r>
        <w:t>Approval rules</w:t>
      </w:r>
    </w:p>
    <w:p>
      <w:pPr>
        <w:pStyle w:val="ListBullet"/>
      </w:pPr>
      <w:r>
        <w:t>Collection rules</w:t>
      </w:r>
    </w:p>
    <w:p>
      <w:pPr>
        <w:pStyle w:val="ListBullet"/>
      </w:pPr>
      <w:r>
        <w:t>Cost recalculation rules</w:t>
      </w:r>
    </w:p>
    <w:p>
      <w:pPr>
        <w:pStyle w:val="ListBullet"/>
      </w:pPr>
      <w:r>
        <w:t>Notification rules</w:t>
      </w:r>
    </w:p>
    <w:p>
      <w:pPr>
        <w:pStyle w:val="ListBullet"/>
      </w:pPr>
      <w:r>
        <w:t>Workflow transition rules</w:t>
      </w:r>
    </w:p>
    <w:p>
      <w:pPr>
        <w:pStyle w:val="Heading1"/>
      </w:pPr>
      <w:r>
        <w:t>25. Generic Data Concept</w:t>
      </w:r>
    </w:p>
    <w:p>
      <w:pPr>
        <w:pStyle w:val="NoSpacing"/>
      </w:pPr>
      <w:r>
        <w:rPr>
          <w:rFonts w:ascii="Courier New" w:hAnsi="Courier New"/>
          <w:sz w:val="18"/>
        </w:rPr>
        <w:t>Entity</w:t>
        <w:br/>
        <w:t>Attribute</w:t>
        <w:br/>
        <w:t>Value</w:t>
        <w:br/>
        <w:t>Relationship</w:t>
        <w:br/>
        <w:t>Rule</w:t>
        <w:br/>
        <w:t>Formula</w:t>
        <w:br/>
        <w:t>Workflow</w:t>
        <w:br/>
        <w:t>Configuration</w:t>
        <w:br/>
        <w:t>Market Data</w:t>
        <w:br/>
        <w:t>Transaction</w:t>
        <w:br/>
        <w:t>Calculation</w:t>
        <w:br/>
        <w:t>Result</w:t>
      </w:r>
    </w:p>
    <w:p>
      <w:r>
        <w:t>The real-estate domain sits on top of these generic capabilities rather than being hardwired around one project.</w:t>
      </w:r>
    </w:p>
    <w:p>
      <w:pPr>
        <w:pStyle w:val="Heading1"/>
      </w:pPr>
      <w:r>
        <w:t>26. High-Level Conceptual Architecture</w:t>
      </w:r>
    </w:p>
    <w:p>
      <w:pPr>
        <w:pStyle w:val="NoSpacing"/>
      </w:pPr>
      <w:r>
        <w:rPr>
          <w:rFonts w:ascii="Courier New" w:hAnsi="Courier New"/>
          <w:sz w:val="18"/>
        </w:rPr>
        <w:t xml:space="preserve">                         BUSINESS USERS</w:t>
        <w:br/>
        <w:t xml:space="preserve">                               │</w:t>
        <w:br/>
        <w:t xml:space="preserve">                               ↓</w:t>
        <w:br/>
        <w:t xml:space="preserve">                      CONFIGURATION UI</w:t>
        <w:br/>
        <w:t xml:space="preserve">                               │</w:t>
        <w:br/>
        <w:t xml:space="preserve">              ┌────────────────┼────────────────┐</w:t>
        <w:br/>
        <w:t xml:space="preserve">              ↓                ↓                ↓</w:t>
        <w:br/>
        <w:t xml:space="preserve">         Data Config       Rule Config      Workflow Config</w:t>
        <w:br/>
        <w:t xml:space="preserve">              │                │                │</w:t>
        <w:br/>
        <w:t xml:space="preserve">              └────────────────┼────────────────┘</w:t>
        <w:br/>
        <w:t xml:space="preserve">                               ↓</w:t>
        <w:br/>
        <w:t xml:space="preserve">                        BUSINESS ENGINES</w:t>
        <w:br/>
        <w:t xml:space="preserve">                               │</w:t>
        <w:br/>
        <w:t xml:space="preserve">        ┌──────────────┬───────┼────────┬──────────────┐</w:t>
        <w:br/>
        <w:t xml:space="preserve">        ↓              ↓       ↓        ↓              ↓</w:t>
        <w:br/>
        <w:t xml:space="preserve">   Calculation      Pricing  Commission Workflow     Market Data</w:t>
        <w:br/>
        <w:t xml:space="preserve">        │              │       │        │              │</w:t>
        <w:br/>
        <w:t xml:space="preserve">        └──────────────┴───────┼────────┴──────────────┘</w:t>
        <w:br/>
        <w:t xml:space="preserve">                               ↓</w:t>
        <w:br/>
        <w:t xml:space="preserve">                       TRANSACTION ENGINE</w:t>
        <w:br/>
        <w:t xml:space="preserve">                               │</w:t>
        <w:br/>
        <w:t xml:space="preserve">             ┌─────────────────┼─────────────────┐</w:t>
        <w:br/>
        <w:t xml:space="preserve">             ↓                 ↓                 ↓</w:t>
        <w:br/>
        <w:t xml:space="preserve">          Property           Sales            Finance</w:t>
        <w:br/>
        <w:t xml:space="preserve">             │                 │                 │</w:t>
        <w:br/>
        <w:t xml:space="preserve">             └─────────────────┼─────────────────┘</w:t>
        <w:br/>
        <w:t xml:space="preserve">                               ↓</w:t>
        <w:br/>
        <w:t xml:space="preserve">                     REPORTING &amp; ANALYTICS</w:t>
      </w:r>
    </w:p>
    <w:p>
      <w:pPr>
        <w:pStyle w:val="Heading1"/>
      </w:pPr>
      <w:r>
        <w:t>27. Genericity Rules</w:t>
      </w:r>
    </w:p>
    <w:p>
      <w:pPr>
        <w:pStyle w:val="ListBullet"/>
      </w:pPr>
      <w:r>
        <w:t>Do not hardcode commercial percentages that can be configured.</w:t>
      </w:r>
    </w:p>
    <w:p>
      <w:pPr>
        <w:pStyle w:val="ListBullet"/>
      </w:pPr>
      <w:r>
        <w:t>Do not hardcode payment plans.</w:t>
      </w:r>
    </w:p>
    <w:p>
      <w:pPr>
        <w:pStyle w:val="ListBullet"/>
      </w:pPr>
      <w:r>
        <w:t>Do not hardcode market prices.</w:t>
      </w:r>
    </w:p>
    <w:p>
      <w:pPr>
        <w:pStyle w:val="ListBullet"/>
      </w:pPr>
      <w:r>
        <w:t>Do not hardcode construction materials.</w:t>
      </w:r>
    </w:p>
    <w:p>
      <w:pPr>
        <w:pStyle w:val="ListBullet"/>
      </w:pPr>
      <w:r>
        <w:t>Do not hardcode property hierarchies.</w:t>
      </w:r>
    </w:p>
    <w:p>
      <w:pPr>
        <w:pStyle w:val="ListBullet"/>
      </w:pPr>
      <w:r>
        <w:t>Do not hardcode commission structures.</w:t>
      </w:r>
    </w:p>
    <w:p>
      <w:pPr>
        <w:pStyle w:val="ListBullet"/>
      </w:pPr>
      <w:r>
        <w:t>Do not hardcode approval thresholds.</w:t>
      </w:r>
    </w:p>
    <w:p>
      <w:pPr>
        <w:pStyle w:val="ListBullet"/>
      </w:pPr>
      <w:r>
        <w:t>Do not hardcode business formulas when they can be represented by the formula engine.</w:t>
      </w:r>
    </w:p>
    <w:p>
      <w:pPr>
        <w:pStyle w:val="ListBullet"/>
      </w:pPr>
      <w:r>
        <w:t>Keep historical versions of rates and configurations where calculation traceability matters.</w:t>
      </w:r>
    </w:p>
    <w:p>
      <w:pPr>
        <w:pStyle w:val="ListBullet"/>
      </w:pPr>
      <w:r>
        <w:t>Calculated results should be explainable through their inputs, rules and formula version.</w:t>
      </w:r>
    </w:p>
    <w:p>
      <w:pPr>
        <w:pStyle w:val="Heading1"/>
      </w:pPr>
      <w:r>
        <w:t>28. Example: End-to-End Scenario</w:t>
      </w:r>
    </w:p>
    <w:p>
      <w:pPr>
        <w:pStyle w:val="NoSpacing"/>
      </w:pPr>
      <w:r>
        <w:rPr>
          <w:rFonts w:ascii="Courier New" w:hAnsi="Courier New"/>
          <w:sz w:val="18"/>
        </w:rPr>
        <w:t>Land</w:t>
        <w:br/>
        <w:t xml:space="preserve"> ↓</w:t>
        <w:br/>
        <w:t>Acquisition inputs + fees</w:t>
        <w:br/>
        <w:t xml:space="preserve"> ↓</w:t>
        <w:br/>
        <w:t>Project structure configured</w:t>
        <w:br/>
        <w:t xml:space="preserve"> ↓</w:t>
        <w:br/>
        <w:t>Building / Floor / Unit definitions</w:t>
        <w:br/>
        <w:t xml:space="preserve"> ↓</w:t>
        <w:br/>
        <w:t>Construction cost items defined</w:t>
        <w:br/>
        <w:t xml:space="preserve"> ↓</w:t>
        <w:br/>
        <w:t>Material quantities + market rates entered</w:t>
        <w:br/>
        <w:t xml:space="preserve"> ↓</w:t>
        <w:br/>
        <w:t>Construction cost calculated</w:t>
        <w:br/>
        <w:t xml:space="preserve"> ↓</w:t>
        <w:br/>
        <w:t>Shared costs allocated</w:t>
        <w:br/>
        <w:t xml:space="preserve"> ↓</w:t>
        <w:br/>
        <w:t>Unit cost calculated</w:t>
        <w:br/>
        <w:t xml:space="preserve"> ↓</w:t>
        <w:br/>
        <w:t>Pricing rules applied</w:t>
        <w:br/>
        <w:t xml:space="preserve"> ↓</w:t>
        <w:br/>
        <w:t>Lead assigned to agent / broker</w:t>
        <w:br/>
        <w:t xml:space="preserve"> ↓</w:t>
        <w:br/>
        <w:t>Reservation</w:t>
        <w:br/>
        <w:t xml:space="preserve"> ↓</w:t>
        <w:br/>
        <w:t>Commission calculated</w:t>
        <w:br/>
        <w:t xml:space="preserve"> ↓</w:t>
        <w:br/>
        <w:t>Contract generated</w:t>
        <w:br/>
        <w:t xml:space="preserve"> ↓</w:t>
        <w:br/>
        <w:t>Payment plan calculated</w:t>
        <w:br/>
        <w:t xml:space="preserve"> ↓</w:t>
        <w:br/>
        <w:t>Collections tracked</w:t>
        <w:br/>
        <w:t xml:space="preserve"> ↓</w:t>
        <w:br/>
        <w:t>Profitability recalculated</w:t>
        <w:br/>
        <w:t xml:space="preserve"> ↓</w:t>
        <w:br/>
        <w:t>Management reporting</w:t>
      </w:r>
    </w:p>
    <w:p>
      <w:pPr>
        <w:pStyle w:val="Heading1"/>
      </w:pPr>
      <w:r>
        <w:t>29. What Makes the Platform Different</w:t>
      </w:r>
    </w:p>
    <w:p>
      <w:pPr>
        <w:pStyle w:val="ListBullet"/>
      </w:pPr>
      <w:r>
        <w:t>One generic approach is reused across the entire project lifecycle.</w:t>
      </w:r>
    </w:p>
    <w:p>
      <w:pPr>
        <w:pStyle w:val="ListBullet"/>
      </w:pPr>
      <w:r>
        <w:t>Market-dependent inputs can change without redesigning the system.</w:t>
      </w:r>
    </w:p>
    <w:p>
      <w:pPr>
        <w:pStyle w:val="ListBullet"/>
      </w:pPr>
      <w:r>
        <w:t>New scenarios can be modeled through configuration and rules.</w:t>
      </w:r>
    </w:p>
    <w:p>
      <w:pPr>
        <w:pStyle w:val="ListBullet"/>
      </w:pPr>
      <w:r>
        <w:t>The same core can support different real-estate companies and project models.</w:t>
      </w:r>
    </w:p>
    <w:p>
      <w:pPr>
        <w:pStyle w:val="ListBullet"/>
      </w:pPr>
      <w:r>
        <w:t>The platform separates business definitions from calculations and transactions.</w:t>
      </w:r>
    </w:p>
    <w:p>
      <w:pPr>
        <w:pStyle w:val="Heading1"/>
      </w:pPr>
      <w:r>
        <w:t>30. Product Vision Statement</w:t>
      </w:r>
    </w:p>
    <w:p>
      <w:r>
        <w:t>Build a configurable platform that allows a real-estate organization to define its own properties, costs, market assumptions, pricing models, sales channels, brokers, commissions, contracts, payment plans, workflows and financial rules, while the platform automatically calculates, processes and reports the resulting business outcomes.</w:t>
      </w:r>
    </w:p>
    <w:p>
      <w:pPr>
        <w:pStyle w:val="Heading1"/>
      </w:pPr>
      <w:r>
        <w:t>31. Scope Note</w:t>
      </w:r>
    </w:p>
    <w:p>
      <w:r>
        <w:t>This is a product vision and conceptual model. The supplied images are treated only as references to the business idea; they do not define fixed fields, percentages, formulas, workflows or technical architecture. Detailed requirements, user journeys, business rules, data model, security, integrations and technical architecture should be derived after validating this vision with stakeholders.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