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1: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600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br w:type="textWrapping"/>
        <w:t xml:space="preserve">2: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Mapping Micro-Scale Heat Risk in New York City: A Fine-Grained Index Incorporating Adaptive Capacity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color w:val="575757"/>
          <w:sz w:val="21"/>
          <w:szCs w:val="21"/>
          <w:highlight w:val="white"/>
          <w:rtl w:val="0"/>
        </w:rPr>
        <w:t xml:space="preserve">Miaojing(Mina) Wei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4:</w:t>
      </w:r>
    </w:p>
    <w:p w:rsidR="00000000" w:rsidDel="00000000" w:rsidP="00000000" w:rsidRDefault="00000000" w:rsidRPr="00000000" w14:paraId="00000007">
      <w:pPr>
        <w:widowControl w:val="0"/>
        <w:tabs>
          <w:tab w:val="right" w:leader="none" w:pos="11341.000000000002"/>
        </w:tabs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Graduate School of Architecture, Planning and Preservation, Columbia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Graduate Thesis</w:t>
        <w:br w:type="textWrapping"/>
        <w:t xml:space="preserve">另开一栏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Professor: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Anthony Vanky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6: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Developed a 30-meter resolution Urban Heat Risk Index (UHRI) by integrating Landsat-derived land surface temperature (LST), NDVI, LiDAR elevation, dasymetric population mapping, and Citi Bike trip data. This micro-grid (30×30 m) assessment framework enabled block-level analysis, uncovering spatial disparities that are often masked in traditional census-tract-based Heat Vulnerability Index (HVI) models. A key innovation involved incorporating human mobility data into the adaptive capacity dimension, capturing real-world heat exposure based on commuter behavior. Using spatial-statistical methods, I modeled the interaction between exposure, vulnerability, and adaptive capacity through a weighted composite index. The analysis revealed patterns of environmental injustice, where heat-vulnerable populations face heightened exposure due to limited mobility and infrastructure. Based on these findings, I proposed spatially targeted interventions, including cool corridors and reflective pavements, to mitigate urban heat risk in underserved areas.</w:t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7: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附件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