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35" w:rsidRPr="00E56867" w:rsidRDefault="00B31735" w:rsidP="00B31735">
      <w:pPr>
        <w:rPr>
          <w:b/>
        </w:rPr>
      </w:pPr>
      <w:r w:rsidRPr="00E56867">
        <w:rPr>
          <w:b/>
        </w:rPr>
        <w:t xml:space="preserve">Pourquoi </w:t>
      </w:r>
      <w:proofErr w:type="spellStart"/>
      <w:r w:rsidRPr="00E56867">
        <w:rPr>
          <w:b/>
          <w:u w:val="single"/>
        </w:rPr>
        <w:t>torchaudio</w:t>
      </w:r>
      <w:proofErr w:type="spellEnd"/>
      <w:r w:rsidRPr="00E56867">
        <w:rPr>
          <w:b/>
        </w:rPr>
        <w:t xml:space="preserve"> est souvent préféré à </w:t>
      </w:r>
      <w:proofErr w:type="spellStart"/>
      <w:r w:rsidRPr="00E56867">
        <w:rPr>
          <w:b/>
        </w:rPr>
        <w:t>librosa</w:t>
      </w:r>
      <w:proofErr w:type="spellEnd"/>
      <w:r w:rsidRPr="00E56867">
        <w:rPr>
          <w:b/>
        </w:rPr>
        <w:t xml:space="preserve"> pour certains projets :</w:t>
      </w:r>
    </w:p>
    <w:p w:rsidR="00B31735" w:rsidRDefault="00B31735" w:rsidP="00B31735">
      <w:r>
        <w:t xml:space="preserve">1. Compatibilité avec </w:t>
      </w:r>
      <w:proofErr w:type="spellStart"/>
      <w:r>
        <w:t>PyTorch</w:t>
      </w:r>
      <w:proofErr w:type="spellEnd"/>
    </w:p>
    <w:p w:rsidR="00B31735" w:rsidRDefault="00B31735" w:rsidP="00B31735">
      <w:proofErr w:type="spellStart"/>
      <w:proofErr w:type="gramStart"/>
      <w:r>
        <w:t>torchaudio</w:t>
      </w:r>
      <w:proofErr w:type="spellEnd"/>
      <w:proofErr w:type="gramEnd"/>
      <w:r>
        <w:t xml:space="preserve"> est conçu pour fonctionner directement avec </w:t>
      </w:r>
      <w:proofErr w:type="spellStart"/>
      <w:r>
        <w:t>PyTorch</w:t>
      </w:r>
      <w:proofErr w:type="spellEnd"/>
      <w:r>
        <w:t xml:space="preserve">. Les fichiers audio chargés avec </w:t>
      </w:r>
      <w:proofErr w:type="spellStart"/>
      <w:r>
        <w:t>torchaudio</w:t>
      </w:r>
      <w:proofErr w:type="spellEnd"/>
      <w:r>
        <w:t xml:space="preserve"> sont retournés sous forme de tenseurs </w:t>
      </w:r>
      <w:proofErr w:type="spellStart"/>
      <w:r>
        <w:t>PyTorch</w:t>
      </w:r>
      <w:proofErr w:type="spellEnd"/>
      <w:r>
        <w:t xml:space="preserve">, ce qui simplifie l'intégration dans les modèles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sans nécessiter de conversion.</w:t>
      </w:r>
    </w:p>
    <w:p w:rsidR="00B31735" w:rsidRDefault="00B31735" w:rsidP="00B31735">
      <w:r>
        <w:t>Cela permet également d’utiliser les capacités de calcul GPU pour les transformations audio, ce qui peut accélérer le traitement, surtout avec de grandes quantités de données.</w:t>
      </w:r>
    </w:p>
    <w:p w:rsidR="00B31735" w:rsidRDefault="00B31735" w:rsidP="00B31735"/>
    <w:p w:rsidR="00B31735" w:rsidRDefault="00B31735" w:rsidP="00B31735">
      <w:r>
        <w:t>2. Prise en charge native de plusieurs formats audio</w:t>
      </w:r>
    </w:p>
    <w:p w:rsidR="00B31735" w:rsidRDefault="00B31735" w:rsidP="00B31735">
      <w:proofErr w:type="spellStart"/>
      <w:proofErr w:type="gramStart"/>
      <w:r>
        <w:t>torchaudio</w:t>
      </w:r>
      <w:proofErr w:type="spellEnd"/>
      <w:proofErr w:type="gramEnd"/>
      <w:r>
        <w:t xml:space="preserve"> prend en charge divers formats audio, notamment .</w:t>
      </w:r>
      <w:proofErr w:type="spellStart"/>
      <w:r>
        <w:t>wav</w:t>
      </w:r>
      <w:proofErr w:type="spellEnd"/>
      <w:r>
        <w:t>, .flac, et d'autres, sans nécessiter de codecs supplémentaires.</w:t>
      </w:r>
    </w:p>
    <w:p w:rsidR="00B31735" w:rsidRDefault="00B31735" w:rsidP="00B31735">
      <w:proofErr w:type="spellStart"/>
      <w:proofErr w:type="gramStart"/>
      <w:r>
        <w:t>librosa</w:t>
      </w:r>
      <w:proofErr w:type="spellEnd"/>
      <w:proofErr w:type="gramEnd"/>
      <w:r>
        <w:t>, quant à lui, se concentre principalement sur les fichiers .</w:t>
      </w:r>
      <w:proofErr w:type="spellStart"/>
      <w:r>
        <w:t>wav</w:t>
      </w:r>
      <w:proofErr w:type="spellEnd"/>
      <w:r>
        <w:t>. Pour les autres formats comme .flac, il peut être nécessaire d’installer des bibliothèques supplémentaires ou de convertir les fichiers au préalable.</w:t>
      </w:r>
    </w:p>
    <w:p w:rsidR="00B31735" w:rsidRDefault="00B31735" w:rsidP="00B31735">
      <w:pPr>
        <w:pBdr>
          <w:bottom w:val="single" w:sz="6" w:space="1" w:color="auto"/>
        </w:pBdr>
      </w:pPr>
    </w:p>
    <w:p w:rsidR="00C05630" w:rsidRDefault="00B31735" w:rsidP="00B31735">
      <w:r w:rsidRPr="00B31735">
        <w:rPr>
          <w:noProof/>
          <w:lang w:eastAsia="fr-FR"/>
        </w:rPr>
        <w:drawing>
          <wp:inline distT="0" distB="0" distL="0" distR="0" wp14:anchorId="467B6519" wp14:editId="270C88BB">
            <wp:extent cx="5760720" cy="2858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30" w:rsidRPr="00C05630" w:rsidRDefault="00C05630" w:rsidP="00C05630"/>
    <w:p w:rsidR="00C05630" w:rsidRPr="00C05630" w:rsidRDefault="00C05630" w:rsidP="00C05630">
      <w:pPr>
        <w:rPr>
          <w:b/>
          <w:i/>
          <w:color w:val="FF0000"/>
        </w:rPr>
      </w:pPr>
      <w:r w:rsidRPr="00C05630">
        <w:rPr>
          <w:b/>
          <w:i/>
          <w:color w:val="FF0000"/>
        </w:rPr>
        <w:t xml:space="preserve">Notre </w:t>
      </w:r>
      <w:proofErr w:type="spellStart"/>
      <w:r w:rsidRPr="00C05630">
        <w:rPr>
          <w:b/>
          <w:i/>
          <w:color w:val="FF0000"/>
        </w:rPr>
        <w:t>Dataset</w:t>
      </w:r>
      <w:proofErr w:type="spellEnd"/>
      <w:r w:rsidRPr="00C05630">
        <w:rPr>
          <w:b/>
          <w:i/>
          <w:color w:val="FF0000"/>
        </w:rPr>
        <w:t> :</w:t>
      </w:r>
    </w:p>
    <w:p w:rsidR="00B31735" w:rsidRPr="00C05630" w:rsidRDefault="00C05630" w:rsidP="00C05630">
      <w:pPr>
        <w:tabs>
          <w:tab w:val="left" w:pos="3744"/>
        </w:tabs>
      </w:pPr>
      <w:bookmarkStart w:id="0" w:name="_GoBack"/>
      <w:r w:rsidRPr="00C05630">
        <w:drawing>
          <wp:inline distT="0" distB="0" distL="0" distR="0" wp14:anchorId="250A6B4A" wp14:editId="3B39E0A1">
            <wp:extent cx="6503670" cy="373711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5086" cy="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735" w:rsidRPr="00C05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35"/>
    <w:rsid w:val="00B31735"/>
    <w:rsid w:val="00C05630"/>
    <w:rsid w:val="00DB0208"/>
    <w:rsid w:val="00E5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2045"/>
  <w15:chartTrackingRefBased/>
  <w15:docId w15:val="{59F9DBEE-D062-417E-9C0C-84C8648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6</cp:revision>
  <dcterms:created xsi:type="dcterms:W3CDTF">2024-11-11T01:54:00Z</dcterms:created>
  <dcterms:modified xsi:type="dcterms:W3CDTF">2024-11-12T19:20:00Z</dcterms:modified>
</cp:coreProperties>
</file>