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5ca2374972364b5b" /><Relationship Type="http://schemas.openxmlformats.org/officeDocument/2006/relationships/officeDocument" Target="/word/document.xml" Id="R401725eaa9724195" /><Relationship Type="http://schemas.microsoft.com/office/2011/relationships/webextensiontaskpanes" Target="/word/webextensions/taskpanes.xml" Id="R97cb62d1ccc44763" /><Relationship Type="http://schemas.openxmlformats.org/package/2006/relationships/metadata/core-properties" Target="/package/services/metadata/core-properties/0d6b015c77bc4e6a994ee7b9653ebe42.psmdcp" Id="Rf0f0d70f0ba346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fad39d290f4d454c" /><Relationship Type="http://schemas.openxmlformats.org/officeDocument/2006/relationships/webSettings" Target="/word/webSettings.xml" Id="Ra153a71e5c4f410a" /><Relationship Type="http://schemas.openxmlformats.org/officeDocument/2006/relationships/fontTable" Target="/word/fontTable.xml" Id="R622ecc5b448041e9" /><Relationship Type="http://schemas.openxmlformats.org/officeDocument/2006/relationships/settings" Target="/word/settings.xml" Id="R21114f7b99554e08" /><Relationship Type="http://schemas.openxmlformats.org/officeDocument/2006/relationships/styles" Target="/word/styles.xml" Id="Rd848d2393cab43e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e8d0064cf6a4bf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8e8d0064cf6a4bf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39ecfb5d-862e-4c51-8990-a03bd460ddf8}">
  <we:reference id="29a72cd0-bc9d-4e75-beca-6ef1a6c2968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