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Sub-heading Policy</w:t>
      </w:r>
    </w:p>
    <w:p>
      <w:pPr>
        <w:pStyle w:val="Heading2"/>
      </w:pPr>
      <w:r>
        <w:t xml:space="preserve">Leave types</w:t>
      </w:r>
    </w:p>
    <w:p>
      <w:r>
        <w:t xml:space="preserve">Annual leave is 20 days.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2026-10-14T01:24:37.595Z</dcterms:created>
  <dcterms:modified xsi:type="dcterms:W3CDTF">2026-10-14T01:24:37.595Z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