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KVキャッシュ量子化アルゴリズム 比較評価レポート</w:t>
      </w:r>
    </w:p>
    <w:p>
      <w:pPr>
        <w:spacing w:after="320"/>
      </w:pPr>
      <w:r>
        <w:rPr>
          <w:i/>
          <w:iCs/>
          <w:color w:val="555555"/>
          <w:sz w:val="19"/>
          <w:szCs w:val="19"/>
        </w:rPr>
        <w:t xml:space="preserve">対象手法: TurboQuant / RotorQuant / HyperQuant / UltraQuant　|　評価モデル: Meta-Llama 3.1 8B, Mistral 7B v0.3, Qwen2.5 7B　|　計算資源: ai-l40s</w:t>
      </w:r>
    </w:p>
    <w:p>
      <w:pPr>
        <w:pStyle w:val="Heading1"/>
        <w:spacing w:after="160" w:before="320"/>
      </w:pPr>
      <w:r>
        <w:t xml:space="preserve">1. 実験概要</w:t>
      </w:r>
    </w:p>
    <w:p>
      <w:pPr>
        <w:spacing w:after="160"/>
      </w:pPr>
      <w:r>
        <w:rPr>
          <w:b w:val="false"/>
          <w:bCs w:val="false"/>
          <w:sz w:val="21"/>
          <w:szCs w:val="21"/>
        </w:rPr>
        <w:t xml:space="preserve">目的: 近年注目を集めるtransformerにおけるKVキャッシュの量子化アルゴリズムを比較し、精度・速度・圧縮率の観点から性能評価を行う。</w:t>
      </w:r>
    </w:p>
    <w:p>
      <w:pPr>
        <w:spacing w:after="160"/>
      </w:pPr>
      <w:r>
        <w:rPr>
          <w:b/>
          <w:bCs/>
          <w:sz w:val="21"/>
          <w:szCs w:val="21"/>
        </w:rPr>
        <w:t xml:space="preserve">比較対象手法:</w:t>
      </w:r>
    </w:p>
    <w:p>
      <w:pPr>
        <w:pStyle w:val="ListParagraph"/>
        <w:numPr>
          <w:ilvl w:val="0"/>
          <w:numId w:val="1"/>
        </w:numPr>
        <w:spacing w:after="80"/>
      </w:pPr>
      <w:r>
        <w:rPr>
          <w:sz w:val="21"/>
          <w:szCs w:val="21"/>
        </w:rPr>
        <w:t xml:space="preserve">TurboQuant（Google Research, ICLR 2026）: 極座標変換（PolarQuant）とJohnson-Lindenstrauss変換による1bit残差補正（QJL）を組み合わせた2段階圧縮。</w:t>
      </w:r>
    </w:p>
    <w:p>
      <w:pPr>
        <w:pStyle w:val="ListParagraph"/>
        <w:numPr>
          <w:ilvl w:val="0"/>
          <w:numId w:val="1"/>
        </w:numPr>
        <w:spacing w:after="80"/>
      </w:pPr>
      <w:r>
        <w:rPr>
          <w:sz w:val="21"/>
          <w:szCs w:val="21"/>
        </w:rPr>
        <w:t xml:space="preserve">RotorQuant（Scrya社）: TurboQuantの回転処理をClifford代数のロータ演算に置き換え、演算量とパラメータ数を大幅削減。</w:t>
      </w:r>
    </w:p>
    <w:p>
      <w:pPr>
        <w:pStyle w:val="ListParagraph"/>
        <w:numPr>
          <w:ilvl w:val="0"/>
          <w:numId w:val="1"/>
        </w:numPr>
        <w:spacing w:after="80"/>
      </w:pPr>
      <w:r>
        <w:rPr>
          <w:sz w:val="21"/>
          <w:szCs w:val="21"/>
        </w:rPr>
        <w:t xml:space="preserve">HyperQuant: モデル重みとKVキャッシュを統一的に扱うレート・歪み理論ベースの格子量子化（A2/D4/E8）＋エントロピー符号化。</w:t>
      </w:r>
    </w:p>
    <w:p>
      <w:pPr>
        <w:pStyle w:val="ListParagraph"/>
        <w:numPr>
          <w:ilvl w:val="0"/>
          <w:numId w:val="1"/>
        </w:numPr>
        <w:spacing w:after="80"/>
      </w:pPr>
      <w:r>
        <w:rPr>
          <w:sz w:val="21"/>
          <w:szCs w:val="21"/>
        </w:rPr>
        <w:t xml:space="preserve">UltraQuant: ソフトウェア処理（コードブック参照・QJL補正）を排除し、GPUネイティブのFP4形式に最適化したシステム指向の4bit手法。</w:t>
      </w:r>
    </w:p>
    <w:p>
      <w:pPr>
        <w:spacing w:after="160"/>
      </w:pPr>
      <w:r>
        <w:rPr>
          <w:b w:val="false"/>
          <w:bCs w:val="false"/>
          <w:sz w:val="21"/>
          <w:szCs w:val="21"/>
        </w:rPr>
        <w:t xml:space="preserve">評価項目: 生成速度（プレフィル/デコード）、圧縮率、Perplexity、LongBench等の多タスク精度、Needle-in-a-Haystack（NIAH）による長文検索精度、アテンション忠実度（コサイン類似度、Top-1/Top-5一致率）。</w:t>
      </w:r>
    </w:p>
    <w:p>
      <w:pPr>
        <w:pStyle w:val="Heading1"/>
        <w:spacing w:after="160" w:before="320"/>
      </w:pPr>
      <w:r>
        <w:t xml:space="preserve">2. 総合サマリー表</w:t>
      </w:r>
    </w:p>
    <w:p>
      <w:pPr>
        <w:spacing w:after="160"/>
      </w:pPr>
      <w:r>
        <w:rPr>
          <w:b w:val="false"/>
          <w:bCs w:val="false"/>
          <w:sz w:val="21"/>
          <w:szCs w:val="21"/>
        </w:rPr>
        <w:t xml:space="preserve">全手法・全モデルのPerplexity、生成速度、圧縮率、NIAH正解可否を横並びにまとめた一覧。</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500"/>
        <w:gridCol w:w="1600"/>
        <w:gridCol w:w="1900"/>
        <w:gridCol w:w="1500"/>
      </w:tblGrid>
      <w:tr>
        <w:trPr>
          <w:tblHeader/>
        </w:trPr>
        <w:tc>
          <w:tcPr>
            <w:tcW w:type="dxa" w:w="1700"/>
            <w:shd w:fill="2F5496" w:val="clear"/>
            <w:tcMar>
              <w:top w:type="dxa" w:w="80"/>
              <w:left w:type="dxa" w:w="100"/>
              <w:bottom w:type="dxa" w:w="80"/>
              <w:right w:type="dxa" w:w="100"/>
            </w:tcMar>
            <w:vAlign w:val="center"/>
          </w:tcPr>
          <w:p>
            <w:pPr>
              <w:jc w:val="center"/>
            </w:pPr>
            <w:r>
              <w:rPr>
                <w:b/>
                <w:bCs/>
                <w:color w:val="FFFFFF"/>
                <w:sz w:val="19"/>
                <w:szCs w:val="19"/>
              </w:rPr>
              <w:t xml:space="preserve">モデル</w:t>
            </w:r>
          </w:p>
        </w:tc>
        <w:tc>
          <w:tcPr>
            <w:tcW w:type="dxa" w:w="1700"/>
            <w:shd w:fill="2F5496" w:val="clear"/>
            <w:tcMar>
              <w:top w:type="dxa" w:w="80"/>
              <w:left w:type="dxa" w:w="100"/>
              <w:bottom w:type="dxa" w:w="80"/>
              <w:right w:type="dxa" w:w="100"/>
            </w:tcMar>
            <w:vAlign w:val="center"/>
          </w:tcPr>
          <w:p>
            <w:pPr>
              <w:jc w:val="center"/>
            </w:pPr>
            <w:r>
              <w:rPr>
                <w:b/>
                <w:bCs/>
                <w:color w:val="FFFFFF"/>
                <w:sz w:val="19"/>
                <w:szCs w:val="19"/>
              </w:rPr>
              <w:t xml:space="preserve">手法</w:t>
            </w:r>
          </w:p>
        </w:tc>
        <w:tc>
          <w:tcPr>
            <w:tcW w:type="dxa" w:w="1500"/>
            <w:shd w:fill="2F5496" w:val="clear"/>
            <w:tcMar>
              <w:top w:type="dxa" w:w="80"/>
              <w:left w:type="dxa" w:w="100"/>
              <w:bottom w:type="dxa" w:w="80"/>
              <w:right w:type="dxa" w:w="100"/>
            </w:tcMar>
            <w:vAlign w:val="center"/>
          </w:tcPr>
          <w:p>
            <w:pPr>
              <w:jc w:val="center"/>
            </w:pPr>
            <w:r>
              <w:rPr>
                <w:b/>
                <w:bCs/>
                <w:color w:val="FFFFFF"/>
                <w:sz w:val="19"/>
                <w:szCs w:val="19"/>
              </w:rPr>
              <w:t xml:space="preserve">Perplexity</w:t>
            </w:r>
          </w:p>
        </w:tc>
        <w:tc>
          <w:tcPr>
            <w:tcW w:type="dxa" w:w="1600"/>
            <w:shd w:fill="2F5496" w:val="clear"/>
            <w:tcMar>
              <w:top w:type="dxa" w:w="80"/>
              <w:left w:type="dxa" w:w="100"/>
              <w:bottom w:type="dxa" w:w="80"/>
              <w:right w:type="dxa" w:w="100"/>
            </w:tcMar>
            <w:vAlign w:val="center"/>
          </w:tcPr>
          <w:p>
            <w:pPr>
              <w:jc w:val="center"/>
            </w:pPr>
            <w:r>
              <w:rPr>
                <w:b/>
                <w:bCs/>
                <w:color w:val="FFFFFF"/>
                <w:sz w:val="19"/>
                <w:szCs w:val="19"/>
              </w:rPr>
              <w:t xml:space="preserve">生成速度
(tok/s)</w:t>
            </w:r>
          </w:p>
        </w:tc>
        <w:tc>
          <w:tcPr>
            <w:tcW w:type="dxa" w:w="1900"/>
            <w:shd w:fill="2F5496" w:val="clear"/>
            <w:tcMar>
              <w:top w:type="dxa" w:w="80"/>
              <w:left w:type="dxa" w:w="100"/>
              <w:bottom w:type="dxa" w:w="80"/>
              <w:right w:type="dxa" w:w="100"/>
            </w:tcMar>
            <w:vAlign w:val="center"/>
          </w:tcPr>
          <w:p>
            <w:pPr>
              <w:jc w:val="center"/>
            </w:pPr>
            <w:r>
              <w:rPr>
                <w:b/>
                <w:bCs/>
                <w:color w:val="FFFFFF"/>
                <w:sz w:val="19"/>
                <w:szCs w:val="19"/>
              </w:rPr>
              <w:t xml:space="preserve">圧縮率
(KB→MB, 参考値)</w:t>
            </w:r>
          </w:p>
        </w:tc>
        <w:tc>
          <w:tcPr>
            <w:tcW w:type="dxa" w:w="1500"/>
            <w:shd w:fill="2F5496" w:val="clear"/>
            <w:tcMar>
              <w:top w:type="dxa" w:w="80"/>
              <w:left w:type="dxa" w:w="100"/>
              <w:bottom w:type="dxa" w:w="80"/>
              <w:right w:type="dxa" w:w="100"/>
            </w:tcMar>
            <w:vAlign w:val="center"/>
          </w:tcPr>
          <w:p>
            <w:pPr>
              <w:jc w:val="center"/>
            </w:pPr>
            <w:r>
              <w:rPr>
                <w:b/>
                <w:bCs/>
                <w:color w:val="FFFFFF"/>
                <w:sz w:val="19"/>
                <w:szCs w:val="19"/>
              </w:rPr>
              <w:t xml:space="preserve">NIAH
正解</w:t>
            </w:r>
          </w:p>
        </w:tc>
      </w:tr>
      <w:tr>
        <w:tc>
          <w:tcPr>
            <w:tcW w:type="dxa" w:w="1700"/>
            <w:tcMar>
              <w:top w:type="dxa" w:w="60"/>
              <w:left w:type="dxa" w:w="100"/>
              <w:bottom w:type="dxa" w:w="60"/>
              <w:right w:type="dxa" w:w="100"/>
            </w:tcMar>
            <w:vAlign w:val="center"/>
          </w:tcPr>
          <w:p>
            <w:pPr>
              <w:jc w:val="left"/>
            </w:pPr>
            <w:r>
              <w:rPr>
                <w:b/>
                <w:bCs/>
                <w:color w:val="000000"/>
                <w:sz w:val="19"/>
                <w:szCs w:val="19"/>
              </w:rPr>
              <w:t xml:space="preserve">Meta-Llama 3.1 8B</w:t>
            </w:r>
          </w:p>
        </w:tc>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FP16 (ベースライン)</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5.567</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32.43</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1024MB / 289MB (×0.28)</w:t>
            </w:r>
          </w:p>
        </w:tc>
        <w:tc>
          <w:tcPr>
            <w:tcW w:type="dxa" w:w="1500"/>
            <w:tcMar>
              <w:top w:type="dxa" w:w="60"/>
              <w:left w:type="dxa" w:w="100"/>
              <w:bottom w:type="dxa" w:w="60"/>
              <w:right w:type="dxa" w:w="100"/>
            </w:tcMar>
            <w:vAlign w:val="center"/>
          </w:tcPr>
          <w:p>
            <w:pPr>
              <w:jc w:val="center"/>
            </w:pPr>
            <w:r>
              <w:rPr>
                <w:b/>
                <w:bCs/>
                <w:color w:val="1F7A1F"/>
                <w:sz w:val="19"/>
                <w:szCs w:val="19"/>
              </w:rPr>
              <w:t xml:space="preserve">○</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TurboQuant</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6.777</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28.81</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1024MB / 289MB (×0.28)</w:t>
            </w:r>
          </w:p>
        </w:tc>
        <w:tc>
          <w:tcPr>
            <w:tcW w:type="dxa" w:w="1500"/>
            <w:shd w:fill="F2F2F2" w:val="clear"/>
            <w:tcMar>
              <w:top w:type="dxa" w:w="60"/>
              <w:left w:type="dxa" w:w="100"/>
              <w:bottom w:type="dxa" w:w="60"/>
              <w:right w:type="dxa" w:w="100"/>
            </w:tcMar>
            <w:vAlign w:val="center"/>
          </w:tcPr>
          <w:p>
            <w:pPr>
              <w:jc w:val="center"/>
            </w:pPr>
            <w:r>
              <w:rPr>
                <w:b/>
                <w:bCs/>
                <w:color w:val="1F7A1F"/>
                <w:sz w:val="19"/>
                <w:szCs w:val="19"/>
              </w:rPr>
              <w:t xml:space="preserve">○</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RotorQuant</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5.735</w:t>
            </w:r>
          </w:p>
        </w:tc>
        <w:tc>
          <w:tcPr>
            <w:tcW w:type="dxa" w:w="1600"/>
            <w:tcMar>
              <w:top w:type="dxa" w:w="60"/>
              <w:left w:type="dxa" w:w="100"/>
              <w:bottom w:type="dxa" w:w="60"/>
              <w:right w:type="dxa" w:w="100"/>
            </w:tcMar>
            <w:vAlign w:val="center"/>
          </w:tcPr>
          <w:p>
            <w:pPr>
              <w:jc w:val="center"/>
            </w:pPr>
            <w:r>
              <w:rPr>
                <w:b w:val="false"/>
                <w:bCs w:val="false"/>
                <w:color w:val="C00000"/>
                <w:sz w:val="19"/>
                <w:szCs w:val="19"/>
              </w:rPr>
              <w:t xml:space="preserve">0.88</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1024MB / 289MB (×0.28)</w:t>
            </w:r>
          </w:p>
        </w:tc>
        <w:tc>
          <w:tcPr>
            <w:tcW w:type="dxa" w:w="1500"/>
            <w:tcMar>
              <w:top w:type="dxa" w:w="60"/>
              <w:left w:type="dxa" w:w="100"/>
              <w:bottom w:type="dxa" w:w="60"/>
              <w:right w:type="dxa" w:w="100"/>
            </w:tcMar>
            <w:vAlign w:val="center"/>
          </w:tcPr>
          <w:p>
            <w:pPr>
              <w:jc w:val="center"/>
            </w:pPr>
            <w:r>
              <w:rPr>
                <w:b/>
                <w:bCs/>
                <w:color w:val="1F7A1F"/>
                <w:sz w:val="19"/>
                <w:szCs w:val="19"/>
              </w:rPr>
              <w:t xml:space="preserve">○</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HyperQuant</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7.326</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19.94</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1024MB / 289MB (×0.28)</w:t>
            </w:r>
          </w:p>
        </w:tc>
        <w:tc>
          <w:tcPr>
            <w:tcW w:type="dxa" w:w="1500"/>
            <w:shd w:fill="F2F2F2" w:val="clear"/>
            <w:tcMar>
              <w:top w:type="dxa" w:w="60"/>
              <w:left w:type="dxa" w:w="100"/>
              <w:bottom w:type="dxa" w:w="60"/>
              <w:right w:type="dxa" w:w="100"/>
            </w:tcMar>
            <w:vAlign w:val="center"/>
          </w:tcPr>
          <w:p>
            <w:pPr>
              <w:jc w:val="center"/>
            </w:pPr>
            <w:r>
              <w:rPr>
                <w:b/>
                <w:bCs/>
                <w:color w:val="1F7A1F"/>
                <w:sz w:val="19"/>
                <w:szCs w:val="19"/>
              </w:rPr>
              <w:t xml:space="preserve">○</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UltraQuant</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5.692</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27.95</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1024MB / 289MB (×0.28)</w:t>
            </w:r>
          </w:p>
        </w:tc>
        <w:tc>
          <w:tcPr>
            <w:tcW w:type="dxa" w:w="1500"/>
            <w:tcMar>
              <w:top w:type="dxa" w:w="60"/>
              <w:left w:type="dxa" w:w="100"/>
              <w:bottom w:type="dxa" w:w="60"/>
              <w:right w:type="dxa" w:w="100"/>
            </w:tcMar>
            <w:vAlign w:val="center"/>
          </w:tcPr>
          <w:p>
            <w:pPr>
              <w:jc w:val="center"/>
            </w:pPr>
            <w:r>
              <w:rPr>
                <w:b/>
                <w:bCs/>
                <w:color w:val="1F7A1F"/>
                <w:sz w:val="19"/>
                <w:szCs w:val="19"/>
              </w:rPr>
              <w:t xml:space="preserve">○</w:t>
            </w:r>
          </w:p>
        </w:tc>
      </w:tr>
      <w:tr>
        <w:tc>
          <w:tcPr>
            <w:tcW w:type="dxa" w:w="1700"/>
            <w:shd w:fill="F2F2F2" w:val="clear"/>
            <w:tcMar>
              <w:top w:type="dxa" w:w="60"/>
              <w:left w:type="dxa" w:w="100"/>
              <w:bottom w:type="dxa" w:w="60"/>
              <w:right w:type="dxa" w:w="100"/>
            </w:tcMar>
            <w:vAlign w:val="center"/>
          </w:tcPr>
          <w:p>
            <w:pPr>
              <w:jc w:val="left"/>
            </w:pPr>
            <w:r>
              <w:rPr>
                <w:b/>
                <w:bCs/>
                <w:color w:val="000000"/>
                <w:sz w:val="19"/>
                <w:szCs w:val="19"/>
              </w:rPr>
              <w:t xml:space="preserve">Mistral 7B v0.3</w:t>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FP16 (ベースライン)</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4.876</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33.66</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1024MB / 289MB (×0.28)</w:t>
            </w:r>
          </w:p>
        </w:tc>
        <w:tc>
          <w:tcPr>
            <w:tcW w:type="dxa" w:w="1500"/>
            <w:shd w:fill="F2F2F2" w:val="clear"/>
            <w:tcMar>
              <w:top w:type="dxa" w:w="60"/>
              <w:left w:type="dxa" w:w="100"/>
              <w:bottom w:type="dxa" w:w="60"/>
              <w:right w:type="dxa" w:w="100"/>
            </w:tcMar>
            <w:vAlign w:val="center"/>
          </w:tcPr>
          <w:p>
            <w:pPr>
              <w:jc w:val="center"/>
            </w:pPr>
            <w:r>
              <w:rPr>
                <w:b/>
                <w:bCs/>
                <w:color w:val="1F7A1F"/>
                <w:sz w:val="19"/>
                <w:szCs w:val="19"/>
              </w:rPr>
              <w:t xml:space="preserve">○</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TurboQuant</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5.231</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29.83</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1024MB / 289MB (×0.28)</w:t>
            </w:r>
          </w:p>
        </w:tc>
        <w:tc>
          <w:tcPr>
            <w:tcW w:type="dxa" w:w="1500"/>
            <w:tcMar>
              <w:top w:type="dxa" w:w="60"/>
              <w:left w:type="dxa" w:w="100"/>
              <w:bottom w:type="dxa" w:w="60"/>
              <w:right w:type="dxa" w:w="100"/>
            </w:tcMar>
            <w:vAlign w:val="center"/>
          </w:tcPr>
          <w:p>
            <w:pPr>
              <w:jc w:val="center"/>
            </w:pPr>
            <w:r>
              <w:rPr>
                <w:b/>
                <w:bCs/>
                <w:color w:val="1F7A1F"/>
                <w:sz w:val="19"/>
                <w:szCs w:val="19"/>
              </w:rPr>
              <w:t xml:space="preserve">○</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RotorQuant</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4.927</w:t>
            </w:r>
          </w:p>
        </w:tc>
        <w:tc>
          <w:tcPr>
            <w:tcW w:type="dxa" w:w="1600"/>
            <w:shd w:fill="F2F2F2" w:val="clear"/>
            <w:tcMar>
              <w:top w:type="dxa" w:w="60"/>
              <w:left w:type="dxa" w:w="100"/>
              <w:bottom w:type="dxa" w:w="60"/>
              <w:right w:type="dxa" w:w="100"/>
            </w:tcMar>
            <w:vAlign w:val="center"/>
          </w:tcPr>
          <w:p>
            <w:pPr>
              <w:jc w:val="center"/>
            </w:pPr>
            <w:r>
              <w:rPr>
                <w:b w:val="false"/>
                <w:bCs w:val="false"/>
                <w:color w:val="C00000"/>
                <w:sz w:val="19"/>
                <w:szCs w:val="19"/>
              </w:rPr>
              <w:t xml:space="preserve">0.88</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1024MB / 289MB (×0.28)</w:t>
            </w:r>
          </w:p>
        </w:tc>
        <w:tc>
          <w:tcPr>
            <w:tcW w:type="dxa" w:w="1500"/>
            <w:shd w:fill="F2F2F2" w:val="clear"/>
            <w:tcMar>
              <w:top w:type="dxa" w:w="60"/>
              <w:left w:type="dxa" w:w="100"/>
              <w:bottom w:type="dxa" w:w="60"/>
              <w:right w:type="dxa" w:w="100"/>
            </w:tcMar>
            <w:vAlign w:val="center"/>
          </w:tcPr>
          <w:p>
            <w:pPr>
              <w:jc w:val="center"/>
            </w:pPr>
            <w:r>
              <w:rPr>
                <w:b/>
                <w:bCs/>
                <w:color w:val="1F7A1F"/>
                <w:sz w:val="19"/>
                <w:szCs w:val="19"/>
              </w:rPr>
              <w:t xml:space="preserve">○</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HyperQuant</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5.357</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20.40</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1024MB / 289MB (×0.28)</w:t>
            </w:r>
          </w:p>
        </w:tc>
        <w:tc>
          <w:tcPr>
            <w:tcW w:type="dxa" w:w="1500"/>
            <w:tcMar>
              <w:top w:type="dxa" w:w="60"/>
              <w:left w:type="dxa" w:w="100"/>
              <w:bottom w:type="dxa" w:w="60"/>
              <w:right w:type="dxa" w:w="100"/>
            </w:tcMar>
            <w:vAlign w:val="center"/>
          </w:tcPr>
          <w:p>
            <w:pPr>
              <w:jc w:val="center"/>
            </w:pPr>
            <w:r>
              <w:rPr>
                <w:b/>
                <w:bCs/>
                <w:color w:val="C00000"/>
                <w:sz w:val="19"/>
                <w:szCs w:val="19"/>
              </w:rPr>
              <w:t xml:space="preserve">×</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UltraQuant</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4.907</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28.88</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1024MB / 289MB (×0.28)</w:t>
            </w:r>
          </w:p>
        </w:tc>
        <w:tc>
          <w:tcPr>
            <w:tcW w:type="dxa" w:w="1500"/>
            <w:shd w:fill="F2F2F2" w:val="clear"/>
            <w:tcMar>
              <w:top w:type="dxa" w:w="60"/>
              <w:left w:type="dxa" w:w="100"/>
              <w:bottom w:type="dxa" w:w="60"/>
              <w:right w:type="dxa" w:w="100"/>
            </w:tcMar>
            <w:vAlign w:val="center"/>
          </w:tcPr>
          <w:p>
            <w:pPr>
              <w:jc w:val="center"/>
            </w:pPr>
            <w:r>
              <w:rPr>
                <w:b/>
                <w:bCs/>
                <w:color w:val="1F7A1F"/>
                <w:sz w:val="19"/>
                <w:szCs w:val="19"/>
              </w:rPr>
              <w:t xml:space="preserve">○</w:t>
            </w:r>
          </w:p>
        </w:tc>
      </w:tr>
      <w:tr>
        <w:tc>
          <w:tcPr>
            <w:tcW w:type="dxa" w:w="1700"/>
            <w:tcMar>
              <w:top w:type="dxa" w:w="60"/>
              <w:left w:type="dxa" w:w="100"/>
              <w:bottom w:type="dxa" w:w="60"/>
              <w:right w:type="dxa" w:w="100"/>
            </w:tcMar>
            <w:vAlign w:val="center"/>
          </w:tcPr>
          <w:p>
            <w:pPr>
              <w:jc w:val="left"/>
            </w:pPr>
            <w:r>
              <w:rPr>
                <w:b/>
                <w:bCs/>
                <w:color w:val="000000"/>
                <w:sz w:val="19"/>
                <w:szCs w:val="19"/>
              </w:rPr>
              <w:t xml:space="preserve">Qwen2.5 7B</w:t>
            </w:r>
          </w:p>
        </w:tc>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FP16 (ベースライン)</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6.513</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36.50</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447.95MB / 289MB (×0.65)</w:t>
            </w:r>
          </w:p>
        </w:tc>
        <w:tc>
          <w:tcPr>
            <w:tcW w:type="dxa" w:w="1500"/>
            <w:tcMar>
              <w:top w:type="dxa" w:w="60"/>
              <w:left w:type="dxa" w:w="100"/>
              <w:bottom w:type="dxa" w:w="60"/>
              <w:right w:type="dxa" w:w="100"/>
            </w:tcMar>
            <w:vAlign w:val="center"/>
          </w:tcPr>
          <w:p>
            <w:pPr>
              <w:jc w:val="center"/>
            </w:pPr>
            <w:r>
              <w:rPr>
                <w:b/>
                <w:bCs/>
                <w:color w:val="C00000"/>
                <w:sz w:val="19"/>
                <w:szCs w:val="19"/>
              </w:rPr>
              <w:t xml:space="preserve">×</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TurboQuant</w:t>
            </w:r>
          </w:p>
        </w:tc>
        <w:tc>
          <w:tcPr>
            <w:tcW w:type="dxa" w:w="1500"/>
            <w:shd w:fill="F2F2F2" w:val="clear"/>
            <w:tcMar>
              <w:top w:type="dxa" w:w="60"/>
              <w:left w:type="dxa" w:w="100"/>
              <w:bottom w:type="dxa" w:w="60"/>
              <w:right w:type="dxa" w:w="100"/>
            </w:tcMar>
            <w:vAlign w:val="center"/>
          </w:tcPr>
          <w:p>
            <w:pPr>
              <w:jc w:val="center"/>
            </w:pPr>
            <w:r>
              <w:rPr>
                <w:b w:val="false"/>
                <w:bCs w:val="false"/>
                <w:color w:val="C00000"/>
                <w:sz w:val="19"/>
                <w:szCs w:val="19"/>
              </w:rPr>
              <w:t xml:space="preserve">14,595.6</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32.71</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447.95MB / 289MB (×0.65)</w:t>
            </w:r>
          </w:p>
        </w:tc>
        <w:tc>
          <w:tcPr>
            <w:tcW w:type="dxa" w:w="1500"/>
            <w:shd w:fill="F2F2F2" w:val="clear"/>
            <w:tcMar>
              <w:top w:type="dxa" w:w="60"/>
              <w:left w:type="dxa" w:w="100"/>
              <w:bottom w:type="dxa" w:w="60"/>
              <w:right w:type="dxa" w:w="100"/>
            </w:tcMar>
            <w:vAlign w:val="center"/>
          </w:tcPr>
          <w:p>
            <w:pPr>
              <w:jc w:val="center"/>
            </w:pPr>
            <w:r>
              <w:rPr>
                <w:b/>
                <w:bCs/>
                <w:color w:val="C00000"/>
                <w:sz w:val="19"/>
                <w:szCs w:val="19"/>
              </w:rPr>
              <w:t xml:space="preserve">×</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RotorQuant</w:t>
            </w:r>
          </w:p>
        </w:tc>
        <w:tc>
          <w:tcPr>
            <w:tcW w:type="dxa" w:w="1500"/>
            <w:tcMar>
              <w:top w:type="dxa" w:w="60"/>
              <w:left w:type="dxa" w:w="100"/>
              <w:bottom w:type="dxa" w:w="60"/>
              <w:right w:type="dxa" w:w="100"/>
            </w:tcMar>
            <w:vAlign w:val="center"/>
          </w:tcPr>
          <w:p>
            <w:pPr>
              <w:jc w:val="center"/>
            </w:pPr>
            <w:r>
              <w:rPr>
                <w:b w:val="false"/>
                <w:bCs w:val="false"/>
                <w:color w:val="C00000"/>
                <w:sz w:val="19"/>
                <w:szCs w:val="19"/>
              </w:rPr>
              <w:t xml:space="preserve">232.9</w:t>
            </w:r>
          </w:p>
        </w:tc>
        <w:tc>
          <w:tcPr>
            <w:tcW w:type="dxa" w:w="1600"/>
            <w:tcMar>
              <w:top w:type="dxa" w:w="60"/>
              <w:left w:type="dxa" w:w="100"/>
              <w:bottom w:type="dxa" w:w="60"/>
              <w:right w:type="dxa" w:w="100"/>
            </w:tcMar>
            <w:vAlign w:val="center"/>
          </w:tcPr>
          <w:p>
            <w:pPr>
              <w:jc w:val="center"/>
            </w:pPr>
            <w:r>
              <w:rPr>
                <w:b w:val="false"/>
                <w:bCs w:val="false"/>
                <w:color w:val="C00000"/>
                <w:sz w:val="19"/>
                <w:szCs w:val="19"/>
              </w:rPr>
              <w:t xml:space="preserve">1.00</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447.95MB / 289MB (×0.65)</w:t>
            </w:r>
          </w:p>
        </w:tc>
        <w:tc>
          <w:tcPr>
            <w:tcW w:type="dxa" w:w="1500"/>
            <w:tcMar>
              <w:top w:type="dxa" w:w="60"/>
              <w:left w:type="dxa" w:w="100"/>
              <w:bottom w:type="dxa" w:w="60"/>
              <w:right w:type="dxa" w:w="100"/>
            </w:tcMar>
            <w:vAlign w:val="center"/>
          </w:tcPr>
          <w:p>
            <w:pPr>
              <w:jc w:val="center"/>
            </w:pPr>
            <w:r>
              <w:rPr>
                <w:b/>
                <w:bCs/>
                <w:color w:val="C00000"/>
                <w:sz w:val="19"/>
                <w:szCs w:val="19"/>
              </w:rPr>
              <w:t xml:space="preserve">×</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HyperQuant</w:t>
            </w:r>
          </w:p>
        </w:tc>
        <w:tc>
          <w:tcPr>
            <w:tcW w:type="dxa" w:w="1500"/>
            <w:shd w:fill="F2F2F2" w:val="clear"/>
            <w:tcMar>
              <w:top w:type="dxa" w:w="60"/>
              <w:left w:type="dxa" w:w="100"/>
              <w:bottom w:type="dxa" w:w="60"/>
              <w:right w:type="dxa" w:w="100"/>
            </w:tcMar>
            <w:vAlign w:val="center"/>
          </w:tcPr>
          <w:p>
            <w:pPr>
              <w:jc w:val="center"/>
            </w:pPr>
            <w:r>
              <w:rPr>
                <w:b w:val="false"/>
                <w:bCs w:val="false"/>
                <w:color w:val="C00000"/>
                <w:sz w:val="19"/>
                <w:szCs w:val="19"/>
              </w:rPr>
              <w:t xml:space="preserve">14,435.6</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22.35</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447.95MB / 289MB (×0.65)</w:t>
            </w:r>
          </w:p>
        </w:tc>
        <w:tc>
          <w:tcPr>
            <w:tcW w:type="dxa" w:w="1500"/>
            <w:shd w:fill="F2F2F2" w:val="clear"/>
            <w:tcMar>
              <w:top w:type="dxa" w:w="60"/>
              <w:left w:type="dxa" w:w="100"/>
              <w:bottom w:type="dxa" w:w="60"/>
              <w:right w:type="dxa" w:w="100"/>
            </w:tcMar>
            <w:vAlign w:val="center"/>
          </w:tcPr>
          <w:p>
            <w:pPr>
              <w:jc w:val="center"/>
            </w:pPr>
            <w:r>
              <w:rPr>
                <w:b/>
                <w:bCs/>
                <w:color w:val="C00000"/>
                <w:sz w:val="19"/>
                <w:szCs w:val="19"/>
              </w:rPr>
              <w:t xml:space="preserve">×</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UltraQuant</w:t>
            </w:r>
          </w:p>
        </w:tc>
        <w:tc>
          <w:tcPr>
            <w:tcW w:type="dxa" w:w="1500"/>
            <w:tcMar>
              <w:top w:type="dxa" w:w="60"/>
              <w:left w:type="dxa" w:w="100"/>
              <w:bottom w:type="dxa" w:w="60"/>
              <w:right w:type="dxa" w:w="100"/>
            </w:tcMar>
            <w:vAlign w:val="center"/>
          </w:tcPr>
          <w:p>
            <w:pPr>
              <w:jc w:val="center"/>
            </w:pPr>
            <w:r>
              <w:rPr>
                <w:b w:val="false"/>
                <w:bCs w:val="false"/>
                <w:color w:val="C00000"/>
                <w:sz w:val="19"/>
                <w:szCs w:val="19"/>
              </w:rPr>
              <w:t xml:space="preserve">9,897.5</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31.85</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447.95MB / 289MB (×0.65)</w:t>
            </w:r>
          </w:p>
        </w:tc>
        <w:tc>
          <w:tcPr>
            <w:tcW w:type="dxa" w:w="1500"/>
            <w:tcMar>
              <w:top w:type="dxa" w:w="60"/>
              <w:left w:type="dxa" w:w="100"/>
              <w:bottom w:type="dxa" w:w="60"/>
              <w:right w:type="dxa" w:w="100"/>
            </w:tcMar>
            <w:vAlign w:val="center"/>
          </w:tcPr>
          <w:p>
            <w:pPr>
              <w:jc w:val="center"/>
            </w:pPr>
            <w:r>
              <w:rPr>
                <w:b/>
                <w:bCs/>
                <w:color w:val="C00000"/>
                <w:sz w:val="19"/>
                <w:szCs w:val="19"/>
              </w:rPr>
              <w:t xml:space="preserve">×</w:t>
            </w:r>
          </w:p>
        </w:tc>
      </w:tr>
    </w:tbl>
    <w:p>
      <w:pPr>
        <w:spacing w:after="160" w:before="160"/>
      </w:pPr>
      <w:r>
        <w:rPr>
          <w:i/>
          <w:iCs/>
          <w:color w:val="777777"/>
          <w:sz w:val="18"/>
          <w:szCs w:val="18"/>
        </w:rPr>
        <w:t xml:space="preserve">※ 圧縮率について: 本データセットでは同一モデル内であれば手法が変わってもKVキャッシュサイズ・圧縮率の値が同一であった（例: Llama/Mistralは常に1024MB/289MB、Qwenは常に447.95MB/289MB）。ビット幅設定が手法間で揃っていない可能性があり、圧縮率のみで手法間の優劣を判断することは避けるべきである。</w:t>
      </w:r>
    </w:p>
    <w:p>
      <w:pPr>
        <w:pStyle w:val="Heading1"/>
        <w:spacing w:after="160" w:before="320"/>
      </w:pPr>
      <w:r>
        <w:t xml:space="preserve">3. 精度と速度のトレードオフ分析</w:t>
      </w:r>
    </w:p>
    <w:p>
      <w:pPr>
        <w:spacing w:after="160"/>
      </w:pPr>
      <w:r>
        <w:rPr>
          <w:b w:val="false"/>
          <w:bCs w:val="false"/>
          <w:sz w:val="21"/>
          <w:szCs w:val="21"/>
        </w:rPr>
        <w:t xml:space="preserve">「精度をほぼ落とさずにどれだけ高速化・軽量化できたか」という観点で手法を比較する。</w:t>
      </w:r>
    </w:p>
    <w:p>
      <w:pPr>
        <w:pStyle w:val="Heading2"/>
        <w:spacing w:after="120" w:before="260"/>
      </w:pPr>
      <w:r>
        <w:t xml:space="preserve">3.1 Llama 3.1 8B / Mistral 7B v0.3（安定して動作した2モデル）</w:t>
      </w:r>
    </w:p>
    <w:p>
      <w:pPr>
        <w:pStyle w:val="ListParagraph"/>
        <w:numPr>
          <w:ilvl w:val="0"/>
          <w:numId w:val="1"/>
        </w:numPr>
        <w:spacing w:after="80"/>
      </w:pPr>
      <w:r>
        <w:rPr>
          <w:sz w:val="21"/>
          <w:szCs w:val="21"/>
        </w:rPr>
        <w:t xml:space="preserve">UltraQuant が最も優れたバランスを示した。Perplexityはfp16とほぼ同水準（Llama: 5.69 vs 5.57、Mistral: 4.91 vs 4.88）でありながら、生成速度もfp16比で約14〜19%の低下（Llama: 27.95 vs 32.43 tok/s、Mistral: 28.88 vs 33.66 tok/s）に留まり、精度・速度の両立という関連研究の主張と整合する結果となった。</w:t>
      </w:r>
    </w:p>
    <w:p>
      <w:pPr>
        <w:pStyle w:val="ListParagraph"/>
        <w:numPr>
          <w:ilvl w:val="0"/>
          <w:numId w:val="1"/>
        </w:numPr>
        <w:spacing w:after="80"/>
      </w:pPr>
      <w:r>
        <w:rPr>
          <w:sz w:val="21"/>
          <w:szCs w:val="21"/>
        </w:rPr>
        <w:t xml:space="preserve">RotorQuant はPerplexity・コサイン類似度ともにfp16に極めて近く（Llama cos=0.985、Mistral cos=0.999）精度面では最良クラスだが、デコード速度が0.88 tok/s（fp16比で約35〜38倍の低下）と極端に遅く、実運用上のボトルネックとなっている。関連研究で謳われるCUDA/Tritonカーネルによる高速化がこの評価環境では再現されていない可能性がある。</w:t>
      </w:r>
    </w:p>
    <w:p>
      <w:pPr>
        <w:pStyle w:val="ListParagraph"/>
        <w:numPr>
          <w:ilvl w:val="0"/>
          <w:numId w:val="1"/>
        </w:numPr>
        <w:spacing w:after="80"/>
      </w:pPr>
      <w:r>
        <w:rPr>
          <w:sz w:val="21"/>
          <w:szCs w:val="21"/>
        </w:rPr>
        <w:t xml:space="preserve">TurboQuant・HyperQuant は速度面では実用的な範囲（20〜30 tok/s）に収まるものの、Top-5一致率がfp16の半分以下（40〜65%程度）まで低下しており、アテンションの再現精度という点ではRotorQuant・UltraQuantに劣る。HyperQuantはMistralでNIAHタスクにも失敗している。</w:t>
      </w:r>
    </w:p>
    <w:p>
      <w:pPr>
        <w:pStyle w:val="Heading2"/>
        <w:spacing w:after="120" w:before="260"/>
      </w:pPr>
      <w:r>
        <w:t xml:space="preserve">3.2 Qwen2.5 7B（全手法が破綻したモデル）</w:t>
      </w:r>
    </w:p>
    <w:p>
      <w:pPr>
        <w:pStyle w:val="ListParagraph"/>
        <w:numPr>
          <w:ilvl w:val="0"/>
          <w:numId w:val="1"/>
        </w:numPr>
        <w:spacing w:after="80"/>
      </w:pPr>
      <w:r>
        <w:rPr>
          <w:sz w:val="21"/>
          <w:szCs w:val="21"/>
        </w:rPr>
        <w:t xml:space="preserve">Qwen2.5 7Bでは4手法すべてでPerplexityが数百〜1万台まで爆発し（TurboQuant: 14,595、HyperQuant: 14,436、UltraQuant: 9,898、RotorQuant: 233）、LongBench出力も意味不成立なテキストとなるなど、事実上すべての量子化手法が破綻した。</w:t>
      </w:r>
    </w:p>
    <w:p>
      <w:pPr>
        <w:pStyle w:val="ListParagraph"/>
        <w:numPr>
          <w:ilvl w:val="0"/>
          <w:numId w:val="1"/>
        </w:numPr>
        <w:spacing w:after="80"/>
      </w:pPr>
      <w:r>
        <w:rPr>
          <w:sz w:val="21"/>
          <w:szCs w:val="21"/>
        </w:rPr>
        <w:t xml:space="preserve">速度面では見かけ上fp16に近い値（22〜33 tok/s、RotorQuantのみ1.0 tok/sで別途破綻）が出ているが、出力品質が崩壊しているため速度の数値自体に評価上の意味はない。</w:t>
      </w:r>
    </w:p>
    <w:p>
      <w:pPr>
        <w:pStyle w:val="ListParagraph"/>
        <w:numPr>
          <w:ilvl w:val="0"/>
          <w:numId w:val="1"/>
        </w:numPr>
        <w:spacing w:after="80"/>
      </w:pPr>
      <w:r>
        <w:rPr>
          <w:sz w:val="21"/>
          <w:szCs w:val="21"/>
        </w:rPr>
        <w:t xml:space="preserve">fp16ベースライン自体もNIAHタスクは失敗（生成トークン数の制約により回答が途中で切れたことが原因とみられ、出力自体は正しい鍵を含んでいた）しているが、Perplexityや他タスクは正常であり、量子化手法特有の問題とモデル側の生成長制約の問題は区別する必要がある。</w:t>
      </w:r>
    </w:p>
    <w:p>
      <w:pPr>
        <w:pStyle w:val="ListParagraph"/>
        <w:numPr>
          <w:ilvl w:val="0"/>
          <w:numId w:val="1"/>
        </w:numPr>
        <w:spacing w:after="80"/>
      </w:pPr>
      <w:r>
        <w:rPr>
          <w:sz w:val="21"/>
          <w:szCs w:val="21"/>
        </w:rPr>
        <w:t xml:space="preserve">Qwen2.5系アーキテクチャ（GQA構成やRoPE実装の違いなど）に対する量子化手法側の未対応・非互換が示唆される結果であり、Llama/Mistralでの評価結果をそのままQwen系モデルに一般化すべきではない。</w:t>
      </w:r>
    </w:p>
    <w:p>
      <w:pPr>
        <w:pStyle w:val="Heading1"/>
        <w:spacing w:after="160" w:before="320"/>
      </w:pPr>
      <w:r>
        <w:t xml:space="preserve">4. モデル別詳細比較</w:t>
      </w:r>
    </w:p>
    <w:p>
      <w:pPr>
        <w:pStyle w:val="Heading2"/>
        <w:spacing w:after="120" w:before="260"/>
      </w:pPr>
      <w:r>
        <w:t xml:space="preserve">4.1 Meta-Llama 3.1 8B</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300"/>
        <w:gridCol w:w="1300"/>
        <w:gridCol w:w="1300"/>
        <w:gridCol w:w="1300"/>
      </w:tblGrid>
      <w:tr>
        <w:trPr>
          <w:tblHeader/>
        </w:trPr>
        <w:tc>
          <w:tcPr>
            <w:tcW w:type="dxa" w:w="1700"/>
            <w:shd w:fill="2F5496" w:val="clear"/>
            <w:tcMar>
              <w:top w:type="dxa" w:w="80"/>
              <w:left w:type="dxa" w:w="100"/>
              <w:bottom w:type="dxa" w:w="80"/>
              <w:right w:type="dxa" w:w="100"/>
            </w:tcMar>
            <w:vAlign w:val="center"/>
          </w:tcPr>
          <w:p>
            <w:pPr>
              <w:jc w:val="center"/>
            </w:pPr>
            <w:r>
              <w:rPr>
                <w:b/>
                <w:bCs/>
                <w:color w:val="FFFFFF"/>
                <w:sz w:val="19"/>
                <w:szCs w:val="19"/>
              </w:rPr>
              <w:t xml:space="preserve">手法</w:t>
            </w:r>
          </w:p>
        </w:tc>
        <w:tc>
          <w:tcPr>
            <w:tcW w:type="dxa" w:w="1300"/>
            <w:shd w:fill="2F5496" w:val="clear"/>
            <w:tcMar>
              <w:top w:type="dxa" w:w="80"/>
              <w:left w:type="dxa" w:w="100"/>
              <w:bottom w:type="dxa" w:w="80"/>
              <w:right w:type="dxa" w:w="100"/>
            </w:tcMar>
            <w:vAlign w:val="center"/>
          </w:tcPr>
          <w:p>
            <w:pPr>
              <w:jc w:val="center"/>
            </w:pPr>
            <w:r>
              <w:rPr>
                <w:b/>
                <w:bCs/>
                <w:color w:val="FFFFFF"/>
                <w:sz w:val="19"/>
                <w:szCs w:val="19"/>
              </w:rPr>
              <w:t xml:space="preserve">Perplexity</w:t>
            </w:r>
          </w:p>
        </w:tc>
        <w:tc>
          <w:tcPr>
            <w:tcW w:type="dxa" w:w="1300"/>
            <w:shd w:fill="2F5496" w:val="clear"/>
            <w:tcMar>
              <w:top w:type="dxa" w:w="80"/>
              <w:left w:type="dxa" w:w="100"/>
              <w:bottom w:type="dxa" w:w="80"/>
              <w:right w:type="dxa" w:w="100"/>
            </w:tcMar>
            <w:vAlign w:val="center"/>
          </w:tcPr>
          <w:p>
            <w:pPr>
              <w:jc w:val="center"/>
            </w:pPr>
            <w:r>
              <w:rPr>
                <w:b/>
                <w:bCs/>
                <w:color w:val="FFFFFF"/>
                <w:sz w:val="19"/>
                <w:szCs w:val="19"/>
              </w:rPr>
              <w:t xml:space="preserve">速度
(tok/s)</w:t>
            </w:r>
          </w:p>
        </w:tc>
        <w:tc>
          <w:tcPr>
            <w:tcW w:type="dxa" w:w="1300"/>
            <w:shd w:fill="2F5496" w:val="clear"/>
            <w:tcMar>
              <w:top w:type="dxa" w:w="80"/>
              <w:left w:type="dxa" w:w="100"/>
              <w:bottom w:type="dxa" w:w="80"/>
              <w:right w:type="dxa" w:w="100"/>
            </w:tcMar>
            <w:vAlign w:val="center"/>
          </w:tcPr>
          <w:p>
            <w:pPr>
              <w:jc w:val="center"/>
            </w:pPr>
            <w:r>
              <w:rPr>
                <w:b/>
                <w:bCs/>
                <w:color w:val="FFFFFF"/>
                <w:sz w:val="19"/>
                <w:szCs w:val="19"/>
              </w:rPr>
              <w:t xml:space="preserve">Prefill
(sec)</w:t>
            </w:r>
          </w:p>
        </w:tc>
        <w:tc>
          <w:tcPr>
            <w:tcW w:type="dxa" w:w="1300"/>
            <w:shd w:fill="2F5496" w:val="clear"/>
            <w:tcMar>
              <w:top w:type="dxa" w:w="80"/>
              <w:left w:type="dxa" w:w="100"/>
              <w:bottom w:type="dxa" w:w="80"/>
              <w:right w:type="dxa" w:w="100"/>
            </w:tcMar>
            <w:vAlign w:val="center"/>
          </w:tcPr>
          <w:p>
            <w:pPr>
              <w:jc w:val="center"/>
            </w:pPr>
            <w:r>
              <w:rPr>
                <w:b/>
                <w:bCs/>
                <w:color w:val="FFFFFF"/>
                <w:sz w:val="19"/>
                <w:szCs w:val="19"/>
              </w:rPr>
              <w:t xml:space="preserve">コサイン
類似度</w:t>
            </w:r>
          </w:p>
        </w:tc>
        <w:tc>
          <w:tcPr>
            <w:tcW w:type="dxa" w:w="1300"/>
            <w:shd w:fill="2F5496" w:val="clear"/>
            <w:tcMar>
              <w:top w:type="dxa" w:w="80"/>
              <w:left w:type="dxa" w:w="100"/>
              <w:bottom w:type="dxa" w:w="80"/>
              <w:right w:type="dxa" w:w="100"/>
            </w:tcMar>
            <w:vAlign w:val="center"/>
          </w:tcPr>
          <w:p>
            <w:pPr>
              <w:jc w:val="center"/>
            </w:pPr>
            <w:r>
              <w:rPr>
                <w:b/>
                <w:bCs/>
                <w:color w:val="FFFFFF"/>
                <w:sz w:val="19"/>
                <w:szCs w:val="19"/>
              </w:rPr>
              <w:t xml:space="preserve">Top-1
一致率(%)</w:t>
            </w:r>
          </w:p>
        </w:tc>
        <w:tc>
          <w:tcPr>
            <w:tcW w:type="dxa" w:w="1300"/>
            <w:shd w:fill="2F5496" w:val="clear"/>
            <w:tcMar>
              <w:top w:type="dxa" w:w="80"/>
              <w:left w:type="dxa" w:w="100"/>
              <w:bottom w:type="dxa" w:w="80"/>
              <w:right w:type="dxa" w:w="100"/>
            </w:tcMar>
            <w:vAlign w:val="center"/>
          </w:tcPr>
          <w:p>
            <w:pPr>
              <w:jc w:val="center"/>
            </w:pPr>
            <w:r>
              <w:rPr>
                <w:b/>
                <w:bCs/>
                <w:color w:val="FFFFFF"/>
                <w:sz w:val="19"/>
                <w:szCs w:val="19"/>
              </w:rPr>
              <w:t xml:space="preserve">Top-5
一致率(%)</w:t>
            </w:r>
          </w:p>
        </w:tc>
      </w:tr>
      <w:tr>
        <w:tc>
          <w:tcPr>
            <w:tcW w:type="dxa" w:w="1700"/>
            <w:tcMar>
              <w:top w:type="dxa" w:w="60"/>
              <w:left w:type="dxa" w:w="100"/>
              <w:bottom w:type="dxa" w:w="60"/>
              <w:right w:type="dxa" w:w="100"/>
            </w:tcMar>
            <w:vAlign w:val="center"/>
          </w:tcPr>
          <w:p>
            <w:pPr>
              <w:jc w:val="left"/>
            </w:pPr>
            <w:r>
              <w:rPr>
                <w:b/>
                <w:bCs/>
                <w:color w:val="000000"/>
                <w:sz w:val="19"/>
                <w:szCs w:val="19"/>
              </w:rPr>
              <w:t xml:space="preserve">FP16 (ベースライン)</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5.567</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32.43</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1.41</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1.0000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100.00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100.00</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TurboQuant</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6.777</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28.81</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1.85</w:t>
            </w:r>
          </w:p>
        </w:tc>
        <w:tc>
          <w:tcPr>
            <w:tcW w:type="dxa" w:w="1300"/>
            <w:shd w:fill="F2F2F2" w:val="clear"/>
            <w:tcMar>
              <w:top w:type="dxa" w:w="60"/>
              <w:left w:type="dxa" w:w="100"/>
              <w:bottom w:type="dxa" w:w="60"/>
              <w:right w:type="dxa" w:w="100"/>
            </w:tcMar>
            <w:vAlign w:val="center"/>
          </w:tcPr>
          <w:p>
            <w:pPr>
              <w:jc w:val="center"/>
            </w:pPr>
            <w:r>
              <w:rPr>
                <w:b w:val="false"/>
                <w:bCs w:val="false"/>
                <w:color w:val="C00000"/>
                <w:sz w:val="19"/>
                <w:szCs w:val="19"/>
              </w:rPr>
              <w:t xml:space="preserve">0.7039</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99.51</w:t>
            </w:r>
          </w:p>
        </w:tc>
        <w:tc>
          <w:tcPr>
            <w:tcW w:type="dxa" w:w="1300"/>
            <w:shd w:fill="F2F2F2" w:val="clear"/>
            <w:tcMar>
              <w:top w:type="dxa" w:w="60"/>
              <w:left w:type="dxa" w:w="100"/>
              <w:bottom w:type="dxa" w:w="60"/>
              <w:right w:type="dxa" w:w="100"/>
            </w:tcMar>
            <w:vAlign w:val="center"/>
          </w:tcPr>
          <w:p>
            <w:pPr>
              <w:jc w:val="center"/>
            </w:pPr>
            <w:r>
              <w:rPr>
                <w:b w:val="false"/>
                <w:bCs w:val="false"/>
                <w:color w:val="C00000"/>
                <w:sz w:val="19"/>
                <w:szCs w:val="19"/>
              </w:rPr>
              <w:t xml:space="preserve">47.09</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RotorQuant</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5.735</w:t>
            </w:r>
          </w:p>
        </w:tc>
        <w:tc>
          <w:tcPr>
            <w:tcW w:type="dxa" w:w="1300"/>
            <w:tcMar>
              <w:top w:type="dxa" w:w="60"/>
              <w:left w:type="dxa" w:w="100"/>
              <w:bottom w:type="dxa" w:w="60"/>
              <w:right w:type="dxa" w:w="100"/>
            </w:tcMar>
            <w:vAlign w:val="center"/>
          </w:tcPr>
          <w:p>
            <w:pPr>
              <w:jc w:val="center"/>
            </w:pPr>
            <w:r>
              <w:rPr>
                <w:b w:val="false"/>
                <w:bCs w:val="false"/>
                <w:color w:val="C00000"/>
                <w:sz w:val="19"/>
                <w:szCs w:val="19"/>
              </w:rPr>
              <w:t xml:space="preserve">0.88</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2.97</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0.9845</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99.90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84.84</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HyperQuant</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7.326</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19.94</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1.91</w:t>
            </w:r>
          </w:p>
        </w:tc>
        <w:tc>
          <w:tcPr>
            <w:tcW w:type="dxa" w:w="1300"/>
            <w:shd w:fill="F2F2F2" w:val="clear"/>
            <w:tcMar>
              <w:top w:type="dxa" w:w="60"/>
              <w:left w:type="dxa" w:w="100"/>
              <w:bottom w:type="dxa" w:w="60"/>
              <w:right w:type="dxa" w:w="100"/>
            </w:tcMar>
            <w:vAlign w:val="center"/>
          </w:tcPr>
          <w:p>
            <w:pPr>
              <w:jc w:val="center"/>
            </w:pPr>
            <w:r>
              <w:rPr>
                <w:b w:val="false"/>
                <w:bCs w:val="false"/>
                <w:color w:val="C00000"/>
                <w:sz w:val="19"/>
                <w:szCs w:val="19"/>
              </w:rPr>
              <w:t xml:space="preserve">0.6851</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99.71</w:t>
            </w:r>
          </w:p>
        </w:tc>
        <w:tc>
          <w:tcPr>
            <w:tcW w:type="dxa" w:w="1300"/>
            <w:shd w:fill="F2F2F2" w:val="clear"/>
            <w:tcMar>
              <w:top w:type="dxa" w:w="60"/>
              <w:left w:type="dxa" w:w="100"/>
              <w:bottom w:type="dxa" w:w="60"/>
              <w:right w:type="dxa" w:w="100"/>
            </w:tcMar>
            <w:vAlign w:val="center"/>
          </w:tcPr>
          <w:p>
            <w:pPr>
              <w:jc w:val="center"/>
            </w:pPr>
            <w:r>
              <w:rPr>
                <w:b w:val="false"/>
                <w:bCs w:val="false"/>
                <w:color w:val="C00000"/>
                <w:sz w:val="19"/>
                <w:szCs w:val="19"/>
              </w:rPr>
              <w:t xml:space="preserve">40.78</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UltraQuant</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5.692</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27.95</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2.09</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0.9707</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99.90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85.55</w:t>
            </w:r>
          </w:p>
        </w:tc>
      </w:tr>
    </w:tbl>
    <w:p>
      <w:pPr>
        <w:spacing w:after="200" w:before="120"/>
      </w:pPr>
      <w:r>
        <w:rPr>
          <w:sz w:val="4"/>
          <w:szCs w:val="4"/>
        </w:rPr>
        <w:t xml:space="preserve"> </w:t>
      </w:r>
    </w:p>
    <w:p>
      <w:pPr>
        <w:pStyle w:val="Heading2"/>
        <w:spacing w:after="120" w:before="260"/>
      </w:pPr>
      <w:r>
        <w:t xml:space="preserve">4.2 Mistral 7B v0.3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300"/>
        <w:gridCol w:w="1300"/>
        <w:gridCol w:w="1300"/>
        <w:gridCol w:w="1300"/>
      </w:tblGrid>
      <w:tr>
        <w:trPr>
          <w:tblHeader/>
        </w:trPr>
        <w:tc>
          <w:tcPr>
            <w:tcW w:type="dxa" w:w="1700"/>
            <w:shd w:fill="2F5496" w:val="clear"/>
            <w:tcMar>
              <w:top w:type="dxa" w:w="80"/>
              <w:left w:type="dxa" w:w="100"/>
              <w:bottom w:type="dxa" w:w="80"/>
              <w:right w:type="dxa" w:w="100"/>
            </w:tcMar>
            <w:vAlign w:val="center"/>
          </w:tcPr>
          <w:p>
            <w:pPr>
              <w:jc w:val="center"/>
            </w:pPr>
            <w:r>
              <w:rPr>
                <w:b/>
                <w:bCs/>
                <w:color w:val="FFFFFF"/>
                <w:sz w:val="19"/>
                <w:szCs w:val="19"/>
              </w:rPr>
              <w:t xml:space="preserve">手法</w:t>
            </w:r>
          </w:p>
        </w:tc>
        <w:tc>
          <w:tcPr>
            <w:tcW w:type="dxa" w:w="1300"/>
            <w:shd w:fill="2F5496" w:val="clear"/>
            <w:tcMar>
              <w:top w:type="dxa" w:w="80"/>
              <w:left w:type="dxa" w:w="100"/>
              <w:bottom w:type="dxa" w:w="80"/>
              <w:right w:type="dxa" w:w="100"/>
            </w:tcMar>
            <w:vAlign w:val="center"/>
          </w:tcPr>
          <w:p>
            <w:pPr>
              <w:jc w:val="center"/>
            </w:pPr>
            <w:r>
              <w:rPr>
                <w:b/>
                <w:bCs/>
                <w:color w:val="FFFFFF"/>
                <w:sz w:val="19"/>
                <w:szCs w:val="19"/>
              </w:rPr>
              <w:t xml:space="preserve">Perplexity</w:t>
            </w:r>
          </w:p>
        </w:tc>
        <w:tc>
          <w:tcPr>
            <w:tcW w:type="dxa" w:w="1300"/>
            <w:shd w:fill="2F5496" w:val="clear"/>
            <w:tcMar>
              <w:top w:type="dxa" w:w="80"/>
              <w:left w:type="dxa" w:w="100"/>
              <w:bottom w:type="dxa" w:w="80"/>
              <w:right w:type="dxa" w:w="100"/>
            </w:tcMar>
            <w:vAlign w:val="center"/>
          </w:tcPr>
          <w:p>
            <w:pPr>
              <w:jc w:val="center"/>
            </w:pPr>
            <w:r>
              <w:rPr>
                <w:b/>
                <w:bCs/>
                <w:color w:val="FFFFFF"/>
                <w:sz w:val="19"/>
                <w:szCs w:val="19"/>
              </w:rPr>
              <w:t xml:space="preserve">速度
(tok/s)</w:t>
            </w:r>
          </w:p>
        </w:tc>
        <w:tc>
          <w:tcPr>
            <w:tcW w:type="dxa" w:w="1300"/>
            <w:shd w:fill="2F5496" w:val="clear"/>
            <w:tcMar>
              <w:top w:type="dxa" w:w="80"/>
              <w:left w:type="dxa" w:w="100"/>
              <w:bottom w:type="dxa" w:w="80"/>
              <w:right w:type="dxa" w:w="100"/>
            </w:tcMar>
            <w:vAlign w:val="center"/>
          </w:tcPr>
          <w:p>
            <w:pPr>
              <w:jc w:val="center"/>
            </w:pPr>
            <w:r>
              <w:rPr>
                <w:b/>
                <w:bCs/>
                <w:color w:val="FFFFFF"/>
                <w:sz w:val="19"/>
                <w:szCs w:val="19"/>
              </w:rPr>
              <w:t xml:space="preserve">Prefill
(sec)</w:t>
            </w:r>
          </w:p>
        </w:tc>
        <w:tc>
          <w:tcPr>
            <w:tcW w:type="dxa" w:w="1300"/>
            <w:shd w:fill="2F5496" w:val="clear"/>
            <w:tcMar>
              <w:top w:type="dxa" w:w="80"/>
              <w:left w:type="dxa" w:w="100"/>
              <w:bottom w:type="dxa" w:w="80"/>
              <w:right w:type="dxa" w:w="100"/>
            </w:tcMar>
            <w:vAlign w:val="center"/>
          </w:tcPr>
          <w:p>
            <w:pPr>
              <w:jc w:val="center"/>
            </w:pPr>
            <w:r>
              <w:rPr>
                <w:b/>
                <w:bCs/>
                <w:color w:val="FFFFFF"/>
                <w:sz w:val="19"/>
                <w:szCs w:val="19"/>
              </w:rPr>
              <w:t xml:space="preserve">コサイン
類似度</w:t>
            </w:r>
          </w:p>
        </w:tc>
        <w:tc>
          <w:tcPr>
            <w:tcW w:type="dxa" w:w="1300"/>
            <w:shd w:fill="2F5496" w:val="clear"/>
            <w:tcMar>
              <w:top w:type="dxa" w:w="80"/>
              <w:left w:type="dxa" w:w="100"/>
              <w:bottom w:type="dxa" w:w="80"/>
              <w:right w:type="dxa" w:w="100"/>
            </w:tcMar>
            <w:vAlign w:val="center"/>
          </w:tcPr>
          <w:p>
            <w:pPr>
              <w:jc w:val="center"/>
            </w:pPr>
            <w:r>
              <w:rPr>
                <w:b/>
                <w:bCs/>
                <w:color w:val="FFFFFF"/>
                <w:sz w:val="19"/>
                <w:szCs w:val="19"/>
              </w:rPr>
              <w:t xml:space="preserve">Top-1
一致率(%)</w:t>
            </w:r>
          </w:p>
        </w:tc>
        <w:tc>
          <w:tcPr>
            <w:tcW w:type="dxa" w:w="1300"/>
            <w:shd w:fill="2F5496" w:val="clear"/>
            <w:tcMar>
              <w:top w:type="dxa" w:w="80"/>
              <w:left w:type="dxa" w:w="100"/>
              <w:bottom w:type="dxa" w:w="80"/>
              <w:right w:type="dxa" w:w="100"/>
            </w:tcMar>
            <w:vAlign w:val="center"/>
          </w:tcPr>
          <w:p>
            <w:pPr>
              <w:jc w:val="center"/>
            </w:pPr>
            <w:r>
              <w:rPr>
                <w:b/>
                <w:bCs/>
                <w:color w:val="FFFFFF"/>
                <w:sz w:val="19"/>
                <w:szCs w:val="19"/>
              </w:rPr>
              <w:t xml:space="preserve">Top-5
一致率(%)</w:t>
            </w:r>
          </w:p>
        </w:tc>
      </w:tr>
      <w:tr>
        <w:tc>
          <w:tcPr>
            <w:tcW w:type="dxa" w:w="1700"/>
            <w:tcMar>
              <w:top w:type="dxa" w:w="60"/>
              <w:left w:type="dxa" w:w="100"/>
              <w:bottom w:type="dxa" w:w="60"/>
              <w:right w:type="dxa" w:w="100"/>
            </w:tcMar>
            <w:vAlign w:val="center"/>
          </w:tcPr>
          <w:p>
            <w:pPr>
              <w:jc w:val="left"/>
            </w:pPr>
            <w:r>
              <w:rPr>
                <w:b/>
                <w:bCs/>
                <w:color w:val="000000"/>
                <w:sz w:val="19"/>
                <w:szCs w:val="19"/>
              </w:rPr>
              <w:t xml:space="preserve">FP16 (ベースライン)</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4.876</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33.66</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1.37</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1.0000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100.00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100.00</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TurboQuant</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5.231</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29.83</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1.75</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0.9832</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99.32</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64.63</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RotorQuant</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4.927</w:t>
            </w:r>
          </w:p>
        </w:tc>
        <w:tc>
          <w:tcPr>
            <w:tcW w:type="dxa" w:w="1300"/>
            <w:tcMar>
              <w:top w:type="dxa" w:w="60"/>
              <w:left w:type="dxa" w:w="100"/>
              <w:bottom w:type="dxa" w:w="60"/>
              <w:right w:type="dxa" w:w="100"/>
            </w:tcMar>
            <w:vAlign w:val="center"/>
          </w:tcPr>
          <w:p>
            <w:pPr>
              <w:jc w:val="center"/>
            </w:pPr>
            <w:r>
              <w:rPr>
                <w:b w:val="false"/>
                <w:bCs w:val="false"/>
                <w:color w:val="C00000"/>
                <w:sz w:val="19"/>
                <w:szCs w:val="19"/>
              </w:rPr>
              <w:t xml:space="preserve">0.88</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2.89</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0.9993</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99.71</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93.40</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HyperQuant</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5.357</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20.40</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1.81</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0.9774</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99.51</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59.88</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UltraQuant</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4.907</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28.88</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2.05</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0.9994</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99.90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94.16</w:t>
            </w:r>
          </w:p>
        </w:tc>
      </w:tr>
    </w:tbl>
    <w:p>
      <w:pPr>
        <w:spacing w:after="200" w:before="120"/>
      </w:pPr>
      <w:r>
        <w:rPr>
          <w:sz w:val="4"/>
          <w:szCs w:val="4"/>
        </w:rPr>
        <w:t xml:space="preserve"> </w:t>
      </w:r>
    </w:p>
    <w:p>
      <w:pPr>
        <w:pStyle w:val="Heading2"/>
        <w:spacing w:after="120" w:before="260"/>
      </w:pPr>
      <w:r>
        <w:t xml:space="preserve">4.3 Qwen2.5 7B</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300"/>
        <w:gridCol w:w="1300"/>
        <w:gridCol w:w="1300"/>
        <w:gridCol w:w="1300"/>
      </w:tblGrid>
      <w:tr>
        <w:trPr>
          <w:tblHeader/>
        </w:trPr>
        <w:tc>
          <w:tcPr>
            <w:tcW w:type="dxa" w:w="1700"/>
            <w:shd w:fill="2F5496" w:val="clear"/>
            <w:tcMar>
              <w:top w:type="dxa" w:w="80"/>
              <w:left w:type="dxa" w:w="100"/>
              <w:bottom w:type="dxa" w:w="80"/>
              <w:right w:type="dxa" w:w="100"/>
            </w:tcMar>
            <w:vAlign w:val="center"/>
          </w:tcPr>
          <w:p>
            <w:pPr>
              <w:jc w:val="center"/>
            </w:pPr>
            <w:r>
              <w:rPr>
                <w:b/>
                <w:bCs/>
                <w:color w:val="FFFFFF"/>
                <w:sz w:val="19"/>
                <w:szCs w:val="19"/>
              </w:rPr>
              <w:t xml:space="preserve">手法</w:t>
            </w:r>
          </w:p>
        </w:tc>
        <w:tc>
          <w:tcPr>
            <w:tcW w:type="dxa" w:w="1300"/>
            <w:shd w:fill="2F5496" w:val="clear"/>
            <w:tcMar>
              <w:top w:type="dxa" w:w="80"/>
              <w:left w:type="dxa" w:w="100"/>
              <w:bottom w:type="dxa" w:w="80"/>
              <w:right w:type="dxa" w:w="100"/>
            </w:tcMar>
            <w:vAlign w:val="center"/>
          </w:tcPr>
          <w:p>
            <w:pPr>
              <w:jc w:val="center"/>
            </w:pPr>
            <w:r>
              <w:rPr>
                <w:b/>
                <w:bCs/>
                <w:color w:val="FFFFFF"/>
                <w:sz w:val="19"/>
                <w:szCs w:val="19"/>
              </w:rPr>
              <w:t xml:space="preserve">Perplexity</w:t>
            </w:r>
          </w:p>
        </w:tc>
        <w:tc>
          <w:tcPr>
            <w:tcW w:type="dxa" w:w="1300"/>
            <w:shd w:fill="2F5496" w:val="clear"/>
            <w:tcMar>
              <w:top w:type="dxa" w:w="80"/>
              <w:left w:type="dxa" w:w="100"/>
              <w:bottom w:type="dxa" w:w="80"/>
              <w:right w:type="dxa" w:w="100"/>
            </w:tcMar>
            <w:vAlign w:val="center"/>
          </w:tcPr>
          <w:p>
            <w:pPr>
              <w:jc w:val="center"/>
            </w:pPr>
            <w:r>
              <w:rPr>
                <w:b/>
                <w:bCs/>
                <w:color w:val="FFFFFF"/>
                <w:sz w:val="19"/>
                <w:szCs w:val="19"/>
              </w:rPr>
              <w:t xml:space="preserve">速度
(tok/s)</w:t>
            </w:r>
          </w:p>
        </w:tc>
        <w:tc>
          <w:tcPr>
            <w:tcW w:type="dxa" w:w="1300"/>
            <w:shd w:fill="2F5496" w:val="clear"/>
            <w:tcMar>
              <w:top w:type="dxa" w:w="80"/>
              <w:left w:type="dxa" w:w="100"/>
              <w:bottom w:type="dxa" w:w="80"/>
              <w:right w:type="dxa" w:w="100"/>
            </w:tcMar>
            <w:vAlign w:val="center"/>
          </w:tcPr>
          <w:p>
            <w:pPr>
              <w:jc w:val="center"/>
            </w:pPr>
            <w:r>
              <w:rPr>
                <w:b/>
                <w:bCs/>
                <w:color w:val="FFFFFF"/>
                <w:sz w:val="19"/>
                <w:szCs w:val="19"/>
              </w:rPr>
              <w:t xml:space="preserve">Prefill
(sec)</w:t>
            </w:r>
          </w:p>
        </w:tc>
        <w:tc>
          <w:tcPr>
            <w:tcW w:type="dxa" w:w="1300"/>
            <w:shd w:fill="2F5496" w:val="clear"/>
            <w:tcMar>
              <w:top w:type="dxa" w:w="80"/>
              <w:left w:type="dxa" w:w="100"/>
              <w:bottom w:type="dxa" w:w="80"/>
              <w:right w:type="dxa" w:w="100"/>
            </w:tcMar>
            <w:vAlign w:val="center"/>
          </w:tcPr>
          <w:p>
            <w:pPr>
              <w:jc w:val="center"/>
            </w:pPr>
            <w:r>
              <w:rPr>
                <w:b/>
                <w:bCs/>
                <w:color w:val="FFFFFF"/>
                <w:sz w:val="19"/>
                <w:szCs w:val="19"/>
              </w:rPr>
              <w:t xml:space="preserve">コサイン
類似度</w:t>
            </w:r>
          </w:p>
        </w:tc>
        <w:tc>
          <w:tcPr>
            <w:tcW w:type="dxa" w:w="1300"/>
            <w:shd w:fill="2F5496" w:val="clear"/>
            <w:tcMar>
              <w:top w:type="dxa" w:w="80"/>
              <w:left w:type="dxa" w:w="100"/>
              <w:bottom w:type="dxa" w:w="80"/>
              <w:right w:type="dxa" w:w="100"/>
            </w:tcMar>
            <w:vAlign w:val="center"/>
          </w:tcPr>
          <w:p>
            <w:pPr>
              <w:jc w:val="center"/>
            </w:pPr>
            <w:r>
              <w:rPr>
                <w:b/>
                <w:bCs/>
                <w:color w:val="FFFFFF"/>
                <w:sz w:val="19"/>
                <w:szCs w:val="19"/>
              </w:rPr>
              <w:t xml:space="preserve">Top-1
一致率(%)</w:t>
            </w:r>
          </w:p>
        </w:tc>
        <w:tc>
          <w:tcPr>
            <w:tcW w:type="dxa" w:w="1300"/>
            <w:shd w:fill="2F5496" w:val="clear"/>
            <w:tcMar>
              <w:top w:type="dxa" w:w="80"/>
              <w:left w:type="dxa" w:w="100"/>
              <w:bottom w:type="dxa" w:w="80"/>
              <w:right w:type="dxa" w:w="100"/>
            </w:tcMar>
            <w:vAlign w:val="center"/>
          </w:tcPr>
          <w:p>
            <w:pPr>
              <w:jc w:val="center"/>
            </w:pPr>
            <w:r>
              <w:rPr>
                <w:b/>
                <w:bCs/>
                <w:color w:val="FFFFFF"/>
                <w:sz w:val="19"/>
                <w:szCs w:val="19"/>
              </w:rPr>
              <w:t xml:space="preserve">Top-5
一致率(%)</w:t>
            </w:r>
          </w:p>
        </w:tc>
      </w:tr>
      <w:tr>
        <w:tc>
          <w:tcPr>
            <w:tcW w:type="dxa" w:w="1700"/>
            <w:tcMar>
              <w:top w:type="dxa" w:w="60"/>
              <w:left w:type="dxa" w:w="100"/>
              <w:bottom w:type="dxa" w:w="60"/>
              <w:right w:type="dxa" w:w="100"/>
            </w:tcMar>
            <w:vAlign w:val="center"/>
          </w:tcPr>
          <w:p>
            <w:pPr>
              <w:jc w:val="left"/>
            </w:pPr>
            <w:r>
              <w:rPr>
                <w:b/>
                <w:bCs/>
                <w:color w:val="000000"/>
                <w:sz w:val="19"/>
                <w:szCs w:val="19"/>
              </w:rPr>
              <w:t xml:space="preserve">FP16 (ベースライン)</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6.513</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36.50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1.27</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1.0000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100.00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100.00</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TurboQuant</w:t>
            </w:r>
          </w:p>
        </w:tc>
        <w:tc>
          <w:tcPr>
            <w:tcW w:type="dxa" w:w="1300"/>
            <w:shd w:fill="F2F2F2" w:val="clear"/>
            <w:tcMar>
              <w:top w:type="dxa" w:w="60"/>
              <w:left w:type="dxa" w:w="100"/>
              <w:bottom w:type="dxa" w:w="60"/>
              <w:right w:type="dxa" w:w="100"/>
            </w:tcMar>
            <w:vAlign w:val="center"/>
          </w:tcPr>
          <w:p>
            <w:pPr>
              <w:jc w:val="center"/>
            </w:pPr>
            <w:r>
              <w:rPr>
                <w:b w:val="false"/>
                <w:bCs w:val="false"/>
                <w:color w:val="C00000"/>
                <w:sz w:val="19"/>
                <w:szCs w:val="19"/>
              </w:rPr>
              <w:t xml:space="preserve">14,595.6</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32.71</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1.60</w:t>
            </w:r>
          </w:p>
        </w:tc>
        <w:tc>
          <w:tcPr>
            <w:tcW w:type="dxa" w:w="1300"/>
            <w:shd w:fill="F2F2F2" w:val="clear"/>
            <w:tcMar>
              <w:top w:type="dxa" w:w="60"/>
              <w:left w:type="dxa" w:w="100"/>
              <w:bottom w:type="dxa" w:w="60"/>
              <w:right w:type="dxa" w:w="100"/>
            </w:tcMar>
            <w:vAlign w:val="center"/>
          </w:tcPr>
          <w:p>
            <w:pPr>
              <w:jc w:val="center"/>
            </w:pPr>
            <w:r>
              <w:rPr>
                <w:b w:val="false"/>
                <w:bCs w:val="false"/>
                <w:color w:val="C00000"/>
                <w:sz w:val="19"/>
                <w:szCs w:val="19"/>
              </w:rPr>
              <w:t xml:space="preserve">0.4496</w:t>
            </w:r>
          </w:p>
        </w:tc>
        <w:tc>
          <w:tcPr>
            <w:tcW w:type="dxa" w:w="1300"/>
            <w:shd w:fill="F2F2F2" w:val="clear"/>
            <w:tcMar>
              <w:top w:type="dxa" w:w="60"/>
              <w:left w:type="dxa" w:w="100"/>
              <w:bottom w:type="dxa" w:w="60"/>
              <w:right w:type="dxa" w:w="100"/>
            </w:tcMar>
            <w:vAlign w:val="center"/>
          </w:tcPr>
          <w:p>
            <w:pPr>
              <w:jc w:val="center"/>
            </w:pPr>
            <w:r>
              <w:rPr>
                <w:b w:val="false"/>
                <w:bCs w:val="false"/>
                <w:color w:val="C00000"/>
                <w:sz w:val="19"/>
                <w:szCs w:val="19"/>
              </w:rPr>
              <w:t xml:space="preserve">5.18</w:t>
            </w:r>
          </w:p>
        </w:tc>
        <w:tc>
          <w:tcPr>
            <w:tcW w:type="dxa" w:w="1300"/>
            <w:shd w:fill="F2F2F2" w:val="clear"/>
            <w:tcMar>
              <w:top w:type="dxa" w:w="60"/>
              <w:left w:type="dxa" w:w="100"/>
              <w:bottom w:type="dxa" w:w="60"/>
              <w:right w:type="dxa" w:w="100"/>
            </w:tcMar>
            <w:vAlign w:val="center"/>
          </w:tcPr>
          <w:p>
            <w:pPr>
              <w:jc w:val="center"/>
            </w:pPr>
            <w:r>
              <w:rPr>
                <w:b w:val="false"/>
                <w:bCs w:val="false"/>
                <w:color w:val="C00000"/>
                <w:sz w:val="19"/>
                <w:szCs w:val="19"/>
              </w:rPr>
              <w:t xml:space="preserve">12.70</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RotorQuant</w:t>
            </w:r>
          </w:p>
        </w:tc>
        <w:tc>
          <w:tcPr>
            <w:tcW w:type="dxa" w:w="1300"/>
            <w:tcMar>
              <w:top w:type="dxa" w:w="60"/>
              <w:left w:type="dxa" w:w="100"/>
              <w:bottom w:type="dxa" w:w="60"/>
              <w:right w:type="dxa" w:w="100"/>
            </w:tcMar>
            <w:vAlign w:val="center"/>
          </w:tcPr>
          <w:p>
            <w:pPr>
              <w:jc w:val="center"/>
            </w:pPr>
            <w:r>
              <w:rPr>
                <w:b w:val="false"/>
                <w:bCs w:val="false"/>
                <w:color w:val="C00000"/>
                <w:sz w:val="19"/>
                <w:szCs w:val="19"/>
              </w:rPr>
              <w:t xml:space="preserve">232.9</w:t>
            </w:r>
          </w:p>
        </w:tc>
        <w:tc>
          <w:tcPr>
            <w:tcW w:type="dxa" w:w="1300"/>
            <w:tcMar>
              <w:top w:type="dxa" w:w="60"/>
              <w:left w:type="dxa" w:w="100"/>
              <w:bottom w:type="dxa" w:w="60"/>
              <w:right w:type="dxa" w:w="100"/>
            </w:tcMar>
            <w:vAlign w:val="center"/>
          </w:tcPr>
          <w:p>
            <w:pPr>
              <w:jc w:val="center"/>
            </w:pPr>
            <w:r>
              <w:rPr>
                <w:b w:val="false"/>
                <w:bCs w:val="false"/>
                <w:color w:val="C00000"/>
                <w:sz w:val="19"/>
                <w:szCs w:val="19"/>
              </w:rPr>
              <w:t xml:space="preserve">1.00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2.65</w:t>
            </w:r>
          </w:p>
        </w:tc>
        <w:tc>
          <w:tcPr>
            <w:tcW w:type="dxa" w:w="1300"/>
            <w:tcMar>
              <w:top w:type="dxa" w:w="60"/>
              <w:left w:type="dxa" w:w="100"/>
              <w:bottom w:type="dxa" w:w="60"/>
              <w:right w:type="dxa" w:w="100"/>
            </w:tcMar>
            <w:vAlign w:val="center"/>
          </w:tcPr>
          <w:p>
            <w:pPr>
              <w:jc w:val="center"/>
            </w:pPr>
            <w:r>
              <w:rPr>
                <w:b w:val="false"/>
                <w:bCs w:val="false"/>
                <w:color w:val="C00000"/>
                <w:sz w:val="19"/>
                <w:szCs w:val="19"/>
              </w:rPr>
              <w:t xml:space="preserve">0.7061</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98.93</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55.00</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HyperQuant</w:t>
            </w:r>
          </w:p>
        </w:tc>
        <w:tc>
          <w:tcPr>
            <w:tcW w:type="dxa" w:w="1300"/>
            <w:shd w:fill="F2F2F2" w:val="clear"/>
            <w:tcMar>
              <w:top w:type="dxa" w:w="60"/>
              <w:left w:type="dxa" w:w="100"/>
              <w:bottom w:type="dxa" w:w="60"/>
              <w:right w:type="dxa" w:w="100"/>
            </w:tcMar>
            <w:vAlign w:val="center"/>
          </w:tcPr>
          <w:p>
            <w:pPr>
              <w:jc w:val="center"/>
            </w:pPr>
            <w:r>
              <w:rPr>
                <w:b w:val="false"/>
                <w:bCs w:val="false"/>
                <w:color w:val="C00000"/>
                <w:sz w:val="19"/>
                <w:szCs w:val="19"/>
              </w:rPr>
              <w:t xml:space="preserve">14,435.6</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22.35</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1.63</w:t>
            </w:r>
          </w:p>
        </w:tc>
        <w:tc>
          <w:tcPr>
            <w:tcW w:type="dxa" w:w="1300"/>
            <w:shd w:fill="F2F2F2" w:val="clear"/>
            <w:tcMar>
              <w:top w:type="dxa" w:w="60"/>
              <w:left w:type="dxa" w:w="100"/>
              <w:bottom w:type="dxa" w:w="60"/>
              <w:right w:type="dxa" w:w="100"/>
            </w:tcMar>
            <w:vAlign w:val="center"/>
          </w:tcPr>
          <w:p>
            <w:pPr>
              <w:jc w:val="center"/>
            </w:pPr>
            <w:r>
              <w:rPr>
                <w:b w:val="false"/>
                <w:bCs w:val="false"/>
                <w:color w:val="C00000"/>
                <w:sz w:val="19"/>
                <w:szCs w:val="19"/>
              </w:rPr>
              <w:t xml:space="preserve">0.6263</w:t>
            </w:r>
          </w:p>
        </w:tc>
        <w:tc>
          <w:tcPr>
            <w:tcW w:type="dxa" w:w="1300"/>
            <w:shd w:fill="F2F2F2" w:val="clear"/>
            <w:tcMar>
              <w:top w:type="dxa" w:w="60"/>
              <w:left w:type="dxa" w:w="100"/>
              <w:bottom w:type="dxa" w:w="60"/>
              <w:right w:type="dxa" w:w="100"/>
            </w:tcMar>
            <w:vAlign w:val="center"/>
          </w:tcPr>
          <w:p>
            <w:pPr>
              <w:jc w:val="center"/>
            </w:pPr>
            <w:r>
              <w:rPr>
                <w:b w:val="false"/>
                <w:bCs w:val="false"/>
                <w:color w:val="C00000"/>
                <w:sz w:val="19"/>
                <w:szCs w:val="19"/>
              </w:rPr>
              <w:t xml:space="preserve">3.61</w:t>
            </w:r>
          </w:p>
        </w:tc>
        <w:tc>
          <w:tcPr>
            <w:tcW w:type="dxa" w:w="1300"/>
            <w:shd w:fill="F2F2F2" w:val="clear"/>
            <w:tcMar>
              <w:top w:type="dxa" w:w="60"/>
              <w:left w:type="dxa" w:w="100"/>
              <w:bottom w:type="dxa" w:w="60"/>
              <w:right w:type="dxa" w:w="100"/>
            </w:tcMar>
            <w:vAlign w:val="center"/>
          </w:tcPr>
          <w:p>
            <w:pPr>
              <w:jc w:val="center"/>
            </w:pPr>
            <w:r>
              <w:rPr>
                <w:b w:val="false"/>
                <w:bCs w:val="false"/>
                <w:color w:val="C00000"/>
                <w:sz w:val="19"/>
                <w:szCs w:val="19"/>
              </w:rPr>
              <w:t xml:space="preserve">12.32</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UltraQuant</w:t>
            </w:r>
          </w:p>
        </w:tc>
        <w:tc>
          <w:tcPr>
            <w:tcW w:type="dxa" w:w="1300"/>
            <w:tcMar>
              <w:top w:type="dxa" w:w="60"/>
              <w:left w:type="dxa" w:w="100"/>
              <w:bottom w:type="dxa" w:w="60"/>
              <w:right w:type="dxa" w:w="100"/>
            </w:tcMar>
            <w:vAlign w:val="center"/>
          </w:tcPr>
          <w:p>
            <w:pPr>
              <w:jc w:val="center"/>
            </w:pPr>
            <w:r>
              <w:rPr>
                <w:b w:val="false"/>
                <w:bCs w:val="false"/>
                <w:color w:val="C00000"/>
                <w:sz w:val="19"/>
                <w:szCs w:val="19"/>
              </w:rPr>
              <w:t xml:space="preserve">9,897.5</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31.85</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1.72</w:t>
            </w:r>
          </w:p>
        </w:tc>
        <w:tc>
          <w:tcPr>
            <w:tcW w:type="dxa" w:w="1300"/>
            <w:tcMar>
              <w:top w:type="dxa" w:w="60"/>
              <w:left w:type="dxa" w:w="100"/>
              <w:bottom w:type="dxa" w:w="60"/>
              <w:right w:type="dxa" w:w="100"/>
            </w:tcMar>
            <w:vAlign w:val="center"/>
          </w:tcPr>
          <w:p>
            <w:pPr>
              <w:jc w:val="center"/>
            </w:pPr>
            <w:r>
              <w:rPr>
                <w:b w:val="false"/>
                <w:bCs w:val="false"/>
                <w:color w:val="C00000"/>
                <w:sz w:val="19"/>
                <w:szCs w:val="19"/>
              </w:rPr>
              <w:t xml:space="preserve">0.6045</w:t>
            </w:r>
          </w:p>
        </w:tc>
        <w:tc>
          <w:tcPr>
            <w:tcW w:type="dxa" w:w="1300"/>
            <w:tcMar>
              <w:top w:type="dxa" w:w="60"/>
              <w:left w:type="dxa" w:w="100"/>
              <w:bottom w:type="dxa" w:w="60"/>
              <w:right w:type="dxa" w:w="100"/>
            </w:tcMar>
            <w:vAlign w:val="center"/>
          </w:tcPr>
          <w:p>
            <w:pPr>
              <w:jc w:val="center"/>
            </w:pPr>
            <w:r>
              <w:rPr>
                <w:b w:val="false"/>
                <w:bCs w:val="false"/>
                <w:color w:val="C00000"/>
                <w:sz w:val="19"/>
                <w:szCs w:val="19"/>
              </w:rPr>
              <w:t xml:space="preserve">14.65</w:t>
            </w:r>
          </w:p>
        </w:tc>
        <w:tc>
          <w:tcPr>
            <w:tcW w:type="dxa" w:w="1300"/>
            <w:tcMar>
              <w:top w:type="dxa" w:w="60"/>
              <w:left w:type="dxa" w:w="100"/>
              <w:bottom w:type="dxa" w:w="60"/>
              <w:right w:type="dxa" w:w="100"/>
            </w:tcMar>
            <w:vAlign w:val="center"/>
          </w:tcPr>
          <w:p>
            <w:pPr>
              <w:jc w:val="center"/>
            </w:pPr>
            <w:r>
              <w:rPr>
                <w:b w:val="false"/>
                <w:bCs w:val="false"/>
                <w:color w:val="C00000"/>
                <w:sz w:val="19"/>
                <w:szCs w:val="19"/>
              </w:rPr>
              <w:t xml:space="preserve">12.85</w:t>
            </w:r>
          </w:p>
        </w:tc>
      </w:tr>
    </w:tbl>
    <w:p>
      <w:pPr>
        <w:spacing w:after="200" w:before="120"/>
      </w:pPr>
      <w:r>
        <w:rPr>
          <w:sz w:val="4"/>
          <w:szCs w:val="4"/>
        </w:rPr>
        <w:t xml:space="preserve"> </w:t>
      </w:r>
    </w:p>
    <w:p>
      <w:pPr>
        <w:spacing w:after="160"/>
      </w:pPr>
      <w:r>
        <w:rPr>
          <w:b w:val="false"/>
          <w:bCs w:val="false"/>
          <w:sz w:val="21"/>
          <w:szCs w:val="21"/>
        </w:rPr>
        <w:t xml:space="preserve">補足: 赤字は基準（fp16）から大きく劣化している値、緑の「○」はNIAHタスク正解、赤の「×」は不正解を示す。</w:t>
      </w:r>
    </w:p>
    <w:p>
      <w:pPr>
        <w:pStyle w:val="Heading1"/>
        <w:spacing w:after="160" w:before="320"/>
      </w:pPr>
      <w:r>
        <w:t xml:space="preserve">5. まとめ</w:t>
      </w:r>
    </w:p>
    <w:p>
      <w:pPr>
        <w:pStyle w:val="ListParagraph"/>
        <w:numPr>
          <w:ilvl w:val="0"/>
          <w:numId w:val="1"/>
        </w:numPr>
        <w:spacing w:after="80"/>
      </w:pPr>
      <w:r>
        <w:rPr>
          <w:sz w:val="21"/>
          <w:szCs w:val="21"/>
        </w:rPr>
        <w:t xml:space="preserve">Llama 3.1 8B・Mistral 7B v0.3においては、UltraQuantが精度劣化を最小限に抑えつつ実用的な速度を維持する最もバランスの取れた手法であった。</w:t>
      </w:r>
    </w:p>
    <w:p>
      <w:pPr>
        <w:pStyle w:val="ListParagraph"/>
        <w:numPr>
          <w:ilvl w:val="0"/>
          <w:numId w:val="1"/>
        </w:numPr>
        <w:spacing w:after="80"/>
      </w:pPr>
      <w:r>
        <w:rPr>
          <w:sz w:val="21"/>
          <w:szCs w:val="21"/>
        </w:rPr>
        <w:t xml:space="preserve">RotorQuantは精度面で最良の結果を示したが、本評価環境ではデコード速度が著しく低く、実運用には追加の最適化（カーネル実装の見直し等）が必要と考えられる。</w:t>
      </w:r>
    </w:p>
    <w:p>
      <w:pPr>
        <w:pStyle w:val="ListParagraph"/>
        <w:numPr>
          <w:ilvl w:val="0"/>
          <w:numId w:val="1"/>
        </w:numPr>
        <w:spacing w:after="80"/>
      </w:pPr>
      <w:r>
        <w:rPr>
          <w:sz w:val="21"/>
          <w:szCs w:val="21"/>
        </w:rPr>
        <w:t xml:space="preserve">TurboQuant・HyperQuantは速度は確保できるものの、長距離のアテンション再現精度（Top-5一致率）でUltraQuant・RotorQuantに劣る。</w:t>
      </w:r>
    </w:p>
    <w:p>
      <w:pPr>
        <w:pStyle w:val="ListParagraph"/>
        <w:numPr>
          <w:ilvl w:val="0"/>
          <w:numId w:val="1"/>
        </w:numPr>
        <w:spacing w:after="80"/>
      </w:pPr>
      <w:r>
        <w:rPr>
          <w:sz w:val="21"/>
          <w:szCs w:val="21"/>
        </w:rPr>
        <w:t xml:space="preserve">Qwen2.5 7Bについては、評価した4手法すべてで精度が破綻しており、原因調査（アーキテクチャ依存のバグ、実装の非互換性等）が必要である。</w:t>
      </w:r>
    </w:p>
    <w:p>
      <w:pPr>
        <w:pStyle w:val="ListParagraph"/>
        <w:numPr>
          <w:ilvl w:val="0"/>
          <w:numId w:val="1"/>
        </w:numPr>
        <w:spacing w:after="80"/>
      </w:pPr>
      <w:r>
        <w:rPr>
          <w:sz w:val="21"/>
          <w:szCs w:val="21"/>
        </w:rPr>
        <w:t xml:space="preserve">圧縮率データについては手法間で差が見られず、ビット幅設定の妥当性を含めた実験設定の再確認を推奨する。</w:t>
      </w:r>
    </w:p>
    <w:sectPr>
      <w:pgSz w:w="11906" w:h="16838"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2026-08-21T07:10:59.426Z</dcterms:created>
  <dcterms:modified xsi:type="dcterms:W3CDTF">2026-08-21T07:10:59.427Z</dcterms:modified>
</cp:coreProperties>
</file>

<file path=docProps/custom.xml><?xml version="1.0" encoding="utf-8"?>
<Properties xmlns="http://schemas.openxmlformats.org/officeDocument/2006/custom-properties" xmlns:vt="http://schemas.openxmlformats.org/officeDocument/2006/docPropsVTypes"/>
</file>