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56763719"/>
        <w:docPartObj>
          <w:docPartGallery w:val="Cover Pages"/>
          <w:docPartUnique/>
        </w:docPartObj>
      </w:sdtPr>
      <w:sdtContent>
        <w:p w14:paraId="0D199B61" w14:textId="7DC428E9" w:rsidR="00095102" w:rsidRDefault="000951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C642E6" wp14:editId="7DFA01E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9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BC6027" w14:textId="2CDA43D0" w:rsidR="00095102" w:rsidRDefault="000951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40A7A5B" w14:textId="07B541EC" w:rsidR="00095102" w:rsidRDefault="0009510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IELC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104EBAB" w14:textId="1E9386CA" w:rsidR="00095102" w:rsidRDefault="0009510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DE GUADALAJARA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D1EDA4" w14:textId="437D69B8" w:rsidR="00095102" w:rsidRDefault="007604C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19-5-2024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C642E6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9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BC6027" w14:textId="2CDA43D0" w:rsidR="00095102" w:rsidRDefault="000951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40A7A5B" w14:textId="07B541EC" w:rsidR="00095102" w:rsidRDefault="0009510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IELC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104EBAB" w14:textId="1E9386CA" w:rsidR="00095102" w:rsidRDefault="0009510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DE GUADALAJARA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D1EDA4" w14:textId="437D69B8" w:rsidR="00095102" w:rsidRDefault="007604C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19-5-2024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0C18756" wp14:editId="5B71C80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D39ADD8" w14:textId="270FB380" w:rsidR="00095102" w:rsidRDefault="007604C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Práctica semáforo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0C18756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D39ADD8" w14:textId="270FB380" w:rsidR="00095102" w:rsidRDefault="007604C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Práctica semáforo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7C1691" w14:textId="3157AB27" w:rsidR="00095102" w:rsidRDefault="007604C0" w:rsidP="000951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71C5C0" wp14:editId="062A856F">
                    <wp:simplePos x="0" y="0"/>
                    <wp:positionH relativeFrom="column">
                      <wp:posOffset>249391</wp:posOffset>
                    </wp:positionH>
                    <wp:positionV relativeFrom="paragraph">
                      <wp:posOffset>6382097</wp:posOffset>
                    </wp:positionV>
                    <wp:extent cx="2946400" cy="274881"/>
                    <wp:effectExtent l="0" t="0" r="25400" b="11430"/>
                    <wp:wrapNone/>
                    <wp:docPr id="5774277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6400" cy="27488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7527F" w14:textId="7D56FA0F" w:rsidR="00095102" w:rsidRDefault="00095102">
                                <w:r>
                                  <w:t>ANDRADE SALAZAR IGNACIO</w:t>
                                </w:r>
                              </w:p>
                              <w:p w14:paraId="54BAEA81" w14:textId="7F84F1EA" w:rsidR="00095102" w:rsidRDefault="000951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71C5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32" type="#_x0000_t202" style="position:absolute;margin-left:19.65pt;margin-top:502.55pt;width:232pt;height:2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" fillcolor="white [3201]" strokecolor="#4ea72e [3209]" strokeweight="1pt">
                    <v:textbox>
                      <w:txbxContent>
                        <w:p w14:paraId="5F47527F" w14:textId="7D56FA0F" w:rsidR="00095102" w:rsidRDefault="00095102">
                          <w:r>
                            <w:t>ANDRADE SALAZAR IGNACIO</w:t>
                          </w:r>
                        </w:p>
                        <w:p w14:paraId="54BAEA81" w14:textId="7F84F1EA" w:rsidR="00095102" w:rsidRDefault="00095102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F07B97C" wp14:editId="604659D9">
                <wp:simplePos x="0" y="0"/>
                <wp:positionH relativeFrom="margin">
                  <wp:posOffset>2750820</wp:posOffset>
                </wp:positionH>
                <wp:positionV relativeFrom="margin">
                  <wp:posOffset>2740660</wp:posOffset>
                </wp:positionV>
                <wp:extent cx="3914775" cy="2187575"/>
                <wp:effectExtent l="76200" t="76200" r="142875" b="136525"/>
                <wp:wrapSquare wrapText="bothSides"/>
                <wp:docPr id="449733126" name="Imagen 1" descr="Electrotec - Tutorial de un Semáforo dual con PLC SIEMENS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ctrotec - Tutorial de un Semáforo dual con PLC SIEMENS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4775" cy="2187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5102">
            <w:t xml:space="preserve"> </w:t>
          </w:r>
          <w:r w:rsidR="00095102">
            <w:br w:type="page"/>
          </w:r>
        </w:p>
      </w:sdtContent>
    </w:sdt>
    <w:p w14:paraId="7A05DB9B" w14:textId="79170484" w:rsidR="00095102" w:rsidRPr="00850D54" w:rsidRDefault="00095102" w:rsidP="00E14F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50D5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7CC5CA4F" w14:textId="30F55694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 xml:space="preserve">La programación de sistemas de control en PLC es una habilidad fundamental en la automatización industrial. En esta práctica, programaremos un semáforo utilizando el lenguaje en escalera en </w:t>
      </w:r>
      <w:proofErr w:type="spellStart"/>
      <w:r w:rsidRPr="007604C0">
        <w:rPr>
          <w:rFonts w:ascii="Arial" w:hAnsi="Arial" w:cs="Arial"/>
          <w:sz w:val="24"/>
          <w:szCs w:val="24"/>
        </w:rPr>
        <w:t>RSLogix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500, y lo probaremos en el </w:t>
      </w:r>
      <w:proofErr w:type="spellStart"/>
      <w:r w:rsidRPr="007604C0">
        <w:rPr>
          <w:rFonts w:ascii="Arial" w:hAnsi="Arial" w:cs="Arial"/>
          <w:sz w:val="24"/>
          <w:szCs w:val="24"/>
        </w:rPr>
        <w:t>Emulate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500, no en un PLC real. Este ejercicio ayudará a los estudiantes a comprender los conceptos básicos de programación de PLC y el uso de temporizadores TON.</w:t>
      </w:r>
    </w:p>
    <w:p w14:paraId="4AEF2199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4C0">
        <w:rPr>
          <w:rFonts w:ascii="Arial" w:hAnsi="Arial" w:cs="Arial"/>
          <w:b/>
          <w:bCs/>
          <w:sz w:val="24"/>
          <w:szCs w:val="24"/>
        </w:rPr>
        <w:t>Objetivo</w:t>
      </w:r>
    </w:p>
    <w:p w14:paraId="48792140" w14:textId="4F07393E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 xml:space="preserve">Diseñar y programar un ciclo de semáforo en </w:t>
      </w:r>
      <w:proofErr w:type="spellStart"/>
      <w:r w:rsidRPr="007604C0">
        <w:rPr>
          <w:rFonts w:ascii="Arial" w:hAnsi="Arial" w:cs="Arial"/>
          <w:sz w:val="24"/>
          <w:szCs w:val="24"/>
        </w:rPr>
        <w:t>RSLogix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 donde cada luz (verde, amarilla y roja) esté encendida durante 300 ms, utilizando temporizadores TON, y verificar su funcionamiento en el </w:t>
      </w:r>
      <w:proofErr w:type="spellStart"/>
      <w:r w:rsidRPr="007604C0">
        <w:rPr>
          <w:rFonts w:ascii="Arial" w:hAnsi="Arial" w:cs="Arial"/>
          <w:sz w:val="24"/>
          <w:szCs w:val="24"/>
        </w:rPr>
        <w:t>Emulate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500.</w:t>
      </w:r>
    </w:p>
    <w:p w14:paraId="69FD610D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4C0">
        <w:rPr>
          <w:rFonts w:ascii="Arial" w:hAnsi="Arial" w:cs="Arial"/>
          <w:b/>
          <w:bCs/>
          <w:sz w:val="24"/>
          <w:szCs w:val="24"/>
        </w:rPr>
        <w:t>Descripción del Problema</w:t>
      </w:r>
    </w:p>
    <w:p w14:paraId="4A63FEF5" w14:textId="632BD251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>El semáforo debe seguir esta secuencia de operación:</w:t>
      </w:r>
    </w:p>
    <w:p w14:paraId="7938D6C4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>Luz Verde: Encendida durante 300 ms.</w:t>
      </w:r>
    </w:p>
    <w:p w14:paraId="14940E46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>Luz Amarilla: Encendida durante 300 ms.</w:t>
      </w:r>
    </w:p>
    <w:p w14:paraId="0EF44AA8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>Luz Roja: Encendida durante 300 ms.</w:t>
      </w:r>
    </w:p>
    <w:p w14:paraId="4CE0BD7D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4C0">
        <w:rPr>
          <w:rFonts w:ascii="Arial" w:hAnsi="Arial" w:cs="Arial"/>
          <w:b/>
          <w:bCs/>
          <w:sz w:val="24"/>
          <w:szCs w:val="24"/>
        </w:rPr>
        <w:t>Herramientas</w:t>
      </w:r>
    </w:p>
    <w:p w14:paraId="64D22F90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 xml:space="preserve">Software: </w:t>
      </w:r>
      <w:proofErr w:type="spellStart"/>
      <w:r w:rsidRPr="007604C0">
        <w:rPr>
          <w:rFonts w:ascii="Arial" w:hAnsi="Arial" w:cs="Arial"/>
          <w:sz w:val="24"/>
          <w:szCs w:val="24"/>
        </w:rPr>
        <w:t>RSLogix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 y </w:t>
      </w:r>
      <w:proofErr w:type="spellStart"/>
      <w:r w:rsidRPr="007604C0">
        <w:rPr>
          <w:rFonts w:ascii="Arial" w:hAnsi="Arial" w:cs="Arial"/>
          <w:sz w:val="24"/>
          <w:szCs w:val="24"/>
        </w:rPr>
        <w:t>RSLogix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04C0">
        <w:rPr>
          <w:rFonts w:ascii="Arial" w:hAnsi="Arial" w:cs="Arial"/>
          <w:sz w:val="24"/>
          <w:szCs w:val="24"/>
        </w:rPr>
        <w:t>Emulate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</w:t>
      </w:r>
    </w:p>
    <w:p w14:paraId="6E778844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4C0">
        <w:rPr>
          <w:rFonts w:ascii="Arial" w:hAnsi="Arial" w:cs="Arial"/>
          <w:sz w:val="24"/>
          <w:szCs w:val="24"/>
        </w:rPr>
        <w:t>Hardware Simulado: Emulador de PLC (</w:t>
      </w:r>
      <w:proofErr w:type="spellStart"/>
      <w:r w:rsidRPr="007604C0">
        <w:rPr>
          <w:rFonts w:ascii="Arial" w:hAnsi="Arial" w:cs="Arial"/>
          <w:sz w:val="24"/>
          <w:szCs w:val="24"/>
        </w:rPr>
        <w:t>RSLogix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04C0">
        <w:rPr>
          <w:rFonts w:ascii="Arial" w:hAnsi="Arial" w:cs="Arial"/>
          <w:sz w:val="24"/>
          <w:szCs w:val="24"/>
        </w:rPr>
        <w:t>Emulate</w:t>
      </w:r>
      <w:proofErr w:type="spellEnd"/>
      <w:r w:rsidRPr="007604C0">
        <w:rPr>
          <w:rFonts w:ascii="Arial" w:hAnsi="Arial" w:cs="Arial"/>
          <w:sz w:val="24"/>
          <w:szCs w:val="24"/>
        </w:rPr>
        <w:t xml:space="preserve"> 500)</w:t>
      </w:r>
    </w:p>
    <w:p w14:paraId="1243FE2D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619F0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6943CF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3D8EEB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00A67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B1CFC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D0B2F" w14:textId="6FABF8F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4C0">
        <w:rPr>
          <w:rFonts w:ascii="Arial" w:hAnsi="Arial" w:cs="Arial"/>
          <w:b/>
          <w:bCs/>
          <w:sz w:val="24"/>
          <w:szCs w:val="24"/>
        </w:rPr>
        <w:lastRenderedPageBreak/>
        <w:t>Metodología</w:t>
      </w:r>
    </w:p>
    <w:p w14:paraId="5BE2DC92" w14:textId="77777777" w:rsidR="007604C0" w:rsidRDefault="007604C0" w:rsidP="007604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4C0">
        <w:rPr>
          <w:rFonts w:ascii="Arial" w:hAnsi="Arial" w:cs="Arial"/>
          <w:b/>
          <w:bCs/>
          <w:sz w:val="24"/>
          <w:szCs w:val="24"/>
        </w:rPr>
        <w:t>Diseño del Diagrama en Escalera:</w:t>
      </w:r>
    </w:p>
    <w:p w14:paraId="2F4A98DE" w14:textId="7AB88356" w:rsid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programación de nuestro semáforo se utilizó la programación en escalera, con ayuda del software </w:t>
      </w:r>
      <w:proofErr w:type="spellStart"/>
      <w:r>
        <w:rPr>
          <w:rFonts w:ascii="Arial" w:hAnsi="Arial" w:cs="Arial"/>
          <w:sz w:val="24"/>
          <w:szCs w:val="24"/>
        </w:rPr>
        <w:t>RSLogic</w:t>
      </w:r>
      <w:proofErr w:type="spellEnd"/>
      <w:r>
        <w:rPr>
          <w:rFonts w:ascii="Arial" w:hAnsi="Arial" w:cs="Arial"/>
          <w:sz w:val="24"/>
          <w:szCs w:val="24"/>
        </w:rPr>
        <w:t xml:space="preserve"> 500, a continuación, se muestra captura del código:</w:t>
      </w:r>
    </w:p>
    <w:p w14:paraId="44D05A5D" w14:textId="377D3C33" w:rsidR="007604C0" w:rsidRDefault="00E518A9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8A9">
        <w:rPr>
          <w:rFonts w:ascii="Arial" w:hAnsi="Arial" w:cs="Arial"/>
          <w:sz w:val="24"/>
          <w:szCs w:val="24"/>
        </w:rPr>
        <w:drawing>
          <wp:inline distT="0" distB="0" distL="0" distR="0" wp14:anchorId="5A7B3084" wp14:editId="271934C3">
            <wp:extent cx="5612130" cy="2997200"/>
            <wp:effectExtent l="76200" t="76200" r="140970" b="127000"/>
            <wp:docPr id="61320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83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3B374" w14:textId="4F4859C2" w:rsidR="00E518A9" w:rsidRDefault="00E518A9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en la línea uno se tiene el arranque y paro, así como la conexión de la energía, después se definió un </w:t>
      </w:r>
      <w:proofErr w:type="spellStart"/>
      <w:r>
        <w:rPr>
          <w:rFonts w:ascii="Arial" w:hAnsi="Arial" w:cs="Arial"/>
          <w:sz w:val="24"/>
          <w:szCs w:val="24"/>
        </w:rPr>
        <w:t>timer</w:t>
      </w:r>
      <w:proofErr w:type="spellEnd"/>
      <w:r>
        <w:rPr>
          <w:rFonts w:ascii="Arial" w:hAnsi="Arial" w:cs="Arial"/>
          <w:sz w:val="24"/>
          <w:szCs w:val="24"/>
        </w:rPr>
        <w:t xml:space="preserve"> de tipo TON, el cual nos indica que se realizará una acción después de que se complete cierta cantidad de tiempo, en este caso es un </w:t>
      </w:r>
      <w:proofErr w:type="spellStart"/>
      <w:r>
        <w:rPr>
          <w:rFonts w:ascii="Arial" w:hAnsi="Arial" w:cs="Arial"/>
          <w:sz w:val="24"/>
          <w:szCs w:val="24"/>
        </w:rPr>
        <w:t>timer</w:t>
      </w:r>
      <w:proofErr w:type="spellEnd"/>
      <w:r>
        <w:rPr>
          <w:rFonts w:ascii="Arial" w:hAnsi="Arial" w:cs="Arial"/>
          <w:sz w:val="24"/>
          <w:szCs w:val="24"/>
        </w:rPr>
        <w:t xml:space="preserve"> de 900 ms, repartidos entres ya que nuestro semáforo cuenta con tres colores (verde, amarillo y rojo). Cada color tendrá 300 ms de funcionamiento luego de esto se apagará y seguirá el siguiente, este proceso se repetirá hasta que se decida parar el proceso.</w:t>
      </w:r>
    </w:p>
    <w:p w14:paraId="7A1CBB01" w14:textId="77777777" w:rsidR="00E518A9" w:rsidRDefault="00E518A9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A263B" w14:textId="6554298A" w:rsidR="00E518A9" w:rsidRDefault="007B1958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demostración en el siguiente </w:t>
      </w: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3C8932AD" w14:textId="01A6587F" w:rsidR="007B1958" w:rsidRDefault="007B1958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AD2282">
          <w:rPr>
            <w:rStyle w:val="Hipervnculo"/>
            <w:rFonts w:ascii="Arial" w:hAnsi="Arial" w:cs="Arial"/>
            <w:sz w:val="24"/>
            <w:szCs w:val="24"/>
          </w:rPr>
          <w:t>https://drive.google.com/file/d/1-GOJCLvsp53OiT8xCcbPESG5VlJcR4KJ/view?usp=sharing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934A65B" w14:textId="77777777" w:rsidR="007604C0" w:rsidRPr="007604C0" w:rsidRDefault="007604C0" w:rsidP="007604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B50CE" w14:textId="556FDF05" w:rsidR="00554BD9" w:rsidRDefault="000C74B5" w:rsidP="00554BD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14265F2E" w14:textId="771B2C38" w:rsidR="000C74B5" w:rsidRPr="000C74B5" w:rsidRDefault="00E518A9" w:rsidP="00E518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8A9">
        <w:rPr>
          <w:rFonts w:ascii="Arial" w:hAnsi="Arial" w:cs="Arial"/>
          <w:sz w:val="24"/>
          <w:szCs w:val="24"/>
        </w:rPr>
        <w:t xml:space="preserve">En conclusión, el proyecto de semáforo desarrollado en </w:t>
      </w:r>
      <w:proofErr w:type="spellStart"/>
      <w:r w:rsidRPr="00E518A9">
        <w:rPr>
          <w:rFonts w:ascii="Arial" w:hAnsi="Arial" w:cs="Arial"/>
          <w:sz w:val="24"/>
          <w:szCs w:val="24"/>
        </w:rPr>
        <w:t>RSLogix</w:t>
      </w:r>
      <w:proofErr w:type="spellEnd"/>
      <w:r w:rsidRPr="00E518A9">
        <w:rPr>
          <w:rFonts w:ascii="Arial" w:hAnsi="Arial" w:cs="Arial"/>
          <w:sz w:val="24"/>
          <w:szCs w:val="24"/>
        </w:rPr>
        <w:t xml:space="preserve"> 500 utilizando </w:t>
      </w:r>
      <w:proofErr w:type="spellStart"/>
      <w:r w:rsidRPr="00E518A9">
        <w:rPr>
          <w:rFonts w:ascii="Arial" w:hAnsi="Arial" w:cs="Arial"/>
          <w:sz w:val="24"/>
          <w:szCs w:val="24"/>
        </w:rPr>
        <w:t>Emulate</w:t>
      </w:r>
      <w:proofErr w:type="spellEnd"/>
      <w:r w:rsidRPr="00E518A9">
        <w:rPr>
          <w:rFonts w:ascii="Arial" w:hAnsi="Arial" w:cs="Arial"/>
          <w:sz w:val="24"/>
          <w:szCs w:val="24"/>
        </w:rPr>
        <w:t xml:space="preserve"> 500 y un temporizador TON de 900 ms ha demostrado ser una solución efectiva para regular el tráfico de manera segura y eficiente. La implementación de la lógica de control ha permitido una transición suave entre los colores rojo, amarillo y verde, asegurando un funcionamiento óptimo del semáforo. La simulación previa mediante </w:t>
      </w:r>
      <w:proofErr w:type="spellStart"/>
      <w:r w:rsidRPr="00E518A9">
        <w:rPr>
          <w:rFonts w:ascii="Arial" w:hAnsi="Arial" w:cs="Arial"/>
          <w:sz w:val="24"/>
          <w:szCs w:val="24"/>
        </w:rPr>
        <w:t>Emulate</w:t>
      </w:r>
      <w:proofErr w:type="spellEnd"/>
      <w:r w:rsidRPr="00E518A9">
        <w:rPr>
          <w:rFonts w:ascii="Arial" w:hAnsi="Arial" w:cs="Arial"/>
          <w:sz w:val="24"/>
          <w:szCs w:val="24"/>
        </w:rPr>
        <w:t xml:space="preserve"> 500 ha facilitado la detección de posibles errores y la optimización del sistema antes de su implementación en hardware real, garantizando así su eficiencia y flexibilidad en el tiempo.</w:t>
      </w:r>
    </w:p>
    <w:sectPr w:rsidR="000C74B5" w:rsidRPr="000C74B5" w:rsidSect="0009510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F7"/>
    <w:rsid w:val="00037FF7"/>
    <w:rsid w:val="00095102"/>
    <w:rsid w:val="000C74B5"/>
    <w:rsid w:val="0046605C"/>
    <w:rsid w:val="004A3B5D"/>
    <w:rsid w:val="00554BD9"/>
    <w:rsid w:val="007604C0"/>
    <w:rsid w:val="007B1958"/>
    <w:rsid w:val="00850D54"/>
    <w:rsid w:val="00A97A5A"/>
    <w:rsid w:val="00DF4BD8"/>
    <w:rsid w:val="00E14F52"/>
    <w:rsid w:val="00E518A9"/>
    <w:rsid w:val="00F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0EB8"/>
  <w15:chartTrackingRefBased/>
  <w15:docId w15:val="{835A9825-3C44-4E0C-8CE8-A089C079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F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F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F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F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F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FF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9510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102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97A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A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A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GOJCLvsp53OiT8xCcbPESG5VlJcR4KJ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PLC</vt:lpstr>
    </vt:vector>
  </TitlesOfParts>
  <Company>UNIVERSIDAD DE GUADALAJARA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semáforo</dc:title>
  <dc:subject/>
  <dc:creator>IELC</dc:creator>
  <cp:keywords/>
  <dc:description/>
  <cp:lastModifiedBy>Ignacio Andrade Salazar</cp:lastModifiedBy>
  <cp:revision>4</cp:revision>
  <dcterms:created xsi:type="dcterms:W3CDTF">2024-05-15T21:56:00Z</dcterms:created>
  <dcterms:modified xsi:type="dcterms:W3CDTF">2024-05-19T21:49:00Z</dcterms:modified>
</cp:coreProperties>
</file>