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CNE-ITP | Note de cadrage pour l’agent IA</w:t>
      </w:r>
    </w:p>
    <w:p>
      <w:pPr>
        <w:pStyle w:val="Subtitle"/>
      </w:pPr>
      <w:r>
        <w:t>Nouvelle structure Phoenix • Synthèse fonctionnelle et consignes de migration</w:t>
      </w:r>
    </w:p>
    <w:p>
      <w:r>
        <w:t>Référence : « MATRICE CNE-ITP_Phoenix.pdf », 14 pages, transmise par le maître d’ouvrage. Cette note distingue les informations figurant dans la matrice des recommandations de conception logicielle.</w:t>
      </w:r>
    </w:p>
    <w:p>
      <w:pPr>
        <w:pStyle w:val="Heading1"/>
      </w:pPr>
      <w:r>
        <w:t>1. Structure institutionnelle à représenter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Organe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Composition</w:t>
            </w:r>
          </w:p>
        </w:tc>
      </w:tr>
      <w:tr>
        <w:tc>
          <w:tcPr>
            <w:tcW w:type="dxa" w:w="2880"/>
          </w:tcPr>
          <w:p>
            <w:r>
              <w:t>Comité de pilotage (COPIL)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 présidence, 2 secrétariat, 7 membres, 3 invités, 6 appoints</w:t>
            </w:r>
          </w:p>
        </w:tc>
      </w:tr>
      <w:tr>
        <w:tc>
          <w:tcPr>
            <w:tcW w:type="dxa" w:w="2880"/>
          </w:tcPr>
          <w:p>
            <w:r>
              <w:t>Coordination du Secrétariat technique (ST)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 coordination et 5 pôles de 4 personnes</w:t>
            </w:r>
          </w:p>
        </w:tc>
      </w:tr>
      <w:tr>
        <w:tc>
          <w:tcPr>
            <w:tcW w:type="dxa" w:w="2880"/>
          </w:tcPr>
          <w:p>
            <w:r>
              <w:t>Sous-commissions (SC)</w:t>
            </w:r>
          </w:p>
        </w:tc>
        <w:tc>
          <w:tcPr>
            <w:tcW w:type="dxa" w:w="2880"/>
          </w:tcPr>
          <w:p>
            <w:r>
              <w:t>7 structures</w:t>
            </w:r>
          </w:p>
        </w:tc>
        <w:tc>
          <w:tcPr>
            <w:tcW w:type="dxa" w:w="2880"/>
          </w:tcPr>
          <w:p>
            <w:r>
              <w:t>Composition-type indiquée, personnes et intitulés à compléter</w:t>
            </w:r>
          </w:p>
        </w:tc>
      </w:tr>
    </w:tbl>
    <w:p>
      <w:r>
        <w:t>La matrice indique 46 postes pour le COPIL et la coordination du ST réunis. Ce total ne comprend pas les sous-commissions.</w:t>
      </w:r>
    </w:p>
    <w:p>
      <w:pPr>
        <w:pStyle w:val="Heading1"/>
      </w:pPr>
      <w:r>
        <w:t>2. Comité de pilotage : 22 postes</w:t>
      </w:r>
    </w:p>
    <w:p>
      <w:pPr>
        <w:pStyle w:val="Heading2"/>
      </w:pPr>
      <w:r>
        <w:t>Présidence (4)</w:t>
      </w:r>
    </w:p>
    <w:p>
      <w:pPr>
        <w:pStyle w:val="ListBullet"/>
      </w:pPr>
      <w:r>
        <w:t>Président : Ministre des Infrastructures et Travaux Publics (ITP).</w:t>
      </w:r>
    </w:p>
    <w:p>
      <w:pPr>
        <w:pStyle w:val="ListBullet"/>
      </w:pPr>
      <w:r>
        <w:t>1er Vice-président : Secrétaire général aux ITP.</w:t>
      </w:r>
    </w:p>
    <w:p>
      <w:pPr>
        <w:pStyle w:val="ListBullet"/>
      </w:pPr>
      <w:r>
        <w:t>2e Vice-président : Directeur de cabinet du Ministre des ITP.</w:t>
      </w:r>
    </w:p>
    <w:p>
      <w:pPr>
        <w:pStyle w:val="ListBullet"/>
      </w:pPr>
      <w:r>
        <w:t>3e Vice-président : Secrétaire général à la Reconstruction.</w:t>
      </w:r>
    </w:p>
    <w:p>
      <w:pPr>
        <w:pStyle w:val="Heading2"/>
      </w:pPr>
      <w:r>
        <w:t>Secrétariat (2)</w:t>
      </w:r>
    </w:p>
    <w:p>
      <w:pPr>
        <w:pStyle w:val="ListBullet"/>
      </w:pPr>
      <w:r>
        <w:t>Secrétaire : Directeur DRN, Secrétariat général aux ITP.</w:t>
      </w:r>
    </w:p>
    <w:p>
      <w:pPr>
        <w:pStyle w:val="ListBullet"/>
      </w:pPr>
      <w:r>
        <w:t>Secrétaire adjoint : Consultant, ECOSYS.</w:t>
      </w:r>
    </w:p>
    <w:p>
      <w:pPr>
        <w:pStyle w:val="Heading2"/>
      </w:pPr>
      <w:r>
        <w:t>Membres (7)</w:t>
      </w:r>
    </w:p>
    <w:p>
      <w:pPr>
        <w:pStyle w:val="ListBullet"/>
      </w:pPr>
      <w:r>
        <w:t>Directeur général ACGT</w:t>
      </w:r>
    </w:p>
    <w:p>
      <w:pPr>
        <w:pStyle w:val="ListBullet"/>
      </w:pPr>
      <w:r>
        <w:t>Directeur général OR</w:t>
      </w:r>
    </w:p>
    <w:p>
      <w:pPr>
        <w:pStyle w:val="ListBullet"/>
      </w:pPr>
      <w:r>
        <w:t>Coordonnateur CI</w:t>
      </w:r>
    </w:p>
    <w:p>
      <w:pPr>
        <w:pStyle w:val="ListBullet"/>
      </w:pPr>
      <w:r>
        <w:t>Directeur général OVD</w:t>
      </w:r>
    </w:p>
    <w:p>
      <w:pPr>
        <w:pStyle w:val="ListBullet"/>
      </w:pPr>
      <w:r>
        <w:t>Directeur général FONER</w:t>
      </w:r>
    </w:p>
    <w:p>
      <w:pPr>
        <w:pStyle w:val="ListBullet"/>
      </w:pPr>
      <w:r>
        <w:t>Directeur général BTC</w:t>
      </w:r>
    </w:p>
    <w:p>
      <w:pPr>
        <w:pStyle w:val="ListBullet"/>
      </w:pPr>
      <w:r>
        <w:t>Directeur général BEAU</w:t>
      </w:r>
    </w:p>
    <w:p>
      <w:pPr>
        <w:pStyle w:val="Heading2"/>
      </w:pPr>
      <w:r>
        <w:t>Invités (3)</w:t>
      </w:r>
    </w:p>
    <w:p>
      <w:pPr>
        <w:pStyle w:val="ListBullet"/>
      </w:pPr>
      <w:r>
        <w:t>Représentant des ordres professionnels</w:t>
      </w:r>
    </w:p>
    <w:p>
      <w:pPr>
        <w:pStyle w:val="ListBullet"/>
      </w:pPr>
      <w:r>
        <w:t>Représentant du syndicat des entreprises du Congo</w:t>
      </w:r>
    </w:p>
    <w:p>
      <w:pPr>
        <w:pStyle w:val="ListBullet"/>
      </w:pPr>
      <w:r>
        <w:t>Représentant des associations des consommateurs</w:t>
      </w:r>
    </w:p>
    <w:p>
      <w:pPr>
        <w:pStyle w:val="Heading2"/>
      </w:pPr>
      <w:r>
        <w:t>Appoints (6)</w:t>
      </w:r>
    </w:p>
    <w:p>
      <w:pPr>
        <w:pStyle w:val="ListBullet"/>
      </w:pPr>
      <w:r>
        <w:t>Deux appoints : Secrétariat général aux ITP / DRN</w:t>
      </w:r>
    </w:p>
    <w:p>
      <w:pPr>
        <w:pStyle w:val="ListBullet"/>
      </w:pPr>
      <w:r>
        <w:t>Deux appoints : Cabinet du Ministre des ITP</w:t>
      </w:r>
    </w:p>
    <w:p>
      <w:pPr>
        <w:pStyle w:val="ListBullet"/>
      </w:pPr>
      <w:r>
        <w:t>Un appoint : Secrétariat général à la Reconstruction</w:t>
      </w:r>
    </w:p>
    <w:p>
      <w:pPr>
        <w:pStyle w:val="ListBullet"/>
      </w:pPr>
      <w:r>
        <w:t>Un appoint : ECOSYS</w:t>
      </w:r>
    </w:p>
    <w:p>
      <w:pPr>
        <w:pStyle w:val="Heading1"/>
      </w:pPr>
      <w:r>
        <w:t>3. Coordination du Secrétariat technique : 24 postes</w:t>
      </w:r>
    </w:p>
    <w:p>
      <w:r>
        <w:t>Coordination (4) : Coordonnateur (Directeur DRN / SG ITP) ; Coordonnateur adjoint (Cabinet du Ministre ITP) ; Assistant exécutif (DRN / SG ITP) ; Assistant exécutif (SG Reconstruction).</w:t>
      </w:r>
    </w:p>
    <w:p>
      <w:r>
        <w:t>Cinq pôles techniques, chacun composé de quatre personnes (20 postes) :</w:t>
      </w:r>
    </w:p>
    <w:p>
      <w:pPr>
        <w:pStyle w:val="ListBullet"/>
      </w:pPr>
      <w:r>
        <w:t>Analyse documentaire : chef de pôle issu du SG ITP.</w:t>
      </w:r>
    </w:p>
    <w:p>
      <w:pPr>
        <w:pStyle w:val="ListBullet"/>
      </w:pPr>
      <w:r>
        <w:t>Appui technique et formation : chef de pôle ECOSYS.</w:t>
      </w:r>
    </w:p>
    <w:p>
      <w:pPr>
        <w:pStyle w:val="ListBullet"/>
      </w:pPr>
      <w:r>
        <w:t>Logistique et communication : chef de pôle Cabinet du Ministre ITP.</w:t>
      </w:r>
    </w:p>
    <w:p>
      <w:pPr>
        <w:pStyle w:val="ListBullet"/>
      </w:pPr>
      <w:r>
        <w:t>Relations extérieures et ARM : chef de pôle SG Reconstruction.</w:t>
      </w:r>
    </w:p>
    <w:p>
      <w:pPr>
        <w:pStyle w:val="ListBullet"/>
      </w:pPr>
      <w:r>
        <w:t>Coordination des sous-commissions : chef de pôle SG ITP / DRN.</w:t>
      </w:r>
    </w:p>
    <w:p>
      <w:r>
        <w:t>La matrice identifie les chefs de pôles et les effectifs par pôle, mais pas tous les titulaires individuels.</w:t>
      </w:r>
    </w:p>
    <w:p>
      <w:pPr>
        <w:pStyle w:val="Heading1"/>
      </w:pPr>
      <w:r>
        <w:t>4. Sept sous-commissions : structure et fonctions</w:t>
      </w:r>
    </w:p>
    <w:p>
      <w:r>
        <w:t>Le nombre de sous-commissions est fixé à SEPT pour le recadrage de la plateforme. Les pages 3 à 14 de la matrice reproduisent une composition-type avec : président, vice-président, secrétaire, secrétaire adjoint, membres, observateurs et appoints. Les noms et structures des titulaires ne sont pas renseignés dans ces tableaux.</w:t>
      </w:r>
    </w:p>
    <w:p>
      <w:r>
        <w:t>Les sept domaines utilisés dans les notes préparatoires, à confirmer comme dénominations officielles, sont :</w:t>
      </w:r>
    </w:p>
    <w:p>
      <w:pPr>
        <w:pStyle w:val="ListBullet"/>
      </w:pPr>
      <w:r>
        <w:t>SC-IT : infrastructures de transport</w:t>
      </w:r>
    </w:p>
    <w:p>
      <w:pPr>
        <w:pStyle w:val="ListBullet"/>
      </w:pPr>
      <w:r>
        <w:t>SC-SOCLE : domaine technique transversal (dénomination SC-RTN proposée, non validée)</w:t>
      </w:r>
    </w:p>
    <w:p>
      <w:pPr>
        <w:pStyle w:val="ListBullet"/>
      </w:pPr>
      <w:r>
        <w:t>SC-GF : géotechnique et fondations</w:t>
      </w:r>
    </w:p>
    <w:p>
      <w:pPr>
        <w:pStyle w:val="ListBullet"/>
      </w:pPr>
      <w:r>
        <w:t>SC-OH : ouvrages hydrauliques</w:t>
      </w:r>
    </w:p>
    <w:p>
      <w:pPr>
        <w:pStyle w:val="ListBullet"/>
      </w:pPr>
      <w:r>
        <w:t>SC-ESS : environnement, santé et sécurité</w:t>
      </w:r>
    </w:p>
    <w:p>
      <w:pPr>
        <w:pStyle w:val="ListBullet"/>
      </w:pPr>
      <w:r>
        <w:t>SC-BAT : bâtiments courants et spéciaux</w:t>
      </w:r>
    </w:p>
    <w:p>
      <w:pPr>
        <w:pStyle w:val="ListBullet"/>
      </w:pPr>
      <w:r>
        <w:t>SC-SE·GEO·RS : signalisation-équipements, géomatique et réseaux secs</w:t>
      </w:r>
    </w:p>
    <w:p>
      <w:r>
        <w:t>Les groupes de travail (GT) sont à rattacher aux sept SC après réception et validation de leur liste officielle. Ne pas créer arbitrairement une liste de GT.</w:t>
      </w:r>
    </w:p>
    <w:p>
      <w:pPr>
        <w:pStyle w:val="Heading1"/>
      </w:pPr>
      <w:r>
        <w:t>5. Consignes impératives pour l’agent IA</w:t>
      </w:r>
    </w:p>
    <w:p>
      <w:r>
        <w:t>1. Préserver la base Django existante, ses CTM/WG, ses normes, utilisateurs, documents, affectations, historiques et autorisations pendant la transition.</w:t>
      </w:r>
    </w:p>
    <w:p>
      <w:r>
        <w:t>2. Créer une couche de nouvelle organisation (COPIL 22, ST 24, SC 7, GT à confirmer) sans supprimer les anciennes relations.</w:t>
      </w:r>
    </w:p>
    <w:p>
      <w:r>
        <w:t>3. Préparer une table de correspondance entre anciens CTM/WG et nouvelles SC/GT, permettant fusion, réaffectation, correspondance multiple et absence d’équivalent.</w:t>
      </w:r>
    </w:p>
    <w:p>
      <w:r>
        <w:t>4. Ne pas recycler automatiquement les cinq interfaces précédemment proposées pour les 27 anciens postes : les 22 postes du nouveau COPIL exigent un nouveau regroupement fonctionnel.</w:t>
      </w:r>
    </w:p>
    <w:p>
      <w:r>
        <w:t>5. Séparer les droits du COPIL, de la coordination du ST, des SC et des GT ; gérer les permissions par poste et action côté serveur.</w:t>
      </w:r>
    </w:p>
    <w:p>
      <w:r>
        <w:t>6. Distinguer invités, membres et appoints : la présence dans la matrice ne confère pas automatiquement un droit de vote, de validation ou de publication.</w:t>
      </w:r>
    </w:p>
    <w:p>
      <w:r>
        <w:t>7. Prévoir des espaces de suivi : orientation et arbitrage COPIL ; réception, contrôle et coordination ST ; encadrement technique SC ; production GT.</w:t>
      </w:r>
    </w:p>
    <w:p>
      <w:r>
        <w:t>8. Maintenir le workflow actuel tant que les règles détaillées du nouveau circuit ne sont pas approuvées ; ne pas confondre validation COPIL, homologation et publication.</w:t>
      </w:r>
    </w:p>
    <w:p>
      <w:r>
        <w:t>9. Livrer d’abord un inventaire des modèles Django, une matrice de correspondance, une matrice de permissions, une proposition de cinq interfaces si utile et un plan de migration réversible.</w:t>
      </w:r>
    </w:p>
    <w:p>
      <w:r>
        <w:t>10. Identifier clairement les données officielles, les champs encore vides et les hypothèses à faire valider avant toute modification irréversible.</w:t>
      </w:r>
    </w:p>
    <w:p>
      <w:pPr>
        <w:pStyle w:val="Heading1"/>
      </w:pPr>
      <w:r>
        <w:t>6. Livrables attendus de la première phase</w:t>
      </w:r>
    </w:p>
    <w:p>
      <w:r>
        <w:t>A. Schéma des instances et des relations ; B. liste des 22 postes COPIL et des 24 postes ST ; C. sept fiches de SC configurables ; D. tableau ancien → nouveau ; E. permissions par fonction ; F. parcours d’un dossier avec états et retours ; G. plan de migration et de tests.</w:t>
      </w:r>
    </w:p>
    <w:p>
      <w:r>
        <w:t>Décisions à confirmer : noms officiels des sept SC, liste et rattachement des GT, titulaires non renseignés, pouvoirs décisionnels précis, nouveau circuit d’approbation. Aucune de ces lacunes ne doit être comblée par supposition.</w:t>
      </w:r>
    </w:p>
    <w:p>
      <w:r>
        <w:t>Source : MATRICE CNE-ITP_Phoenix.pdf, pages 1–3 (COPIL et ST), pages 3–14 (modèles de sous-commissions).</w:t>
      </w:r>
    </w:p>
    <w:sectPr w:rsidR="00FC693F" w:rsidRPr="0006063C" w:rsidSect="00034616">
      <w:pgSz w:w="12240" w:h="15840"/>
      <w:pgMar w:top="1134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E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E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E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