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194560" cy="9125712"/>
                <wp:effectExtent b="7620" l="0" r="6985" t="0"/>
                <wp:wrapNone/>
                <wp:docPr id="1" name=""/>
                <a:graphic>
                  <a:graphicData uri="http://schemas.microsoft.com/office/word/2010/wordprocessingGroup">
                    <wpg:wgp>
                      <wpg:cNvGrpSpPr/>
                      <wpg:grpSpPr>
                        <a:xfrm>
                          <a:off x="0" y="0"/>
                          <a:ext cx="2194560" cy="9125712"/>
                          <a:chOff x="0" y="0"/>
                          <a:chExt cx="2194560" cy="9125712"/>
                        </a:xfrm>
                      </wpg:grpSpPr>
                      <wps:wsp>
                        <wps:cNvSpPr/>
                        <wps:cNvPr id="3" name="Rectangle 3"/>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lIns="91440" numCol="1" spcFirstLastPara="0" rIns="91440" rot="0" spcCol="0" vert="horz" wrap="square" tIns="45720">
                          <a:prstTxWarp prst="textNoShape">
                            <a:avLst/>
                          </a:prstTxWarp>
                          <a:noAutofit/>
                        </wps:bodyPr>
                      </wps:wsp>
                      <wps:wsp>
                        <wps:cNvSpPr/>
                        <wps:cNvPr id="4" name="Pentagone 4"/>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showingPlcHdr w:val="1"/>
                                <w:dataBinding w:prefixMappings="xmlns:ns0='http://schemas.microsoft.com/office/2006/coverPageProps' " w:storeItemID="{55AF091B-3C7A-41E3-B477-F2FDAA23CFDA}" w:xpath="/ns0:CoverPageProperties[1]/ns0:PublishDate[1]"/>
                                <w:id w:val="-650599894"/>
                                <w:tag w:val=""/>
                                <w:date>
                                  <w:dateFormat w:val="dd/MM/yyyy"/>
                                  <w:lid w:val="fr-FR"/>
                                  <w:storeMappedDataAs w:val="dateTime"/>
                                  <w:calendar w:val="gregorian"/>
                                </w:date>
                              </w:sdtPr>
                              <w:sdtEndPr/>
                              <w:sdtContent>
                                <w:p w:rsidR="00801A9C" w:rsidDel="00000000" w:rsidP="00000000" w:rsidRDefault="00801A9C" w:rsidRPr="00000000" w14:paraId="33DB042D" w14:textId="269CEBB8">
                                  <w:pPr>
                                    <w:pStyle w:val="Sansinterligne"/>
                                    <w:jc w:val="right"/>
                                    <w:rPr>
                                      <w:color w:val="ffffff" w:themeColor="background1"/>
                                      <w:sz w:val="28"/>
                                      <w:szCs w:val="28"/>
                                    </w:rPr>
                                  </w:pPr>
                                  <w:r w:rsidDel="00000000" w:rsidR="00000000" w:rsidRPr="00000000">
                                    <w:rPr>
                                      <w:color w:val="ffffff" w:themeColor="background1"/>
                                      <w:sz w:val="28"/>
                                      <w:szCs w:val="28"/>
                                    </w:rPr>
                                    <w:t xml:space="preserve">     </w:t>
                                  </w:r>
                                </w:p>
                              </w:sdtContent>
                            </w:sdt>
                          </w:txbxContent>
                        </wps:txbx>
                        <wps:bodyPr anchorCtr="0" anchor="ctr" bIns="0" rtlCol="0" compatLnSpc="1" forceAA="0" fromWordArt="0" lIns="91440" numCol="1" spcFirstLastPara="0" rIns="182880" rot="0" spcCol="0" vert="horz" wrap="square" tIns="0">
                          <a:prstTxWarp prst="textNoShape">
                            <a:avLst/>
                          </a:prstTxWarp>
                          <a:noAutofit/>
                        </wps:bodyPr>
                      </wps:wsp>
                      <wpg:grpSp>
                        <wpg:cNvGrpSpPr/>
                        <wpg:cNvPr id="5" name="Groupe 5"/>
                        <wpg:grpSpPr>
                          <a:xfrm>
                            <a:off x="76200" y="4210050"/>
                            <a:ext cx="2057400" cy="4910328"/>
                            <a:chOff x="80645" y="4211812"/>
                            <a:chExt cx="1306273" cy="3121026"/>
                          </a:xfrm>
                        </wpg:grpSpPr>
                        <wpg:grpSp>
                          <wpg:cNvGrpSpPr>
                            <a:grpSpLocks noChangeAspect="1"/>
                          </wpg:cNvGrpSpPr>
                          <wpg:cNvPr id="6" name="Groupe 6"/>
                          <wpg:grpSpPr>
                            <a:xfrm>
                              <a:off x="141062" y="4211812"/>
                              <a:ext cx="1047750" cy="3121026"/>
                              <a:chOff x="141062" y="4211812"/>
                              <a:chExt cx="1047750" cy="3121026"/>
                            </a:xfrm>
                          </wpg:grpSpPr>
                          <wps:wsp>
                            <wps:cNvSpPr>
                              <a:spLocks/>
                            </wps:cNvSpPr>
                            <wps:cNvPr id="20" name="Forme libre 20"/>
                            <wps:spPr bwMode="auto">
                              <a:xfrm>
                                <a:off x="369662" y="6216825"/>
                                <a:ext cx="193675" cy="698500"/>
                              </a:xfrm>
                              <a:custGeom>
                                <a:avLst/>
                                <a:gdLst>
                                  <a:gd fmla="*/ 0 w 122" name="T0"/>
                                  <a:gd fmla="*/ 0 h 440" name="T1"/>
                                  <a:gd fmla="*/ 39 w 122" name="T2"/>
                                  <a:gd fmla="*/ 152 h 440" name="T3"/>
                                  <a:gd fmla="*/ 84 w 122" name="T4"/>
                                  <a:gd fmla="*/ 304 h 440" name="T5"/>
                                  <a:gd fmla="*/ 122 w 122" name="T6"/>
                                  <a:gd fmla="*/ 417 h 440" name="T7"/>
                                  <a:gd fmla="*/ 122 w 122" name="T8"/>
                                  <a:gd fmla="*/ 440 h 440" name="T9"/>
                                  <a:gd fmla="*/ 76 w 122" name="T10"/>
                                  <a:gd fmla="*/ 306 h 440" name="T11"/>
                                  <a:gd fmla="*/ 39 w 122" name="T12"/>
                                  <a:gd fmla="*/ 180 h 440" name="T13"/>
                                  <a:gd fmla="*/ 6 w 122" name="T14"/>
                                  <a:gd fmla="*/ 53 h 440" name="T15"/>
                                  <a:gd fmla="*/ 0 w 122" name="T16"/>
                                  <a:gd fmla="*/ 0 h 440" name="T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b="b" l="0" r="r" t="0"/>
                                <a:pathLst>
                                  <a:path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1" name="Forme libre 21"/>
                            <wps:spPr bwMode="auto">
                              <a:xfrm>
                                <a:off x="572862" y="6905800"/>
                                <a:ext cx="184150" cy="427038"/>
                              </a:xfrm>
                              <a:custGeom>
                                <a:avLst/>
                                <a:gdLst>
                                  <a:gd fmla="*/ 0 w 116" name="T0"/>
                                  <a:gd fmla="*/ 0 h 269" name="T1"/>
                                  <a:gd fmla="*/ 8 w 116" name="T2"/>
                                  <a:gd fmla="*/ 19 h 269" name="T3"/>
                                  <a:gd fmla="*/ 37 w 116" name="T4"/>
                                  <a:gd fmla="*/ 93 h 269" name="T5"/>
                                  <a:gd fmla="*/ 67 w 116" name="T6"/>
                                  <a:gd fmla="*/ 167 h 269" name="T7"/>
                                  <a:gd fmla="*/ 116 w 116" name="T8"/>
                                  <a:gd fmla="*/ 269 h 269" name="T9"/>
                                  <a:gd fmla="*/ 108 w 116" name="T10"/>
                                  <a:gd fmla="*/ 269 h 269" name="T11"/>
                                  <a:gd fmla="*/ 60 w 116" name="T12"/>
                                  <a:gd fmla="*/ 169 h 269" name="T13"/>
                                  <a:gd fmla="*/ 30 w 116" name="T14"/>
                                  <a:gd fmla="*/ 98 h 269" name="T15"/>
                                  <a:gd fmla="*/ 1 w 116" name="T16"/>
                                  <a:gd fmla="*/ 25 h 269" name="T17"/>
                                  <a:gd fmla="*/ 0 w 116" name="T18"/>
                                  <a:gd fmla="*/ 0 h 269" name="T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b="b" l="0" r="r" t="0"/>
                                <a:pathLst>
                                  <a:path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2" name="Forme libre 22"/>
                            <wps:spPr bwMode="auto">
                              <a:xfrm>
                                <a:off x="141062" y="4211812"/>
                                <a:ext cx="222250" cy="2019300"/>
                              </a:xfrm>
                              <a:custGeom>
                                <a:avLst/>
                                <a:gdLst>
                                  <a:gd fmla="*/ 0 w 140" name="T0"/>
                                  <a:gd fmla="*/ 0 h 1272" name="T1"/>
                                  <a:gd fmla="*/ 0 w 140" name="T2"/>
                                  <a:gd fmla="*/ 0 h 1272" name="T3"/>
                                  <a:gd fmla="*/ 1 w 140" name="T4"/>
                                  <a:gd fmla="*/ 79 h 1272" name="T5"/>
                                  <a:gd fmla="*/ 3 w 140" name="T6"/>
                                  <a:gd fmla="*/ 159 h 1272" name="T7"/>
                                  <a:gd fmla="*/ 12 w 140" name="T8"/>
                                  <a:gd fmla="*/ 317 h 1272" name="T9"/>
                                  <a:gd fmla="*/ 23 w 140" name="T10"/>
                                  <a:gd fmla="*/ 476 h 1272" name="T11"/>
                                  <a:gd fmla="*/ 39 w 140" name="T12"/>
                                  <a:gd fmla="*/ 634 h 1272" name="T13"/>
                                  <a:gd fmla="*/ 58 w 140" name="T14"/>
                                  <a:gd fmla="*/ 792 h 1272" name="T15"/>
                                  <a:gd fmla="*/ 83 w 140" name="T16"/>
                                  <a:gd fmla="*/ 948 h 1272" name="T17"/>
                                  <a:gd fmla="*/ 107 w 140" name="T18"/>
                                  <a:gd fmla="*/ 1086 h 1272" name="T19"/>
                                  <a:gd fmla="*/ 135 w 140" name="T20"/>
                                  <a:gd fmla="*/ 1223 h 1272" name="T21"/>
                                  <a:gd fmla="*/ 140 w 140" name="T22"/>
                                  <a:gd fmla="*/ 1272 h 1272" name="T23"/>
                                  <a:gd fmla="*/ 138 w 140" name="T24"/>
                                  <a:gd fmla="*/ 1262 h 1272" name="T25"/>
                                  <a:gd fmla="*/ 105 w 140" name="T26"/>
                                  <a:gd fmla="*/ 1106 h 1272" name="T27"/>
                                  <a:gd fmla="*/ 77 w 140" name="T28"/>
                                  <a:gd fmla="*/ 949 h 1272" name="T29"/>
                                  <a:gd fmla="*/ 53 w 140" name="T30"/>
                                  <a:gd fmla="*/ 792 h 1272" name="T31"/>
                                  <a:gd fmla="*/ 35 w 140" name="T32"/>
                                  <a:gd fmla="*/ 634 h 1272" name="T33"/>
                                  <a:gd fmla="*/ 20 w 140" name="T34"/>
                                  <a:gd fmla="*/ 476 h 1272" name="T35"/>
                                  <a:gd fmla="*/ 9 w 140" name="T36"/>
                                  <a:gd fmla="*/ 317 h 1272" name="T37"/>
                                  <a:gd fmla="*/ 2 w 140" name="T38"/>
                                  <a:gd fmla="*/ 159 h 1272" name="T39"/>
                                  <a:gd fmla="*/ 0 w 140" name="T40"/>
                                  <a:gd fmla="*/ 79 h 1272" name="T41"/>
                                  <a:gd fmla="*/ 0 w 140" name="T42"/>
                                  <a:gd fmla="*/ 0 h 1272" name="T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b="b" l="0" r="r" t="0"/>
                                <a:pathLst>
                                  <a:path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3" name="Forme libre 23"/>
                            <wps:spPr bwMode="auto">
                              <a:xfrm>
                                <a:off x="341087" y="4861100"/>
                                <a:ext cx="71438" cy="1355725"/>
                              </a:xfrm>
                              <a:custGeom>
                                <a:avLst/>
                                <a:gdLst>
                                  <a:gd fmla="*/ 45 w 45" name="T0"/>
                                  <a:gd fmla="*/ 0 h 854" name="T1"/>
                                  <a:gd fmla="*/ 45 w 45" name="T2"/>
                                  <a:gd fmla="*/ 0 h 854" name="T3"/>
                                  <a:gd fmla="*/ 35 w 45" name="T4"/>
                                  <a:gd fmla="*/ 66 h 854" name="T5"/>
                                  <a:gd fmla="*/ 26 w 45" name="T6"/>
                                  <a:gd fmla="*/ 133 h 854" name="T7"/>
                                  <a:gd fmla="*/ 14 w 45" name="T8"/>
                                  <a:gd fmla="*/ 267 h 854" name="T9"/>
                                  <a:gd fmla="*/ 6 w 45" name="T10"/>
                                  <a:gd fmla="*/ 401 h 854" name="T11"/>
                                  <a:gd fmla="*/ 3 w 45" name="T12"/>
                                  <a:gd fmla="*/ 534 h 854" name="T13"/>
                                  <a:gd fmla="*/ 6 w 45" name="T14"/>
                                  <a:gd fmla="*/ 669 h 854" name="T15"/>
                                  <a:gd fmla="*/ 14 w 45" name="T16"/>
                                  <a:gd fmla="*/ 803 h 854" name="T17"/>
                                  <a:gd fmla="*/ 18 w 45" name="T18"/>
                                  <a:gd fmla="*/ 854 h 854" name="T19"/>
                                  <a:gd fmla="*/ 18 w 45" name="T20"/>
                                  <a:gd fmla="*/ 851 h 854" name="T21"/>
                                  <a:gd fmla="*/ 9 w 45" name="T22"/>
                                  <a:gd fmla="*/ 814 h 854" name="T23"/>
                                  <a:gd fmla="*/ 8 w 45" name="T24"/>
                                  <a:gd fmla="*/ 803 h 854" name="T25"/>
                                  <a:gd fmla="*/ 1 w 45" name="T26"/>
                                  <a:gd fmla="*/ 669 h 854" name="T27"/>
                                  <a:gd fmla="*/ 0 w 45" name="T28"/>
                                  <a:gd fmla="*/ 534 h 854" name="T29"/>
                                  <a:gd fmla="*/ 3 w 45" name="T30"/>
                                  <a:gd fmla="*/ 401 h 854" name="T31"/>
                                  <a:gd fmla="*/ 12 w 45" name="T32"/>
                                  <a:gd fmla="*/ 267 h 854" name="T33"/>
                                  <a:gd fmla="*/ 25 w 45" name="T34"/>
                                  <a:gd fmla="*/ 132 h 854" name="T35"/>
                                  <a:gd fmla="*/ 34 w 45" name="T36"/>
                                  <a:gd fmla="*/ 66 h 854" name="T37"/>
                                  <a:gd fmla="*/ 45 w 45" name="T38"/>
                                  <a:gd fmla="*/ 0 h 854" name="T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b="b" l="0" r="r" t="0"/>
                                <a:pathLst>
                                  <a:path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4" name="Forme libre 24"/>
                            <wps:spPr bwMode="auto">
                              <a:xfrm>
                                <a:off x="363312" y="6231112"/>
                                <a:ext cx="244475" cy="998538"/>
                              </a:xfrm>
                              <a:custGeom>
                                <a:avLst/>
                                <a:gdLst>
                                  <a:gd fmla="*/ 0 w 154" name="T0"/>
                                  <a:gd fmla="*/ 0 h 629" name="T1"/>
                                  <a:gd fmla="*/ 10 w 154" name="T2"/>
                                  <a:gd fmla="*/ 44 h 629" name="T3"/>
                                  <a:gd fmla="*/ 21 w 154" name="T4"/>
                                  <a:gd fmla="*/ 126 h 629" name="T5"/>
                                  <a:gd fmla="*/ 34 w 154" name="T6"/>
                                  <a:gd fmla="*/ 207 h 629" name="T7"/>
                                  <a:gd fmla="*/ 53 w 154" name="T8"/>
                                  <a:gd fmla="*/ 293 h 629" name="T9"/>
                                  <a:gd fmla="*/ 75 w 154" name="T10"/>
                                  <a:gd fmla="*/ 380 h 629" name="T11"/>
                                  <a:gd fmla="*/ 100 w 154" name="T12"/>
                                  <a:gd fmla="*/ 466 h 629" name="T13"/>
                                  <a:gd fmla="*/ 120 w 154" name="T14"/>
                                  <a:gd fmla="*/ 521 h 629" name="T15"/>
                                  <a:gd fmla="*/ 141 w 154" name="T16"/>
                                  <a:gd fmla="*/ 576 h 629" name="T17"/>
                                  <a:gd fmla="*/ 152 w 154" name="T18"/>
                                  <a:gd fmla="*/ 618 h 629" name="T19"/>
                                  <a:gd fmla="*/ 154 w 154" name="T20"/>
                                  <a:gd fmla="*/ 629 h 629" name="T21"/>
                                  <a:gd fmla="*/ 140 w 154" name="T22"/>
                                  <a:gd fmla="*/ 595 h 629" name="T23"/>
                                  <a:gd fmla="*/ 115 w 154" name="T24"/>
                                  <a:gd fmla="*/ 532 h 629" name="T25"/>
                                  <a:gd fmla="*/ 93 w 154" name="T26"/>
                                  <a:gd fmla="*/ 468 h 629" name="T27"/>
                                  <a:gd fmla="*/ 67 w 154" name="T28"/>
                                  <a:gd fmla="*/ 383 h 629" name="T29"/>
                                  <a:gd fmla="*/ 47 w 154" name="T30"/>
                                  <a:gd fmla="*/ 295 h 629" name="T31"/>
                                  <a:gd fmla="*/ 28 w 154" name="T32"/>
                                  <a:gd fmla="*/ 207 h 629" name="T33"/>
                                  <a:gd fmla="*/ 12 w 154" name="T34"/>
                                  <a:gd fmla="*/ 104 h 629" name="T35"/>
                                  <a:gd fmla="*/ 0 w 154" name="T36"/>
                                  <a:gd fmla="*/ 0 h 629" name="T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b="b" l="0" r="r" t="0"/>
                                <a:pathLst>
                                  <a:path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5" name="Forme libre 25"/>
                            <wps:spPr bwMode="auto">
                              <a:xfrm>
                                <a:off x="620487" y="7223300"/>
                                <a:ext cx="52388" cy="109538"/>
                              </a:xfrm>
                              <a:custGeom>
                                <a:avLst/>
                                <a:gdLst>
                                  <a:gd fmla="*/ 0 w 33" name="T0"/>
                                  <a:gd fmla="*/ 0 h 69" name="T1"/>
                                  <a:gd fmla="*/ 33 w 33" name="T2"/>
                                  <a:gd fmla="*/ 69 h 69" name="T3"/>
                                  <a:gd fmla="*/ 24 w 33" name="T4"/>
                                  <a:gd fmla="*/ 69 h 69" name="T5"/>
                                  <a:gd fmla="*/ 12 w 33" name="T6"/>
                                  <a:gd fmla="*/ 35 h 69" name="T7"/>
                                  <a:gd fmla="*/ 0 w 33" name="T8"/>
                                  <a:gd fmla="*/ 0 h 69" name="T9"/>
                                </a:gdLst>
                                <a:ahLst/>
                                <a:cxnLst>
                                  <a:cxn ang="0">
                                    <a:pos x="T0" y="T1"/>
                                  </a:cxn>
                                  <a:cxn ang="0">
                                    <a:pos x="T2" y="T3"/>
                                  </a:cxn>
                                  <a:cxn ang="0">
                                    <a:pos x="T4" y="T5"/>
                                  </a:cxn>
                                  <a:cxn ang="0">
                                    <a:pos x="T6" y="T7"/>
                                  </a:cxn>
                                  <a:cxn ang="0">
                                    <a:pos x="T8" y="T9"/>
                                  </a:cxn>
                                </a:cxnLst>
                                <a:rect b="b" l="0" r="r" t="0"/>
                                <a:pathLst>
                                  <a:path h="69" w="33">
                                    <a:moveTo>
                                      <a:pt x="0" y="0"/>
                                    </a:moveTo>
                                    <a:lnTo>
                                      <a:pt x="33" y="69"/>
                                    </a:lnTo>
                                    <a:lnTo>
                                      <a:pt x="24" y="69"/>
                                    </a:lnTo>
                                    <a:lnTo>
                                      <a:pt x="12" y="35"/>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6" name="Forme libre 26"/>
                            <wps:spPr bwMode="auto">
                              <a:xfrm>
                                <a:off x="355374" y="6153325"/>
                                <a:ext cx="23813" cy="147638"/>
                              </a:xfrm>
                              <a:custGeom>
                                <a:avLst/>
                                <a:gdLst>
                                  <a:gd fmla="*/ 0 w 15" name="T0"/>
                                  <a:gd fmla="*/ 0 h 93" name="T1"/>
                                  <a:gd fmla="*/ 9 w 15" name="T2"/>
                                  <a:gd fmla="*/ 37 h 93" name="T3"/>
                                  <a:gd fmla="*/ 9 w 15" name="T4"/>
                                  <a:gd fmla="*/ 40 h 93" name="T5"/>
                                  <a:gd fmla="*/ 15 w 15" name="T6"/>
                                  <a:gd fmla="*/ 93 h 93" name="T7"/>
                                  <a:gd fmla="*/ 5 w 15" name="T8"/>
                                  <a:gd fmla="*/ 49 h 93" name="T9"/>
                                  <a:gd fmla="*/ 0 w 15" name="T10"/>
                                  <a:gd fmla="*/ 0 h 93" name="T11"/>
                                </a:gdLst>
                                <a:ahLst/>
                                <a:cxnLst>
                                  <a:cxn ang="0">
                                    <a:pos x="T0" y="T1"/>
                                  </a:cxn>
                                  <a:cxn ang="0">
                                    <a:pos x="T2" y="T3"/>
                                  </a:cxn>
                                  <a:cxn ang="0">
                                    <a:pos x="T4" y="T5"/>
                                  </a:cxn>
                                  <a:cxn ang="0">
                                    <a:pos x="T6" y="T7"/>
                                  </a:cxn>
                                  <a:cxn ang="0">
                                    <a:pos x="T8" y="T9"/>
                                  </a:cxn>
                                  <a:cxn ang="0">
                                    <a:pos x="T10" y="T11"/>
                                  </a:cxn>
                                </a:cxnLst>
                                <a:rect b="b" l="0" r="r" t="0"/>
                                <a:pathLst>
                                  <a:path h="93" w="15">
                                    <a:moveTo>
                                      <a:pt x="0" y="0"/>
                                    </a:moveTo>
                                    <a:lnTo>
                                      <a:pt x="9" y="37"/>
                                    </a:lnTo>
                                    <a:lnTo>
                                      <a:pt x="9" y="40"/>
                                    </a:lnTo>
                                    <a:lnTo>
                                      <a:pt x="15" y="93"/>
                                    </a:lnTo>
                                    <a:lnTo>
                                      <a:pt x="5" y="49"/>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7" name="Forme libre 27"/>
                            <wps:spPr bwMode="auto">
                              <a:xfrm>
                                <a:off x="563337" y="5689775"/>
                                <a:ext cx="625475" cy="1216025"/>
                              </a:xfrm>
                              <a:custGeom>
                                <a:avLst/>
                                <a:gdLst>
                                  <a:gd fmla="*/ 394 w 394" name="T0"/>
                                  <a:gd fmla="*/ 0 h 766" name="T1"/>
                                  <a:gd fmla="*/ 394 w 394" name="T2"/>
                                  <a:gd fmla="*/ 0 h 766" name="T3"/>
                                  <a:gd fmla="*/ 356 w 394" name="T4"/>
                                  <a:gd fmla="*/ 38 h 766" name="T5"/>
                                  <a:gd fmla="*/ 319 w 394" name="T6"/>
                                  <a:gd fmla="*/ 77 h 766" name="T7"/>
                                  <a:gd fmla="*/ 284 w 394" name="T8"/>
                                  <a:gd fmla="*/ 117 h 766" name="T9"/>
                                  <a:gd fmla="*/ 249 w 394" name="T10"/>
                                  <a:gd fmla="*/ 160 h 766" name="T11"/>
                                  <a:gd fmla="*/ 207 w 394" name="T12"/>
                                  <a:gd fmla="*/ 218 h 766" name="T13"/>
                                  <a:gd fmla="*/ 168 w 394" name="T14"/>
                                  <a:gd fmla="*/ 276 h 766" name="T15"/>
                                  <a:gd fmla="*/ 131 w 394" name="T16"/>
                                  <a:gd fmla="*/ 339 h 766" name="T17"/>
                                  <a:gd fmla="*/ 98 w 394" name="T18"/>
                                  <a:gd fmla="*/ 402 h 766" name="T19"/>
                                  <a:gd fmla="*/ 69 w 394" name="T20"/>
                                  <a:gd fmla="*/ 467 h 766" name="T21"/>
                                  <a:gd fmla="*/ 45 w 394" name="T22"/>
                                  <a:gd fmla="*/ 535 h 766" name="T23"/>
                                  <a:gd fmla="*/ 26 w 394" name="T24"/>
                                  <a:gd fmla="*/ 604 h 766" name="T25"/>
                                  <a:gd fmla="*/ 14 w 394" name="T26"/>
                                  <a:gd fmla="*/ 673 h 766" name="T27"/>
                                  <a:gd fmla="*/ 7 w 394" name="T28"/>
                                  <a:gd fmla="*/ 746 h 766" name="T29"/>
                                  <a:gd fmla="*/ 6 w 394" name="T30"/>
                                  <a:gd fmla="*/ 766 h 766" name="T31"/>
                                  <a:gd fmla="*/ 0 w 394" name="T32"/>
                                  <a:gd fmla="*/ 749 h 766" name="T33"/>
                                  <a:gd fmla="*/ 1 w 394" name="T34"/>
                                  <a:gd fmla="*/ 744 h 766" name="T35"/>
                                  <a:gd fmla="*/ 7 w 394" name="T36"/>
                                  <a:gd fmla="*/ 673 h 766" name="T37"/>
                                  <a:gd fmla="*/ 21 w 394" name="T38"/>
                                  <a:gd fmla="*/ 603 h 766" name="T39"/>
                                  <a:gd fmla="*/ 40 w 394" name="T40"/>
                                  <a:gd fmla="*/ 533 h 766" name="T41"/>
                                  <a:gd fmla="*/ 65 w 394" name="T42"/>
                                  <a:gd fmla="*/ 466 h 766" name="T43"/>
                                  <a:gd fmla="*/ 94 w 394" name="T44"/>
                                  <a:gd fmla="*/ 400 h 766" name="T45"/>
                                  <a:gd fmla="*/ 127 w 394" name="T46"/>
                                  <a:gd fmla="*/ 336 h 766" name="T47"/>
                                  <a:gd fmla="*/ 164 w 394" name="T48"/>
                                  <a:gd fmla="*/ 275 h 766" name="T49"/>
                                  <a:gd fmla="*/ 204 w 394" name="T50"/>
                                  <a:gd fmla="*/ 215 h 766" name="T51"/>
                                  <a:gd fmla="*/ 248 w 394" name="T52"/>
                                  <a:gd fmla="*/ 158 h 766" name="T53"/>
                                  <a:gd fmla="*/ 282 w 394" name="T54"/>
                                  <a:gd fmla="*/ 116 h 766" name="T55"/>
                                  <a:gd fmla="*/ 318 w 394" name="T56"/>
                                  <a:gd fmla="*/ 76 h 766" name="T57"/>
                                  <a:gd fmla="*/ 354 w 394" name="T58"/>
                                  <a:gd fmla="*/ 37 h 766" name="T59"/>
                                  <a:gd fmla="*/ 394 w 394" name="T60"/>
                                  <a:gd fmla="*/ 0 h 766" name="T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b="b" l="0" r="r" t="0"/>
                                <a:pathLst>
                                  <a:path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8" name="Forme libre 28"/>
                            <wps:spPr bwMode="auto">
                              <a:xfrm>
                                <a:off x="563337" y="6915325"/>
                                <a:ext cx="57150" cy="307975"/>
                              </a:xfrm>
                              <a:custGeom>
                                <a:avLst/>
                                <a:gdLst>
                                  <a:gd fmla="*/ 0 w 36" name="T0"/>
                                  <a:gd fmla="*/ 0 h 194" name="T1"/>
                                  <a:gd fmla="*/ 6 w 36" name="T2"/>
                                  <a:gd fmla="*/ 16 h 194" name="T3"/>
                                  <a:gd fmla="*/ 7 w 36" name="T4"/>
                                  <a:gd fmla="*/ 19 h 194" name="T5"/>
                                  <a:gd fmla="*/ 11 w 36" name="T6"/>
                                  <a:gd fmla="*/ 80 h 194" name="T7"/>
                                  <a:gd fmla="*/ 20 w 36" name="T8"/>
                                  <a:gd fmla="*/ 132 h 194" name="T9"/>
                                  <a:gd fmla="*/ 33 w 36" name="T10"/>
                                  <a:gd fmla="*/ 185 h 194" name="T11"/>
                                  <a:gd fmla="*/ 36 w 36" name="T12"/>
                                  <a:gd fmla="*/ 194 h 194" name="T13"/>
                                  <a:gd fmla="*/ 21 w 36" name="T14"/>
                                  <a:gd fmla="*/ 161 h 194" name="T15"/>
                                  <a:gd fmla="*/ 15 w 36" name="T16"/>
                                  <a:gd fmla="*/ 145 h 194" name="T17"/>
                                  <a:gd fmla="*/ 5 w 36" name="T18"/>
                                  <a:gd fmla="*/ 81 h 194" name="T19"/>
                                  <a:gd fmla="*/ 1 w 36" name="T20"/>
                                  <a:gd fmla="*/ 41 h 194" name="T21"/>
                                  <a:gd fmla="*/ 0 w 36" name="T22"/>
                                  <a:gd fmla="*/ 0 h 194" name="T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b="b" l="0" r="r" t="0"/>
                                <a:pathLst>
                                  <a:path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29" name="Forme libre 29"/>
                            <wps:spPr bwMode="auto">
                              <a:xfrm>
                                <a:off x="607787" y="7229650"/>
                                <a:ext cx="49213" cy="103188"/>
                              </a:xfrm>
                              <a:custGeom>
                                <a:avLst/>
                                <a:gdLst>
                                  <a:gd fmla="*/ 0 w 31" name="T0"/>
                                  <a:gd fmla="*/ 0 h 65" name="T1"/>
                                  <a:gd fmla="*/ 31 w 31" name="T2"/>
                                  <a:gd fmla="*/ 65 h 65" name="T3"/>
                                  <a:gd fmla="*/ 23 w 31" name="T4"/>
                                  <a:gd fmla="*/ 65 h 65" name="T5"/>
                                  <a:gd fmla="*/ 0 w 31" name="T6"/>
                                  <a:gd fmla="*/ 0 h 65" name="T7"/>
                                </a:gdLst>
                                <a:ahLst/>
                                <a:cxnLst>
                                  <a:cxn ang="0">
                                    <a:pos x="T0" y="T1"/>
                                  </a:cxn>
                                  <a:cxn ang="0">
                                    <a:pos x="T2" y="T3"/>
                                  </a:cxn>
                                  <a:cxn ang="0">
                                    <a:pos x="T4" y="T5"/>
                                  </a:cxn>
                                  <a:cxn ang="0">
                                    <a:pos x="T6" y="T7"/>
                                  </a:cxn>
                                </a:cxnLst>
                                <a:rect b="b" l="0" r="r" t="0"/>
                                <a:pathLst>
                                  <a:path h="65" w="31">
                                    <a:moveTo>
                                      <a:pt x="0" y="0"/>
                                    </a:moveTo>
                                    <a:lnTo>
                                      <a:pt x="31" y="65"/>
                                    </a:lnTo>
                                    <a:lnTo>
                                      <a:pt x="23" y="65"/>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30" name="Forme libre 30"/>
                            <wps:spPr bwMode="auto">
                              <a:xfrm>
                                <a:off x="563337" y="6878812"/>
                                <a:ext cx="11113" cy="66675"/>
                              </a:xfrm>
                              <a:custGeom>
                                <a:avLst/>
                                <a:gdLst>
                                  <a:gd fmla="*/ 0 w 7" name="T0"/>
                                  <a:gd fmla="*/ 0 h 42" name="T1"/>
                                  <a:gd fmla="*/ 6 w 7" name="T2"/>
                                  <a:gd fmla="*/ 17 h 42" name="T3"/>
                                  <a:gd fmla="*/ 7 w 7" name="T4"/>
                                  <a:gd fmla="*/ 42 h 42" name="T5"/>
                                  <a:gd fmla="*/ 6 w 7" name="T6"/>
                                  <a:gd fmla="*/ 39 h 42" name="T7"/>
                                  <a:gd fmla="*/ 0 w 7" name="T8"/>
                                  <a:gd fmla="*/ 23 h 42" name="T9"/>
                                  <a:gd fmla="*/ 0 w 7" name="T10"/>
                                  <a:gd fmla="*/ 0 h 42" name="T11"/>
                                </a:gdLst>
                                <a:ahLst/>
                                <a:cxnLst>
                                  <a:cxn ang="0">
                                    <a:pos x="T0" y="T1"/>
                                  </a:cxn>
                                  <a:cxn ang="0">
                                    <a:pos x="T2" y="T3"/>
                                  </a:cxn>
                                  <a:cxn ang="0">
                                    <a:pos x="T4" y="T5"/>
                                  </a:cxn>
                                  <a:cxn ang="0">
                                    <a:pos x="T6" y="T7"/>
                                  </a:cxn>
                                  <a:cxn ang="0">
                                    <a:pos x="T8" y="T9"/>
                                  </a:cxn>
                                  <a:cxn ang="0">
                                    <a:pos x="T10" y="T11"/>
                                  </a:cxn>
                                </a:cxnLst>
                                <a:rect b="b" l="0" r="r" t="0"/>
                                <a:pathLst>
                                  <a:path h="42" w="7">
                                    <a:moveTo>
                                      <a:pt x="0" y="0"/>
                                    </a:moveTo>
                                    <a:lnTo>
                                      <a:pt x="6" y="17"/>
                                    </a:lnTo>
                                    <a:lnTo>
                                      <a:pt x="7" y="42"/>
                                    </a:lnTo>
                                    <a:lnTo>
                                      <a:pt x="6" y="39"/>
                                    </a:lnTo>
                                    <a:lnTo>
                                      <a:pt x="0" y="23"/>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31" name="Forme libre 31"/>
                            <wps:spPr bwMode="auto">
                              <a:xfrm>
                                <a:off x="587149" y="7145512"/>
                                <a:ext cx="71438" cy="187325"/>
                              </a:xfrm>
                              <a:custGeom>
                                <a:avLst/>
                                <a:gdLst>
                                  <a:gd fmla="*/ 0 w 45" name="T0"/>
                                  <a:gd fmla="*/ 0 h 118" name="T1"/>
                                  <a:gd fmla="*/ 6 w 45" name="T2"/>
                                  <a:gd fmla="*/ 16 h 118" name="T3"/>
                                  <a:gd fmla="*/ 21 w 45" name="T4"/>
                                  <a:gd fmla="*/ 49 h 118" name="T5"/>
                                  <a:gd fmla="*/ 33 w 45" name="T6"/>
                                  <a:gd fmla="*/ 84 h 118" name="T7"/>
                                  <a:gd fmla="*/ 45 w 45" name="T8"/>
                                  <a:gd fmla="*/ 118 h 118" name="T9"/>
                                  <a:gd fmla="*/ 44 w 45" name="T10"/>
                                  <a:gd fmla="*/ 118 h 118" name="T11"/>
                                  <a:gd fmla="*/ 13 w 45" name="T12"/>
                                  <a:gd fmla="*/ 53 h 118" name="T13"/>
                                  <a:gd fmla="*/ 11 w 45" name="T14"/>
                                  <a:gd fmla="*/ 42 h 118" name="T15"/>
                                  <a:gd fmla="*/ 0 w 45" name="T16"/>
                                  <a:gd fmla="*/ 0 h 118" name="T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b="b" l="0" r="r" t="0"/>
                                <a:pathLst>
                                  <a:path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a:solidFill>
                                  <a:schemeClr val="tx2"/>
                                </a:solidFill>
                                <a:prstDash val="solid"/>
                                <a:round/>
                                <a:headEnd/>
                                <a:tailEnd/>
                              </a:ln>
                            </wps:spPr>
                            <wps:bodyPr anchorCtr="0" anchor="t" bIns="45720" compatLnSpc="1" lIns="91440" numCol="1" rIns="91440" vert="horz" wrap="square" tIns="45720">
                              <a:prstTxWarp prst="textNoShape">
                                <a:avLst/>
                              </a:prstTxWarp>
                            </wps:bodyPr>
                          </wps:wsp>
                        </wpg:grpSp>
                        <wpg:grpSp>
                          <wpg:cNvGrpSpPr>
                            <a:grpSpLocks noChangeAspect="1"/>
                          </wpg:cNvGrpSpPr>
                          <wpg:cNvPr id="7" name="Groupe 7"/>
                          <wpg:grpSpPr>
                            <a:xfrm>
                              <a:off x="80645" y="4826972"/>
                              <a:ext cx="1306273" cy="2505863"/>
                              <a:chOff x="80645" y="4649964"/>
                              <a:chExt cx="874712" cy="1677988"/>
                            </a:xfrm>
                          </wpg:grpSpPr>
                          <wps:wsp>
                            <wps:cNvSpPr>
                              <a:spLocks/>
                            </wps:cNvSpPr>
                            <wps:cNvPr id="8" name="Forme libre 8"/>
                            <wps:spPr bwMode="auto">
                              <a:xfrm>
                                <a:off x="118745" y="5189714"/>
                                <a:ext cx="198438" cy="714375"/>
                              </a:xfrm>
                              <a:custGeom>
                                <a:avLst/>
                                <a:gdLst>
                                  <a:gd fmla="*/ 0 w 125" name="T0"/>
                                  <a:gd fmla="*/ 0 h 450" name="T1"/>
                                  <a:gd fmla="*/ 41 w 125" name="T2"/>
                                  <a:gd fmla="*/ 155 h 450" name="T3"/>
                                  <a:gd fmla="*/ 86 w 125" name="T4"/>
                                  <a:gd fmla="*/ 309 h 450" name="T5"/>
                                  <a:gd fmla="*/ 125 w 125" name="T6"/>
                                  <a:gd fmla="*/ 425 h 450" name="T7"/>
                                  <a:gd fmla="*/ 125 w 125" name="T8"/>
                                  <a:gd fmla="*/ 450 h 450" name="T9"/>
                                  <a:gd fmla="*/ 79 w 125" name="T10"/>
                                  <a:gd fmla="*/ 311 h 450" name="T11"/>
                                  <a:gd fmla="*/ 41 w 125" name="T12"/>
                                  <a:gd fmla="*/ 183 h 450" name="T13"/>
                                  <a:gd fmla="*/ 7 w 125" name="T14"/>
                                  <a:gd fmla="*/ 54 h 450" name="T15"/>
                                  <a:gd fmla="*/ 0 w 125" name="T16"/>
                                  <a:gd fmla="*/ 0 h 450" name="T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b="b" l="0" r="r" t="0"/>
                                <a:pathLst>
                                  <a:path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9" name="Forme libre 9"/>
                            <wps:spPr bwMode="auto">
                              <a:xfrm>
                                <a:off x="328295" y="5891389"/>
                                <a:ext cx="187325" cy="436563"/>
                              </a:xfrm>
                              <a:custGeom>
                                <a:avLst/>
                                <a:gdLst>
                                  <a:gd fmla="*/ 0 w 118" name="T0"/>
                                  <a:gd fmla="*/ 0 h 275" name="T1"/>
                                  <a:gd fmla="*/ 8 w 118" name="T2"/>
                                  <a:gd fmla="*/ 20 h 275" name="T3"/>
                                  <a:gd fmla="*/ 37 w 118" name="T4"/>
                                  <a:gd fmla="*/ 96 h 275" name="T5"/>
                                  <a:gd fmla="*/ 69 w 118" name="T6"/>
                                  <a:gd fmla="*/ 170 h 275" name="T7"/>
                                  <a:gd fmla="*/ 118 w 118" name="T8"/>
                                  <a:gd fmla="*/ 275 h 275" name="T9"/>
                                  <a:gd fmla="*/ 109 w 118" name="T10"/>
                                  <a:gd fmla="*/ 275 h 275" name="T11"/>
                                  <a:gd fmla="*/ 61 w 118" name="T12"/>
                                  <a:gd fmla="*/ 174 h 275" name="T13"/>
                                  <a:gd fmla="*/ 30 w 118" name="T14"/>
                                  <a:gd fmla="*/ 100 h 275" name="T15"/>
                                  <a:gd fmla="*/ 0 w 118" name="T16"/>
                                  <a:gd fmla="*/ 26 h 275" name="T17"/>
                                  <a:gd fmla="*/ 0 w 118" name="T18"/>
                                  <a:gd fmla="*/ 0 h 275" name="T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b="b" l="0" r="r" t="0"/>
                                <a:pathLst>
                                  <a:path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0" name="Forme libre 10"/>
                            <wps:spPr bwMode="auto">
                              <a:xfrm>
                                <a:off x="80645" y="5010327"/>
                                <a:ext cx="31750" cy="192088"/>
                              </a:xfrm>
                              <a:custGeom>
                                <a:avLst/>
                                <a:gdLst>
                                  <a:gd fmla="*/ 0 w 20" name="T0"/>
                                  <a:gd fmla="*/ 0 h 121" name="T1"/>
                                  <a:gd fmla="*/ 16 w 20" name="T2"/>
                                  <a:gd fmla="*/ 72 h 121" name="T3"/>
                                  <a:gd fmla="*/ 20 w 20" name="T4"/>
                                  <a:gd fmla="*/ 121 h 121" name="T5"/>
                                  <a:gd fmla="*/ 18 w 20" name="T6"/>
                                  <a:gd fmla="*/ 112 h 121" name="T7"/>
                                  <a:gd fmla="*/ 0 w 20" name="T8"/>
                                  <a:gd fmla="*/ 31 h 121" name="T9"/>
                                  <a:gd fmla="*/ 0 w 20" name="T10"/>
                                  <a:gd fmla="*/ 0 h 121" name="T11"/>
                                </a:gdLst>
                                <a:ahLst/>
                                <a:cxnLst>
                                  <a:cxn ang="0">
                                    <a:pos x="T0" y="T1"/>
                                  </a:cxn>
                                  <a:cxn ang="0">
                                    <a:pos x="T2" y="T3"/>
                                  </a:cxn>
                                  <a:cxn ang="0">
                                    <a:pos x="T4" y="T5"/>
                                  </a:cxn>
                                  <a:cxn ang="0">
                                    <a:pos x="T6" y="T7"/>
                                  </a:cxn>
                                  <a:cxn ang="0">
                                    <a:pos x="T8" y="T9"/>
                                  </a:cxn>
                                  <a:cxn ang="0">
                                    <a:pos x="T10" y="T11"/>
                                  </a:cxn>
                                </a:cxnLst>
                                <a:rect b="b" l="0" r="r" t="0"/>
                                <a:pathLst>
                                  <a:path h="121" w="20">
                                    <a:moveTo>
                                      <a:pt x="0" y="0"/>
                                    </a:moveTo>
                                    <a:lnTo>
                                      <a:pt x="16" y="72"/>
                                    </a:lnTo>
                                    <a:lnTo>
                                      <a:pt x="20" y="121"/>
                                    </a:lnTo>
                                    <a:lnTo>
                                      <a:pt x="18" y="112"/>
                                    </a:lnTo>
                                    <a:lnTo>
                                      <a:pt x="0" y="31"/>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2" name="Forme libre 12"/>
                            <wps:spPr bwMode="auto">
                              <a:xfrm>
                                <a:off x="112395" y="5202414"/>
                                <a:ext cx="250825" cy="1020763"/>
                              </a:xfrm>
                              <a:custGeom>
                                <a:avLst/>
                                <a:gdLst>
                                  <a:gd fmla="*/ 0 w 158" name="T0"/>
                                  <a:gd fmla="*/ 0 h 643" name="T1"/>
                                  <a:gd fmla="*/ 11 w 158" name="T2"/>
                                  <a:gd fmla="*/ 46 h 643" name="T3"/>
                                  <a:gd fmla="*/ 22 w 158" name="T4"/>
                                  <a:gd fmla="*/ 129 h 643" name="T5"/>
                                  <a:gd fmla="*/ 36 w 158" name="T6"/>
                                  <a:gd fmla="*/ 211 h 643" name="T7"/>
                                  <a:gd fmla="*/ 55 w 158" name="T8"/>
                                  <a:gd fmla="*/ 301 h 643" name="T9"/>
                                  <a:gd fmla="*/ 76 w 158" name="T10"/>
                                  <a:gd fmla="*/ 389 h 643" name="T11"/>
                                  <a:gd fmla="*/ 103 w 158" name="T12"/>
                                  <a:gd fmla="*/ 476 h 643" name="T13"/>
                                  <a:gd fmla="*/ 123 w 158" name="T14"/>
                                  <a:gd fmla="*/ 533 h 643" name="T15"/>
                                  <a:gd fmla="*/ 144 w 158" name="T16"/>
                                  <a:gd fmla="*/ 588 h 643" name="T17"/>
                                  <a:gd fmla="*/ 155 w 158" name="T18"/>
                                  <a:gd fmla="*/ 632 h 643" name="T19"/>
                                  <a:gd fmla="*/ 158 w 158" name="T20"/>
                                  <a:gd fmla="*/ 643 h 643" name="T21"/>
                                  <a:gd fmla="*/ 142 w 158" name="T22"/>
                                  <a:gd fmla="*/ 608 h 643" name="T23"/>
                                  <a:gd fmla="*/ 118 w 158" name="T24"/>
                                  <a:gd fmla="*/ 544 h 643" name="T25"/>
                                  <a:gd fmla="*/ 95 w 158" name="T26"/>
                                  <a:gd fmla="*/ 478 h 643" name="T27"/>
                                  <a:gd fmla="*/ 69 w 158" name="T28"/>
                                  <a:gd fmla="*/ 391 h 643" name="T29"/>
                                  <a:gd fmla="*/ 47 w 158" name="T30"/>
                                  <a:gd fmla="*/ 302 h 643" name="T31"/>
                                  <a:gd fmla="*/ 29 w 158" name="T32"/>
                                  <a:gd fmla="*/ 212 h 643" name="T33"/>
                                  <a:gd fmla="*/ 13 w 158" name="T34"/>
                                  <a:gd fmla="*/ 107 h 643" name="T35"/>
                                  <a:gd fmla="*/ 0 w 158" name="T36"/>
                                  <a:gd fmla="*/ 0 h 643" name="T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b="b" l="0" r="r" t="0"/>
                                <a:pathLst>
                                  <a:path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3" name="Forme libre 13"/>
                            <wps:spPr bwMode="auto">
                              <a:xfrm>
                                <a:off x="375920" y="6215239"/>
                                <a:ext cx="52388" cy="112713"/>
                              </a:xfrm>
                              <a:custGeom>
                                <a:avLst/>
                                <a:gdLst>
                                  <a:gd fmla="*/ 0 w 33" name="T0"/>
                                  <a:gd fmla="*/ 0 h 71" name="T1"/>
                                  <a:gd fmla="*/ 33 w 33" name="T2"/>
                                  <a:gd fmla="*/ 71 h 71" name="T3"/>
                                  <a:gd fmla="*/ 24 w 33" name="T4"/>
                                  <a:gd fmla="*/ 71 h 71" name="T5"/>
                                  <a:gd fmla="*/ 11 w 33" name="T6"/>
                                  <a:gd fmla="*/ 36 h 71" name="T7"/>
                                  <a:gd fmla="*/ 0 w 33" name="T8"/>
                                  <a:gd fmla="*/ 0 h 71" name="T9"/>
                                </a:gdLst>
                                <a:ahLst/>
                                <a:cxnLst>
                                  <a:cxn ang="0">
                                    <a:pos x="T0" y="T1"/>
                                  </a:cxn>
                                  <a:cxn ang="0">
                                    <a:pos x="T2" y="T3"/>
                                  </a:cxn>
                                  <a:cxn ang="0">
                                    <a:pos x="T4" y="T5"/>
                                  </a:cxn>
                                  <a:cxn ang="0">
                                    <a:pos x="T6" y="T7"/>
                                  </a:cxn>
                                  <a:cxn ang="0">
                                    <a:pos x="T8" y="T9"/>
                                  </a:cxn>
                                </a:cxnLst>
                                <a:rect b="b" l="0" r="r" t="0"/>
                                <a:pathLst>
                                  <a:path h="71" w="33">
                                    <a:moveTo>
                                      <a:pt x="0" y="0"/>
                                    </a:moveTo>
                                    <a:lnTo>
                                      <a:pt x="33" y="71"/>
                                    </a:lnTo>
                                    <a:lnTo>
                                      <a:pt x="24" y="71"/>
                                    </a:lnTo>
                                    <a:lnTo>
                                      <a:pt x="11" y="36"/>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4" name="Forme libre 14"/>
                            <wps:spPr bwMode="auto">
                              <a:xfrm>
                                <a:off x="106045" y="5124627"/>
                                <a:ext cx="23813" cy="150813"/>
                              </a:xfrm>
                              <a:custGeom>
                                <a:avLst/>
                                <a:gdLst>
                                  <a:gd fmla="*/ 0 w 15" name="T0"/>
                                  <a:gd fmla="*/ 0 h 95" name="T1"/>
                                  <a:gd fmla="*/ 8 w 15" name="T2"/>
                                  <a:gd fmla="*/ 37 h 95" name="T3"/>
                                  <a:gd fmla="*/ 8 w 15" name="T4"/>
                                  <a:gd fmla="*/ 41 h 95" name="T5"/>
                                  <a:gd fmla="*/ 15 w 15" name="T6"/>
                                  <a:gd fmla="*/ 95 h 95" name="T7"/>
                                  <a:gd fmla="*/ 4 w 15" name="T8"/>
                                  <a:gd fmla="*/ 49 h 95" name="T9"/>
                                  <a:gd fmla="*/ 0 w 15" name="T10"/>
                                  <a:gd fmla="*/ 0 h 95" name="T11"/>
                                </a:gdLst>
                                <a:ahLst/>
                                <a:cxnLst>
                                  <a:cxn ang="0">
                                    <a:pos x="T0" y="T1"/>
                                  </a:cxn>
                                  <a:cxn ang="0">
                                    <a:pos x="T2" y="T3"/>
                                  </a:cxn>
                                  <a:cxn ang="0">
                                    <a:pos x="T4" y="T5"/>
                                  </a:cxn>
                                  <a:cxn ang="0">
                                    <a:pos x="T6" y="T7"/>
                                  </a:cxn>
                                  <a:cxn ang="0">
                                    <a:pos x="T8" y="T9"/>
                                  </a:cxn>
                                  <a:cxn ang="0">
                                    <a:pos x="T10" y="T11"/>
                                  </a:cxn>
                                </a:cxnLst>
                                <a:rect b="b" l="0" r="r" t="0"/>
                                <a:pathLst>
                                  <a:path h="95" w="15">
                                    <a:moveTo>
                                      <a:pt x="0" y="0"/>
                                    </a:moveTo>
                                    <a:lnTo>
                                      <a:pt x="8" y="37"/>
                                    </a:lnTo>
                                    <a:lnTo>
                                      <a:pt x="8" y="41"/>
                                    </a:lnTo>
                                    <a:lnTo>
                                      <a:pt x="15" y="95"/>
                                    </a:lnTo>
                                    <a:lnTo>
                                      <a:pt x="4" y="49"/>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5" name="Forme libre 15"/>
                            <wps:spPr bwMode="auto">
                              <a:xfrm>
                                <a:off x="317182" y="4649964"/>
                                <a:ext cx="638175" cy="1241425"/>
                              </a:xfrm>
                              <a:custGeom>
                                <a:avLst/>
                                <a:gdLst>
                                  <a:gd fmla="*/ 402 w 402" name="T0"/>
                                  <a:gd fmla="*/ 0 h 782" name="T1"/>
                                  <a:gd fmla="*/ 402 w 402" name="T2"/>
                                  <a:gd fmla="*/ 1 h 782" name="T3"/>
                                  <a:gd fmla="*/ 363 w 402" name="T4"/>
                                  <a:gd fmla="*/ 39 h 782" name="T5"/>
                                  <a:gd fmla="*/ 325 w 402" name="T6"/>
                                  <a:gd fmla="*/ 79 h 782" name="T7"/>
                                  <a:gd fmla="*/ 290 w 402" name="T8"/>
                                  <a:gd fmla="*/ 121 h 782" name="T9"/>
                                  <a:gd fmla="*/ 255 w 402" name="T10"/>
                                  <a:gd fmla="*/ 164 h 782" name="T11"/>
                                  <a:gd fmla="*/ 211 w 402" name="T12"/>
                                  <a:gd fmla="*/ 222 h 782" name="T13"/>
                                  <a:gd fmla="*/ 171 w 402" name="T14"/>
                                  <a:gd fmla="*/ 284 h 782" name="T15"/>
                                  <a:gd fmla="*/ 133 w 402" name="T16"/>
                                  <a:gd fmla="*/ 346 h 782" name="T17"/>
                                  <a:gd fmla="*/ 100 w 402" name="T18"/>
                                  <a:gd fmla="*/ 411 h 782" name="T19"/>
                                  <a:gd fmla="*/ 71 w 402" name="T20"/>
                                  <a:gd fmla="*/ 478 h 782" name="T21"/>
                                  <a:gd fmla="*/ 45 w 402" name="T22"/>
                                  <a:gd fmla="*/ 546 h 782" name="T23"/>
                                  <a:gd fmla="*/ 27 w 402" name="T24"/>
                                  <a:gd fmla="*/ 617 h 782" name="T25"/>
                                  <a:gd fmla="*/ 13 w 402" name="T26"/>
                                  <a:gd fmla="*/ 689 h 782" name="T27"/>
                                  <a:gd fmla="*/ 7 w 402" name="T28"/>
                                  <a:gd fmla="*/ 761 h 782" name="T29"/>
                                  <a:gd fmla="*/ 7 w 402" name="T30"/>
                                  <a:gd fmla="*/ 782 h 782" name="T31"/>
                                  <a:gd fmla="*/ 0 w 402" name="T32"/>
                                  <a:gd fmla="*/ 765 h 782" name="T33"/>
                                  <a:gd fmla="*/ 1 w 402" name="T34"/>
                                  <a:gd fmla="*/ 761 h 782" name="T35"/>
                                  <a:gd fmla="*/ 7 w 402" name="T36"/>
                                  <a:gd fmla="*/ 688 h 782" name="T37"/>
                                  <a:gd fmla="*/ 21 w 402" name="T38"/>
                                  <a:gd fmla="*/ 616 h 782" name="T39"/>
                                  <a:gd fmla="*/ 40 w 402" name="T40"/>
                                  <a:gd fmla="*/ 545 h 782" name="T41"/>
                                  <a:gd fmla="*/ 66 w 402" name="T42"/>
                                  <a:gd fmla="*/ 475 h 782" name="T43"/>
                                  <a:gd fmla="*/ 95 w 402" name="T44"/>
                                  <a:gd fmla="*/ 409 h 782" name="T45"/>
                                  <a:gd fmla="*/ 130 w 402" name="T46"/>
                                  <a:gd fmla="*/ 343 h 782" name="T47"/>
                                  <a:gd fmla="*/ 167 w 402" name="T48"/>
                                  <a:gd fmla="*/ 281 h 782" name="T49"/>
                                  <a:gd fmla="*/ 209 w 402" name="T50"/>
                                  <a:gd fmla="*/ 220 h 782" name="T51"/>
                                  <a:gd fmla="*/ 253 w 402" name="T52"/>
                                  <a:gd fmla="*/ 163 h 782" name="T53"/>
                                  <a:gd fmla="*/ 287 w 402" name="T54"/>
                                  <a:gd fmla="*/ 120 h 782" name="T55"/>
                                  <a:gd fmla="*/ 324 w 402" name="T56"/>
                                  <a:gd fmla="*/ 78 h 782" name="T57"/>
                                  <a:gd fmla="*/ 362 w 402" name="T58"/>
                                  <a:gd fmla="*/ 38 h 782" name="T59"/>
                                  <a:gd fmla="*/ 402 w 402" name="T60"/>
                                  <a:gd fmla="*/ 0 h 782" name="T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b="b" l="0" r="r" t="0"/>
                                <a:pathLst>
                                  <a:path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6" name="Forme libre 16"/>
                            <wps:spPr bwMode="auto">
                              <a:xfrm>
                                <a:off x="317182" y="5904089"/>
                                <a:ext cx="58738" cy="311150"/>
                              </a:xfrm>
                              <a:custGeom>
                                <a:avLst/>
                                <a:gdLst>
                                  <a:gd fmla="*/ 0 w 37" name="T0"/>
                                  <a:gd fmla="*/ 0 h 196" name="T1"/>
                                  <a:gd fmla="*/ 6 w 37" name="T2"/>
                                  <a:gd fmla="*/ 15 h 196" name="T3"/>
                                  <a:gd fmla="*/ 7 w 37" name="T4"/>
                                  <a:gd fmla="*/ 18 h 196" name="T5"/>
                                  <a:gd fmla="*/ 12 w 37" name="T6"/>
                                  <a:gd fmla="*/ 80 h 196" name="T7"/>
                                  <a:gd fmla="*/ 21 w 37" name="T8"/>
                                  <a:gd fmla="*/ 134 h 196" name="T9"/>
                                  <a:gd fmla="*/ 33 w 37" name="T10"/>
                                  <a:gd fmla="*/ 188 h 196" name="T11"/>
                                  <a:gd fmla="*/ 37 w 37" name="T12"/>
                                  <a:gd fmla="*/ 196 h 196" name="T13"/>
                                  <a:gd fmla="*/ 22 w 37" name="T14"/>
                                  <a:gd fmla="*/ 162 h 196" name="T15"/>
                                  <a:gd fmla="*/ 15 w 37" name="T16"/>
                                  <a:gd fmla="*/ 146 h 196" name="T17"/>
                                  <a:gd fmla="*/ 5 w 37" name="T18"/>
                                  <a:gd fmla="*/ 81 h 196" name="T19"/>
                                  <a:gd fmla="*/ 1 w 37" name="T20"/>
                                  <a:gd fmla="*/ 40 h 196" name="T21"/>
                                  <a:gd fmla="*/ 0 w 37" name="T22"/>
                                  <a:gd fmla="*/ 0 h 196" name="T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b="b" l="0" r="r" t="0"/>
                                <a:pathLst>
                                  <a:path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7" name="Forme libre 17"/>
                            <wps:spPr bwMode="auto">
                              <a:xfrm>
                                <a:off x="363220" y="6223177"/>
                                <a:ext cx="49213" cy="104775"/>
                              </a:xfrm>
                              <a:custGeom>
                                <a:avLst/>
                                <a:gdLst>
                                  <a:gd fmla="*/ 0 w 31" name="T0"/>
                                  <a:gd fmla="*/ 0 h 66" name="T1"/>
                                  <a:gd fmla="*/ 31 w 31" name="T2"/>
                                  <a:gd fmla="*/ 66 h 66" name="T3"/>
                                  <a:gd fmla="*/ 24 w 31" name="T4"/>
                                  <a:gd fmla="*/ 66 h 66" name="T5"/>
                                  <a:gd fmla="*/ 0 w 31" name="T6"/>
                                  <a:gd fmla="*/ 0 h 66" name="T7"/>
                                </a:gdLst>
                                <a:ahLst/>
                                <a:cxnLst>
                                  <a:cxn ang="0">
                                    <a:pos x="T0" y="T1"/>
                                  </a:cxn>
                                  <a:cxn ang="0">
                                    <a:pos x="T2" y="T3"/>
                                  </a:cxn>
                                  <a:cxn ang="0">
                                    <a:pos x="T4" y="T5"/>
                                  </a:cxn>
                                  <a:cxn ang="0">
                                    <a:pos x="T6" y="T7"/>
                                  </a:cxn>
                                </a:cxnLst>
                                <a:rect b="b" l="0" r="r" t="0"/>
                                <a:pathLst>
                                  <a:path h="66" w="31">
                                    <a:moveTo>
                                      <a:pt x="0" y="0"/>
                                    </a:moveTo>
                                    <a:lnTo>
                                      <a:pt x="31" y="66"/>
                                    </a:lnTo>
                                    <a:lnTo>
                                      <a:pt x="24" y="66"/>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8" name="Forme libre 18"/>
                            <wps:spPr bwMode="auto">
                              <a:xfrm>
                                <a:off x="317182" y="5864402"/>
                                <a:ext cx="11113" cy="68263"/>
                              </a:xfrm>
                              <a:custGeom>
                                <a:avLst/>
                                <a:gdLst>
                                  <a:gd fmla="*/ 0 w 7" name="T0"/>
                                  <a:gd fmla="*/ 0 h 43" name="T1"/>
                                  <a:gd fmla="*/ 7 w 7" name="T2"/>
                                  <a:gd fmla="*/ 17 h 43" name="T3"/>
                                  <a:gd fmla="*/ 7 w 7" name="T4"/>
                                  <a:gd fmla="*/ 43 h 43" name="T5"/>
                                  <a:gd fmla="*/ 6 w 7" name="T6"/>
                                  <a:gd fmla="*/ 40 h 43" name="T7"/>
                                  <a:gd fmla="*/ 0 w 7" name="T8"/>
                                  <a:gd fmla="*/ 25 h 43" name="T9"/>
                                  <a:gd fmla="*/ 0 w 7" name="T10"/>
                                  <a:gd fmla="*/ 0 h 43" name="T11"/>
                                </a:gdLst>
                                <a:ahLst/>
                                <a:cxnLst>
                                  <a:cxn ang="0">
                                    <a:pos x="T0" y="T1"/>
                                  </a:cxn>
                                  <a:cxn ang="0">
                                    <a:pos x="T2" y="T3"/>
                                  </a:cxn>
                                  <a:cxn ang="0">
                                    <a:pos x="T4" y="T5"/>
                                  </a:cxn>
                                  <a:cxn ang="0">
                                    <a:pos x="T6" y="T7"/>
                                  </a:cxn>
                                  <a:cxn ang="0">
                                    <a:pos x="T8" y="T9"/>
                                  </a:cxn>
                                  <a:cxn ang="0">
                                    <a:pos x="T10" y="T11"/>
                                  </a:cxn>
                                </a:cxnLst>
                                <a:rect b="b" l="0" r="r" t="0"/>
                                <a:pathLst>
                                  <a:path h="43" w="7">
                                    <a:moveTo>
                                      <a:pt x="0" y="0"/>
                                    </a:moveTo>
                                    <a:lnTo>
                                      <a:pt x="7" y="17"/>
                                    </a:lnTo>
                                    <a:lnTo>
                                      <a:pt x="7" y="43"/>
                                    </a:lnTo>
                                    <a:lnTo>
                                      <a:pt x="6" y="40"/>
                                    </a:lnTo>
                                    <a:lnTo>
                                      <a:pt x="0" y="25"/>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s:wsp>
                            <wps:cNvSpPr>
                              <a:spLocks/>
                            </wps:cNvSpPr>
                            <wps:cNvPr id="19" name="Forme libre 19"/>
                            <wps:spPr bwMode="auto">
                              <a:xfrm>
                                <a:off x="340995" y="6135864"/>
                                <a:ext cx="73025" cy="192088"/>
                              </a:xfrm>
                              <a:custGeom>
                                <a:avLst/>
                                <a:gdLst>
                                  <a:gd fmla="*/ 0 w 46" name="T0"/>
                                  <a:gd fmla="*/ 0 h 121" name="T1"/>
                                  <a:gd fmla="*/ 7 w 46" name="T2"/>
                                  <a:gd fmla="*/ 16 h 121" name="T3"/>
                                  <a:gd fmla="*/ 22 w 46" name="T4"/>
                                  <a:gd fmla="*/ 50 h 121" name="T5"/>
                                  <a:gd fmla="*/ 33 w 46" name="T6"/>
                                  <a:gd fmla="*/ 86 h 121" name="T7"/>
                                  <a:gd fmla="*/ 46 w 46" name="T8"/>
                                  <a:gd fmla="*/ 121 h 121" name="T9"/>
                                  <a:gd fmla="*/ 45 w 46" name="T10"/>
                                  <a:gd fmla="*/ 121 h 121" name="T11"/>
                                  <a:gd fmla="*/ 14 w 46" name="T12"/>
                                  <a:gd fmla="*/ 55 h 121" name="T13"/>
                                  <a:gd fmla="*/ 11 w 46" name="T14"/>
                                  <a:gd fmla="*/ 44 h 121" name="T15"/>
                                  <a:gd fmla="*/ 0 w 46" name="T16"/>
                                  <a:gd fmla="*/ 0 h 121" name="T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b="b" l="0" r="r" t="0"/>
                                <a:pathLst>
                                  <a:path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a:solidFill>
                                  <a:schemeClr val="tx2">
                                    <a:alpha val="20000"/>
                                  </a:schemeClr>
                                </a:solidFill>
                                <a:prstDash val="solid"/>
                                <a:round/>
                                <a:headEnd/>
                                <a:tailEnd/>
                              </a:ln>
                            </wps:spPr>
                            <wps:bodyPr anchorCtr="0" anchor="t" bIns="45720" compatLnSpc="1" lIns="91440" numCol="1" rIns="91440" vert="horz" wrap="square" tIns="45720">
                              <a:prstTxWarp prst="textNoShape">
                                <a:avLst/>
                              </a:prstTxWarp>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302260</wp:posOffset>
                </wp:positionH>
                <wp:positionV relativeFrom="page">
                  <wp:align>center</wp:align>
                </wp:positionV>
                <wp:extent cx="2201545" cy="913333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1545" cy="9133332"/>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3175000</wp:posOffset>
                </wp:positionH>
                <wp:positionV relativeFrom="page">
                  <wp:posOffset>9408795</wp:posOffset>
                </wp:positionV>
                <wp:extent cx="3657600" cy="365760"/>
                <wp:effectExtent b="0" l="0" r="0" t="0"/>
                <wp:wrapNone/>
                <wp:docPr id="3" name=""/>
                <a:graphic>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1A9C" w:rsidDel="00000000" w:rsidP="00000000" w:rsidRDefault="002D0B29" w:rsidRPr="00000000" w14:paraId="3FEE50A0" w14:textId="02178709">
                            <w:pPr>
                              <w:pStyle w:val="Sansinterligne"/>
                              <w:rPr>
                                <w:color w:val="4472c4" w:themeColor="accent1"/>
                                <w:sz w:val="26"/>
                                <w:szCs w:val="26"/>
                              </w:rPr>
                            </w:pPr>
                            <w:sdt>
                              <w:sdtPr>
                                <w:rPr>
                                  <w:color w:val="4472c4" w:themeColor="accent1"/>
                                  <w:sz w:val="26"/>
                                  <w:szCs w:val="26"/>
                                </w:rPr>
                                <w:alias w:val="Auteur"/>
                                <w:dataBinding w:prefixMappings="xmlns:ns0='http://purl.org/dc/elements/1.1/' xmlns:ns1='http://schemas.openxmlformats.org/package/2006/metadata/core-properties' " w:storeItemID="{6C3C8BC8-F283-45AE-878A-BAB7291924A1}" w:xpath="/ns1:coreProperties[1]/ns0:creator[1]"/>
                                <w:id w:val="-2041584766"/>
                                <w:tag w:val=""/>
                                <w:text/>
                              </w:sdtPr>
                              <w:sdtEndPr/>
                              <w:sdtContent>
                                <w:r w:rsidDel="00000000" w:rsidR="00801A9C" w:rsidRPr="00000000">
                                  <w:rPr>
                                    <w:color w:val="4472c4" w:themeColor="accent1"/>
                                    <w:sz w:val="26"/>
                                    <w:szCs w:val="26"/>
                                  </w:rPr>
                                  <w:t>Emmany</w:t>
                                </w:r>
                              </w:sdtContent>
                            </w:sdt>
                          </w:p>
                          <w:p w:rsidR="00801A9C" w:rsidDel="00000000" w:rsidP="00000000" w:rsidRDefault="002D0B29" w:rsidRPr="00000000" w14:paraId="3497E277" w14:textId="77777777">
                            <w:pPr>
                              <w:pStyle w:val="Sansinterligne"/>
                              <w:rPr>
                                <w:color w:val="595959" w:themeColor="text1" w:themeTint="0000A6"/>
                                <w:sz w:val="20"/>
                                <w:szCs w:val="20"/>
                              </w:rPr>
                            </w:pPr>
                            <w:sdt>
                              <w:sdtPr>
                                <w:rPr>
                                  <w:caps w:val="1"/>
                                  <w:color w:val="595959" w:themeColor="text1" w:themeTint="0000A6"/>
                                  <w:sz w:val="20"/>
                                  <w:szCs w:val="20"/>
                                </w:rPr>
                                <w:alias w:val="Société"/>
                                <w:showingPlcHdr w:val="1"/>
                                <w:dataBinding w:prefixMappings="xmlns:ns0='http://schemas.openxmlformats.org/officeDocument/2006/extended-properties' " w:storeItemID="{6668398D-A668-4E3E-A5EB-62B293D839F1}" w:xpath="/ns0:Properties[1]/ns0:Company[1]"/>
                                <w:id w:val="1558814826"/>
                                <w:tag w:val=""/>
                                <w:text/>
                              </w:sdtPr>
                              <w:sdtEndPr/>
                              <w:sdtContent>
                                <w:r w:rsidDel="00000000" w:rsidR="00801A9C" w:rsidRPr="00000000">
                                  <w:rPr>
                                    <w:caps w:val="1"/>
                                    <w:color w:val="595959" w:themeColor="text1" w:themeTint="0000A6"/>
                                    <w:sz w:val="20"/>
                                    <w:szCs w:val="20"/>
                                    <w:lang w:val="fr-FR"/>
                                  </w:rPr>
                                  <w:t>[nom de la société]</w:t>
                                </w:r>
                              </w:sdtContent>
                            </w:sdt>
                          </w:p>
                        </w:txbxContent>
                      </wps:txbx>
                      <wps:bodyPr anchorCtr="0" anchor="b"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3175000</wp:posOffset>
                </wp:positionH>
                <wp:positionV relativeFrom="page">
                  <wp:posOffset>9408795</wp:posOffset>
                </wp:positionV>
                <wp:extent cx="3657600" cy="36576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57600" cy="3657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993482</wp:posOffset>
                </wp:positionH>
                <wp:positionV relativeFrom="page">
                  <wp:posOffset>2669059</wp:posOffset>
                </wp:positionV>
                <wp:extent cx="5911473" cy="1069848"/>
                <wp:effectExtent b="11430" l="0" r="13335" t="0"/>
                <wp:wrapNone/>
                <wp:docPr id="4" name=""/>
                <a:graphic>
                  <a:graphicData uri="http://schemas.microsoft.com/office/word/2010/wordprocessingShape">
                    <wps:wsp>
                      <wps:cNvSpPr txBox="1"/>
                      <wps:spPr>
                        <a:xfrm>
                          <a:off x="0" y="0"/>
                          <a:ext cx="5911473"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1A9C" w:rsidDel="00000000" w:rsidP="00801A9C" w:rsidRDefault="00801A9C" w:rsidRPr="00801A9C" w14:paraId="3DDC635F" w14:textId="3C23E784">
                            <w:pPr>
                              <w:spacing w:before="120"/>
                              <w:jc w:val="center"/>
                              <w:rPr>
                                <w:b w:val="1"/>
                                <w:bCs w:val="1"/>
                                <w:color w:val="404040" w:themeColor="text1" w:themeTint="0000BF"/>
                                <w:sz w:val="38"/>
                                <w:szCs w:val="38"/>
                                <w:lang w:val="fr-CD"/>
                              </w:rPr>
                            </w:pPr>
                            <w:r w:rsidDel="00000000" w:rsidR="00000000" w:rsidRPr="00801A9C">
                              <w:rPr>
                                <w:rFonts w:asciiTheme="majorHAnsi" w:cstheme="majorBidi" w:eastAsiaTheme="majorEastAsia" w:hAnsiTheme="majorHAnsi"/>
                                <w:b w:val="1"/>
                                <w:bCs w:val="1"/>
                                <w:color w:val="262626" w:themeColor="text1" w:themeTint="0000D9"/>
                                <w:sz w:val="38"/>
                                <w:szCs w:val="38"/>
                                <w:lang w:eastAsia="fr-CD" w:val="fr-CD"/>
                              </w:rPr>
                              <w:t>Guide de gouvernance, d’organisation et de rédaction des documents normatifs de la Commission nationale d’élaboration des normes dans le secteur de la Construction des Infrastructures des Travaux Publics en RDC</w:t>
                            </w:r>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993482</wp:posOffset>
                </wp:positionH>
                <wp:positionV relativeFrom="page">
                  <wp:posOffset>2669059</wp:posOffset>
                </wp:positionV>
                <wp:extent cx="5924808" cy="1081278"/>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24808" cy="1081278"/>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0. Plan hiérarchique du Guide </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plan est aligné sur les Directives ISO/IEC (Parties 1 et 2) et s’inspire de la structuration CEN/CENELEC IR Part 3 pour la logique des chapitres et sous-chapitres.</w:t>
      </w:r>
    </w:p>
    <w:p w:rsidR="00000000" w:rsidDel="00000000" w:rsidP="00000000" w:rsidRDefault="00000000" w:rsidRPr="00000000" w14:paraId="00000005">
      <w:pPr>
        <w:numPr>
          <w:ilvl w:val="0"/>
          <w:numId w:val="10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Préambule</w:t>
      </w:r>
    </w:p>
    <w:p w:rsidR="00000000" w:rsidDel="00000000" w:rsidP="00000000" w:rsidRDefault="00000000" w:rsidRPr="00000000" w14:paraId="00000006">
      <w:pPr>
        <w:numPr>
          <w:ilvl w:val="0"/>
          <w:numId w:val="10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Dispositions générales</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Première Partie – Contexte, objectifs et cadre de référence</w:t>
      </w:r>
      <w:r w:rsidDel="00000000" w:rsidR="00000000" w:rsidRPr="00000000">
        <w:rPr>
          <w:rtl w:val="0"/>
        </w:rPr>
      </w:r>
    </w:p>
    <w:p w:rsidR="00000000" w:rsidDel="00000000" w:rsidP="00000000" w:rsidRDefault="00000000" w:rsidRPr="00000000" w14:paraId="00000008">
      <w:pPr>
        <w:numPr>
          <w:ilvl w:val="0"/>
          <w:numId w:val="1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 du Guide</w:t>
      </w:r>
    </w:p>
    <w:p w:rsidR="00000000" w:rsidDel="00000000" w:rsidP="00000000" w:rsidRDefault="00000000" w:rsidRPr="00000000" w14:paraId="00000009">
      <w:pPr>
        <w:numPr>
          <w:ilvl w:val="0"/>
          <w:numId w:val="1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 d’application</w:t>
      </w:r>
    </w:p>
    <w:p w:rsidR="00000000" w:rsidDel="00000000" w:rsidP="00000000" w:rsidRDefault="00000000" w:rsidRPr="00000000" w14:paraId="0000000A">
      <w:pPr>
        <w:numPr>
          <w:ilvl w:val="0"/>
          <w:numId w:val="1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Contexte sectoriel et institutionnel en RDC</w:t>
      </w:r>
    </w:p>
    <w:p w:rsidR="00000000" w:rsidDel="00000000" w:rsidP="00000000" w:rsidRDefault="00000000" w:rsidRPr="00000000" w14:paraId="0000000B">
      <w:pPr>
        <w:numPr>
          <w:ilvl w:val="0"/>
          <w:numId w:val="1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Cadre juridique national (dont section spécifique RDC)</w:t>
      </w:r>
    </w:p>
    <w:p w:rsidR="00000000" w:rsidDel="00000000" w:rsidP="00000000" w:rsidRDefault="00000000" w:rsidRPr="00000000" w14:paraId="0000000C">
      <w:pPr>
        <w:numPr>
          <w:ilvl w:val="0"/>
          <w:numId w:val="1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Cadre réglementaire et administratif</w:t>
      </w:r>
    </w:p>
    <w:p w:rsidR="00000000" w:rsidDel="00000000" w:rsidP="00000000" w:rsidRDefault="00000000" w:rsidRPr="00000000" w14:paraId="0000000D">
      <w:pPr>
        <w:numPr>
          <w:ilvl w:val="0"/>
          <w:numId w:val="1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Cadre institutionnel de la normalisation en RDC</w:t>
      </w:r>
    </w:p>
    <w:p w:rsidR="00000000" w:rsidDel="00000000" w:rsidP="00000000" w:rsidRDefault="00000000" w:rsidRPr="00000000" w14:paraId="0000000E">
      <w:pPr>
        <w:numPr>
          <w:ilvl w:val="0"/>
          <w:numId w:val="1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Définition et portée de la normalisation dans le secteur de la construction et du génie civil</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Deuxième Partie – Principes généraux de la normalisation</w:t>
      </w:r>
      <w:r w:rsidDel="00000000" w:rsidR="00000000" w:rsidRPr="00000000">
        <w:rPr>
          <w:rtl w:val="0"/>
        </w:rPr>
      </w:r>
    </w:p>
    <w:p w:rsidR="00000000" w:rsidDel="00000000" w:rsidP="00000000" w:rsidRDefault="00000000" w:rsidRPr="00000000" w14:paraId="00000010">
      <w:pPr>
        <w:numPr>
          <w:ilvl w:val="0"/>
          <w:numId w:val="1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vision et valeurs de la Commission nationale</w:t>
      </w:r>
    </w:p>
    <w:p w:rsidR="00000000" w:rsidDel="00000000" w:rsidP="00000000" w:rsidRDefault="00000000" w:rsidRPr="00000000" w14:paraId="00000011">
      <w:pPr>
        <w:numPr>
          <w:ilvl w:val="0"/>
          <w:numId w:val="1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Principes d’impartialité, consensus et participation</w:t>
      </w:r>
    </w:p>
    <w:p w:rsidR="00000000" w:rsidDel="00000000" w:rsidP="00000000" w:rsidRDefault="00000000" w:rsidRPr="00000000" w14:paraId="00000012">
      <w:pPr>
        <w:numPr>
          <w:ilvl w:val="0"/>
          <w:numId w:val="1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Transparence, traçabilité et gestion des conflits d’intérêts</w:t>
      </w:r>
    </w:p>
    <w:p w:rsidR="00000000" w:rsidDel="00000000" w:rsidP="00000000" w:rsidRDefault="00000000" w:rsidRPr="00000000" w14:paraId="00000013">
      <w:pPr>
        <w:numPr>
          <w:ilvl w:val="0"/>
          <w:numId w:val="1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Qualité, révision périodique, gestion documentaire, archivage et numérisation</w:t>
      </w:r>
    </w:p>
    <w:p w:rsidR="00000000" w:rsidDel="00000000" w:rsidP="00000000" w:rsidRDefault="00000000" w:rsidRPr="00000000" w14:paraId="00000014">
      <w:pPr>
        <w:numPr>
          <w:ilvl w:val="0"/>
          <w:numId w:val="12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Confidentialité et protection des informations</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Troisième Partie – Organisation de la Commission nationale</w:t>
      </w:r>
      <w:r w:rsidDel="00000000" w:rsidR="00000000" w:rsidRPr="00000000">
        <w:rPr>
          <w:rtl w:val="0"/>
        </w:rPr>
      </w:r>
    </w:p>
    <w:p w:rsidR="00000000" w:rsidDel="00000000" w:rsidP="00000000" w:rsidRDefault="00000000" w:rsidRPr="00000000" w14:paraId="00000016">
      <w:pPr>
        <w:numPr>
          <w:ilvl w:val="0"/>
          <w:numId w:val="1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nationale : attributions et fonctionnement</w:t>
      </w:r>
    </w:p>
    <w:p w:rsidR="00000000" w:rsidDel="00000000" w:rsidP="00000000" w:rsidRDefault="00000000" w:rsidRPr="00000000" w14:paraId="00000017">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Présidence et Vice-présidence</w:t>
      </w:r>
    </w:p>
    <w:p w:rsidR="00000000" w:rsidDel="00000000" w:rsidP="00000000" w:rsidRDefault="00000000" w:rsidRPr="00000000" w14:paraId="00000018">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Comité de pilotage</w:t>
      </w:r>
    </w:p>
    <w:p w:rsidR="00000000" w:rsidDel="00000000" w:rsidP="00000000" w:rsidRDefault="00000000" w:rsidRPr="00000000" w14:paraId="00000019">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Conseil scientifique et technique</w:t>
      </w:r>
    </w:p>
    <w:p w:rsidR="00000000" w:rsidDel="00000000" w:rsidP="00000000" w:rsidRDefault="00000000" w:rsidRPr="00000000" w14:paraId="0000001A">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Secrétariat technique</w:t>
      </w:r>
    </w:p>
    <w:p w:rsidR="00000000" w:rsidDel="00000000" w:rsidP="00000000" w:rsidRDefault="00000000" w:rsidRPr="00000000" w14:paraId="0000001B">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Secrétariat administratif</w:t>
      </w:r>
    </w:p>
    <w:p w:rsidR="00000000" w:rsidDel="00000000" w:rsidP="00000000" w:rsidRDefault="00000000" w:rsidRPr="00000000" w14:paraId="0000001C">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Sous-commissions sectorielles</w:t>
      </w:r>
    </w:p>
    <w:p w:rsidR="00000000" w:rsidDel="00000000" w:rsidP="00000000" w:rsidRDefault="00000000" w:rsidRPr="00000000" w14:paraId="0000001D">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Comités techniques et sous-comités</w:t>
      </w:r>
    </w:p>
    <w:p w:rsidR="00000000" w:rsidDel="00000000" w:rsidP="00000000" w:rsidRDefault="00000000" w:rsidRPr="00000000" w14:paraId="0000001E">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Groupes de travail et groupes d’experts</w:t>
      </w:r>
    </w:p>
    <w:p w:rsidR="00000000" w:rsidDel="00000000" w:rsidP="00000000" w:rsidRDefault="00000000" w:rsidRPr="00000000" w14:paraId="0000001F">
      <w:pPr>
        <w:numPr>
          <w:ilvl w:val="0"/>
          <w:numId w:val="1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Rapporteurs, experts invités, observateurs, parties prenantes</w:t>
      </w:r>
    </w:p>
    <w:p w:rsidR="00000000" w:rsidDel="00000000" w:rsidP="00000000" w:rsidRDefault="00000000" w:rsidRPr="00000000" w14:paraId="00000020">
      <w:pPr>
        <w:numPr>
          <w:ilvl w:val="0"/>
          <w:numId w:val="1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Obligations, droits, responsabilités et éthique des membres</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Quatrième Partie – Fonctionnement des travaux de normalisation</w:t>
      </w:r>
      <w:r w:rsidDel="00000000" w:rsidR="00000000" w:rsidRPr="00000000">
        <w:rPr>
          <w:rtl w:val="0"/>
        </w:rPr>
      </w:r>
    </w:p>
    <w:p w:rsidR="00000000" w:rsidDel="00000000" w:rsidP="00000000" w:rsidRDefault="00000000" w:rsidRPr="00000000" w14:paraId="00000022">
      <w:pPr>
        <w:numPr>
          <w:ilvl w:val="0"/>
          <w:numId w:val="15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de normalisation (du besoin à l’abrogation)</w:t>
      </w:r>
    </w:p>
    <w:p w:rsidR="00000000" w:rsidDel="00000000" w:rsidP="00000000" w:rsidRDefault="00000000" w:rsidRPr="00000000" w14:paraId="00000023">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et priorisation des besoins de normes</w:t>
      </w:r>
    </w:p>
    <w:p w:rsidR="00000000" w:rsidDel="00000000" w:rsidP="00000000" w:rsidRDefault="00000000" w:rsidRPr="00000000" w14:paraId="00000024">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Programmation et validation des travaux</w:t>
      </w:r>
    </w:p>
    <w:p w:rsidR="00000000" w:rsidDel="00000000" w:rsidP="00000000" w:rsidRDefault="00000000" w:rsidRPr="00000000" w14:paraId="00000025">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Élaboration des projets de documents normatifs</w:t>
      </w:r>
    </w:p>
    <w:p w:rsidR="00000000" w:rsidDel="00000000" w:rsidP="00000000" w:rsidRDefault="00000000" w:rsidRPr="00000000" w14:paraId="00000026">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publique nationale et régionale</w:t>
      </w:r>
    </w:p>
    <w:p w:rsidR="00000000" w:rsidDel="00000000" w:rsidP="00000000" w:rsidRDefault="00000000" w:rsidRPr="00000000" w14:paraId="00000027">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Prise en compte des observations et résolution des désaccords</w:t>
      </w:r>
    </w:p>
    <w:p w:rsidR="00000000" w:rsidDel="00000000" w:rsidP="00000000" w:rsidRDefault="00000000" w:rsidRPr="00000000" w14:paraId="00000028">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Vote, adoption, publication et diffusion</w:t>
      </w:r>
    </w:p>
    <w:p w:rsidR="00000000" w:rsidDel="00000000" w:rsidP="00000000" w:rsidRDefault="00000000" w:rsidRPr="00000000" w14:paraId="00000029">
      <w:pPr>
        <w:numPr>
          <w:ilvl w:val="0"/>
          <w:numId w:val="1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Mise en œuvre, suivi et révision périodique</w:t>
      </w:r>
    </w:p>
    <w:p w:rsidR="00000000" w:rsidDel="00000000" w:rsidP="00000000" w:rsidRDefault="00000000" w:rsidRPr="00000000" w14:paraId="0000002A">
      <w:pPr>
        <w:numPr>
          <w:ilvl w:val="0"/>
          <w:numId w:val="15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Abrogation, retrait et remplacement des documents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Cinquième Partie – Hiérarchie des documents</w:t>
      </w:r>
      <w:r w:rsidDel="00000000" w:rsidR="00000000" w:rsidRPr="00000000">
        <w:rPr>
          <w:rtl w:val="0"/>
        </w:rPr>
      </w:r>
    </w:p>
    <w:p w:rsidR="00000000" w:rsidDel="00000000" w:rsidP="00000000" w:rsidRDefault="00000000" w:rsidRPr="00000000" w14:paraId="0000002C">
      <w:pPr>
        <w:numPr>
          <w:ilvl w:val="0"/>
          <w:numId w:val="16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Principes généraux de hiérarchie documentaire</w:t>
      </w:r>
    </w:p>
    <w:p w:rsidR="00000000" w:rsidDel="00000000" w:rsidP="00000000" w:rsidRDefault="00000000" w:rsidRPr="00000000" w14:paraId="0000002D">
      <w:pPr>
        <w:numPr>
          <w:ilvl w:val="0"/>
          <w:numId w:val="1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normatifs</w:t>
      </w:r>
    </w:p>
    <w:p w:rsidR="00000000" w:rsidDel="00000000" w:rsidP="00000000" w:rsidRDefault="00000000" w:rsidRPr="00000000" w14:paraId="0000002E">
      <w:pPr>
        <w:numPr>
          <w:ilvl w:val="0"/>
          <w:numId w:val="1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juridiques</w:t>
      </w:r>
    </w:p>
    <w:p w:rsidR="00000000" w:rsidDel="00000000" w:rsidP="00000000" w:rsidRDefault="00000000" w:rsidRPr="00000000" w14:paraId="0000002F">
      <w:pPr>
        <w:numPr>
          <w:ilvl w:val="0"/>
          <w:numId w:val="1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administratifs</w:t>
      </w:r>
    </w:p>
    <w:p w:rsidR="00000000" w:rsidDel="00000000" w:rsidP="00000000" w:rsidRDefault="00000000" w:rsidRPr="00000000" w14:paraId="00000030">
      <w:pPr>
        <w:numPr>
          <w:ilvl w:val="0"/>
          <w:numId w:val="16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Tableaux récapitulatifs de hiérarchie (avec colonnes : définition, objectif, autorité, contenu, structure, durée, validation, niveau, champ d’application)</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Sixième Partie – Guide de rédaction des documents normatifs</w:t>
      </w:r>
      <w:r w:rsidDel="00000000" w:rsidR="00000000" w:rsidRPr="00000000">
        <w:rPr>
          <w:rtl w:val="0"/>
        </w:rPr>
      </w:r>
    </w:p>
    <w:p w:rsidR="00000000" w:rsidDel="00000000" w:rsidP="00000000" w:rsidRDefault="00000000" w:rsidRPr="00000000" w14:paraId="00000032">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obligatoire et numérotation hiérarchique</w:t>
      </w:r>
    </w:p>
    <w:p w:rsidR="00000000" w:rsidDel="00000000" w:rsidP="00000000" w:rsidRDefault="00000000" w:rsidRPr="00000000" w14:paraId="00000033">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Codification, identification, version et révision</w:t>
      </w:r>
    </w:p>
    <w:p w:rsidR="00000000" w:rsidDel="00000000" w:rsidP="00000000" w:rsidRDefault="00000000" w:rsidRPr="00000000" w14:paraId="00000034">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Présentation matérielle et mise en page</w:t>
      </w:r>
    </w:p>
    <w:p w:rsidR="00000000" w:rsidDel="00000000" w:rsidP="00000000" w:rsidRDefault="00000000" w:rsidRPr="00000000" w14:paraId="00000035">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rédactionnel, langage normatif et vocabulaires</w:t>
      </w:r>
    </w:p>
    <w:p w:rsidR="00000000" w:rsidDel="00000000" w:rsidP="00000000" w:rsidRDefault="00000000" w:rsidRPr="00000000" w14:paraId="00000036">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Emploi de « doit », « devrait », « peut », « est autorisé à », « il convient de », etc., conforme aux Directives ISO/IEC, Partie 2. </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Septième Partie – Règles de présentation des normes</w:t>
      </w:r>
      <w:r w:rsidDel="00000000" w:rsidR="00000000" w:rsidRPr="00000000">
        <w:rPr>
          <w:rtl w:val="0"/>
        </w:rPr>
      </w:r>
    </w:p>
    <w:p w:rsidR="00000000" w:rsidDel="00000000" w:rsidP="00000000" w:rsidRDefault="00000000" w:rsidRPr="00000000" w14:paraId="00000038">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Titre, objet et domaine d’application</w:t>
      </w:r>
    </w:p>
    <w:p w:rsidR="00000000" w:rsidDel="00000000" w:rsidP="00000000" w:rsidRDefault="00000000" w:rsidRPr="00000000" w14:paraId="00000039">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Références normatives</w:t>
      </w:r>
    </w:p>
    <w:p w:rsidR="00000000" w:rsidDel="00000000" w:rsidP="00000000" w:rsidRDefault="00000000" w:rsidRPr="00000000" w14:paraId="0000003A">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définitions, symboles et abréviations</w:t>
      </w:r>
    </w:p>
    <w:p w:rsidR="00000000" w:rsidDel="00000000" w:rsidP="00000000" w:rsidRDefault="00000000" w:rsidRPr="00000000" w14:paraId="0000003B">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Exigences techniques</w:t>
      </w:r>
    </w:p>
    <w:p w:rsidR="00000000" w:rsidDel="00000000" w:rsidP="00000000" w:rsidRDefault="00000000" w:rsidRPr="00000000" w14:paraId="0000003C">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Méthodes d’essai et critères d’acceptation</w:t>
      </w:r>
    </w:p>
    <w:p w:rsidR="00000000" w:rsidDel="00000000" w:rsidP="00000000" w:rsidRDefault="00000000" w:rsidRPr="00000000" w14:paraId="0000003D">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Contrôle qualité, inspection et conformité</w:t>
      </w:r>
    </w:p>
    <w:p w:rsidR="00000000" w:rsidDel="00000000" w:rsidP="00000000" w:rsidRDefault="00000000" w:rsidRPr="00000000" w14:paraId="0000003E">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Annexes normatives et informatives</w:t>
      </w:r>
    </w:p>
    <w:p w:rsidR="00000000" w:rsidDel="00000000" w:rsidP="00000000" w:rsidRDefault="00000000" w:rsidRPr="00000000" w14:paraId="0000003F">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Bibliographie et historique des modifications</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Huitième Partie – Lexique thématique</w:t>
      </w:r>
      <w:r w:rsidDel="00000000" w:rsidR="00000000" w:rsidRPr="00000000">
        <w:rPr>
          <w:rtl w:val="0"/>
        </w:rPr>
      </w:r>
    </w:p>
    <w:p w:rsidR="00000000" w:rsidDel="00000000" w:rsidP="00000000" w:rsidRDefault="00000000" w:rsidRPr="00000000" w14:paraId="00000041">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relatifs à la normalisation et à la gouvernance</w:t>
      </w:r>
    </w:p>
    <w:p w:rsidR="00000000" w:rsidDel="00000000" w:rsidP="00000000" w:rsidRDefault="00000000" w:rsidRPr="00000000" w14:paraId="00000042">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relatifs à la construction, BTP, génie civil</w:t>
      </w:r>
    </w:p>
    <w:p w:rsidR="00000000" w:rsidDel="00000000" w:rsidP="00000000" w:rsidRDefault="00000000" w:rsidRPr="00000000" w14:paraId="00000043">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relatifs aux routes, ponts, ouvrages d’art</w:t>
      </w:r>
    </w:p>
    <w:p w:rsidR="00000000" w:rsidDel="00000000" w:rsidP="00000000" w:rsidRDefault="00000000" w:rsidRPr="00000000" w14:paraId="00000044">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relatifs aux matériaux, géotechnique, hydraulique, béton, acier</w:t>
      </w:r>
    </w:p>
    <w:p w:rsidR="00000000" w:rsidDel="00000000" w:rsidP="00000000" w:rsidRDefault="00000000" w:rsidRPr="00000000" w14:paraId="00000045">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relatifs au contrôle qualité, laboratoires, certification, accréditation, métrologie, inspection</w:t>
      </w:r>
    </w:p>
    <w:p w:rsidR="00000000" w:rsidDel="00000000" w:rsidP="00000000" w:rsidRDefault="00000000" w:rsidRPr="00000000" w14:paraId="00000046">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Termes relatifs à la gestion de projet, marchés publics, gestion documentaire</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Neuvième Partie – Annexes opérationnelles</w:t>
      </w:r>
      <w:r w:rsidDel="00000000" w:rsidR="00000000" w:rsidRPr="00000000">
        <w:rPr>
          <w:rtl w:val="0"/>
        </w:rPr>
      </w:r>
    </w:p>
    <w:p w:rsidR="00000000" w:rsidDel="00000000" w:rsidP="00000000" w:rsidRDefault="00000000" w:rsidRPr="00000000" w14:paraId="00000048">
      <w:pPr>
        <w:numPr>
          <w:ilvl w:val="0"/>
          <w:numId w:val="3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Modèles de documents (ordre du jour, convocations, PV, rapports)</w:t>
      </w:r>
    </w:p>
    <w:p w:rsidR="00000000" w:rsidDel="00000000" w:rsidP="00000000" w:rsidRDefault="00000000" w:rsidRPr="00000000" w14:paraId="00000049">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Fiches types (projet, norme, amendement)</w:t>
      </w:r>
    </w:p>
    <w:p w:rsidR="00000000" w:rsidDel="00000000" w:rsidP="00000000" w:rsidRDefault="00000000" w:rsidRPr="00000000" w14:paraId="0000004A">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Registres (documents, experts, votes, observations, conflits d’intérêts, consultations publiques)</w:t>
      </w:r>
    </w:p>
    <w:p w:rsidR="00000000" w:rsidDel="00000000" w:rsidP="00000000" w:rsidRDefault="00000000" w:rsidRPr="00000000" w14:paraId="0000004B">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Tableaux de suivi, plannings, diagrammes de processus</w:t>
      </w:r>
    </w:p>
    <w:p w:rsidR="00000000" w:rsidDel="00000000" w:rsidP="00000000" w:rsidRDefault="00000000" w:rsidRPr="00000000" w14:paraId="0000004C">
      <w:pPr>
        <w:numPr>
          <w:ilvl w:val="0"/>
          <w:numId w:val="3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Organigrammes et matrices RACI</w:t>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between w:color="000000" w:space="1" w:sz="4" w:val="single"/>
        </w:pBd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Première Partie Contexte, objectifs et cadre de référence</w:t>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Préambule</w:t>
      </w:r>
    </w:p>
    <w:p w:rsidR="00000000" w:rsidDel="00000000" w:rsidP="00000000" w:rsidRDefault="00000000" w:rsidRPr="00000000" w14:paraId="0000004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normalisation dans le secteur de la construction, des infrastructures, des travaux publics et du génie civil constitue un instrument essentiel de gouvernance, de régulation technique, de protection de la santé et de la sécurité des populations, ainsi que de promotion de la qualité et de la compétitivité de l’économie nationale.</w:t>
      </w:r>
    </w:p>
    <w:p w:rsidR="00000000" w:rsidDel="00000000" w:rsidP="00000000" w:rsidRDefault="00000000" w:rsidRPr="00000000" w14:paraId="0000005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Guide officiel a pour objet de doter la République Démocratique du Congo d’un cadre structuré, cohérent et aligné sur les meilleures pratiques internationales en matière d’organisation, de gouvernance et de rédaction des documents normatifs applicables à ce secteur stratégique. </w:t>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Objet du Guide</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Le présent Guide définit les règles de gouvernance, d’organisation et de fonctionnement de la Commission nationale d’élaboration des normes dans le secteur de la construction, des infrastructures, des travaux publics et du génie civil, ci-après dénommée « la Commission nationale ». </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Il précise les principes, procédures et méthodes applicables à l’élaboration, l’adoption, la révision, la publication, la diffusion et l’abrogation des documents normatifs relevant de ce secteur, en cohérence avec les Directives ISO/IEC, Parties 1 et 2, ainsi qu’avec les règlements et guides pertinents des organisations régionales et internationales de normalisation.</w:t>
      </w:r>
    </w:p>
    <w:p w:rsidR="00000000" w:rsidDel="00000000" w:rsidP="00000000" w:rsidRDefault="00000000" w:rsidRPr="00000000" w14:paraId="0000005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Il constitue un document de référence pour l’ensemble des parties prenantes : autorités publiques, organismes de normalisation, administrations sectorielles, maîtres d’ouvrage publics et privés, bureaux d’études, entreprises, laboratoires, universités, centres de recherche, associations professionnelles et organisations de la société civile. </w:t>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Champ d’application</w:t>
      </w:r>
    </w:p>
    <w:p w:rsidR="00000000" w:rsidDel="00000000" w:rsidP="00000000" w:rsidRDefault="00000000" w:rsidRPr="00000000" w14:paraId="0000005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Le présent Guide s’applique à toutes les activités de normalisation portant sur :</w:t>
      </w:r>
    </w:p>
    <w:p w:rsidR="00000000" w:rsidDel="00000000" w:rsidP="00000000" w:rsidRDefault="00000000" w:rsidRPr="00000000" w14:paraId="00000057">
      <w:pPr>
        <w:numPr>
          <w:ilvl w:val="0"/>
          <w:numId w:val="4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les bâtiments et ouvrages de génie civil ;</w:t>
      </w:r>
    </w:p>
    <w:p w:rsidR="00000000" w:rsidDel="00000000" w:rsidP="00000000" w:rsidRDefault="00000000" w:rsidRPr="00000000" w14:paraId="00000058">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infrastructures routières, ferroviaires, aéroportuaires, portuaires et hydrauliques ;</w:t>
      </w:r>
    </w:p>
    <w:p w:rsidR="00000000" w:rsidDel="00000000" w:rsidP="00000000" w:rsidRDefault="00000000" w:rsidRPr="00000000" w14:paraId="00000059">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matériaux de construction et produits associés ;</w:t>
      </w:r>
    </w:p>
    <w:p w:rsidR="00000000" w:rsidDel="00000000" w:rsidP="00000000" w:rsidRDefault="00000000" w:rsidRPr="00000000" w14:paraId="0000005A">
      <w:pPr>
        <w:numPr>
          <w:ilvl w:val="0"/>
          <w:numId w:val="4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méthodes d’essai, de contrôle et d’inspection y afférentes ;</w:t>
      </w:r>
    </w:p>
    <w:p w:rsidR="00000000" w:rsidDel="00000000" w:rsidP="00000000" w:rsidRDefault="00000000" w:rsidRPr="00000000" w14:paraId="0000005B">
      <w:pPr>
        <w:numPr>
          <w:ilvl w:val="0"/>
          <w:numId w:val="46"/>
        </w:numPr>
        <w:spacing w:after="280" w:before="0"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les règles de calcul, de dimensionnement et de performance des ouvrages. </w:t>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Il couvre l’ensemble des documents normatifs élaborés, adoptés ou homologués sous l’autorité de la Commission nationale, ainsi que les documents d’interprétation, de certification et d’évaluation de conformité qui y sont rattachés. </w:t>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Il s’applique sans préjudice des dispositions de la Constitution, des lois, des règlements et des textes spécifiques régissant les marchés publics, la sécurité, la santé, l’environnement, la métrologie légale, la protection du consommateur et la concurrence. </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Contexte sectoriel et institutionnel en RDC</w:t>
      </w:r>
    </w:p>
    <w:p w:rsidR="00000000" w:rsidDel="00000000" w:rsidP="00000000" w:rsidRDefault="00000000" w:rsidRPr="00000000" w14:paraId="0000005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Le secteur de la construction, des infrastructures, des travaux publics et du génie civil en République Démocratique du Congo connaît une croissance soutenue, portée par les besoins en infrastructures de base, en équipements publics et en logements décents.</w:t>
      </w:r>
    </w:p>
    <w:p w:rsidR="00000000" w:rsidDel="00000000" w:rsidP="00000000" w:rsidRDefault="00000000" w:rsidRPr="00000000" w14:paraId="0000006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Cette dynamique s’accompagne d’exigences accrues en termes de sécurité des ouvrages, de durabilité, de résilience climatique, de maîtrise des coûts, de performance énergétique et de protection de l’environnement. </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Dans ce contexte, la normalisation technique constitue un levier majeur pour :</w:t>
      </w:r>
    </w:p>
    <w:p w:rsidR="00000000" w:rsidDel="00000000" w:rsidP="00000000" w:rsidRDefault="00000000" w:rsidRPr="00000000" w14:paraId="00000062">
      <w:pPr>
        <w:numPr>
          <w:ilvl w:val="0"/>
          <w:numId w:val="5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harmoniser les pratiques ;</w:t>
      </w:r>
    </w:p>
    <w:p w:rsidR="00000000" w:rsidDel="00000000" w:rsidP="00000000" w:rsidRDefault="00000000" w:rsidRPr="00000000" w14:paraId="00000063">
      <w:pPr>
        <w:numPr>
          <w:ilvl w:val="0"/>
          <w:numId w:val="5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sécuriser les investissements ;</w:t>
      </w:r>
    </w:p>
    <w:p w:rsidR="00000000" w:rsidDel="00000000" w:rsidP="00000000" w:rsidRDefault="00000000" w:rsidRPr="00000000" w14:paraId="00000064">
      <w:pPr>
        <w:numPr>
          <w:ilvl w:val="0"/>
          <w:numId w:val="5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réduire les aléas techniques ;</w:t>
      </w:r>
    </w:p>
    <w:p w:rsidR="00000000" w:rsidDel="00000000" w:rsidP="00000000" w:rsidRDefault="00000000" w:rsidRPr="00000000" w14:paraId="00000065">
      <w:pPr>
        <w:numPr>
          <w:ilvl w:val="0"/>
          <w:numId w:val="5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faciliter l’intégration régionale et la participation de la RDC aux échanges économiques internationaux. </w:t>
      </w:r>
    </w:p>
    <w:p w:rsidR="00000000" w:rsidDel="00000000" w:rsidP="00000000" w:rsidRDefault="00000000" w:rsidRPr="00000000" w14:paraId="0000006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La mise en place d’un système national de normalisation performant, cohérent avec les engagements régionaux de la RDC au sein notamment du COMESA, de la SADC et de la Communauté d’Afrique de l’Est, répond aux orientations des politiques publiques poursuivant les objectifs de croissance inclusive et de bonne gouvernance. </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Cadre juridique national de la normalisation et des travaux de construction</w:t>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Fondements constitutionnels</w:t>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La Constitution de la République Démocratique du Congo consacre les principes de l’État de droit, de la protection de la personne humaine, de la santé publique, de l’environnement, ainsi que la compétence de l’État en matière de régulation des activités économiques et industrielles.</w:t>
      </w:r>
    </w:p>
    <w:p w:rsidR="00000000" w:rsidDel="00000000" w:rsidP="00000000" w:rsidRDefault="00000000" w:rsidRPr="00000000" w14:paraId="0000006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Ces dispositions habilitent les pouvoirs publics à adopter des lois et règlements fixant les conditions de production, de mise sur le marché et d’utilisation des produits et ouvrages de construction, notamment au regard de la sécurité, de la salubrité, de la durabilité et de la qualité. </w:t>
      </w:r>
    </w:p>
    <w:p w:rsidR="00000000" w:rsidDel="00000000" w:rsidP="00000000" w:rsidRDefault="00000000" w:rsidRPr="00000000" w14:paraId="000000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Textes relatifs à la normalisation et à la métrologie</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La normalisation et la métrologie ont été progressivement encadrées par des ordonnances et arrêtés ministériels, en vue du contrôle de la qualité des produits et services.</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Depuis 1975, le cadre législatif régissant la normalisation en République Démocratique du Congo repose principalement sur deux textes fondamentaux, bien que ceux-ci soient aujourd'hui jugés obsolètes au regard des standards internationaux.</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deux textes sont les suivants :</w:t>
      </w:r>
    </w:p>
    <w:p w:rsidR="00000000" w:rsidDel="00000000" w:rsidP="00000000" w:rsidRDefault="00000000" w:rsidRPr="00000000" w14:paraId="0000006F">
      <w:pPr>
        <w:numPr>
          <w:ilvl w:val="0"/>
          <w:numId w:val="81"/>
        </w:numPr>
        <w:spacing w:after="0" w:before="28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L'Ordonnance n°75-271 du 22 août 1975 :</w:t>
      </w:r>
      <w:r w:rsidDel="00000000" w:rsidR="00000000" w:rsidRPr="00000000">
        <w:rPr>
          <w:rFonts w:ascii="Times New Roman" w:cs="Times New Roman" w:eastAsia="Times New Roman" w:hAnsi="Times New Roman"/>
          <w:sz w:val="24"/>
          <w:szCs w:val="24"/>
          <w:rtl w:val="0"/>
        </w:rPr>
        <w:t xml:space="preserve"> Ce texte a porté création du </w:t>
      </w:r>
      <w:r w:rsidDel="00000000" w:rsidR="00000000" w:rsidRPr="00000000">
        <w:rPr>
          <w:rFonts w:ascii="Times New Roman" w:cs="Times New Roman" w:eastAsia="Times New Roman" w:hAnsi="Times New Roman"/>
          <w:b w:val="1"/>
          <w:bCs w:val="1"/>
          <w:sz w:val="24"/>
          <w:szCs w:val="24"/>
          <w:rtl w:val="0"/>
        </w:rPr>
        <w:t xml:space="preserve">Comité National de Normalisation (CNN)</w:t>
      </w:r>
      <w:r w:rsidDel="00000000" w:rsidR="00000000" w:rsidRPr="00000000">
        <w:rPr>
          <w:rFonts w:ascii="Times New Roman" w:cs="Times New Roman" w:eastAsia="Times New Roman" w:hAnsi="Times New Roman"/>
          <w:sz w:val="24"/>
          <w:szCs w:val="24"/>
          <w:rtl w:val="0"/>
        </w:rPr>
        <w:t xml:space="preserve">. C’est cet organisme qui est officiellement chargé de la normalisation au sein de la Direction de la Normalisation et de la Métrologie du Ministère de l'Industrie.</w:t>
      </w:r>
    </w:p>
    <w:p w:rsidR="00000000" w:rsidDel="00000000" w:rsidP="00000000" w:rsidRDefault="00000000" w:rsidRPr="00000000" w14:paraId="00000070">
      <w:pPr>
        <w:numPr>
          <w:ilvl w:val="0"/>
          <w:numId w:val="81"/>
        </w:numPr>
        <w:spacing w:after="280" w:before="0"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L'Arrêté </w:t>
      </w:r>
      <w:r w:rsidDel="00000000" w:rsidR="00000000" w:rsidRPr="00000000">
        <w:rPr>
          <w:rFonts w:ascii="Times New Roman" w:cs="Times New Roman" w:eastAsia="Times New Roman" w:hAnsi="Times New Roman"/>
          <w:b w:val="1"/>
          <w:bCs w:val="1"/>
          <w:rtl w:val="0"/>
        </w:rPr>
        <w:t xml:space="preserve">départemental n° DENI/CAB/031/88 du 19 août 1988</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 portant statut et gestion de la marque nationale de conformité aux normes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Ce texte régit la </w:t>
      </w:r>
      <w:r w:rsidDel="00000000" w:rsidR="00000000" w:rsidRPr="00000000">
        <w:rPr>
          <w:rFonts w:ascii="Times New Roman" w:cs="Times New Roman" w:eastAsia="Times New Roman" w:hAnsi="Times New Roman"/>
          <w:b w:val="1"/>
          <w:bCs w:val="1"/>
          <w:sz w:val="24"/>
          <w:szCs w:val="24"/>
          <w:rtl w:val="0"/>
        </w:rPr>
        <w:t xml:space="preserve">Marque Nationale de Conformité</w:t>
      </w:r>
      <w:r w:rsidDel="00000000" w:rsidR="00000000" w:rsidRPr="00000000">
        <w:rPr>
          <w:rFonts w:ascii="Times New Roman" w:cs="Times New Roman" w:eastAsia="Times New Roman" w:hAnsi="Times New Roman"/>
          <w:sz w:val="24"/>
          <w:szCs w:val="24"/>
          <w:rtl w:val="0"/>
        </w:rPr>
        <w:t xml:space="preserve">. Il définit les conditions d'utilisation du label attestant qu'un produit respecte les normes nationales en vigueur.</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w:t>
      </w:r>
      <w:r w:rsidDel="00000000" w:rsidR="00000000" w:rsidRPr="00000000">
        <w:rPr>
          <w:rFonts w:ascii="Times New Roman" w:cs="Times New Roman" w:eastAsia="Times New Roman" w:hAnsi="Times New Roman"/>
          <w:b w:val="1"/>
          <w:bCs w:val="1"/>
          <w:sz w:val="24"/>
          <w:szCs w:val="24"/>
          <w:rtl w:val="0"/>
        </w:rPr>
        <w:t xml:space="preserve">État actuel de ces textes :</w:t>
      </w: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 que ces documents constituent encore le socle juridique actuel, les sources soulignent qu'ils ne sont plus adaptés aux exigences de la Zone de libre-échange continentale africaine (ZLECAf) ou de l'Organisation Mondiale du Commerce (OMC). Ce cadre ancien favorise un </w:t>
      </w:r>
      <w:r w:rsidDel="00000000" w:rsidR="00000000" w:rsidRPr="00000000">
        <w:rPr>
          <w:rFonts w:ascii="Times New Roman" w:cs="Times New Roman" w:eastAsia="Times New Roman" w:hAnsi="Times New Roman"/>
          <w:b w:val="1"/>
          <w:bCs w:val="1"/>
          <w:sz w:val="24"/>
          <w:szCs w:val="24"/>
          <w:rtl w:val="0"/>
        </w:rPr>
        <w:t xml:space="preserve">vide juridique</w:t>
      </w:r>
      <w:r w:rsidDel="00000000" w:rsidR="00000000" w:rsidRPr="00000000">
        <w:rPr>
          <w:rFonts w:ascii="Times New Roman" w:cs="Times New Roman" w:eastAsia="Times New Roman" w:hAnsi="Times New Roman"/>
          <w:sz w:val="24"/>
          <w:szCs w:val="24"/>
          <w:rtl w:val="0"/>
        </w:rPr>
        <w:t xml:space="preserve"> et une confusion des rôles, car il n'établit pas la séparation nécessaire entre les activités de régulation (élaboration des normes) et d'évaluation de la conformité (contrôles et essais).</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Pour remédier à cette situation, une nouvelle </w:t>
      </w:r>
      <w:r w:rsidDel="00000000" w:rsidR="00000000" w:rsidRPr="00000000">
        <w:rPr>
          <w:rFonts w:ascii="Times New Roman" w:cs="Times New Roman" w:eastAsia="Times New Roman" w:hAnsi="Times New Roman"/>
          <w:b w:val="1"/>
          <w:bCs w:val="1"/>
          <w:sz w:val="24"/>
          <w:szCs w:val="24"/>
          <w:rtl w:val="0"/>
        </w:rPr>
        <w:t xml:space="preserve">proposition de loi sur la Métrologie et la Normalisation</w:t>
      </w:r>
      <w:r w:rsidDel="00000000" w:rsidR="00000000" w:rsidRPr="00000000">
        <w:rPr>
          <w:rFonts w:ascii="Times New Roman" w:cs="Times New Roman" w:eastAsia="Times New Roman" w:hAnsi="Times New Roman"/>
          <w:sz w:val="24"/>
          <w:szCs w:val="24"/>
          <w:rtl w:val="0"/>
        </w:rPr>
        <w:t xml:space="preserve"> avait été adoptée par le Sénat en 2014, mais son processus de promulgation est resté bloqué à l'Assemblée Nationale pendant plusieurs années, prolongeant ainsi l'application des textes de 1975 et 1988.</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Maintenant le pays dans une situation d'</w:t>
      </w:r>
      <w:r w:rsidDel="00000000" w:rsidR="00000000" w:rsidRPr="00000000">
        <w:rPr>
          <w:rFonts w:ascii="Times New Roman" w:cs="Times New Roman" w:eastAsia="Times New Roman" w:hAnsi="Times New Roman"/>
          <w:b w:val="1"/>
          <w:bCs w:val="1"/>
          <w:sz w:val="24"/>
          <w:szCs w:val="24"/>
          <w:rtl w:val="0"/>
        </w:rPr>
        <w:t xml:space="preserve">insécurité juridique</w:t>
      </w:r>
      <w:r w:rsidDel="00000000" w:rsidR="00000000" w:rsidRPr="00000000">
        <w:rPr>
          <w:rFonts w:ascii="Times New Roman" w:cs="Times New Roman" w:eastAsia="Times New Roman" w:hAnsi="Times New Roman"/>
          <w:sz w:val="24"/>
          <w:szCs w:val="24"/>
          <w:rtl w:val="0"/>
        </w:rPr>
        <w:t xml:space="preserve"> qui freine les réformes dans le domaine de la Normalisation.</w:t>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 Des arrêtés, tels que l’Arrêté ministériel n° 014/CAB/MIN/IND/2007 du 29 novembre 2007, ont précisé les modalités de contrôle de conformité aux normes nationales congolaises, y compris les dispositions financières afférentes. </w:t>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Cadre juridique des marchés publics de travaux et de services</w:t>
      </w:r>
    </w:p>
    <w:p w:rsidR="00000000" w:rsidDel="00000000" w:rsidP="00000000" w:rsidRDefault="00000000" w:rsidRPr="00000000" w14:paraId="0000007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La loi relative aux marchés publics, adoptée en 2010, modernise le système national de passation des marchés en introduisant les principes de transparence, de concurrence et de séparation entre les fonctions de préparation, de passation et de contrôle. </w:t>
        <w:br w:type="textWrapping"/>
        <w:t xml:space="preserve">4.3.2 Les marchés publics de travaux, d’études et de fournitures dans le secteur de la construction et des infrastructures doivent être passés en respectant des spécifications techniques claires, objectives et non discriminatoires, fondées autant que possible sur des normes nationales, régionales ou internationales reconnues. </w:t>
      </w:r>
    </w:p>
    <w:p w:rsidR="00000000" w:rsidDel="00000000" w:rsidP="00000000" w:rsidRDefault="00000000" w:rsidRPr="00000000" w14:paraId="0000007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Les manuels et procédures d’exécution des marchés publics précisent que le recours à des normes techniques constitue un moyen privilégié pour définir les exigences de performance, de qualité et de sécurité des ouvrages, ainsi que pour structurer les critères d’évaluation et de contrôle.</w:t>
      </w:r>
    </w:p>
    <w:p w:rsidR="00000000" w:rsidDel="00000000" w:rsidP="00000000" w:rsidRDefault="00000000" w:rsidRPr="00000000" w14:paraId="0000007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 Le présent Guide vise à assurer la cohérence entre les documents normatifs élaborés par la Commission nationale et les exigences juridiques et procédurales applicables aux marchés publics, afin de faciliter l’insertion des normes dans les cahiers des charges et documents contractuels. </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Engagements régionaux et internationaux</w:t>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 La RDC est partie prenante aux mécanismes d’intégration et d’harmonisation des normes au sein du COMESA, de la SADC et de la Communauté d’Afrique de l’Est, sous l’égide notamment de l’ARSO, qui a adopté des procédures africaines d’harmonisation des normes (ASHAM).</w:t>
      </w:r>
    </w:p>
    <w:p w:rsidR="00000000" w:rsidDel="00000000" w:rsidP="00000000" w:rsidRDefault="00000000" w:rsidRPr="00000000" w14:paraId="0000007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 Ces mécanismes encouragent l’adoption de normes harmonisées et la reconnaissance mutuelle des normes et des évaluations de conformité, ce qui exige de la Commission nationale une organisation et des procédures compatibles avec ces cadres régionaux. </w:t>
      </w:r>
    </w:p>
    <w:p w:rsidR="00000000" w:rsidDel="00000000" w:rsidP="00000000" w:rsidRDefault="00000000" w:rsidRPr="00000000" w14:paraId="0000007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 Par ailleurs, les interventions des partenaires techniques et financiers, tels que la Banque mondiale et la Banque africaine de développement, s’appuient sur des standards techniques et des exigences spécifiques en matière de gouvernance des projets et de gestion des risques, notamment en ce qui concerne les ouvrages de transport, d’énergie et d’hydraulique. </w:t>
      </w:r>
    </w:p>
    <w:p w:rsidR="00000000" w:rsidDel="00000000" w:rsidP="00000000" w:rsidRDefault="00000000" w:rsidRPr="00000000" w14:paraId="0000007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 Le présent Guide vise à articuler le système national de normalisation du secteur de la construction avec ces exigences, tout en préservant la souveraineté normative de la RDC et en favorisant l’appropriation des normes par les acteurs nationaux. </w:t>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Cadre réglementaire et administratif</w:t>
      </w:r>
    </w:p>
    <w:p w:rsidR="00000000" w:rsidDel="00000000" w:rsidP="00000000" w:rsidRDefault="00000000" w:rsidRPr="00000000" w14:paraId="0000008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Le cadre réglementaire comprend l’ensemble des décrets, arrêtés, circulaires, instructions et décisions émanant des autorités compétentes en matière de construction, d’urbanisme, de routes, de travaux publics, d’hydraulique, d’environnement, de sécurité et de santé.</w:t>
      </w:r>
    </w:p>
    <w:p w:rsidR="00000000" w:rsidDel="00000000" w:rsidP="00000000" w:rsidRDefault="00000000" w:rsidRPr="00000000" w14:paraId="0000008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Ces textes fixent les règles administratives, techniques et procédurales qui s’imposent aux opérateurs publics et privés, y compris les conditions d’obtention des autorisations, agréments, permis ou autres actes administratifs nécessaires à la réalisation des ouvrages. </w:t>
      </w:r>
    </w:p>
    <w:p w:rsidR="00000000" w:rsidDel="00000000" w:rsidP="00000000" w:rsidRDefault="00000000" w:rsidRPr="00000000" w14:paraId="0000008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Le présent Guide ne se substitue pas aux textes réglementaires en vigueur, mais il précise la manière dont les documents normatifs élaborés par la Commission nationale doivent s’articuler avec ces textes afin de garantir une cohérence d’ensemble et d’éviter les contradictions.</w:t>
      </w:r>
    </w:p>
    <w:p w:rsidR="00000000" w:rsidDel="00000000" w:rsidP="00000000" w:rsidRDefault="00000000" w:rsidRPr="00000000" w14:paraId="0000008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Il peut, le cas échéant, formuler des recommandations pour l’adaptation ou la modernisation du cadre réglementaire lorsque certaines dispositions s’avèrent incompatibles avec les meilleures pratiques internationales de normalisation ou avec les exigences des bailleurs de fonds. </w:t>
      </w:r>
    </w:p>
    <w:p w:rsidR="00000000" w:rsidDel="00000000" w:rsidP="00000000" w:rsidRDefault="00000000" w:rsidRPr="00000000" w14:paraId="0000008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Cadre institutionnel de la normalisation en RDC</w:t>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Le système national de normalisation repose sur un ensemble d’institutions et d’organes comprenant notamment l’organisme national de normalisation, les comités sectoriels, les autorités administratives compétentes et les organes consultatifs ou scientifiques.</w:t>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La Commission nationale d’élaboration des normes dans le secteur de la construction des infrastructures et des travaux publics constitue l’organe spécialisé chargé de piloter, coordonner et superviser les activités de normalisation dans ce secteur, conformément aux orientations fixées par l’autorité de tutelle. </w:t>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Les relations entre la Commission nationale et les autres institutions (organisme national de normalisation, autorités de régulation sectorielles, services techniques, laboratoires, organismes de certification et d’accréditation) sont organisées de manière à assurer la complémentarité des missions, l’échange d’informations et l’alignement sur les programmes nationaux de normalisation.</w:t>
      </w:r>
    </w:p>
    <w:p w:rsidR="00000000" w:rsidDel="00000000" w:rsidP="00000000" w:rsidRDefault="00000000" w:rsidRPr="00000000" w14:paraId="0000008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Le présent Guide définit, dans les parties suivantes, la composition, les attributions, le fonctionnement et les modalités de coordination de ces différentes structures, en s’inspirant des modèles d’organisation mis en œuvre par l’ISO, la CEN/CENELEC, l’ARSO et d’autres organismes nationaux de normalisation. </w:t>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Définition et portée de la normalisation dans le secteur de la construction et du génie civil</w:t>
      </w:r>
    </w:p>
    <w:p w:rsidR="00000000" w:rsidDel="00000000" w:rsidP="00000000" w:rsidRDefault="00000000" w:rsidRPr="00000000" w14:paraId="0000008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Aux fins du présent Guide, la normalisation est entendue comme l’activité qui établit, en coopération avec toutes les parties intéressées et pour un usage répété, des dispositions destinées à l’obtention d’un degré optimal d’ordre dans un contexte donné, sous forme de normes, de spécifications, de codes de bonne pratique ou d’autres documents normatifs. </w:t>
      </w:r>
    </w:p>
    <w:p w:rsidR="00000000" w:rsidDel="00000000" w:rsidP="00000000" w:rsidRDefault="00000000" w:rsidRPr="00000000" w14:paraId="0000008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Dans le secteur de la construction et du génie civil, la normalisation couvre notamment :</w:t>
      </w:r>
    </w:p>
    <w:p w:rsidR="00000000" w:rsidDel="00000000" w:rsidP="00000000" w:rsidRDefault="00000000" w:rsidRPr="00000000" w14:paraId="0000008C">
      <w:pPr>
        <w:numPr>
          <w:ilvl w:val="0"/>
          <w:numId w:val="6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les exigences de performance, de sécurité, de durabilité et de qualité applicables aux ouvrages, matériaux, composants et systèmes ;</w:t>
      </w:r>
    </w:p>
    <w:p w:rsidR="00000000" w:rsidDel="00000000" w:rsidP="00000000" w:rsidRDefault="00000000" w:rsidRPr="00000000" w14:paraId="0000008D">
      <w:pPr>
        <w:numPr>
          <w:ilvl w:val="0"/>
          <w:numId w:val="6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méthodes d’essai, de contrôle et de mesure ;</w:t>
      </w:r>
    </w:p>
    <w:p w:rsidR="00000000" w:rsidDel="00000000" w:rsidP="00000000" w:rsidRDefault="00000000" w:rsidRPr="00000000" w14:paraId="0000008E">
      <w:pPr>
        <w:numPr>
          <w:ilvl w:val="0"/>
          <w:numId w:val="68"/>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règles de calcul et de dimensionnement ;</w:t>
      </w:r>
    </w:p>
    <w:p w:rsidR="00000000" w:rsidDel="00000000" w:rsidP="00000000" w:rsidRDefault="00000000" w:rsidRPr="00000000" w14:paraId="0000008F">
      <w:pPr>
        <w:numPr>
          <w:ilvl w:val="0"/>
          <w:numId w:val="68"/>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exigences relatives aux processus de conception, de réalisation, de contrôle et de maintenance des ouvrages. </w:t>
      </w:r>
    </w:p>
    <w:p w:rsidR="00000000" w:rsidDel="00000000" w:rsidP="00000000" w:rsidRDefault="00000000" w:rsidRPr="00000000" w14:paraId="0000009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La normalisation dans ce secteur vise également à faciliter la compréhension et l’application des textes législatifs et réglementaires, à promouvoir l’innovation et la compétitivité des entreprises nationales, et à renforcer la confiance des usagers et des partenaires internationaux dans la qualité des ouvrages réalisés sur le territoire de la RDC.</w:t>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Bdr>
          <w:top w:color="000000" w:space="1" w:sz="4" w:val="single"/>
          <w:left w:color="000000" w:space="4" w:sz="4" w:val="single"/>
          <w:bottom w:color="000000" w:space="1" w:sz="4" w:val="single"/>
          <w:right w:color="000000" w:space="4" w:sz="4" w:val="single"/>
          <w:between w:color="000000" w:space="1" w:sz="4" w:val="single"/>
        </w:pBd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Deuxième Partie – Principes généraux de la normalisation</w:t>
      </w:r>
    </w:p>
    <w:p w:rsidR="00000000" w:rsidDel="00000000" w:rsidP="00000000" w:rsidRDefault="00000000" w:rsidRPr="00000000" w14:paraId="000000A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Mission, vision et valeurs de la Commission nationale</w:t>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Mission</w:t>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 La mission de la Commission nationale est d’organiser, de coordonner et de piloter l’élaboration des normes et autres documents normatifs applicables au secteur de la construction, des infrastructures, des travaux publics et du génie civil en République Démocratique du Congo, en vue d’assurer la sécurité, la qualité, la durabilité et la performance des ouvrages.</w:t>
      </w:r>
    </w:p>
    <w:p w:rsidR="00000000" w:rsidDel="00000000" w:rsidP="00000000" w:rsidRDefault="00000000" w:rsidRPr="00000000" w14:paraId="000000A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 À ce titre, elle veille à ce que les documents normatifs soient élaborés selon des procédures rigoureuses, transparentes et inclusives, conformes aux Directives ISO/IEC, aux bonnes pratiques de l’ISO, de la CEN/CENELEC, de l’ARSO et des principaux organismes nationaux de normalisation. </w:t>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Vision</w:t>
      </w:r>
    </w:p>
    <w:p w:rsidR="00000000" w:rsidDel="00000000" w:rsidP="00000000" w:rsidRDefault="00000000" w:rsidRPr="00000000" w14:paraId="000000A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 La vision de la Commission nationale est de faire du système national de normalisation dans le secteur de la construction un levier majeur de gouvernance publique, de compétitivité économique, de protection du public et d’intégration régionale et internationale.</w:t>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 Elle entend positionner la RDC comme un État disposant de normes crédibles, reconnues et alignées sur les standards internationaux, facilitant la mobilisation de financements et la mise en œuvre de projets d’infrastructures de qualité. </w:t>
      </w:r>
    </w:p>
    <w:p w:rsidR="00000000" w:rsidDel="00000000" w:rsidP="00000000" w:rsidRDefault="00000000" w:rsidRPr="00000000" w14:paraId="000000A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Valeurs</w:t>
      </w:r>
    </w:p>
    <w:p w:rsidR="00000000" w:rsidDel="00000000" w:rsidP="00000000" w:rsidRDefault="00000000" w:rsidRPr="00000000" w14:paraId="000000A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 Les travaux de la Commission nationale sont guidés par les valeurs suivantes : transparence, ouverture, impartialité, consensus, pertinence, efficacité, cohérence et prise en compte des besoins des pays en développement, conformément aux principes reconnus du système ISO et aux recommandations de l’OMC en matière de normalisation.</w:t>
      </w:r>
    </w:p>
    <w:p w:rsidR="00000000" w:rsidDel="00000000" w:rsidP="00000000" w:rsidRDefault="00000000" w:rsidRPr="00000000" w14:paraId="000000A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8.3.2 Ces valeurs se traduisent dans la composition des organes, les procédures de décision, la gestion des conflits d’intérêts et la participation des parties prenantes, telles que décrites dans les parties suivantes du présent Guide. </w:t>
      </w:r>
    </w:p>
    <w:p w:rsidR="00000000" w:rsidDel="00000000" w:rsidP="00000000" w:rsidRDefault="00000000" w:rsidRPr="00000000" w14:paraId="000000A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Principes d’impartialité, de consensus et de participation</w:t>
      </w:r>
    </w:p>
    <w:p w:rsidR="00000000" w:rsidDel="00000000" w:rsidP="00000000" w:rsidRDefault="00000000" w:rsidRPr="00000000" w14:paraId="000000A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Impartialité</w:t>
      </w:r>
    </w:p>
    <w:p w:rsidR="00000000" w:rsidDel="00000000" w:rsidP="00000000" w:rsidRDefault="00000000" w:rsidRPr="00000000" w14:paraId="000000B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 La Commission nationale et l’ensemble de ses organes techniques exercent leurs missions en toute impartialité, sans privilégier indûment les intérêts d’une catégorie d’acteurs au détriment d’une autre.</w:t>
      </w:r>
    </w:p>
    <w:p w:rsidR="00000000" w:rsidDel="00000000" w:rsidP="00000000" w:rsidRDefault="00000000" w:rsidRPr="00000000" w14:paraId="000000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 À cette fin, la composition des comités et groupes de travail doit refléter un équilibre approprié entre les différentes catégories de parties prenantes (administrations, entreprises, bureaux d’études, laboratoires, universités, associations professionnelles, société civile, partenaires techniques). </w:t>
      </w:r>
    </w:p>
    <w:p w:rsidR="00000000" w:rsidDel="00000000" w:rsidP="00000000" w:rsidRDefault="00000000" w:rsidRPr="00000000" w14:paraId="000000B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 Les membres s’engagent à déclarer tout conflit d’intérêts réel, potentiel ou apparent, conformément aux dispositions spécifiques prévues au présent Guide. </w:t>
      </w:r>
    </w:p>
    <w:p w:rsidR="00000000" w:rsidDel="00000000" w:rsidP="00000000" w:rsidRDefault="00000000" w:rsidRPr="00000000" w14:paraId="000000B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Consensus</w:t>
      </w:r>
    </w:p>
    <w:p w:rsidR="00000000" w:rsidDel="00000000" w:rsidP="00000000" w:rsidRDefault="00000000" w:rsidRPr="00000000" w14:paraId="000000B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9.2.1 Les normes et autres documents normatifs sont élaborés et approuvés, autant que possible, par consensus, entendu comme l’absence d’opposition ferme et motivée d’une partie significative des parties prenantes, et non comme l’unanimité.</w:t>
      </w:r>
    </w:p>
    <w:p w:rsidR="00000000" w:rsidDel="00000000" w:rsidP="00000000" w:rsidRDefault="00000000" w:rsidRPr="00000000" w14:paraId="000000B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 Les procédures d’élaboration des projets, de consultation publique et de vote doivent permettre l’expression des positions, l’examen des objections et la recherche active de solutions de compromis. </w:t>
      </w:r>
    </w:p>
    <w:p w:rsidR="00000000" w:rsidDel="00000000" w:rsidP="00000000" w:rsidRDefault="00000000" w:rsidRPr="00000000" w14:paraId="000000B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 En cas d’impossibilité d’atteindre un consensus malgré des efforts raisonnables, des règles de vote clairement définies sont appliquées, dans le respect des principes d’équité et de représentativité. </w:t>
      </w:r>
    </w:p>
    <w:p w:rsidR="00000000" w:rsidDel="00000000" w:rsidP="00000000" w:rsidRDefault="00000000" w:rsidRPr="00000000" w14:paraId="000000B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Participation et ouverture</w:t>
      </w:r>
    </w:p>
    <w:p w:rsidR="00000000" w:rsidDel="00000000" w:rsidP="00000000" w:rsidRDefault="00000000" w:rsidRPr="00000000" w14:paraId="000000B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9.3.1 Le processus de normalisation est ouvert à toutes les parties intéressées qui en font la demande et qui répondent aux critères de représentativité, de compétence et d’éthique définis par la Commission nationale.</w:t>
      </w:r>
    </w:p>
    <w:p w:rsidR="00000000" w:rsidDel="00000000" w:rsidP="00000000" w:rsidRDefault="00000000" w:rsidRPr="00000000" w14:paraId="000000B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9.3.2 La Commission nationale met en place des mécanismes pour favoriser la participation des régions, des petites et moyennes entreprises, des institutions académiques et des organisations de la société civile, y compris par l’utilisation d’outils numériques.</w:t>
      </w:r>
    </w:p>
    <w:p w:rsidR="00000000" w:rsidDel="00000000" w:rsidP="00000000" w:rsidRDefault="00000000" w:rsidRPr="00000000" w14:paraId="000000B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9.3.3 Les appels à participation dans les comités techniques, les consultations publiques et les enquêtes sur projet de norme sont publiés de manière transparente et diffusés par des canaux adaptés (sites officiels, journaux, plateformes électroniques, etc.).</w:t>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Transparence, traçabilité et gestion des conflits d’intérêts</w:t>
      </w:r>
    </w:p>
    <w:p w:rsidR="00000000" w:rsidDel="00000000" w:rsidP="00000000" w:rsidRDefault="00000000" w:rsidRPr="00000000" w14:paraId="000000B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Transparence</w:t>
      </w:r>
    </w:p>
    <w:p w:rsidR="00000000" w:rsidDel="00000000" w:rsidP="00000000" w:rsidRDefault="00000000" w:rsidRPr="00000000" w14:paraId="000000B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 La transparence est assurée par la publication, dans des délais raisonnables, des programmes de travail, des projets de documents mis en enquête publique, des décisions d’adoption, de révision ou d’abrogation, ainsi que des règles de gouvernance de la Commission nationale.</w:t>
      </w:r>
    </w:p>
    <w:p w:rsidR="00000000" w:rsidDel="00000000" w:rsidP="00000000" w:rsidRDefault="00000000" w:rsidRPr="00000000" w14:paraId="000000B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 Les informations essentielles sur la composition des comités, les cycles de normalisation en cours et les résultats de vote sont accessibles aux parties prenantes selon des modalités définies par le présent Guide, sous réserve des obligations de confidentialité. </w:t>
      </w:r>
    </w:p>
    <w:p w:rsidR="00000000" w:rsidDel="00000000" w:rsidP="00000000" w:rsidRDefault="00000000" w:rsidRPr="00000000" w14:paraId="000000B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Traçabilité</w:t>
      </w:r>
    </w:p>
    <w:p w:rsidR="00000000" w:rsidDel="00000000" w:rsidP="00000000" w:rsidRDefault="00000000" w:rsidRPr="00000000" w14:paraId="000000C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 Chaque document normatif fait l’objet d’un historique documenté retraçant les principales étapes de son élaboration : proposition initiale, enregistrement, travaux en comité, enquêtes publiques, résolutions des commentaires, votes, adoption et révisions successives.</w:t>
      </w:r>
    </w:p>
    <w:p w:rsidR="00000000" w:rsidDel="00000000" w:rsidP="00000000" w:rsidRDefault="00000000" w:rsidRPr="00000000" w14:paraId="000000C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 La Commission nationale met en place un système de gestion documentaire permettant de tracer les versions successives des projets, les contributions reçues, les décisions prises et les justifications associées. </w:t>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Gestion des conflits d’intérêts</w:t>
      </w:r>
    </w:p>
    <w:p w:rsidR="00000000" w:rsidDel="00000000" w:rsidP="00000000" w:rsidRDefault="00000000" w:rsidRPr="00000000" w14:paraId="000000C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10.3.1 Tout membre d’un organe de la Commission nationale est tenu de déclarer par écrit, lors de sa nomination et à chaque fois que nécessaire, les intérêts personnels, professionnels ou financiers susceptibles d’influencer son impartialité.</w:t>
      </w:r>
    </w:p>
    <w:p w:rsidR="00000000" w:rsidDel="00000000" w:rsidP="00000000" w:rsidRDefault="00000000" w:rsidRPr="00000000" w14:paraId="000000C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10.3.2 La Commission nationale adopte un code de conduite définissant les situations de conflit d’intérêts, les mesures de prévention (non-participation à certains votes, retrait temporaire des débats, etc.) et les sanctions en cas de manquement. </w:t>
      </w:r>
    </w:p>
    <w:p w:rsidR="00000000" w:rsidDel="00000000" w:rsidP="00000000" w:rsidRDefault="00000000" w:rsidRPr="00000000" w14:paraId="000000C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10.3.3 Les déclarations d’intérêts sont centralisées dans un registre des conflits d’intérêts, dont un modèle est présenté en annexe du présent Guide, et sont tenues à jour par le Secrétariat. </w:t>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Qualité, révision périodique, gestion documentaire, archivage et numérisation</w:t>
      </w:r>
    </w:p>
    <w:p w:rsidR="00000000" w:rsidDel="00000000" w:rsidP="00000000" w:rsidRDefault="00000000" w:rsidRPr="00000000" w14:paraId="000000C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Assurance qualité des travaux de normalisation</w:t>
      </w:r>
    </w:p>
    <w:p w:rsidR="00000000" w:rsidDel="00000000" w:rsidP="00000000" w:rsidRDefault="00000000" w:rsidRPr="00000000" w14:paraId="000000C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 La Commission nationale adopte des procédures internes de gestion de la qualité de ses activités, inspirées des bonnes pratiques internationales et, le cas échéant, des référentiels de type ISO 9001 appliqués aux organismes de normalisation.</w:t>
      </w:r>
    </w:p>
    <w:p w:rsidR="00000000" w:rsidDel="00000000" w:rsidP="00000000" w:rsidRDefault="00000000" w:rsidRPr="00000000" w14:paraId="000000C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 Des revues de processus sont organisées périodiquement pour évaluer l’efficacité des méthodes d’élaboration des normes, la pertinence des programmes de travail et la satisfaction des parties prenantes. </w:t>
      </w:r>
    </w:p>
    <w:p w:rsidR="00000000" w:rsidDel="00000000" w:rsidP="00000000" w:rsidRDefault="00000000" w:rsidRPr="00000000" w14:paraId="000000C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Révision périodique des documents normatifs</w:t>
      </w:r>
    </w:p>
    <w:p w:rsidR="00000000" w:rsidDel="00000000" w:rsidP="00000000" w:rsidRDefault="00000000" w:rsidRPr="00000000" w14:paraId="000000C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 Chaque norme ou document normatif fait l’objet d’un examen systématique à intervalles réguliers, généralement tous les cinq ans ou selon une périodicité définie par la Commission nationale, afin de vérifier sa pertinence, son actualité et sa cohérence avec d’autres textes. </w:t>
      </w:r>
    </w:p>
    <w:p w:rsidR="00000000" w:rsidDel="00000000" w:rsidP="00000000" w:rsidRDefault="00000000" w:rsidRPr="00000000" w14:paraId="000000C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11.2.2 À l’issue de cet examen, la Commission nationale décide, sur proposition du comité technique compétent, de confirmer, de réviser ou d’abroger le document concerné. </w:t>
      </w:r>
    </w:p>
    <w:p w:rsidR="00000000" w:rsidDel="00000000" w:rsidP="00000000" w:rsidRDefault="00000000" w:rsidRPr="00000000" w14:paraId="000000C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Gestion documentaire et archivage</w:t>
      </w:r>
    </w:p>
    <w:p w:rsidR="00000000" w:rsidDel="00000000" w:rsidP="00000000" w:rsidRDefault="00000000" w:rsidRPr="00000000" w14:paraId="000000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11.3.1 La Commission nationale met en place un système de gestion documentaire formalisé, incluant un plan de classement, des règles de codification, des procédures de mise à jour et des mécanismes de contrôle d’accès.</w:t>
      </w:r>
    </w:p>
    <w:p w:rsidR="00000000" w:rsidDel="00000000" w:rsidP="00000000" w:rsidRDefault="00000000" w:rsidRPr="00000000" w14:paraId="000000C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 Les documents sont archivés de manière à garantir leur intégrité, leur lisibilité, leur traçabilité et leur disponibilité pendant une durée au moins égale à celle définie par la réglementation nationale en matière d’archives publiques et par les exigences des bailleurs de fonds, le cas échéant. </w:t>
      </w:r>
    </w:p>
    <w:p w:rsidR="00000000" w:rsidDel="00000000" w:rsidP="00000000" w:rsidRDefault="00000000" w:rsidRPr="00000000" w14:paraId="000000D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Numérisation</w:t>
      </w:r>
    </w:p>
    <w:p w:rsidR="00000000" w:rsidDel="00000000" w:rsidP="00000000" w:rsidRDefault="00000000" w:rsidRPr="00000000" w14:paraId="000000D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11.4.1 La Commission nationale privilégie la dématérialisation des processus de normalisation en recourant à des outils numériques pour la gestion des documents, les consultations publiques, les échanges entre experts et la diffusion des normes adoptées.</w:t>
      </w:r>
    </w:p>
    <w:p w:rsidR="00000000" w:rsidDel="00000000" w:rsidP="00000000" w:rsidRDefault="00000000" w:rsidRPr="00000000" w14:paraId="000000D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11.4.2 Les systèmes d’information mis en place doivent respecter les normes de sécurité informatique, de protection des données à caractère personnel et, le cas échéant, les standards techniques internationaux pertinents. </w:t>
      </w:r>
    </w:p>
    <w:p w:rsidR="00000000" w:rsidDel="00000000" w:rsidP="00000000" w:rsidRDefault="00000000" w:rsidRPr="00000000" w14:paraId="000000D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Confidentialité et protection des informations</w:t>
      </w:r>
    </w:p>
    <w:p w:rsidR="00000000" w:rsidDel="00000000" w:rsidP="00000000" w:rsidRDefault="00000000" w:rsidRPr="00000000" w14:paraId="000000D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Principes de confidentialité</w:t>
      </w:r>
    </w:p>
    <w:p w:rsidR="00000000" w:rsidDel="00000000" w:rsidP="00000000" w:rsidRDefault="00000000" w:rsidRPr="00000000" w14:paraId="000000D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 Les membres de la Commission nationale et des organes techniques sont tenus à une obligation de confidentialité à l’égard des informations non publiques auxquelles ils ont accès dans le cadre des travaux de normalisation, notamment les données techniques sensibles, les secrets d’affaires et les informations relative aux offres ou projets en cours.</w:t>
      </w:r>
    </w:p>
    <w:p w:rsidR="00000000" w:rsidDel="00000000" w:rsidP="00000000" w:rsidRDefault="00000000" w:rsidRPr="00000000" w14:paraId="000000D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12.1.2 La Commission nationale définit des catégories d’informations publiques, restreintes ou confidentielles et établit des règles d’accès, de diffusion et de conservation adaptées à chacune d’elles. </w:t>
      </w:r>
    </w:p>
    <w:p w:rsidR="00000000" w:rsidDel="00000000" w:rsidP="00000000" w:rsidRDefault="00000000" w:rsidRPr="00000000" w14:paraId="000000D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Protection des données</w:t>
      </w:r>
    </w:p>
    <w:p w:rsidR="00000000" w:rsidDel="00000000" w:rsidP="00000000" w:rsidRDefault="00000000" w:rsidRPr="00000000" w14:paraId="000000D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 Les données personnelles des membres, contributeurs et personnes consultées sont traitées conformément aux principes de protection de la vie privée et aux règles nationales en matière de protection des données.</w:t>
      </w:r>
    </w:p>
    <w:p w:rsidR="00000000" w:rsidDel="00000000" w:rsidP="00000000" w:rsidRDefault="00000000" w:rsidRPr="00000000" w14:paraId="000000D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 Les systèmes d’information de la Commission nationale intègrent des mécanismes de sécurisation (contrôle d’accès, sauvegardes, traçabilité des connexions) adaptés à la sensibilité des informations gérées. </w:t>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4" w:sz="4" w:val="single"/>
          <w:between w:color="000000" w:space="1" w:sz="4" w:val="single"/>
        </w:pBd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Troisième Partie – Organisation de la Commission nationale</w:t>
      </w:r>
    </w:p>
    <w:p w:rsidR="00000000" w:rsidDel="00000000" w:rsidP="00000000" w:rsidRDefault="00000000" w:rsidRPr="00000000" w14:paraId="000000E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cette partie, nous posons les dispositions générales et la description de la Commission nationale elle-même ; nous pourrons ensuite détailler, dans un message suivant, chaque organe (présidence, comités, groupes de travail, etc.) avec leurs missions, compositions, mandats, quorum et règles de vote. </w:t>
      </w:r>
    </w:p>
    <w:p w:rsidR="00000000" w:rsidDel="00000000" w:rsidP="00000000" w:rsidRDefault="00000000" w:rsidRPr="00000000" w14:paraId="000000E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Dispositions générales d’organisation</w:t>
      </w:r>
    </w:p>
    <w:p w:rsidR="00000000" w:rsidDel="00000000" w:rsidP="00000000" w:rsidRDefault="00000000" w:rsidRPr="00000000" w14:paraId="000000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Principes d’organisation</w:t>
      </w:r>
    </w:p>
    <w:p w:rsidR="00000000" w:rsidDel="00000000" w:rsidP="00000000" w:rsidRDefault="00000000" w:rsidRPr="00000000" w14:paraId="000000E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13.1.1 L’organisation de la Commission nationale repose sur une structure hiérarchisée et fonctionnelle, comprenant des organes de pilotage stratégique, des organes techniques et des structures de soutien administratif, afin d’assurer une gouvernance efficace des travaux de normalisation.</w:t>
      </w:r>
    </w:p>
    <w:p w:rsidR="00000000" w:rsidDel="00000000" w:rsidP="00000000" w:rsidRDefault="00000000" w:rsidRPr="00000000" w14:paraId="000000E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 La répartition des responsabilités tient compte des bonnes pratiques des organismes internationaux et régionaux de normalisation, notamment en ce qui concerne la séparation des fonctions de décision, de coordination technique et de secrétariat. </w:t>
      </w:r>
    </w:p>
    <w:p w:rsidR="00000000" w:rsidDel="00000000" w:rsidP="00000000" w:rsidRDefault="00000000" w:rsidRPr="00000000" w14:paraId="000000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Organes de la Commission nationale</w:t>
      </w:r>
    </w:p>
    <w:p w:rsidR="00000000" w:rsidDel="00000000" w:rsidP="00000000" w:rsidRDefault="00000000" w:rsidRPr="00000000" w14:paraId="000000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 La Commission nationale comprend au minimum :</w:t>
      </w:r>
    </w:p>
    <w:p w:rsidR="00000000" w:rsidDel="00000000" w:rsidP="00000000" w:rsidRDefault="00000000" w:rsidRPr="00000000" w14:paraId="000000EA">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la Commission nationale plénière ;</w:t>
      </w:r>
    </w:p>
    <w:p w:rsidR="00000000" w:rsidDel="00000000" w:rsidP="00000000" w:rsidRDefault="00000000" w:rsidRPr="00000000" w14:paraId="000000EB">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la Présidence et la Vice-présidence ;</w:t>
      </w:r>
    </w:p>
    <w:p w:rsidR="00000000" w:rsidDel="00000000" w:rsidP="00000000" w:rsidRDefault="00000000" w:rsidRPr="00000000" w14:paraId="000000EC">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Comité de pilotage ;</w:t>
      </w:r>
    </w:p>
    <w:p w:rsidR="00000000" w:rsidDel="00000000" w:rsidP="00000000" w:rsidRDefault="00000000" w:rsidRPr="00000000" w14:paraId="000000E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Conseil scientifique et technique (lorsqu’il est institué) ;</w:t>
      </w:r>
    </w:p>
    <w:p w:rsidR="00000000" w:rsidDel="00000000" w:rsidP="00000000" w:rsidRDefault="00000000" w:rsidRPr="00000000" w14:paraId="000000E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Secrétariat technique ;</w:t>
      </w:r>
    </w:p>
    <w:p w:rsidR="00000000" w:rsidDel="00000000" w:rsidP="00000000" w:rsidRDefault="00000000" w:rsidRPr="00000000" w14:paraId="000000EF">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Secrétariat administratif ;</w:t>
      </w:r>
    </w:p>
    <w:p w:rsidR="00000000" w:rsidDel="00000000" w:rsidP="00000000" w:rsidRDefault="00000000" w:rsidRPr="00000000" w14:paraId="000000F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Sous-commissions sectorielles ;</w:t>
      </w:r>
    </w:p>
    <w:p w:rsidR="00000000" w:rsidDel="00000000" w:rsidP="00000000" w:rsidRDefault="00000000" w:rsidRPr="00000000" w14:paraId="000000F1">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Comités techniques et Sous-comités techniques ;</w:t>
      </w:r>
    </w:p>
    <w:p w:rsidR="00000000" w:rsidDel="00000000" w:rsidP="00000000" w:rsidRDefault="00000000" w:rsidRPr="00000000" w14:paraId="000000F2">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les Groupes de travail et Groupes d’experts. </w:t>
      </w:r>
    </w:p>
    <w:p w:rsidR="00000000" w:rsidDel="00000000" w:rsidP="00000000" w:rsidRDefault="00000000" w:rsidRPr="00000000" w14:paraId="000000F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 La Commission nationale peut, en tant que de besoin, créer des organes consultatifs temporaires pour traiter de sujets spécifiques ou sensibles, notamment en lien avec les exigences des bailleurs de fonds pour des projets d’infrastructures majeurs. </w:t>
      </w:r>
    </w:p>
    <w:p w:rsidR="00000000" w:rsidDel="00000000" w:rsidP="00000000" w:rsidRDefault="00000000" w:rsidRPr="00000000" w14:paraId="000000F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 Commission nationale plénière</w:t>
      </w:r>
    </w:p>
    <w:p w:rsidR="00000000" w:rsidDel="00000000" w:rsidP="00000000" w:rsidRDefault="00000000" w:rsidRPr="00000000" w14:paraId="000000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Mission</w:t>
      </w:r>
    </w:p>
    <w:p w:rsidR="00000000" w:rsidDel="00000000" w:rsidP="00000000" w:rsidRDefault="00000000" w:rsidRPr="00000000" w14:paraId="000000F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 La Commission nationale plénière est l’organe délibérant suprême chargé de définir les orientations stratégiques de la normalisation dans le secteur de la construction, d’approuver le programme annuel ou pluriannuel des travaux de normalisation et de se prononcer sur l’adoption finale des normes et documents normatifs.</w:t>
      </w:r>
    </w:p>
    <w:p w:rsidR="00000000" w:rsidDel="00000000" w:rsidP="00000000" w:rsidRDefault="00000000" w:rsidRPr="00000000" w14:paraId="000000F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14.1.2 Elle veille à la cohérence des travaux des différents comités, à l’alignement des priorités avec les politiques publiques nationales et les engagements régionaux et internationaux de la RDC, ainsi qu’à la bonne application des principes énoncés dans le présent Guide.</w:t>
      </w:r>
    </w:p>
    <w:p w:rsidR="00000000" w:rsidDel="00000000" w:rsidP="00000000" w:rsidRDefault="00000000" w:rsidRPr="00000000" w14:paraId="000000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Composition</w:t>
      </w:r>
    </w:p>
    <w:p w:rsidR="00000000" w:rsidDel="00000000" w:rsidP="00000000" w:rsidRDefault="00000000" w:rsidRPr="00000000" w14:paraId="000000F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 La Commission nationale plénière est composée de représentants dûment mandatés :</w:t>
      </w:r>
    </w:p>
    <w:p w:rsidR="00000000" w:rsidDel="00000000" w:rsidP="00000000" w:rsidRDefault="00000000" w:rsidRPr="00000000" w14:paraId="000000FA">
      <w:pPr>
        <w:numPr>
          <w:ilvl w:val="0"/>
          <w:numId w:val="8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des ministères et services publics ayant compétence en matière de construction, d’urbanisme, de travaux publics, d’infrastructures de transport, d’énergie, d’hydraulique, d’environnement, de santé, d’économie et de finances ;</w:t>
      </w:r>
    </w:p>
    <w:p w:rsidR="00000000" w:rsidDel="00000000" w:rsidP="00000000" w:rsidRDefault="00000000" w:rsidRPr="00000000" w14:paraId="000000FB">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 l’organisme national de normalisation ;</w:t>
      </w:r>
    </w:p>
    <w:p w:rsidR="00000000" w:rsidDel="00000000" w:rsidP="00000000" w:rsidRDefault="00000000" w:rsidRPr="00000000" w14:paraId="000000FC">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 autorités de régulation sectorielles ;</w:t>
      </w:r>
    </w:p>
    <w:p w:rsidR="00000000" w:rsidDel="00000000" w:rsidP="00000000" w:rsidRDefault="00000000" w:rsidRPr="00000000" w14:paraId="000000FD">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 maîtres d’ouvrage publics et parapublics ;</w:t>
      </w:r>
    </w:p>
    <w:p w:rsidR="00000000" w:rsidDel="00000000" w:rsidP="00000000" w:rsidRDefault="00000000" w:rsidRPr="00000000" w14:paraId="000000FE">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 organisations professionnelles d’ingénieurs, d’architectes, d’entrepreneurs et d’entreprises du BTP ;</w:t>
      </w:r>
    </w:p>
    <w:p w:rsidR="00000000" w:rsidDel="00000000" w:rsidP="00000000" w:rsidRDefault="00000000" w:rsidRPr="00000000" w14:paraId="000000FF">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 laboratoires, organismes d’inspection, de certification et d’accréditation ;</w:t>
      </w:r>
    </w:p>
    <w:p w:rsidR="00000000" w:rsidDel="00000000" w:rsidP="00000000" w:rsidRDefault="00000000" w:rsidRPr="00000000" w14:paraId="00000100">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 universités et centres de recherche ;</w:t>
      </w:r>
    </w:p>
    <w:p w:rsidR="00000000" w:rsidDel="00000000" w:rsidP="00000000" w:rsidRDefault="00000000" w:rsidRPr="00000000" w14:paraId="00000101">
      <w:pPr>
        <w:numPr>
          <w:ilvl w:val="0"/>
          <w:numId w:val="8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 organisations de la société civile concernées par la sécurité, l’environnement, la protection des consommateurs et la défense des usagers ;</w:t>
      </w:r>
    </w:p>
    <w:p w:rsidR="00000000" w:rsidDel="00000000" w:rsidP="00000000" w:rsidRDefault="00000000" w:rsidRPr="00000000" w14:paraId="00000102">
      <w:pPr>
        <w:numPr>
          <w:ilvl w:val="0"/>
          <w:numId w:val="8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cas échéant, des représentants des partenaires techniques et financiers, à titre d’observateurs. </w:t>
      </w:r>
    </w:p>
    <w:p w:rsidR="00000000" w:rsidDel="00000000" w:rsidP="00000000" w:rsidRDefault="00000000" w:rsidRPr="00000000" w14:paraId="0000010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14.2.2 La composition précise, le nombre de membres, les modalités de désignation et la durée du mandat sont fixés par un texte national (arrêté ministériel) pris sur proposition de l’autorité de tutelle. </w:t>
      </w:r>
    </w:p>
    <w:p w:rsidR="00000000" w:rsidDel="00000000" w:rsidP="00000000" w:rsidRDefault="00000000" w:rsidRPr="00000000" w14:paraId="000001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Fonctionnement</w:t>
      </w:r>
    </w:p>
    <w:p w:rsidR="00000000" w:rsidDel="00000000" w:rsidP="00000000" w:rsidRDefault="00000000" w:rsidRPr="00000000" w14:paraId="0000010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14.3.1 La Commission nationale plénière se réunit en session ordinaire au moins une fois par an, sur convocation de son Président, et en session extraordinaire chaque fois que nécessaire, à l’initiative du Président ou à la demande d’une proportion déterminée de ses membres.</w:t>
      </w:r>
    </w:p>
    <w:p w:rsidR="00000000" w:rsidDel="00000000" w:rsidP="00000000" w:rsidRDefault="00000000" w:rsidRPr="00000000" w14:paraId="0000010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14.3.2 L’ordre du jour est arrêté par le Président, sur proposition du Secrétariat technique, et communiqué aux membres dans les délais prévus par le règlement intérieur ; un modèle d’ordre du jour type est présenté en annexe. </w:t>
      </w:r>
    </w:p>
    <w:p w:rsidR="00000000" w:rsidDel="00000000" w:rsidP="00000000" w:rsidRDefault="00000000" w:rsidRPr="00000000" w14:paraId="000001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Quorum et prise de décision</w:t>
      </w:r>
    </w:p>
    <w:p w:rsidR="00000000" w:rsidDel="00000000" w:rsidP="00000000" w:rsidRDefault="00000000" w:rsidRPr="00000000" w14:paraId="0000010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14.4.1 Le quorum est atteint lorsque la majorité simple des membres ayant voix délibérative est présente ou représentée, sauf disposition particulière prévue par le règlement intérieur ou le texte portant création de la Commission nationale.</w:t>
      </w:r>
    </w:p>
    <w:p w:rsidR="00000000" w:rsidDel="00000000" w:rsidP="00000000" w:rsidRDefault="00000000" w:rsidRPr="00000000" w14:paraId="0000010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14.4.2 Les décisions sont en priorité prises par consensus ; à défaut, elles sont adoptées à la majorité qualifiée des voix exprimées, selon des modalités définies par le règlement intérieur, notamment pour l’adoption des normes et documents normatifs. </w:t>
      </w:r>
    </w:p>
    <w:p w:rsidR="00000000" w:rsidDel="00000000" w:rsidP="00000000" w:rsidRDefault="00000000" w:rsidRPr="00000000" w14:paraId="000001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Gestion des conflits et éthique</w:t>
      </w:r>
    </w:p>
    <w:p w:rsidR="00000000" w:rsidDel="00000000" w:rsidP="00000000" w:rsidRDefault="00000000" w:rsidRPr="00000000" w14:paraId="000001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14.5.1 La Commission nationale plénière veille au respect des règles d’impartialité et de gestion des conflits d’intérêts par l’ensemble de ses membres, conformément aux dispositions du présent Guide et au code de conduite adopté.</w:t>
      </w:r>
    </w:p>
    <w:p w:rsidR="00000000" w:rsidDel="00000000" w:rsidP="00000000" w:rsidRDefault="00000000" w:rsidRPr="00000000" w14:paraId="000001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14.5.2 Les différends relatifs à la procédure d’adoption d’un document normatif ou à la représentativité des parties prenantes sont instruits par le Comité de pilotage, qui formule des recommandations de règlement soumises à la Commission nationale pour décision. </w:t>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cette suite vous convient, je peux, dans le prochain message, détailler successivement :</w:t>
      </w:r>
    </w:p>
    <w:p w:rsidR="00000000" w:rsidDel="00000000" w:rsidP="00000000" w:rsidRDefault="00000000" w:rsidRPr="00000000" w14:paraId="0000010F">
      <w:pPr>
        <w:numPr>
          <w:ilvl w:val="0"/>
          <w:numId w:val="9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la Présidence et la Vice-présidence,</w:t>
      </w:r>
    </w:p>
    <w:p w:rsidR="00000000" w:rsidDel="00000000" w:rsidP="00000000" w:rsidRDefault="00000000" w:rsidRPr="00000000" w14:paraId="00000110">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Comité de pilotage,</w:t>
      </w:r>
    </w:p>
    <w:p w:rsidR="00000000" w:rsidDel="00000000" w:rsidP="00000000" w:rsidRDefault="00000000" w:rsidRPr="00000000" w14:paraId="00000111">
      <w:pPr>
        <w:numPr>
          <w:ilvl w:val="0"/>
          <w:numId w:val="9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le Conseil scientifique,</w:t>
      </w:r>
    </w:p>
    <w:p w:rsidR="00000000" w:rsidDel="00000000" w:rsidP="00000000" w:rsidRDefault="00000000" w:rsidRPr="00000000" w14:paraId="00000112">
      <w:pPr>
        <w:numPr>
          <w:ilvl w:val="0"/>
          <w:numId w:val="9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puis les Comités techniques, Sous-comités et Groupes de travail, avec pour chacun : mission, composition, désignation, mandat, attributions, fonctionnement, quorum, vote, gestion documentaire, obligations et éthique.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vais donc enrichir la Troisième Partie avec davantage de détails, de mécanismes concrets et d’exemples illustratifs adaptés au contexte RDC/BTP.[</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Troisième Partie – Organisation de la Commission nationale (version détaillée avec exemples)</w:t>
      </w:r>
    </w:p>
    <w:p w:rsidR="00000000" w:rsidDel="00000000" w:rsidP="00000000" w:rsidRDefault="00000000" w:rsidRPr="00000000" w14:paraId="00000116">
      <w:pPr>
        <w:pStyle w:val="Heading2"/>
        <w:rPr/>
      </w:pPr>
      <w:r w:rsidDel="00000000" w:rsidR="00000000" w:rsidRPr="00000000">
        <w:rPr>
          <w:rtl w:val="0"/>
        </w:rPr>
        <w:t xml:space="preserve">13. Dispositions générales d’organisation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Principes d’organisation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L’organisation de la Commission nationale repose sur une structure hiérarchisée et fonctionnelle, comprenant des organes de pilotage stratégique, des organes techniques et des structures de soutien administratif, afin d’assurer une gouvernance efficace, transparente et coordonnée des travaux de normalisation.[</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13.1.2 La répartition des responsabilités s’inspire des modèles d’organisations de l’ISO, de la CEN/CENELEC et des organismes nationaux de normalisation, en distinguant clairement les fonctions de décision (instance plénière, Comité de pilotage), de préparation technique (comités techniques, groupes de travail) et de secrétariat (secrétariat technique et administratif).[</w:t>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Organes de la Commission nationale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13.2.1 La Commission nationale comprend les organes suivants :</w:t>
      </w:r>
    </w:p>
    <w:p w:rsidR="00000000" w:rsidDel="00000000" w:rsidP="00000000" w:rsidRDefault="00000000" w:rsidRPr="00000000" w14:paraId="0000011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Commission nationale plénière ;</w:t>
      </w:r>
    </w:p>
    <w:p w:rsidR="00000000" w:rsidDel="00000000" w:rsidP="00000000" w:rsidRDefault="00000000" w:rsidRPr="00000000" w14:paraId="0000011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Présidence et Vice-présidence ;</w:t>
      </w:r>
    </w:p>
    <w:p w:rsidR="00000000" w:rsidDel="00000000" w:rsidP="00000000" w:rsidRDefault="00000000" w:rsidRPr="00000000" w14:paraId="0000011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Comité de pilotage ;</w:t>
      </w:r>
    </w:p>
    <w:p w:rsidR="00000000" w:rsidDel="00000000" w:rsidP="00000000" w:rsidRDefault="00000000" w:rsidRPr="00000000" w14:paraId="0000011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Conseil scientifique et technique ;</w:t>
      </w:r>
    </w:p>
    <w:p w:rsidR="00000000" w:rsidDel="00000000" w:rsidP="00000000" w:rsidRDefault="00000000" w:rsidRPr="00000000" w14:paraId="0000011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Secrétariat technique ;</w:t>
      </w:r>
    </w:p>
    <w:p w:rsidR="00000000" w:rsidDel="00000000" w:rsidP="00000000" w:rsidRDefault="00000000" w:rsidRPr="00000000" w14:paraId="0000012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Secrétariat administratif ;</w:t>
      </w:r>
    </w:p>
    <w:p w:rsidR="00000000" w:rsidDel="00000000" w:rsidP="00000000" w:rsidRDefault="00000000" w:rsidRPr="00000000" w14:paraId="0000012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Sous-commissions sectorielles ;</w:t>
      </w:r>
    </w:p>
    <w:p w:rsidR="00000000" w:rsidDel="00000000" w:rsidP="00000000" w:rsidRDefault="00000000" w:rsidRPr="00000000" w14:paraId="0000012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Comités techniques (CT) et Sous-comités techniques (SCT) ;</w:t>
      </w:r>
    </w:p>
    <w:p w:rsidR="00000000" w:rsidDel="00000000" w:rsidP="00000000" w:rsidRDefault="00000000" w:rsidRPr="00000000" w14:paraId="0000012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Groupes de travail (GT) et Groupes d’experts (GE).[</w:t>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gso.org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13.2.2 Chaque organe fait l’objet d’un mandat formalisé (termes de référence) précisant sa mission, sa composition, ses attributions, son mode de fonctionnement, son mode de désignation et la durée des mandats.[</w:t>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Exemple illustratif d’architecture organisationnelle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13.3.1 À titre d’exemple, pour le secteur des infrastructures routières, la Commission nationale peut mettre en place :</w:t>
      </w:r>
    </w:p>
    <w:p w:rsidR="00000000" w:rsidDel="00000000" w:rsidP="00000000" w:rsidRDefault="00000000" w:rsidRPr="00000000" w14:paraId="0000012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Sous-commission sectorielle « Routes et Ouvrages d’art » ;</w:t>
      </w:r>
    </w:p>
    <w:p w:rsidR="00000000" w:rsidDel="00000000" w:rsidP="00000000" w:rsidRDefault="00000000" w:rsidRPr="00000000" w14:paraId="0000012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Comité technique « Chaussées et matériaux routiers » (CT-R1) ;</w:t>
      </w:r>
    </w:p>
    <w:p w:rsidR="00000000" w:rsidDel="00000000" w:rsidP="00000000" w:rsidRDefault="00000000" w:rsidRPr="00000000" w14:paraId="0000012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Comité technique « Ponts et ouvrages d’art » (CT-R2) ;</w:t>
      </w:r>
    </w:p>
    <w:p w:rsidR="00000000" w:rsidDel="00000000" w:rsidP="00000000" w:rsidRDefault="00000000" w:rsidRPr="00000000" w14:paraId="0000012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Groupes de travail spécialisés, par exemple « Normes sur les couches de fondation et de base » (GT-R1.1) et « Normes sur les essais de laboratoire des matériaux routiers » (GT-R1.2).[</w:t>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13.3.2 Cette organisation permet une répartition claire des sujets, une spécialisation des experts et une meilleure gestion des programmes de travail, tout en conservant un niveau de pilotage centralisé au niveau de la Commission nationale et de son Comité de pilotage.[</w:t>
      </w: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14. Commission nationale plénière (détaillée)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Mission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La Commission nationale plénière définit les orientations stratégiques de la normalisation dans le secteur considéré, approuve le programme de travail (annuel ou pluriannuel) et se prononce sur l’adoption finale des normes nationales et autres documents normatifs.[</w:t>
      </w:r>
      <w:hyperlink r:id="rId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14.1.2 Elle assure la cohérence avec les politiques publiques nationales, les engagements régionaux et internationaux de la RDC et les exigences des partenaires techniques et financiers dans le domaine des infrastructures.[</w:t>
      </w:r>
      <w:hyperlink r:id="rId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arso-oran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Composition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Pour garantir l’impartialité et la représentativité, la composition de la Commission nationale s’inspire des catégories de parties prenantes définies par l’ISO (industrie, gouvernement, consommateurs, travail, académique, application des normes, ONG).[</w:t>
      </w:r>
      <w:hyperlink r:id="rId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helpdesk-docs.iso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14.2.2 À titre indicatif, la Commission nationale comprend :</w:t>
      </w:r>
    </w:p>
    <w:p w:rsidR="00000000" w:rsidDel="00000000" w:rsidP="00000000" w:rsidRDefault="00000000" w:rsidRPr="00000000" w14:paraId="0000013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Catégorie « Gouvernement » : Ministère des Infrastructures et Travaux Publics, Ministère de l’Urbanisme et Habitat, Ministère des Transports, Ministère de l’Énergie et Ressources hydrauliques, Ministère de l’Environnement, Ministère de la Santé, Ministère de l’Économie, autorités provinciales concernées.[</w:t>
      </w:r>
      <w:hyperlink r:id="rId1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share.ansi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Catégorie « Industrie et commerce » : Fédération des entreprises du Congo, fédérations du BTP, grandes entreprises de construction, entreprises nationales de travaux publics, bureaux d’études.[</w:t>
      </w:r>
      <w:hyperlink r:id="rId2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helpdesk-docs.iso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Catégorie « Application des normes » : laboratoires d’essais, organismes d’inspection, organismes de certification, structures d’accréditation, centres de contrôle technique.[</w:t>
      </w:r>
      <w:hyperlink r:id="rId2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share.ansi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Catégorie « Académique et recherche » : facultés de génie civil, écoles d’architecture, instituts de recherche en matériaux et structures, écoles polytechniques.[</w:t>
      </w:r>
      <w:hyperlink r:id="rId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helpdesk-docs.iso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Catégorie « Consommateurs et ONG » : associations de consommateurs, organisations de défense des usagers de la route, ONG environnementales.[</w:t>
      </w:r>
      <w:hyperlink r:id="rId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 Chaque catégorie dispose d’un nombre de sièges déterminé afin d’éviter la prédominance d’un seul type d’acteurs et de garantir un équilibre des intérêts.[</w:t>
      </w:r>
      <w:hyperlink r:id="rId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Mode de désignation des membres et durée du mandat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14.3.1 Les membres représentant l’État sont désignés par les ministres compétents, sur proposition de leurs administrations respectives.[</w:t>
      </w:r>
      <w:hyperlink r:id="rId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14.3.2 Les représentants des organisations professionnelles, des entreprises, des laboratoires, des universités et des ONG sont désignés selon des procédures internes propres à leurs structures, sur la base de critères de compétence technique, de représentativité et d’intégrité.[</w:t>
      </w:r>
      <w:hyperlink r:id="rId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14.3.3 Le mandat des membres est généralement fixé à trois ans, renouvelable une fois, afin d’assurer à la fois la continuité et le renouvellement des compétences.[</w:t>
      </w:r>
      <w:hyperlink r:id="rId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14.3.4 Un dispositif de remplacement est prévu en cas de vacance (décès, démission, révocation, mutation) afin de garantir le fonctionnement continu de la Commission nationale.[</w:t>
      </w:r>
      <w:hyperlink r:id="rId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gso.org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Fonctionnement, quorum et décisions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14.4.1 La Commission nationale se réunit en session ordinaire au moins une fois par an et, si nécessaire, en sessions extraordinaires pour statuer sur des questions urgentes (adoption de normes critiques, crises techniques, exigences des bailleurs).[</w:t>
      </w:r>
      <w:hyperlink r:id="rId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14.4.2 Le quorum est atteint lorsque la majorité simple des membres ayant voix délibérative est présente ou représentée, avec au moins une représentation minimale de plusieurs catégories de parties prenantes (par exemple gouvernement, industrie, application des normes et société civile).[</w:t>
      </w:r>
      <w:hyperlink r:id="rId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14.4.3 Exemple illustratif :</w:t>
        <w:br w:type="textWrapping"/>
        <w:t xml:space="preserve">Pour une Commission nationale de 40 membres, le quorum peut être fixé à 21 membres présents ou représentés, dont au moins :</w:t>
      </w:r>
    </w:p>
    <w:p w:rsidR="00000000" w:rsidDel="00000000" w:rsidP="00000000" w:rsidRDefault="00000000" w:rsidRPr="00000000" w14:paraId="0000013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représentants des institutions publiques ;</w:t>
      </w:r>
    </w:p>
    <w:p w:rsidR="00000000" w:rsidDel="00000000" w:rsidP="00000000" w:rsidRDefault="00000000" w:rsidRPr="00000000" w14:paraId="0000013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représentants du secteur privé ;</w:t>
      </w:r>
    </w:p>
    <w:p w:rsidR="00000000" w:rsidDel="00000000" w:rsidP="00000000" w:rsidRDefault="00000000" w:rsidRPr="00000000" w14:paraId="0000014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représentants des organismes d’application des normes ;</w:t>
      </w:r>
    </w:p>
    <w:p w:rsidR="00000000" w:rsidDel="00000000" w:rsidP="00000000" w:rsidRDefault="00000000" w:rsidRPr="00000000" w14:paraId="0000014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représentants des universités et centres de recherche ;</w:t>
      </w:r>
    </w:p>
    <w:p w:rsidR="00000000" w:rsidDel="00000000" w:rsidP="00000000" w:rsidRDefault="00000000" w:rsidRPr="00000000" w14:paraId="0000014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représentants des consommateurs/ONG.[</w:t>
      </w:r>
      <w:hyperlink r:id="rId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14.4.4 Les décisions sont recherchées par consensus ; à défaut, un vote est organisé, avec par exemple une majorité qualifiée de deux tiers des voix exprimées pour l’adoption d’une norme nationale, afin de garantir un large soutien.[</w:t>
      </w:r>
      <w:hyperlink r:id="rId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share.ansi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 Gestion des conflits et éthique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14.5.1 La Commission nationale adopte un règlement intérieur et un code de conduite précisant les obligations des membres en matière d’impartialité, d’intégrité, de confidentialité et de déclaration des intérêts.[</w:t>
      </w:r>
      <w:hyperlink r:id="rId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openknowledge.worldbank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14.5.2 En cas de litige portant sur la procédure d’adoption d’une norme ou sur la participation d’un membre, le Comité de pilotage est saisi pour instruire le dossier et formuler une recommandation ; la décision finale appartient à la Commission nationale.[</w:t>
      </w:r>
      <w:hyperlink r:id="rId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14.5.3 Exemple illustratif :</w:t>
        <w:br w:type="textWrapping"/>
        <w:t xml:space="preserve">Si une entreprise de BTP cherche à imposer un produit ou une technologie spécifique dans une norme, alors que des alternatives existent, et que son représentant n’a pas déclaré ses intérêts, le Comité de pilotage peut recommander son retrait des débats et, le cas échéant, la révision de la norme pour garantir la neutralité technologique.[</w:t>
      </w: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15. Présidence et Vice-présidence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Mission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 La Présidence dirige les travaux de la Commission nationale, anime les sessions plénières, veille au respect des procédures et représente la Commission nationale auprès des autorités de tutelle, des partenaires nationaux et internationaux.[</w:t>
      </w:r>
      <w:hyperlink r:id="rId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15.1.2 La Vice-présidence assiste la Présidence et la remplace en cas d’empêchement, en assurant la continuité de la conduite des travaux.[</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gso.org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Désignation et mandat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 Le Président et le Vice-président sont nommés par l’autorité de tutelle (Ministre compétent), après consultation de la Commission nationale, pour un mandat de quatre ans renouvelable une fois.[</w:t>
      </w:r>
      <w:hyperlink r:id="rId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leganet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15.2.2 Les titulaires doivent disposer d’une expérience avérée dans les domaines de la construction, de la normalisation, de la gestion de projets ou de la gouvernance publique.[</w:t>
      </w:r>
      <w:hyperlink r:id="rId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Attributions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15.3.1 Le Président :</w:t>
      </w:r>
    </w:p>
    <w:p w:rsidR="00000000" w:rsidDel="00000000" w:rsidP="00000000" w:rsidRDefault="00000000" w:rsidRPr="00000000" w14:paraId="0000014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convoque les sessions de la Commission nationale ;</w:t>
      </w:r>
    </w:p>
    <w:p w:rsidR="00000000" w:rsidDel="00000000" w:rsidP="00000000" w:rsidRDefault="00000000" w:rsidRPr="00000000" w14:paraId="0000015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 l’ordre du jour, sur proposition du Secrétariat technique ;</w:t>
      </w:r>
    </w:p>
    <w:p w:rsidR="00000000" w:rsidDel="00000000" w:rsidP="00000000" w:rsidRDefault="00000000" w:rsidRPr="00000000" w14:paraId="0000015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préside les débats et veille à leur bonne tenue ;</w:t>
      </w:r>
    </w:p>
    <w:p w:rsidR="00000000" w:rsidDel="00000000" w:rsidP="00000000" w:rsidRDefault="00000000" w:rsidRPr="00000000" w14:paraId="0000015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prononce la clôture des débats et la proclamation des résultats des votes ;</w:t>
      </w:r>
    </w:p>
    <w:p w:rsidR="00000000" w:rsidDel="00000000" w:rsidP="00000000" w:rsidRDefault="00000000" w:rsidRPr="00000000" w14:paraId="0000015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 les procès-verbaux, les résolutions et, le cas échéant, les décisions d’adoption des normes.[</w:t>
      </w:r>
      <w:hyperlink r:id="rId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15.3.2 Le Vice-président :</w:t>
      </w:r>
    </w:p>
    <w:p w:rsidR="00000000" w:rsidDel="00000000" w:rsidP="00000000" w:rsidRDefault="00000000" w:rsidRPr="00000000" w14:paraId="0000015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seconde le Président dans toutes ses missions ;</w:t>
      </w:r>
    </w:p>
    <w:p w:rsidR="00000000" w:rsidDel="00000000" w:rsidP="00000000" w:rsidRDefault="00000000" w:rsidRPr="00000000" w14:paraId="0000015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 le suivi de mise en œuvre des décisions ;</w:t>
      </w:r>
    </w:p>
    <w:p w:rsidR="00000000" w:rsidDel="00000000" w:rsidP="00000000" w:rsidRDefault="00000000" w:rsidRPr="00000000" w14:paraId="0000015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peut se voir confier la présidence de groupes de travail transversaux (ex. groupe sur la numérisation ou la coordination régionale).[</w:t>
      </w:r>
      <w:hyperlink r:id="rId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Exemple illustratif</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15.4.1 Dans un contexte de projet routier financé par un bailleur international, le Président peut être amené à représenter la Commission nationale lors des missions d’évaluation, afin d’expliquer comment les normes nationales sur les chaussées et les ponts sont alignées avec les Eurocodes ou les spécifications techniques du bailleur.[</w:t>
      </w:r>
      <w:hyperlink r:id="rId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16. Comité de pilotage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 Mission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16.1.1 Le Comité de pilotage est l’organe restreint chargé de la gestion stratégique et opérationnelle des travaux de normalisation entre les sessions plénières de la Commission nationale.[</w:t>
      </w:r>
      <w:hyperlink r:id="rId4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16.1.2 Il prépare les décisions de la Commission nationale, suit l’avancement du programme de travail, arbitre les priorités, coordonne les comités techniques et traite les questions de gouvernance courante (conflits d’intérêts, recours internes, cohérence des documents).[</w:t>
      </w:r>
      <w:hyperlink r:id="rId4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 Composition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16.2.1 Le Comité de pilotage comprend, par exemple :</w:t>
      </w:r>
    </w:p>
    <w:p w:rsidR="00000000" w:rsidDel="00000000" w:rsidP="00000000" w:rsidRDefault="00000000" w:rsidRPr="00000000" w14:paraId="0000016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Président et le Vice-président de la Commission nationale ;</w:t>
      </w:r>
    </w:p>
    <w:p w:rsidR="00000000" w:rsidDel="00000000" w:rsidP="00000000" w:rsidRDefault="00000000" w:rsidRPr="00000000" w14:paraId="0000016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nombre limité de représentants de l’administration (ex. 3 à 5) ;</w:t>
      </w:r>
    </w:p>
    <w:p w:rsidR="00000000" w:rsidDel="00000000" w:rsidP="00000000" w:rsidRDefault="00000000" w:rsidRPr="00000000" w14:paraId="0000016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représentants des comités techniques (ex. 3 présidents de CT) ;</w:t>
      </w:r>
    </w:p>
    <w:p w:rsidR="00000000" w:rsidDel="00000000" w:rsidP="00000000" w:rsidRDefault="00000000" w:rsidRPr="00000000" w14:paraId="0000016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représentant de l’organisme national de normalisation ;</w:t>
      </w:r>
    </w:p>
    <w:p w:rsidR="00000000" w:rsidDel="00000000" w:rsidP="00000000" w:rsidRDefault="00000000" w:rsidRPr="00000000" w14:paraId="0000016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responsable du Secrétariat technique ;</w:t>
      </w:r>
    </w:p>
    <w:p w:rsidR="00000000" w:rsidDel="00000000" w:rsidP="00000000" w:rsidRDefault="00000000" w:rsidRPr="00000000" w14:paraId="0000016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éventuellement un membre du Conseil scientifique.[</w:t>
      </w:r>
      <w:hyperlink r:id="rId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16.2.2 Le nombre total de membres du Comité de pilotage est limité (par exemple 10 à 15) pour garantir sa réactivité.[</w:t>
      </w:r>
      <w:hyperlink r:id="rId4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gso.org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 Attributions détaillées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16.3.1 Le Comité de pilotage :</w:t>
      </w:r>
    </w:p>
    <w:p w:rsidR="00000000" w:rsidDel="00000000" w:rsidP="00000000" w:rsidRDefault="00000000" w:rsidRPr="00000000" w14:paraId="0000016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valide les propositions de nouveaux sujets de normalisation (NWI – New Work Item) avant soumission à la Commission nationale ;</w:t>
      </w:r>
    </w:p>
    <w:p w:rsidR="00000000" w:rsidDel="00000000" w:rsidP="00000000" w:rsidRDefault="00000000" w:rsidRPr="00000000" w14:paraId="0000016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répartit les sujets entre les Sous-commissions et Comités techniques ;</w:t>
      </w:r>
    </w:p>
    <w:p w:rsidR="00000000" w:rsidDel="00000000" w:rsidP="00000000" w:rsidRDefault="00000000" w:rsidRPr="00000000" w14:paraId="0000016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approuve les calendriers prévisionnels des travaux et les plans de consultation publique ;</w:t>
      </w:r>
    </w:p>
    <w:p w:rsidR="00000000" w:rsidDel="00000000" w:rsidP="00000000" w:rsidRDefault="00000000" w:rsidRPr="00000000" w14:paraId="0000016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veille à la bonne application des principes d’impartialité, de consensus et de participation ;</w:t>
      </w:r>
    </w:p>
    <w:p w:rsidR="00000000" w:rsidDel="00000000" w:rsidP="00000000" w:rsidRDefault="00000000" w:rsidRPr="00000000" w14:paraId="0000016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les mesures correctives en cas de blocage d’un dossier ;</w:t>
      </w:r>
    </w:p>
    <w:p w:rsidR="00000000" w:rsidDel="00000000" w:rsidP="00000000" w:rsidRDefault="00000000" w:rsidRPr="00000000" w14:paraId="0000016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émet des avis sur les projets de coopération avec des organismes régionaux ou internationaux.[</w:t>
      </w:r>
      <w:hyperlink r:id="rId4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 Exemple illustratif</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16.4.1 Si plusieurs demandes de normes sont formulées simultanément (par exemple une norme sur les blocs de béton pour bâtiments, une autre sur les couches granulaire des routes et une troisième sur les essais de sols), le Comité de pilotage peut :</w:t>
      </w:r>
    </w:p>
    <w:p w:rsidR="00000000" w:rsidDel="00000000" w:rsidP="00000000" w:rsidRDefault="00000000" w:rsidRPr="00000000" w14:paraId="0000017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prioriser la norme sur les couches de chaussée si elle est liée à un projet routier structurant ;</w:t>
      </w:r>
    </w:p>
    <w:p w:rsidR="00000000" w:rsidDel="00000000" w:rsidP="00000000" w:rsidRDefault="00000000" w:rsidRPr="00000000" w14:paraId="0000017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regrouper certaines demandes dans un même comité technique ;</w:t>
      </w:r>
    </w:p>
    <w:p w:rsidR="00000000" w:rsidDel="00000000" w:rsidP="00000000" w:rsidRDefault="00000000" w:rsidRPr="00000000" w14:paraId="0000017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planifier les travaux de manière à optimiser la disponibilité des experts.[</w:t>
      </w:r>
      <w:hyperlink r:id="rId4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17. Conseil scientifique et technique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 Objectif et utilité</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 Le Conseil scientifique et technique est un organe consultatif chargé d’apporter un appui de haut niveau sur les aspects scientifiques, techniques et méthodologiques des normes en préparation, en particulier pour les sujets complexes (sismicité, durabilité des matériaux, impacts climatiques, etc.).[</w:t>
      </w:r>
      <w:hyperlink r:id="rId4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17.1.2 Il contribue à l’alignement des normes nationales sur l’état de l’art, les résultats de la recherche et les normes internationales (Eurocodes, FIDIC, guides PIARC, AASHTO, etc.).[</w:t>
      </w:r>
      <w:hyperlink r:id="rId5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 Composition et désignation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 Le Conseil est composé d’experts reconnus issus du monde académique, des centres de recherche, des laboratoires spécialisés, des organismes internationaux et, le cas échéant, d’experts indépendants.[</w:t>
      </w:r>
      <w:hyperlink r:id="rId5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17.2.2 Les membres sont nommés pour une durée déterminée (par exemple 4 ans), sur proposition conjointe de la Commission nationale et de l’organisme national de normalisation.[</w:t>
      </w:r>
      <w:hyperlink r:id="rId5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 Rôle opérationnel</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 Le Conseil scientifique donne des avis sur :</w:t>
      </w:r>
    </w:p>
    <w:p w:rsidR="00000000" w:rsidDel="00000000" w:rsidP="00000000" w:rsidRDefault="00000000" w:rsidRPr="00000000" w14:paraId="0000017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pertinence scientifique des projets de normes ;</w:t>
      </w:r>
    </w:p>
    <w:p w:rsidR="00000000" w:rsidDel="00000000" w:rsidP="00000000" w:rsidRDefault="00000000" w:rsidRPr="00000000" w14:paraId="0000017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cohérence avec les autres normes nationales ou internationales ;</w:t>
      </w:r>
    </w:p>
    <w:p w:rsidR="00000000" w:rsidDel="00000000" w:rsidP="00000000" w:rsidRDefault="00000000" w:rsidRPr="00000000" w14:paraId="0000017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prise en compte des contraintes locales (climat, matériaux disponibles, conditions d’exploitation) ;</w:t>
      </w:r>
    </w:p>
    <w:p w:rsidR="00000000" w:rsidDel="00000000" w:rsidP="00000000" w:rsidRDefault="00000000" w:rsidRPr="00000000" w14:paraId="0000017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besoins de recherche ou d’essais complémentaires avant adoption.[</w:t>
      </w:r>
      <w:hyperlink r:id="rId5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17.3.2 Exemple : avant l’adoption d’une norme nationale inspirée des Eurocodes pour les ponts, le Conseil scientifique examine les paramètres nationaux à adapter (charges, coefficients de sécurité, conditions climatiques) et formule des recommandations au comité technique concerné.[</w:t>
      </w:r>
      <w:hyperlink r:id="rId5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18. Secrétariat technique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Mission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 Le Secrétariat technique assure le support technique et organisationnel aux comités techniques, sous-comités, groupes de travail et à la Commission nationale.[</w:t>
      </w:r>
      <w:hyperlink r:id="rId5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18.1.2 Il est notamment responsable de la gestion des documents de travail, de l’organisation des réunions, du suivi des commentaires, de la préparation des projets de normes, du respect des procédures et de la liaison avec les organismes régionaux et internationaux.[</w:t>
      </w:r>
      <w:hyperlink r:id="rId5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 Fonctionnement et responsabilités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18.2.1 Le Secrétariat technique :</w:t>
      </w:r>
    </w:p>
    <w:p w:rsidR="00000000" w:rsidDel="00000000" w:rsidP="00000000" w:rsidRDefault="00000000" w:rsidRPr="00000000" w14:paraId="0000018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prépare et diffuse les documents de travail ;</w:t>
      </w:r>
    </w:p>
    <w:p w:rsidR="00000000" w:rsidDel="00000000" w:rsidP="00000000" w:rsidRDefault="00000000" w:rsidRPr="00000000" w14:paraId="0000018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centralise les commentaires des membres et des parties prenantes ;</w:t>
      </w:r>
    </w:p>
    <w:p w:rsidR="00000000" w:rsidDel="00000000" w:rsidP="00000000" w:rsidRDefault="00000000" w:rsidRPr="00000000" w14:paraId="0000018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rédige ou consolide les projets de textes, en appliquant les règles de rédaction (conformes aux Directives ISO/IEC Partie 2) ;</w:t>
      </w:r>
    </w:p>
    <w:p w:rsidR="00000000" w:rsidDel="00000000" w:rsidP="00000000" w:rsidRDefault="00000000" w:rsidRPr="00000000" w14:paraId="0000018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tient à jour les registres de projets de normes, de votes et d’observations ;</w:t>
      </w:r>
    </w:p>
    <w:p w:rsidR="00000000" w:rsidDel="00000000" w:rsidP="00000000" w:rsidRDefault="00000000" w:rsidRPr="00000000" w14:paraId="0000018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fournit un appui méthodologique aux présidents de comités.[</w:t>
      </w:r>
      <w:hyperlink r:id="rId5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18.2.2 Exemple illustratif :</w:t>
        <w:br w:type="textWrapping"/>
        <w:t xml:space="preserve">Lors de l’élaboration d’une norme sur les « Spécifications des blocs de béton pour maçonnerie », le Secrétariat technique consolide les contributions du CT-Bâtiment, vérifie la terminologie, la structure (Titre, Objet, Domaine d’application, Références, Termes et définitions, Exigences, Méthodes d’essai, etc.) et prépare la version à soumettre en consultation publique.[</w:t>
      </w:r>
      <w:hyperlink r:id="rId5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ne pas surcharger ce message, je m’arrête ici dans le détail.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ce niveau de précision et le type d’exemples vous conviennent, je peux, dans le prochain échange, détailler :</w:t>
      </w:r>
    </w:p>
    <w:p w:rsidR="00000000" w:rsidDel="00000000" w:rsidP="00000000" w:rsidRDefault="00000000" w:rsidRPr="00000000" w14:paraId="0000019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Secrétariat administratif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Sous-commissions sectorielles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Comités techniques / Sous-comités / Groupes de travail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avec : missions, composition, règles de fonctionnement, modèles de registres, et exemples concrets (par exemple un CT « Structures en béton », un GT « Essais de laboratoire des sols », etc.).</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poursuis la Troisième Partie avec encore plus de détails opérationnels et d’exemples concrets, en me concentrant sur :</w:t>
      </w:r>
    </w:p>
    <w:p w:rsidR="00000000" w:rsidDel="00000000" w:rsidP="00000000" w:rsidRDefault="00000000" w:rsidRPr="00000000" w14:paraId="0000019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Secrétariat administratif,</w:t>
      </w:r>
    </w:p>
    <w:p w:rsidR="00000000" w:rsidDel="00000000" w:rsidP="00000000" w:rsidRDefault="00000000" w:rsidRPr="00000000" w14:paraId="0000019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Sous-commissions sectorielles,</w:t>
      </w:r>
    </w:p>
    <w:p w:rsidR="00000000" w:rsidDel="00000000" w:rsidP="00000000" w:rsidRDefault="00000000" w:rsidRPr="00000000" w14:paraId="0000019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Comités techniques / Sous-comités / Groupes de travail,</w:t>
        <w:br w:type="textWrapping"/>
        <w:t xml:space="preserve">en m’inspirant des pratiques des organismes nationaux et européens (SFS, CEN/CENELEC, ISO).[</w:t>
      </w:r>
      <w:hyperlink r:id="rId5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19. Secrétariat administratif</w:t>
      </w:r>
    </w:p>
    <w:p w:rsidR="00000000" w:rsidDel="00000000" w:rsidP="00000000" w:rsidRDefault="00000000" w:rsidRPr="00000000" w14:paraId="00000199">
      <w:pPr>
        <w:pStyle w:val="Heading2"/>
        <w:rPr/>
      </w:pPr>
      <w:r w:rsidDel="00000000" w:rsidR="00000000" w:rsidRPr="00000000">
        <w:rPr>
          <w:rtl w:val="0"/>
        </w:rPr>
        <w:t xml:space="preserve">19.1 Mission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19.1.1 Le Secrétariat administratif assure la gestion administrative et logistique des activités de la Commission nationale et de ses organes : organisation des réunions, convocations, transports de documents, gestion des archives administratives, suivi des indemnités et des budgets.[</w:t>
      </w:r>
      <w:hyperlink r:id="rId6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19.1.2 Il veille au respect des procédures administratives nationales (gestion budgétaire, passation de marchés de services, gestion du personnel), en coordination avec les services de l’autorité de tutelle.[</w:t>
      </w:r>
      <w:hyperlink r:id="rId6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B">
      <w:pPr>
        <w:pStyle w:val="Heading2"/>
        <w:rPr/>
      </w:pPr>
      <w:r w:rsidDel="00000000" w:rsidR="00000000" w:rsidRPr="00000000">
        <w:rPr>
          <w:rtl w:val="0"/>
        </w:rPr>
        <w:t xml:space="preserve">19.2 Attributions principales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 Le Secrétariat administratif :</w:t>
      </w:r>
    </w:p>
    <w:p w:rsidR="00000000" w:rsidDel="00000000" w:rsidP="00000000" w:rsidRDefault="00000000" w:rsidRPr="00000000" w14:paraId="0000019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établit et envoie les convocations, ordres du jour et dossiers préparatoires des réunions ;</w:t>
      </w:r>
    </w:p>
    <w:p w:rsidR="00000000" w:rsidDel="00000000" w:rsidP="00000000" w:rsidRDefault="00000000" w:rsidRPr="00000000" w14:paraId="0000019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 la réservation des salles, moyens logistiques et outils de visioconférence ;</w:t>
      </w:r>
    </w:p>
    <w:p w:rsidR="00000000" w:rsidDel="00000000" w:rsidP="00000000" w:rsidRDefault="00000000" w:rsidRPr="00000000" w14:paraId="0000019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rédige ou met en forme les procès-verbaux administratifs des séances ;</w:t>
      </w:r>
    </w:p>
    <w:p w:rsidR="00000000" w:rsidDel="00000000" w:rsidP="00000000" w:rsidRDefault="00000000" w:rsidRPr="00000000" w14:paraId="000001A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gère les listes de présence et les registres des indemnités de session ;</w:t>
      </w:r>
    </w:p>
    <w:p w:rsidR="00000000" w:rsidDel="00000000" w:rsidP="00000000" w:rsidRDefault="00000000" w:rsidRPr="00000000" w14:paraId="000001A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 le classement et l’archivage des pièces administratives (correspondances, décisions, notes, etc.).[</w:t>
      </w:r>
      <w:hyperlink r:id="rId6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sfs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19.2.2 Il tient à jour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registre des réunions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mentionnant pour chaque réunion : la date, l’organe concerné, le lieu, l’ordre du jour, la liste des participants, le quorum, les décisions et les actions de suivi.[</w:t>
      </w:r>
      <w:hyperlink r:id="rId6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3">
      <w:pPr>
        <w:pStyle w:val="Heading2"/>
        <w:rPr/>
      </w:pPr>
      <w:r w:rsidDel="00000000" w:rsidR="00000000" w:rsidRPr="00000000">
        <w:rPr>
          <w:rtl w:val="0"/>
        </w:rPr>
        <w:t xml:space="preserve">19.3 Exemple illustratif – Modèle simplifié de fiche de réunion</w:t>
      </w:r>
    </w:p>
    <w:p w:rsidR="00000000" w:rsidDel="00000000" w:rsidP="00000000" w:rsidRDefault="00000000" w:rsidRPr="00000000" w14:paraId="000001A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Organe : Commission nationale plénière</w:t>
      </w:r>
    </w:p>
    <w:p w:rsidR="00000000" w:rsidDel="00000000" w:rsidP="00000000" w:rsidRDefault="00000000" w:rsidRPr="00000000" w14:paraId="000001A5">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n° : CNP/2026/01</w:t>
      </w:r>
    </w:p>
    <w:p w:rsidR="00000000" w:rsidDel="00000000" w:rsidP="00000000" w:rsidRDefault="00000000" w:rsidRPr="00000000" w14:paraId="000001A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 15 mars 2026</w:t>
      </w:r>
    </w:p>
    <w:p w:rsidR="00000000" w:rsidDel="00000000" w:rsidP="00000000" w:rsidRDefault="00000000" w:rsidRPr="00000000" w14:paraId="000001A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Lieu : Salle du Ministère des Infrastructures</w:t>
      </w:r>
    </w:p>
    <w:p w:rsidR="00000000" w:rsidDel="00000000" w:rsidP="00000000" w:rsidRDefault="00000000" w:rsidRPr="00000000" w14:paraId="000001A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 : Adoption du programme de travail 2026–2028 et examen de 3 projets de normes</w:t>
      </w:r>
    </w:p>
    <w:p w:rsidR="00000000" w:rsidDel="00000000" w:rsidP="00000000" w:rsidRDefault="00000000" w:rsidRPr="00000000" w14:paraId="000001A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Quorum : atteint (27 membres sur 40)</w:t>
      </w:r>
    </w:p>
    <w:p w:rsidR="00000000" w:rsidDel="00000000" w:rsidP="00000000" w:rsidRDefault="00000000" w:rsidRPr="00000000" w14:paraId="000001A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Décisions :</w:t>
      </w:r>
    </w:p>
    <w:p w:rsidR="00000000" w:rsidDel="00000000" w:rsidP="00000000" w:rsidRDefault="00000000" w:rsidRPr="00000000" w14:paraId="000001AB">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Approbation du programme de travail 2026–2028 ;</w:t>
      </w:r>
    </w:p>
    <w:p w:rsidR="00000000" w:rsidDel="00000000" w:rsidP="00000000" w:rsidRDefault="00000000" w:rsidRPr="00000000" w14:paraId="000001AC">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de la norme « Blocs de béton pour maçonnerie – Spécifications » ;</w:t>
      </w:r>
    </w:p>
    <w:p w:rsidR="00000000" w:rsidDel="00000000" w:rsidP="00000000" w:rsidRDefault="00000000" w:rsidRPr="00000000" w14:paraId="000001AD">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Lancement d’une enquête publique pour la norme « Chaussées bitumineuses – Méthodes d’essai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type de fiche peut figurer comme modèle dans les annexes du Guide.[</w:t>
      </w:r>
      <w:hyperlink r:id="rId6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sfs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20. Sous-commissions sectorielles</w:t>
      </w:r>
    </w:p>
    <w:p w:rsidR="00000000" w:rsidDel="00000000" w:rsidP="00000000" w:rsidRDefault="00000000" w:rsidRPr="00000000" w14:paraId="000001B1">
      <w:pPr>
        <w:pStyle w:val="Heading2"/>
        <w:rPr/>
      </w:pPr>
      <w:r w:rsidDel="00000000" w:rsidR="00000000" w:rsidRPr="00000000">
        <w:rPr>
          <w:rtl w:val="0"/>
        </w:rPr>
        <w:t xml:space="preserve">20.1 Rôle et périmètre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Les Sous-commissions sectorielles sont des organes spécialisés chargés de coordonner les travaux de normalisation dans un sous-secteur précis (par exemple : bâtiments, routes, ponts, hydraulique, géotechnique, matériaux de construction).[</w:t>
      </w:r>
      <w:hyperlink r:id="rId6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20.1.2 Elles assurent la cohérence des activités des comités techniques de leur secteur, élaborent des propositions de programmes de travail sectoriels et formulent des avis sur les priorités et les besoins de normalisation.[</w:t>
      </w:r>
      <w:hyperlink r:id="rId6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gso.org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3">
      <w:pPr>
        <w:pStyle w:val="Heading2"/>
        <w:rPr/>
      </w:pPr>
      <w:r w:rsidDel="00000000" w:rsidR="00000000" w:rsidRPr="00000000">
        <w:rPr>
          <w:rtl w:val="0"/>
        </w:rPr>
        <w:t xml:space="preserve">20.2 Composition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Chaque Sous-commission sectorielle comprend :</w:t>
      </w:r>
    </w:p>
    <w:p w:rsidR="00000000" w:rsidDel="00000000" w:rsidP="00000000" w:rsidRDefault="00000000" w:rsidRPr="00000000" w14:paraId="000001B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Président et un Vice-président ;</w:t>
      </w:r>
    </w:p>
    <w:p w:rsidR="00000000" w:rsidDel="00000000" w:rsidP="00000000" w:rsidRDefault="00000000" w:rsidRPr="00000000" w14:paraId="000001B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Présidents des comités techniques relevant du secteur ;</w:t>
      </w:r>
    </w:p>
    <w:p w:rsidR="00000000" w:rsidDel="00000000" w:rsidP="00000000" w:rsidRDefault="00000000" w:rsidRPr="00000000" w14:paraId="000001B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représentants des ministères et organismes de régulation concernés par le secteur ;</w:t>
      </w:r>
    </w:p>
    <w:p w:rsidR="00000000" w:rsidDel="00000000" w:rsidP="00000000" w:rsidRDefault="00000000" w:rsidRPr="00000000" w14:paraId="000001B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représentants des principaux acteurs du secteur (entreprises, bureaux d’études, laboratoires, universités, ONG).[</w:t>
      </w:r>
      <w:hyperlink r:id="rId6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helpdesk-docs.iso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20.2.2 Exemples de Sous-commissions :</w:t>
      </w:r>
    </w:p>
    <w:p w:rsidR="00000000" w:rsidDel="00000000" w:rsidP="00000000" w:rsidRDefault="00000000" w:rsidRPr="00000000" w14:paraId="000001B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Sous-commission « Bâtiments et ouvrages de génie civil » ;</w:t>
      </w:r>
    </w:p>
    <w:p w:rsidR="00000000" w:rsidDel="00000000" w:rsidP="00000000" w:rsidRDefault="00000000" w:rsidRPr="00000000" w14:paraId="000001B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Sous-commission « Routes et ouvrages d’art » ;</w:t>
      </w:r>
    </w:p>
    <w:p w:rsidR="00000000" w:rsidDel="00000000" w:rsidP="00000000" w:rsidRDefault="00000000" w:rsidRPr="00000000" w14:paraId="000001B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Sous-commission « Hydraulique, barrages et assainissement » ;</w:t>
      </w:r>
    </w:p>
    <w:p w:rsidR="00000000" w:rsidDel="00000000" w:rsidP="00000000" w:rsidRDefault="00000000" w:rsidRPr="00000000" w14:paraId="000001B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Sous-commission « Matériaux de construction et géotechnique ».[</w:t>
      </w:r>
      <w:hyperlink r:id="rId6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E">
      <w:pPr>
        <w:pStyle w:val="Heading2"/>
        <w:rPr/>
      </w:pPr>
      <w:r w:rsidDel="00000000" w:rsidR="00000000" w:rsidRPr="00000000">
        <w:rPr>
          <w:rtl w:val="0"/>
        </w:rPr>
        <w:t xml:space="preserve">20.3 Attributions détaillées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20.3.1 Chaque Sous-commission :</w:t>
      </w:r>
    </w:p>
    <w:p w:rsidR="00000000" w:rsidDel="00000000" w:rsidP="00000000" w:rsidRDefault="00000000" w:rsidRPr="00000000" w14:paraId="000001C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recense les besoins spécifiques de normes dans son secteur, en liaison avec les maîtrises d’ouvrage, les entreprises, les bureaux d’études et les bailleurs ;</w:t>
      </w:r>
    </w:p>
    <w:p w:rsidR="00000000" w:rsidDel="00000000" w:rsidP="00000000" w:rsidRDefault="00000000" w:rsidRPr="00000000" w14:paraId="000001C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au Comité de pilotage des priorités de normalisation ;</w:t>
      </w:r>
    </w:p>
    <w:p w:rsidR="00000000" w:rsidDel="00000000" w:rsidP="00000000" w:rsidRDefault="00000000" w:rsidRPr="00000000" w14:paraId="000001C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veille à la cohérence entre normes nationales, normes régionales et normes internationales adoptées ou référencées ;</w:t>
      </w:r>
    </w:p>
    <w:p w:rsidR="00000000" w:rsidDel="00000000" w:rsidP="00000000" w:rsidRDefault="00000000" w:rsidRPr="00000000" w14:paraId="000001C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le cas échéant, l’adoption, l’adaptation ou l’abrogation de normes sectorielles.[</w:t>
      </w:r>
      <w:hyperlink r:id="rId6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20.3.2 Exemple :</w:t>
        <w:br w:type="textWrapping"/>
        <w:t xml:space="preserve">La Sous-commission « Routes et ouvrages d’art » peut proposer :</w:t>
      </w:r>
    </w:p>
    <w:p w:rsidR="00000000" w:rsidDel="00000000" w:rsidP="00000000" w:rsidRDefault="00000000" w:rsidRPr="00000000" w14:paraId="000001C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préparation d’une norme nationale sur la classification des routes selon les charges de trafic ;</w:t>
      </w:r>
    </w:p>
    <w:p w:rsidR="00000000" w:rsidDel="00000000" w:rsidP="00000000" w:rsidRDefault="00000000" w:rsidRPr="00000000" w14:paraId="000001C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l’adoption d’une norme régionale COMESA sur les spécifications des liants bitumineux ;</w:t>
      </w:r>
    </w:p>
    <w:p w:rsidR="00000000" w:rsidDel="00000000" w:rsidP="00000000" w:rsidRDefault="00000000" w:rsidRPr="00000000" w14:paraId="000001C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révision d’une norme existante sur les ponts pour l’aligner avec les Eurocodes.[</w:t>
      </w:r>
      <w:hyperlink r:id="rId7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21. Comités techniques (CT) et Sous-comités techniques (SCT)</w:t>
      </w:r>
    </w:p>
    <w:p w:rsidR="00000000" w:rsidDel="00000000" w:rsidP="00000000" w:rsidRDefault="00000000" w:rsidRPr="00000000" w14:paraId="000001CA">
      <w:pPr>
        <w:pStyle w:val="Heading2"/>
        <w:rPr/>
      </w:pPr>
      <w:r w:rsidDel="00000000" w:rsidR="00000000" w:rsidRPr="00000000">
        <w:rPr>
          <w:rtl w:val="0"/>
        </w:rPr>
        <w:t xml:space="preserve">21.1 Mission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21.1.1 Les Comités techniques sont les organes de base pour la préparation, la révision et l’entretien des normes et autres documents normatifs dans un domaine technique donné.[</w:t>
      </w:r>
      <w:hyperlink r:id="rId7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21.1.2 Les Sous-comités techniques, lorsqu’ils existent, prennent en charge des domaines plus spécialisés ou des sous-ensembles cohérents au sein du mandat du Comité technique.[</w:t>
      </w:r>
      <w:hyperlink r:id="rId7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pStyle w:val="Heading2"/>
        <w:rPr/>
      </w:pPr>
      <w:r w:rsidDel="00000000" w:rsidR="00000000" w:rsidRPr="00000000">
        <w:rPr>
          <w:rtl w:val="0"/>
        </w:rPr>
        <w:t xml:space="preserve">21.2 Domaine et mandat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21.2.1 Chaque CT dispose d’un titre et d’un domaine de compétence clairement définis, par exemple :</w:t>
      </w:r>
    </w:p>
    <w:p w:rsidR="00000000" w:rsidDel="00000000" w:rsidP="00000000" w:rsidRDefault="00000000" w:rsidRPr="00000000" w14:paraId="000001C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CT-B1 « Structures en béton et maçonnerie » ;</w:t>
      </w:r>
    </w:p>
    <w:p w:rsidR="00000000" w:rsidDel="00000000" w:rsidP="00000000" w:rsidRDefault="00000000" w:rsidRPr="00000000" w14:paraId="000001C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CT-R1 « Chaussées et couches de chaussée » ;</w:t>
      </w:r>
    </w:p>
    <w:p w:rsidR="00000000" w:rsidDel="00000000" w:rsidP="00000000" w:rsidRDefault="00000000" w:rsidRPr="00000000" w14:paraId="000001D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CT-M1 « Matériaux de construction – Ciments, liants et bétons » ;</w:t>
      </w:r>
    </w:p>
    <w:p w:rsidR="00000000" w:rsidDel="00000000" w:rsidP="00000000" w:rsidRDefault="00000000" w:rsidRPr="00000000" w14:paraId="000001D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CT-G1 « Géotechnique et fondations ».[</w:t>
      </w:r>
      <w:hyperlink r:id="rId7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gso.org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21.2.2 Un document de mandat (termes de référence) précise pour chaque CT :</w:t>
      </w:r>
    </w:p>
    <w:p w:rsidR="00000000" w:rsidDel="00000000" w:rsidP="00000000" w:rsidRDefault="00000000" w:rsidRPr="00000000" w14:paraId="000001D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champ d’application ;</w:t>
      </w:r>
    </w:p>
    <w:p w:rsidR="00000000" w:rsidDel="00000000" w:rsidP="00000000" w:rsidRDefault="00000000" w:rsidRPr="00000000" w14:paraId="000001D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liste indicative des normes à élaborer ;</w:t>
      </w:r>
    </w:p>
    <w:p w:rsidR="00000000" w:rsidDel="00000000" w:rsidP="00000000" w:rsidRDefault="00000000" w:rsidRPr="00000000" w14:paraId="000001D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relations avec d’autres CT ou organismes régionaux (par exemple ARSO, CEN, ISO) ;</w:t>
      </w:r>
    </w:p>
    <w:p w:rsidR="00000000" w:rsidDel="00000000" w:rsidP="00000000" w:rsidRDefault="00000000" w:rsidRPr="00000000" w14:paraId="000001D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interfaces avec les réglementations nationales.[</w:t>
      </w:r>
      <w:hyperlink r:id="rId7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pStyle w:val="Heading2"/>
        <w:rPr/>
      </w:pPr>
      <w:r w:rsidDel="00000000" w:rsidR="00000000" w:rsidRPr="00000000">
        <w:rPr>
          <w:rtl w:val="0"/>
        </w:rPr>
        <w:t xml:space="preserve">21.3 Composition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21.3.1 Un CT est composé d’experts désignés par les organisations membres (ministères, entreprises, laboratoires, universités, associations, etc.) en fonction de leurs compétences techniques et de leur connaissance du terrain.[</w:t>
      </w:r>
      <w:hyperlink r:id="rId7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share.ansi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21.3.2 La composition doit refléter un équilibre entre :</w:t>
      </w:r>
    </w:p>
    <w:p w:rsidR="00000000" w:rsidDel="00000000" w:rsidP="00000000" w:rsidRDefault="00000000" w:rsidRPr="00000000" w14:paraId="000001D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secteur public ;</w:t>
      </w:r>
    </w:p>
    <w:p w:rsidR="00000000" w:rsidDel="00000000" w:rsidP="00000000" w:rsidRDefault="00000000" w:rsidRPr="00000000" w14:paraId="000001D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secteur privé ;</w:t>
      </w:r>
    </w:p>
    <w:p w:rsidR="00000000" w:rsidDel="00000000" w:rsidP="00000000" w:rsidRDefault="00000000" w:rsidRPr="00000000" w14:paraId="000001D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organismes d’application des normes ;</w:t>
      </w:r>
    </w:p>
    <w:p w:rsidR="00000000" w:rsidDel="00000000" w:rsidP="00000000" w:rsidRDefault="00000000" w:rsidRPr="00000000" w14:paraId="000001D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monde académique ;</w:t>
      </w:r>
    </w:p>
    <w:p w:rsidR="00000000" w:rsidDel="00000000" w:rsidP="00000000" w:rsidRDefault="00000000" w:rsidRPr="00000000" w14:paraId="000001D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consommateurs/ONG, lorsque pertinent.[</w:t>
      </w:r>
      <w:hyperlink r:id="rId7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pStyle w:val="Heading2"/>
        <w:rPr/>
      </w:pPr>
      <w:r w:rsidDel="00000000" w:rsidR="00000000" w:rsidRPr="00000000">
        <w:rPr>
          <w:rtl w:val="0"/>
        </w:rPr>
        <w:t xml:space="preserve">21.4 Fonctionnement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21.4.1 Le CT se réunit régulièrement (par exemple 2 à 4 fois par an) et peut travailler par réunions physiques, visioconférences ou échanges électroniques.[</w:t>
      </w:r>
      <w:hyperlink r:id="rId7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sfs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21.4.2 Les décisions techniques se prennent par consensus ; à défaut, une procédure de vote est prévue, chaque organisation disposant d’une voix.[</w:t>
      </w:r>
      <w:hyperlink r:id="rId7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iso26000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21.4.3 Le Président du CT :</w:t>
      </w:r>
    </w:p>
    <w:p w:rsidR="00000000" w:rsidDel="00000000" w:rsidP="00000000" w:rsidRDefault="00000000" w:rsidRPr="00000000" w14:paraId="000001E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anime les réunions ;</w:t>
      </w:r>
    </w:p>
    <w:p w:rsidR="00000000" w:rsidDel="00000000" w:rsidP="00000000" w:rsidRDefault="00000000" w:rsidRPr="00000000" w14:paraId="000001E2">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veille à la neutralité des discussions ;</w:t>
      </w:r>
    </w:p>
    <w:p w:rsidR="00000000" w:rsidDel="00000000" w:rsidP="00000000" w:rsidRDefault="00000000" w:rsidRPr="00000000" w14:paraId="000001E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s’assure que toutes les parties prenantes peuvent s’exprimer ;</w:t>
      </w:r>
    </w:p>
    <w:p w:rsidR="00000000" w:rsidDel="00000000" w:rsidP="00000000" w:rsidRDefault="00000000" w:rsidRPr="00000000" w14:paraId="000001E4">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 l’avancement des projets ;</w:t>
      </w:r>
    </w:p>
    <w:p w:rsidR="00000000" w:rsidDel="00000000" w:rsidP="00000000" w:rsidRDefault="00000000" w:rsidRPr="00000000" w14:paraId="000001E5">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 compte au Comité de pilotage et à la Sous-commission sectorielle.[</w:t>
      </w:r>
      <w:hyperlink r:id="rId7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6">
      <w:pPr>
        <w:pStyle w:val="Heading2"/>
        <w:rPr/>
      </w:pPr>
      <w:r w:rsidDel="00000000" w:rsidR="00000000" w:rsidRPr="00000000">
        <w:rPr>
          <w:rtl w:val="0"/>
        </w:rPr>
        <w:t xml:space="preserve">21.5 Exemple illustratif – CT-R1 « Chaussées et couches de chaussée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21.5.1 Mandat indicatif :</w:t>
      </w:r>
    </w:p>
    <w:p w:rsidR="00000000" w:rsidDel="00000000" w:rsidP="00000000" w:rsidRDefault="00000000" w:rsidRPr="00000000" w14:paraId="000001E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Préparer des normes sur la conception des structures de chaussées, les matériaux des couches de fondation et de base, les enrobés bitumineux, les essais de laboratoire et in situ, les tolérances d’exécution, etc.[</w:t>
      </w:r>
      <w:hyperlink r:id="rId8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21.5.2 Composition :</w:t>
      </w:r>
    </w:p>
    <w:p w:rsidR="00000000" w:rsidDel="00000000" w:rsidP="00000000" w:rsidRDefault="00000000" w:rsidRPr="00000000" w14:paraId="000001E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Ingénieurs des directions routières nationales et provinciales ;</w:t>
      </w:r>
    </w:p>
    <w:p w:rsidR="00000000" w:rsidDel="00000000" w:rsidP="00000000" w:rsidRDefault="00000000" w:rsidRPr="00000000" w14:paraId="000001E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Représentants des grandes entreprises de travaux routiers ;</w:t>
      </w:r>
    </w:p>
    <w:p w:rsidR="00000000" w:rsidDel="00000000" w:rsidP="00000000" w:rsidRDefault="00000000" w:rsidRPr="00000000" w14:paraId="000001E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Laboratoires routiers ;</w:t>
      </w:r>
    </w:p>
    <w:p w:rsidR="00000000" w:rsidDel="00000000" w:rsidP="00000000" w:rsidRDefault="00000000" w:rsidRPr="00000000" w14:paraId="000001EC">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Facultés de génie civil ;</w:t>
      </w:r>
    </w:p>
    <w:p w:rsidR="00000000" w:rsidDel="00000000" w:rsidP="00000000" w:rsidRDefault="00000000" w:rsidRPr="00000000" w14:paraId="000001E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Représentants d’associations d’usagers de la route, à titre consultatif.[</w:t>
      </w:r>
      <w:hyperlink r:id="rId8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21.5.3 Exemples de projets de normes :</w:t>
      </w:r>
    </w:p>
    <w:p w:rsidR="00000000" w:rsidDel="00000000" w:rsidP="00000000" w:rsidRDefault="00000000" w:rsidRPr="00000000" w14:paraId="000001E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Norme nationale sur la classification des couches de chaussée en matériaux granulaires » ;</w:t>
      </w:r>
    </w:p>
    <w:p w:rsidR="00000000" w:rsidDel="00000000" w:rsidP="00000000" w:rsidRDefault="00000000" w:rsidRPr="00000000" w14:paraId="000001F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Méthodes d’essai pour la détermination de la portance des sols (CBR) » ;</w:t>
      </w:r>
    </w:p>
    <w:p w:rsidR="00000000" w:rsidDel="00000000" w:rsidP="00000000" w:rsidRDefault="00000000" w:rsidRPr="00000000" w14:paraId="000001F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Spécifications techniques pour les enrobés bitumineux à chaud ».[</w:t>
      </w:r>
      <w:hyperlink r:id="rId8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22. Groupes de travail (GT) et Groupes d’experts (GE)</w:t>
      </w:r>
    </w:p>
    <w:p w:rsidR="00000000" w:rsidDel="00000000" w:rsidP="00000000" w:rsidRDefault="00000000" w:rsidRPr="00000000" w14:paraId="000001F4">
      <w:pPr>
        <w:pStyle w:val="Heading2"/>
        <w:rPr/>
      </w:pPr>
      <w:r w:rsidDel="00000000" w:rsidR="00000000" w:rsidRPr="00000000">
        <w:rPr>
          <w:rtl w:val="0"/>
        </w:rPr>
        <w:t xml:space="preserve">22.1 Rôle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22.1.1 Les Groupes de travail sont des sous-ensembles temporaires ou permanents des Comités techniques, chargés de préparer un ou plusieurs projets de documents sur un sujet précis.[</w:t>
      </w:r>
      <w:hyperlink r:id="rId8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22.1.2 Les Groupes d’experts rassemblent des spécialistes techniques sur un thème pointu (ex. sismique, corrosion, géotechnique complexe) pour fournir des contributions et avis techniques sans forcément assumer toutes les tâches de rédaction.[</w:t>
      </w:r>
      <w:hyperlink r:id="rId8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6">
      <w:pPr>
        <w:pStyle w:val="Heading2"/>
        <w:rPr/>
      </w:pPr>
      <w:r w:rsidDel="00000000" w:rsidR="00000000" w:rsidRPr="00000000">
        <w:rPr>
          <w:rtl w:val="0"/>
        </w:rPr>
        <w:t xml:space="preserve">22.2 Constitution et mandat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22.2.1 Un GT est créé par décision du CT, qui en définit :</w:t>
      </w:r>
    </w:p>
    <w:p w:rsidR="00000000" w:rsidDel="00000000" w:rsidP="00000000" w:rsidRDefault="00000000" w:rsidRPr="00000000" w14:paraId="000001F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titre ;</w:t>
      </w:r>
    </w:p>
    <w:p w:rsidR="00000000" w:rsidDel="00000000" w:rsidP="00000000" w:rsidRDefault="00000000" w:rsidRPr="00000000" w14:paraId="000001F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l’objectif (norme, rapport technique, guide, méthode d’essai, etc.) ;</w:t>
      </w:r>
    </w:p>
    <w:p w:rsidR="00000000" w:rsidDel="00000000" w:rsidP="00000000" w:rsidRDefault="00000000" w:rsidRPr="00000000" w14:paraId="000001F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calendrier ;</w:t>
      </w:r>
    </w:p>
    <w:p w:rsidR="00000000" w:rsidDel="00000000" w:rsidP="00000000" w:rsidRDefault="00000000" w:rsidRPr="00000000" w14:paraId="000001F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responsable (animateur/rapporteur) ;</w:t>
      </w:r>
    </w:p>
    <w:p w:rsidR="00000000" w:rsidDel="00000000" w:rsidP="00000000" w:rsidRDefault="00000000" w:rsidRPr="00000000" w14:paraId="000001F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livrables attendus.[</w:t>
      </w:r>
      <w:hyperlink r:id="rId8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22.2.2 Exemple :</w:t>
        <w:br w:type="textWrapping"/>
        <w:t xml:space="preserve">Le CT-B1 crée un GT-B1.1 « Blocs de béton pour maçonnerie » chargé de préparer une norme sur :</w:t>
      </w:r>
    </w:p>
    <w:p w:rsidR="00000000" w:rsidDel="00000000" w:rsidP="00000000" w:rsidRDefault="00000000" w:rsidRPr="00000000" w14:paraId="000001F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exigences dimensionnelles ;</w:t>
      </w:r>
    </w:p>
    <w:p w:rsidR="00000000" w:rsidDel="00000000" w:rsidP="00000000" w:rsidRDefault="00000000" w:rsidRPr="00000000" w14:paraId="000001F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caractéristiques mécaniques ;</w:t>
      </w:r>
    </w:p>
    <w:p w:rsidR="00000000" w:rsidDel="00000000" w:rsidP="00000000" w:rsidRDefault="00000000" w:rsidRPr="00000000" w14:paraId="0000020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essais ;</w:t>
      </w:r>
    </w:p>
    <w:p w:rsidR="00000000" w:rsidDel="00000000" w:rsidP="00000000" w:rsidRDefault="00000000" w:rsidRPr="00000000" w14:paraId="0000020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marquages.[</w:t>
      </w:r>
      <w:hyperlink r:id="rId8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2">
      <w:pPr>
        <w:pStyle w:val="Heading2"/>
        <w:rPr/>
      </w:pPr>
      <w:r w:rsidDel="00000000" w:rsidR="00000000" w:rsidRPr="00000000">
        <w:rPr>
          <w:rtl w:val="0"/>
        </w:rPr>
        <w:t xml:space="preserve">22.3 Fonctionnement et responsabilités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22.3.1 Le GT :</w:t>
      </w:r>
    </w:p>
    <w:p w:rsidR="00000000" w:rsidDel="00000000" w:rsidP="00000000" w:rsidRDefault="00000000" w:rsidRPr="00000000" w14:paraId="0000020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rédige les versions successives du projet de document (WD, CD, DIS, etc. selon la terminologie inspirée de l’ISO) ;</w:t>
      </w:r>
    </w:p>
    <w:p w:rsidR="00000000" w:rsidDel="00000000" w:rsidP="00000000" w:rsidRDefault="00000000" w:rsidRPr="00000000" w14:paraId="00000205">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les commentaires reçus lors des consultations internes et publiques ;</w:t>
      </w:r>
    </w:p>
    <w:p w:rsidR="00000000" w:rsidDel="00000000" w:rsidP="00000000" w:rsidRDefault="00000000" w:rsidRPr="00000000" w14:paraId="00000206">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au CT des réponses motivées aux commentaires ;</w:t>
      </w:r>
    </w:p>
    <w:p w:rsidR="00000000" w:rsidDel="00000000" w:rsidP="00000000" w:rsidRDefault="00000000" w:rsidRPr="00000000" w14:paraId="0000020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prépare la version finale à soumettre au vote.[</w:t>
      </w:r>
      <w:hyperlink r:id="rId8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22.3.2 Le rapporteur du GT est responsable de la consolidation du texte, en appliquant les règles de rédaction : structure, clauses, termes « doit », « devrait », etc., conformément à la Partie 2 des Directives ISO/IEC.[</w:t>
      </w:r>
      <w:hyperlink r:id="rId8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22.3.3 Exemple illustratif – GT sur les blocs de béton</w:t>
      </w:r>
    </w:p>
    <w:p w:rsidR="00000000" w:rsidDel="00000000" w:rsidP="00000000" w:rsidRDefault="00000000" w:rsidRPr="00000000" w14:paraId="0000020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1 : définition de la structure de la norme (Titre, Objet, Domaine d’application, Références, Termes et définitions, Exigences, Méthodes d’essai, Marquage).[</w:t>
      </w:r>
      <w:hyperlink r:id="rId8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2 : rédaction des clauses d’exigences (résistance à la compression, tolérances dimensionnelles).</w:t>
      </w:r>
    </w:p>
    <w:p w:rsidR="00000000" w:rsidDel="00000000" w:rsidP="00000000" w:rsidRDefault="00000000" w:rsidRPr="00000000" w14:paraId="0000020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3 : intégration des commentaires des entreprises et des laboratoires.</w:t>
      </w:r>
    </w:p>
    <w:p w:rsidR="00000000" w:rsidDel="00000000" w:rsidP="00000000" w:rsidRDefault="00000000" w:rsidRPr="00000000" w14:paraId="0000020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4 : validation du projet pour transmission au CT.[</w:t>
      </w:r>
      <w:hyperlink r:id="rId9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23. Obligations, droits, responsabilités et éthique des membres</w:t>
      </w:r>
    </w:p>
    <w:p w:rsidR="00000000" w:rsidDel="00000000" w:rsidP="00000000" w:rsidRDefault="00000000" w:rsidRPr="00000000" w14:paraId="00000210">
      <w:pPr>
        <w:pStyle w:val="Heading2"/>
        <w:rPr/>
      </w:pPr>
      <w:r w:rsidDel="00000000" w:rsidR="00000000" w:rsidRPr="00000000">
        <w:rPr>
          <w:rtl w:val="0"/>
        </w:rPr>
        <w:t xml:space="preserve">23.1 Obligations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23.1.1 Les membres des organes de normalisation :</w:t>
      </w:r>
    </w:p>
    <w:p w:rsidR="00000000" w:rsidDel="00000000" w:rsidP="00000000" w:rsidRDefault="00000000" w:rsidRPr="00000000" w14:paraId="0000021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participent régulièrement aux réunions et travaux ;</w:t>
      </w:r>
    </w:p>
    <w:p w:rsidR="00000000" w:rsidDel="00000000" w:rsidP="00000000" w:rsidRDefault="00000000" w:rsidRPr="00000000" w14:paraId="0000021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préparent les dossiers ;</w:t>
      </w:r>
    </w:p>
    <w:p w:rsidR="00000000" w:rsidDel="00000000" w:rsidP="00000000" w:rsidRDefault="00000000" w:rsidRPr="00000000" w14:paraId="0000021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respectent les règles de confidentialité et de propriété intellectuelle ;</w:t>
      </w:r>
    </w:p>
    <w:p w:rsidR="00000000" w:rsidDel="00000000" w:rsidP="00000000" w:rsidRDefault="00000000" w:rsidRPr="00000000" w14:paraId="0000021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déclarent leurs intérêts ;</w:t>
      </w:r>
    </w:p>
    <w:p w:rsidR="00000000" w:rsidDel="00000000" w:rsidP="00000000" w:rsidRDefault="00000000" w:rsidRPr="00000000" w14:paraId="0000021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agissent dans l’intérêt général et non pour un intérêt strictement commercial.[</w:t>
      </w:r>
      <w:hyperlink r:id="rId9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pStyle w:val="Heading2"/>
        <w:rPr/>
      </w:pPr>
      <w:r w:rsidDel="00000000" w:rsidR="00000000" w:rsidRPr="00000000">
        <w:rPr>
          <w:rtl w:val="0"/>
        </w:rPr>
        <w:t xml:space="preserve">23.2 Droits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23.2.1 Les membres ont le droit :</w:t>
      </w:r>
    </w:p>
    <w:p w:rsidR="00000000" w:rsidDel="00000000" w:rsidP="00000000" w:rsidRDefault="00000000" w:rsidRPr="00000000" w14:paraId="00000219">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s’exprimer et de faire valoir les positions de leurs organisations ;</w:t>
      </w:r>
    </w:p>
    <w:p w:rsidR="00000000" w:rsidDel="00000000" w:rsidP="00000000" w:rsidRDefault="00000000" w:rsidRPr="00000000" w14:paraId="0000021A">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proposer des sujets de normalisation ;</w:t>
      </w:r>
    </w:p>
    <w:p w:rsidR="00000000" w:rsidDel="00000000" w:rsidP="00000000" w:rsidRDefault="00000000" w:rsidRPr="00000000" w14:paraId="0000021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d’avoir accès aux documents de travail ;</w:t>
      </w:r>
    </w:p>
    <w:p w:rsidR="00000000" w:rsidDel="00000000" w:rsidP="00000000" w:rsidRDefault="00000000" w:rsidRPr="00000000" w14:paraId="0000021C">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voter selon les règles établies ;</w:t>
      </w:r>
    </w:p>
    <w:p w:rsidR="00000000" w:rsidDel="00000000" w:rsidP="00000000" w:rsidRDefault="00000000" w:rsidRPr="00000000" w14:paraId="0000021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demander l’inscription de points à l’ordre du jour.[</w:t>
      </w:r>
      <w:hyperlink r:id="rId9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E">
      <w:pPr>
        <w:pStyle w:val="Heading2"/>
        <w:rPr/>
      </w:pPr>
      <w:r w:rsidDel="00000000" w:rsidR="00000000" w:rsidRPr="00000000">
        <w:rPr>
          <w:rtl w:val="0"/>
        </w:rPr>
        <w:t xml:space="preserve">23.3 Responsabilité et sanctions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23.3.1 Le non-respect répété des règles (absence non motivée, manquement à la confidentialité, conflits d’intérêts non déclarés, comportement incompatible avec le code de conduite) peut entraîner des mesures graduées allant de l’avertissement au remplacement du membre.[</w:t>
      </w:r>
      <w:hyperlink r:id="rId9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openknowledge.worldbank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23.3.2 Exemple : selon le modèle finlandais SFS, un expert dont le comportement va à l’encontre des termes de référence peut voir sa nomination immédiatement terminée, et il ne peut pas être renommé tant que le projet en cause est en cours.[</w:t>
      </w:r>
      <w:hyperlink r:id="rId9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sfs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ce niveau de détail vous convient, la prochaine étape logique serait :</w:t>
      </w:r>
    </w:p>
    <w:p w:rsidR="00000000" w:rsidDel="00000000" w:rsidP="00000000" w:rsidRDefault="00000000" w:rsidRPr="00000000" w14:paraId="00000222">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démarrer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Quatrième Partie (Cycle complet des travaux de normalisation)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un vrai diagramme de processus décrit textuellement (étape par étape, avec exemples : norme routière, norme bâtiment),</w:t>
      </w:r>
    </w:p>
    <w:p w:rsidR="00000000" w:rsidDel="00000000" w:rsidP="00000000" w:rsidRDefault="00000000" w:rsidRPr="00000000" w14:paraId="0000022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puis attaquer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Cinquième Partie (Hiérarchie des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des tableaux complets (définition, objectif, autorité, durée, etc.).</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vais maintenant développer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Quatrième Partie : Fonctionnement des travaux de normalisation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un niveau de détail élevé et des exemples concrets (routes, blocs de béton, ponts), en m’alignant sur les étapes utilisées par l’ISO/CEN (NWI, élaboration, enquête, vote, publication, révision).[</w:t>
      </w:r>
      <w:hyperlink r:id="rId9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Quatrième Partie – Fonctionnement des travaux de normalisation</w:t>
      </w:r>
    </w:p>
    <w:p w:rsidR="00000000" w:rsidDel="00000000" w:rsidP="00000000" w:rsidRDefault="00000000" w:rsidRPr="00000000" w14:paraId="00000227">
      <w:pPr>
        <w:pStyle w:val="Heading2"/>
        <w:rPr/>
      </w:pPr>
      <w:r w:rsidDel="00000000" w:rsidR="00000000" w:rsidRPr="00000000">
        <w:rPr>
          <w:rtl w:val="0"/>
        </w:rPr>
        <w:t xml:space="preserve">24. Vue d’ensemble du cycle de normalisation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Le cycle complet de normalisation suit des étapes structurées, inspirées des Directives ISO/IEC et des règlements CEN/CENELEC, adaptées au contexte national de la RDC.[</w:t>
      </w:r>
      <w:hyperlink r:id="rId9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agenturacas.gov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À titre de référence, les grandes étapes sont les suivantes :</w:t>
      </w:r>
    </w:p>
    <w:p w:rsidR="00000000" w:rsidDel="00000000" w:rsidP="00000000" w:rsidRDefault="00000000" w:rsidRPr="00000000" w14:paraId="0000022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des besoins ;</w:t>
      </w:r>
    </w:p>
    <w:p w:rsidR="00000000" w:rsidDel="00000000" w:rsidP="00000000" w:rsidRDefault="00000000" w:rsidRPr="00000000" w14:paraId="0000022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Programmation et validation (inscription au programme de travail) ;</w:t>
      </w:r>
    </w:p>
    <w:p w:rsidR="00000000" w:rsidDel="00000000" w:rsidP="00000000" w:rsidRDefault="00000000" w:rsidRPr="00000000" w14:paraId="0000022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Élaboration du projet de document (travaux en comité/GT) ;</w:t>
      </w:r>
    </w:p>
    <w:p w:rsidR="00000000" w:rsidDel="00000000" w:rsidP="00000000" w:rsidRDefault="00000000" w:rsidRPr="00000000" w14:paraId="0000022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Consultation publique (enquête) ;</w:t>
      </w:r>
    </w:p>
    <w:p w:rsidR="00000000" w:rsidDel="00000000" w:rsidP="00000000" w:rsidRDefault="00000000" w:rsidRPr="00000000" w14:paraId="0000022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Traitement des observations et révision du projet ;</w:t>
      </w:r>
    </w:p>
    <w:p w:rsidR="00000000" w:rsidDel="00000000" w:rsidP="00000000" w:rsidRDefault="00000000" w:rsidRPr="00000000" w14:paraId="0000022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 et adoption ;</w:t>
      </w:r>
    </w:p>
    <w:p w:rsidR="00000000" w:rsidDel="00000000" w:rsidP="00000000" w:rsidRDefault="00000000" w:rsidRPr="00000000" w14:paraId="0000023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Publication et diffusion ;</w:t>
      </w:r>
    </w:p>
    <w:p w:rsidR="00000000" w:rsidDel="00000000" w:rsidP="00000000" w:rsidRDefault="00000000" w:rsidRPr="00000000" w14:paraId="0000023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Mise en œuvre et suivi ;</w:t>
      </w:r>
    </w:p>
    <w:p w:rsidR="00000000" w:rsidDel="00000000" w:rsidP="00000000" w:rsidRDefault="00000000" w:rsidRPr="00000000" w14:paraId="00000232">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Révision périodique ;</w:t>
      </w:r>
    </w:p>
    <w:p w:rsidR="00000000" w:rsidDel="00000000" w:rsidP="00000000" w:rsidRDefault="00000000" w:rsidRPr="00000000" w14:paraId="0000023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Abrogation ou remplacement.[</w:t>
      </w:r>
      <w:hyperlink r:id="rId9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Chaque étape donne lieu à des enregistrements documentaires (fiches projet, registres de commentaires, rapports de vote), permettant de garantir la traçabilité du processus.[</w:t>
      </w:r>
      <w:hyperlink r:id="rId9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25. Identification des besoins de normalisation</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Sources d’identification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25.1.1 Les besoins de normes peuvent être identifiés par :</w:t>
      </w:r>
    </w:p>
    <w:p w:rsidR="00000000" w:rsidDel="00000000" w:rsidP="00000000" w:rsidRDefault="00000000" w:rsidRPr="00000000" w14:paraId="0000023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ministères et administrations concernés (ex. Ministère des Infrastructures, de l’Urbanisme, de l’Environnement) ;</w:t>
      </w:r>
    </w:p>
    <w:p w:rsidR="00000000" w:rsidDel="00000000" w:rsidP="00000000" w:rsidRDefault="00000000" w:rsidRPr="00000000" w14:paraId="0000023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maîtres d’ouvrage (agences routières, sociétés d’énergie, entreprises publiques) ;</w:t>
      </w:r>
    </w:p>
    <w:p w:rsidR="00000000" w:rsidDel="00000000" w:rsidP="00000000" w:rsidRDefault="00000000" w:rsidRPr="00000000" w14:paraId="0000023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entreprises de construction ;</w:t>
      </w:r>
    </w:p>
    <w:p w:rsidR="00000000" w:rsidDel="00000000" w:rsidP="00000000" w:rsidRDefault="00000000" w:rsidRPr="00000000" w14:paraId="0000023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bureaux d’études et laboratoires ;</w:t>
      </w:r>
    </w:p>
    <w:p w:rsidR="00000000" w:rsidDel="00000000" w:rsidP="00000000" w:rsidRDefault="00000000" w:rsidRPr="00000000" w14:paraId="0000023D">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universités et centres de recherche ;</w:t>
      </w:r>
    </w:p>
    <w:p w:rsidR="00000000" w:rsidDel="00000000" w:rsidP="00000000" w:rsidRDefault="00000000" w:rsidRPr="00000000" w14:paraId="0000023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organisations régionales (COMESA, SADC, ARSO) ou les bailleurs (Banque mondiale, BAD).[</w:t>
      </w:r>
      <w:hyperlink r:id="rId9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25.1.2 Exemple :</w:t>
      </w:r>
    </w:p>
    <w:p w:rsidR="00000000" w:rsidDel="00000000" w:rsidP="00000000" w:rsidRDefault="00000000" w:rsidRPr="00000000" w14:paraId="0000024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bailleur exige l’application de spécifications techniques claires pour un programme national de réhabilitation routière ;</w:t>
      </w:r>
    </w:p>
    <w:p w:rsidR="00000000" w:rsidDel="00000000" w:rsidP="00000000" w:rsidRDefault="00000000" w:rsidRPr="00000000" w14:paraId="0000024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entreprises et l’agence routière constatent des divergences entre cahiers des charges ;</w:t>
      </w:r>
    </w:p>
    <w:p w:rsidR="00000000" w:rsidDel="00000000" w:rsidP="00000000" w:rsidRDefault="00000000" w:rsidRPr="00000000" w14:paraId="0000024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Elles proposent à la Commission nationale une norme sur les « Spécifications des matériaux granulaires pour couches de chaussée ».[</w:t>
      </w:r>
      <w:hyperlink r:id="rId10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Formalisation de la demande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25.2.1 Toute demande de nouveau travail est formalisée au moyen d’une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Fiche de projet de norme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(FPN), qui décrit :</w:t>
      </w:r>
    </w:p>
    <w:p w:rsidR="00000000" w:rsidDel="00000000" w:rsidP="00000000" w:rsidRDefault="00000000" w:rsidRPr="00000000" w14:paraId="00000245">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titre provisoire ;</w:t>
      </w:r>
    </w:p>
    <w:p w:rsidR="00000000" w:rsidDel="00000000" w:rsidP="00000000" w:rsidRDefault="00000000" w:rsidRPr="00000000" w14:paraId="0000024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l’objet et les objectifs poursuivis ;</w:t>
      </w:r>
    </w:p>
    <w:p w:rsidR="00000000" w:rsidDel="00000000" w:rsidP="00000000" w:rsidRDefault="00000000" w:rsidRPr="00000000" w14:paraId="0000024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champ d’application ;</w:t>
      </w:r>
    </w:p>
    <w:p w:rsidR="00000000" w:rsidDel="00000000" w:rsidP="00000000" w:rsidRDefault="00000000" w:rsidRPr="00000000" w14:paraId="0000024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justification (problème à résoudre, risques, incohérences, exigences des bailleurs, harmonisation régionale) ;</w:t>
      </w:r>
    </w:p>
    <w:p w:rsidR="00000000" w:rsidDel="00000000" w:rsidP="00000000" w:rsidRDefault="00000000" w:rsidRPr="00000000" w14:paraId="0000024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références existantes (normes ISO, Eurocodes, guides PIARC, etc.) ;</w:t>
      </w:r>
    </w:p>
    <w:p w:rsidR="00000000" w:rsidDel="00000000" w:rsidP="00000000" w:rsidRDefault="00000000" w:rsidRPr="00000000" w14:paraId="0000024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parties prenantes concernées ;</w:t>
      </w:r>
    </w:p>
    <w:p w:rsidR="00000000" w:rsidDel="00000000" w:rsidP="00000000" w:rsidRDefault="00000000" w:rsidRPr="00000000" w14:paraId="0000024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estimation du calendrier.[</w:t>
      </w:r>
      <w:hyperlink r:id="rId10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agenturacas.gov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25.2.2 Exemple de Fiche projet – FPN-R1-2026-01</w:t>
      </w:r>
    </w:p>
    <w:p w:rsidR="00000000" w:rsidDel="00000000" w:rsidP="00000000" w:rsidRDefault="00000000" w:rsidRPr="00000000" w14:paraId="0000024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provisoire : « Couches de fondation et de base en matériaux granulaires – Spécifications et contrôles » ;</w:t>
      </w:r>
    </w:p>
    <w:p w:rsidR="00000000" w:rsidDel="00000000" w:rsidP="00000000" w:rsidRDefault="00000000" w:rsidRPr="00000000" w14:paraId="0000024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 absence de norme nationale, pratiques hétérogènes, impact sur la durée de vie des routes ;</w:t>
      </w:r>
    </w:p>
    <w:p w:rsidR="00000000" w:rsidDel="00000000" w:rsidP="00000000" w:rsidRDefault="00000000" w:rsidRPr="00000000" w14:paraId="0000024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Références : guides Banque mondiale sur les routes, normes des pays voisins, recommandations PIARC ;</w:t>
      </w:r>
    </w:p>
    <w:p w:rsidR="00000000" w:rsidDel="00000000" w:rsidP="00000000" w:rsidRDefault="00000000" w:rsidRPr="00000000" w14:paraId="0000025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Demandeur : Agence nationale des routes, en collaboration avec la Fédération du BTP.[</w:t>
      </w:r>
      <w:hyperlink r:id="rId10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26. Programmation et validation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Examen par la Sous-commission et le Comité de pilotage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26.1.1 La Fiche projet est d’abord examinée par la Sous-commission sectorielle compétente, qui évalue :</w:t>
      </w:r>
    </w:p>
    <w:p w:rsidR="00000000" w:rsidDel="00000000" w:rsidP="00000000" w:rsidRDefault="00000000" w:rsidRPr="00000000" w14:paraId="0000025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pertinence du projet ;</w:t>
      </w:r>
    </w:p>
    <w:p w:rsidR="00000000" w:rsidDel="00000000" w:rsidP="00000000" w:rsidRDefault="00000000" w:rsidRPr="00000000" w14:paraId="0000025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l’urgence ;</w:t>
      </w:r>
    </w:p>
    <w:p w:rsidR="00000000" w:rsidDel="00000000" w:rsidP="00000000" w:rsidRDefault="00000000" w:rsidRPr="00000000" w14:paraId="0000025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synergies possibles avec d’autres travaux ;</w:t>
      </w:r>
    </w:p>
    <w:p w:rsidR="00000000" w:rsidDel="00000000" w:rsidP="00000000" w:rsidRDefault="00000000" w:rsidRPr="00000000" w14:paraId="0000025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disponibilité d’experts ;</w:t>
      </w:r>
    </w:p>
    <w:p w:rsidR="00000000" w:rsidDel="00000000" w:rsidP="00000000" w:rsidRDefault="00000000" w:rsidRPr="00000000" w14:paraId="0000025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l’impact budgétaire.[</w:t>
      </w:r>
      <w:hyperlink r:id="rId10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26.1.2 La Sous-commission soumet ensuite un avis au Comité de pilotage, qui peut :</w:t>
      </w:r>
    </w:p>
    <w:p w:rsidR="00000000" w:rsidDel="00000000" w:rsidP="00000000" w:rsidRDefault="00000000" w:rsidRPr="00000000" w14:paraId="0000025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approuver la proposition ;</w:t>
      </w:r>
    </w:p>
    <w:p w:rsidR="00000000" w:rsidDel="00000000" w:rsidP="00000000" w:rsidRDefault="00000000" w:rsidRPr="00000000" w14:paraId="0000025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demander des compléments ou modifications ;</w:t>
      </w:r>
    </w:p>
    <w:p w:rsidR="00000000" w:rsidDel="00000000" w:rsidP="00000000" w:rsidRDefault="00000000" w:rsidRPr="00000000" w14:paraId="0000025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recommander un regroupement avec d’autres projets ;</w:t>
      </w:r>
    </w:p>
    <w:p w:rsidR="00000000" w:rsidDel="00000000" w:rsidP="00000000" w:rsidRDefault="00000000" w:rsidRPr="00000000" w14:paraId="0000025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différer ou rejeter la proposition.[</w:t>
      </w:r>
      <w:hyperlink r:id="rId10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Décision d’inscription au programme de travail</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26.2.1 Le Comité de pilotage transmet sa recommandation à la Commission nationale, qui décide de l’inscription du projet au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de travail national de normalisation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secteur.[</w:t>
      </w:r>
      <w:hyperlink r:id="rId10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26.2.2 Une fois approuvé, le projet reçoit un code (par ex. NWI-CT-R1-2026-01) et est inscrit formellement au programme avec des jalons (dates cibles pour l’élaboration, l’enquête, le vote et la publication).[</w:t>
      </w:r>
      <w:hyperlink r:id="rId10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26.2.3 Exemple :</w:t>
        <w:br w:type="textWrapping"/>
        <w:t xml:space="preserve">La Commission nationale décide d’inscrire la norme sur les couches de chaussée comme priorité 1 pour l’année 2026, en fixant :</w:t>
      </w:r>
    </w:p>
    <w:p w:rsidR="00000000" w:rsidDel="00000000" w:rsidP="00000000" w:rsidRDefault="00000000" w:rsidRPr="00000000" w14:paraId="0000026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de texte initial : décembre 2026 ;</w:t>
      </w:r>
    </w:p>
    <w:p w:rsidR="00000000" w:rsidDel="00000000" w:rsidP="00000000" w:rsidRDefault="00000000" w:rsidRPr="00000000" w14:paraId="0000026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enquête publique : juin 2027 ;</w:t>
      </w:r>
    </w:p>
    <w:p w:rsidR="00000000" w:rsidDel="00000000" w:rsidP="00000000" w:rsidRDefault="00000000" w:rsidRPr="00000000" w14:paraId="0000026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 fin 2027.[</w:t>
      </w:r>
      <w:hyperlink r:id="rId10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tl w:val="0"/>
        </w:rPr>
        <w:t xml:space="preserve">27. Élaboration des projets de documents normatifs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27.1 Désignation du Comité technique et du Groupe de travail</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27.1.1 Le Comité de pilotage confie le projet au CT compétent (par ex. CT-R1) qui décide, le cas échéant, de créer un Groupe de travail (GT-R1.1).[</w:t>
      </w:r>
      <w:hyperlink r:id="rId10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27.1.2 Un rapporteur est désigné parmi les membres du GT, en raison de son expertise technique et de sa capacité de rédaction.[</w:t>
      </w:r>
      <w:hyperlink r:id="rId10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 Méthodologie d’élaboration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27.2.1 Le GT suit une méthode structurée inspirée des stages ISO/CEN :</w:t>
      </w:r>
    </w:p>
    <w:p w:rsidR="00000000" w:rsidDel="00000000" w:rsidP="00000000" w:rsidRDefault="00000000" w:rsidRPr="00000000" w14:paraId="0000026B">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WD (Working Draft) : premières versions internes ;</w:t>
      </w:r>
    </w:p>
    <w:p w:rsidR="00000000" w:rsidDel="00000000" w:rsidP="00000000" w:rsidRDefault="00000000" w:rsidRPr="00000000" w14:paraId="0000026C">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(Committee Draft) : projet stabilisé au niveau du CT ;</w:t>
      </w:r>
    </w:p>
    <w:p w:rsidR="00000000" w:rsidDel="00000000" w:rsidP="00000000" w:rsidRDefault="00000000" w:rsidRPr="00000000" w14:paraId="0000026D">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soumis à enquête publique (équivalent DIS/Enquiry) ;</w:t>
      </w:r>
    </w:p>
    <w:p w:rsidR="00000000" w:rsidDel="00000000" w:rsidP="00000000" w:rsidRDefault="00000000" w:rsidRPr="00000000" w14:paraId="0000026E">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final soumis au vote d’adoption.[</w:t>
      </w:r>
      <w:hyperlink r:id="rId1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27.2.2 Le Secrétariat technique veille au respect de la structure prescrite et des règles de rédaction (titres, numérotation, emploi de « doit », « devrait », etc.).[</w:t>
      </w:r>
      <w:hyperlink r:id="rId1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 Exemple illustratif – Norme sur les blocs de béton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27.3.1 WD-1 : structure proposée</w:t>
      </w:r>
    </w:p>
    <w:p w:rsidR="00000000" w:rsidDel="00000000" w:rsidP="00000000" w:rsidRDefault="00000000" w:rsidRPr="00000000" w14:paraId="0000027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 « Blocs de béton pour maçonnerie – Spécifications » ;</w:t>
      </w:r>
    </w:p>
    <w:p w:rsidR="00000000" w:rsidDel="00000000" w:rsidP="00000000" w:rsidRDefault="00000000" w:rsidRPr="00000000" w14:paraId="0000027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 : fixer les exigences relatives aux blocs de béton utilisés pour les murs porteurs et non porteurs ;</w:t>
      </w:r>
    </w:p>
    <w:p w:rsidR="00000000" w:rsidDel="00000000" w:rsidP="00000000" w:rsidRDefault="00000000" w:rsidRPr="00000000" w14:paraId="0000027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Domaine d’application : bâtiments résidentiels et non résidentiels en RDC ;</w:t>
      </w:r>
    </w:p>
    <w:p w:rsidR="00000000" w:rsidDel="00000000" w:rsidP="00000000" w:rsidRDefault="00000000" w:rsidRPr="00000000" w14:paraId="0000027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et définitions : bloc normal, bloc creux, résistance caractéristique, etc. ;</w:t>
      </w:r>
    </w:p>
    <w:p w:rsidR="00000000" w:rsidDel="00000000" w:rsidP="00000000" w:rsidRDefault="00000000" w:rsidRPr="00000000" w14:paraId="0000027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Exigences : dimensions, tolérances, résistance à la compression, absorption d’eau ;</w:t>
      </w:r>
    </w:p>
    <w:p w:rsidR="00000000" w:rsidDel="00000000" w:rsidP="00000000" w:rsidRDefault="00000000" w:rsidRPr="00000000" w14:paraId="0000027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Méthodes d’essai : essais de compression, de densité, d’absorption.[</w:t>
      </w:r>
      <w:hyperlink r:id="rId1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27.3.2 WD-2 : intégration des contributions</w:t>
      </w:r>
    </w:p>
    <w:p w:rsidR="00000000" w:rsidDel="00000000" w:rsidP="00000000" w:rsidRDefault="00000000" w:rsidRPr="00000000" w14:paraId="00000279">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GT intègre des exigences tirées de normes internationales et des conditions locales (qualité des granulats disponibles, conditions climatiques) ;</w:t>
      </w:r>
    </w:p>
    <w:p w:rsidR="00000000" w:rsidDel="00000000" w:rsidP="00000000" w:rsidRDefault="00000000" w:rsidRPr="00000000" w14:paraId="0000027A">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ajuste les classes de résistance en tenant compte des capacités de l’industrie locale.[</w:t>
      </w:r>
      <w:hyperlink r:id="rId1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27.3.3 CD : validation en CT</w:t>
      </w:r>
    </w:p>
    <w:p w:rsidR="00000000" w:rsidDel="00000000" w:rsidP="00000000" w:rsidRDefault="00000000" w:rsidRPr="00000000" w14:paraId="0000027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CT-B1 examine le projet, commente, modifie si nécessaire et valide la version CD à transmettre pour enquête publique nationale.[</w:t>
      </w:r>
      <w:hyperlink r:id="rId1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agenturacas.gov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r w:rsidDel="00000000" w:rsidR="00000000" w:rsidRPr="00000000">
        <w:rPr>
          <w:rtl w:val="0"/>
        </w:rPr>
        <w:t xml:space="preserve">28. Consultation publique (enquête)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28.1 Principe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28.1.1 Tout projet de norme élaboré au stade CD est soumis à une consultation publique nationale, pour une durée définie (par exemple 60 à 90 jours), afin de recueillir les observations des parties intéressées.[</w:t>
      </w:r>
      <w:hyperlink r:id="rId1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28.1.2 La consultation publique est une étape essentielle pour assurer la transparence et le consensus, en cohérence avec les pratiques ISO/CEN.[</w:t>
      </w:r>
      <w:hyperlink r:id="rId1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 Modalités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28.2.1 Le projet de norme est mis à disposition :</w:t>
      </w:r>
    </w:p>
    <w:p w:rsidR="00000000" w:rsidDel="00000000" w:rsidP="00000000" w:rsidRDefault="00000000" w:rsidRPr="00000000" w14:paraId="00000283">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le site web officiel de l’organisme de normalisation ;</w:t>
      </w:r>
    </w:p>
    <w:p w:rsidR="00000000" w:rsidDel="00000000" w:rsidP="00000000" w:rsidRDefault="00000000" w:rsidRPr="00000000" w14:paraId="0000028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 siège des ministères et organismes concernés ;</w:t>
      </w:r>
    </w:p>
    <w:p w:rsidR="00000000" w:rsidDel="00000000" w:rsidP="00000000" w:rsidRDefault="00000000" w:rsidRPr="00000000" w14:paraId="0000028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éventuellement via des plateformes en ligne ou des ateliers de présentation.[</w:t>
      </w:r>
      <w:hyperlink r:id="rId1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28.2.2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formulaire type de commentaires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fourni, comprenant :</w:t>
      </w:r>
    </w:p>
    <w:p w:rsidR="00000000" w:rsidDel="00000000" w:rsidP="00000000" w:rsidRDefault="00000000" w:rsidRPr="00000000" w14:paraId="0000028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l’identification du commentateur ;</w:t>
      </w:r>
    </w:p>
    <w:p w:rsidR="00000000" w:rsidDel="00000000" w:rsidP="00000000" w:rsidRDefault="00000000" w:rsidRPr="00000000" w14:paraId="0000028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clause concernée ;</w:t>
      </w:r>
    </w:p>
    <w:p w:rsidR="00000000" w:rsidDel="00000000" w:rsidP="00000000" w:rsidRDefault="00000000" w:rsidRPr="00000000" w14:paraId="0000028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type de commentaire (éditorial, technique, majeur, mineur) ;</w:t>
      </w:r>
    </w:p>
    <w:p w:rsidR="00000000" w:rsidDel="00000000" w:rsidP="00000000" w:rsidRDefault="00000000" w:rsidRPr="00000000" w14:paraId="0000028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proposition de modification ;</w:t>
      </w:r>
    </w:p>
    <w:p w:rsidR="00000000" w:rsidDel="00000000" w:rsidP="00000000" w:rsidRDefault="00000000" w:rsidRPr="00000000" w14:paraId="0000028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justification.[</w:t>
      </w:r>
      <w:hyperlink r:id="rId1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28.3 Exemple illustratif – Enquête publique sur la norme blocs de béton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28.3.1 Une circulaire annonce l’ouverture de l’enquête publique pour 90 jours.</w:t>
        <w:br w:type="textWrapping"/>
        <w:t xml:space="preserve">28.3.2 Les entreprises de fabrication de blocs, les bureaux de contrôle et les associations de consommateurs envoient des commentaires, par exemple :</w:t>
      </w:r>
    </w:p>
    <w:p w:rsidR="00000000" w:rsidDel="00000000" w:rsidP="00000000" w:rsidRDefault="00000000" w:rsidRPr="00000000" w14:paraId="0000028E">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Demande d’introduire une classe supplémentaire de blocs pour usage non porteur ;</w:t>
      </w:r>
    </w:p>
    <w:p w:rsidR="00000000" w:rsidDel="00000000" w:rsidP="00000000" w:rsidRDefault="00000000" w:rsidRPr="00000000" w14:paraId="0000028F">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de tolérances plus strictes sur l’absorption d’eau pour les zones de forte pluviométrie.[</w:t>
      </w:r>
      <w:hyperlink r:id="rId11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29. Prise en compte des observations et révision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29.1 Traitement des commentaires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29.1.1 À la clôture de l’enquête, le Secrétariat technique compile tous les commentaires dans un tableau de synthèse (registre des observations).[</w:t>
      </w:r>
      <w:hyperlink r:id="rId12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29.1.2 Le GT examine chaque commentaire et propose une réponse :</w:t>
      </w:r>
    </w:p>
    <w:p w:rsidR="00000000" w:rsidDel="00000000" w:rsidP="00000000" w:rsidRDefault="00000000" w:rsidRPr="00000000" w14:paraId="00000294">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Accepté », avec modification correspondante ;</w:t>
      </w:r>
    </w:p>
    <w:p w:rsidR="00000000" w:rsidDel="00000000" w:rsidP="00000000" w:rsidRDefault="00000000" w:rsidRPr="00000000" w14:paraId="00000295">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Partiellement accepté », avec une modification différente ;</w:t>
      </w:r>
    </w:p>
    <w:p w:rsidR="00000000" w:rsidDel="00000000" w:rsidP="00000000" w:rsidRDefault="00000000" w:rsidRPr="00000000" w14:paraId="0000029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 accepté », avec justification technique.[</w:t>
      </w:r>
      <w:hyperlink r:id="rId12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29.1.3 Le CT valide ensuite le « rapport de commentaires » et la version révisée du projet de norme.[</w:t>
      </w:r>
      <w:hyperlink r:id="rId1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29.2 Exemple – Commentaire sur la résistance des blocs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29.2.1 Commentaire : une entreprise suggère de réduire la résistance minimale des blocs porteurs pour tenir compte de la capacité actuelle des producteurs locaux.</w:t>
        <w:br w:type="textWrapping"/>
        <w:t xml:space="preserve">29.2.2 Réponse du GT :</w:t>
      </w:r>
    </w:p>
    <w:p w:rsidR="00000000" w:rsidDel="00000000" w:rsidP="00000000" w:rsidRDefault="00000000" w:rsidRPr="00000000" w14:paraId="0000029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demande d’essais complémentaires auprès des laboratoires ;</w:t>
      </w:r>
    </w:p>
    <w:p w:rsidR="00000000" w:rsidDel="00000000" w:rsidP="00000000" w:rsidRDefault="00000000" w:rsidRPr="00000000" w14:paraId="0000029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de maintenir la résistance minimale pour les blocs porteurs mais de créer une classe de blocs non porteurs avec une résistance inférieure ;</w:t>
      </w:r>
    </w:p>
    <w:p w:rsidR="00000000" w:rsidDel="00000000" w:rsidP="00000000" w:rsidRDefault="00000000" w:rsidRPr="00000000" w14:paraId="0000029C">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 sécurité des ouvrages, conformité aux bonnes pratiques internationales.[</w:t>
      </w:r>
      <w:hyperlink r:id="rId1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30. Vote et adoption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30.1 Procédure de vote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30.1.1 Une fois le projet révisé après enquête, il est soumis à un vote formel au sein de la Commission nationale ou de l’organe désigné (par ex. une session d’adoption).[</w:t>
      </w:r>
      <w:hyperlink r:id="rId1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30.1.2 Les membres votent « en faveur », « contre » ou « abstention », avec possibilité de joindre des remarques explicatives.[</w:t>
      </w:r>
      <w:hyperlink r:id="rId1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30.1.3 Les règles de majorité (simple ou qualifiée) sont fixées par le règlement intérieur, en veillant à garantir un large soutien aux normes adoptées.[</w:t>
      </w:r>
      <w:hyperlink r:id="rId1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share.ansi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30.2 Résultats et suites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30.2.1 Si le projet est adopté, il reçoit un numéro de norme nationale (par exemple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NC-RDC-BTP 123:2027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la décision d’adoption est consignée dans un registre de vote.[</w:t>
      </w:r>
      <w:hyperlink r:id="rId1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agenturacas.gov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30.2.2 Si le projet est rejeté ou n’obtient pas la majorité requise, le Comité de pilotage, en concertation avec le CT, examine les options : révision, consultation supplémentaire, ou abandon.[</w:t>
      </w:r>
      <w:hyperlink r:id="rId1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30.3 Exemple – Adoption d’une norme routière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30.3.1 Le projet de norme « Couches de fondation et de base – Spécifications » recueille 32 voix pour, 2 contre, 3 abstentions.</w:t>
        <w:br w:type="textWrapping"/>
        <w:t xml:space="preserve">30.3.2 Décision : adoption de la norme sous la référence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NC-RDC-R1 001:2027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mention dans la décision que la norme sera revue après cinq ans, compte tenu de l’évolution des pratiques et des matériels.[</w:t>
      </w:r>
      <w:hyperlink r:id="rId1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31. Publication, diffusion et mise en œuvre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Publication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La norme adoptée est publiée par l’organisme national de normalisation sous forme électronique et/ou imprimée, avec les mentions obligatoires : titre, numéro, année, copyright, statut (norme nationale), références aux textes juridiques pertinents.[</w:t>
      </w:r>
      <w:hyperlink r:id="rId1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31.1.2 Une version abrégée ou un guide de mise en œuvre peut être publié pour faciliter l’appropriation par les acteurs de terrain.[</w:t>
      </w:r>
      <w:hyperlink r:id="rId1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Diffusion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 Les informations relatives à la nouvelle norme sont diffusées via :</w:t>
      </w:r>
    </w:p>
    <w:p w:rsidR="00000000" w:rsidDel="00000000" w:rsidP="00000000" w:rsidRDefault="00000000" w:rsidRPr="00000000" w14:paraId="000002AC">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site officiel ;</w:t>
      </w:r>
    </w:p>
    <w:p w:rsidR="00000000" w:rsidDel="00000000" w:rsidP="00000000" w:rsidRDefault="00000000" w:rsidRPr="00000000" w14:paraId="000002AD">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circulaires ministérielles ;</w:t>
      </w:r>
    </w:p>
    <w:p w:rsidR="00000000" w:rsidDel="00000000" w:rsidP="00000000" w:rsidRDefault="00000000" w:rsidRPr="00000000" w14:paraId="000002A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sessions d’information et de formation (ateliers, webinaires) ;</w:t>
      </w:r>
    </w:p>
    <w:p w:rsidR="00000000" w:rsidDel="00000000" w:rsidP="00000000" w:rsidRDefault="00000000" w:rsidRPr="00000000" w14:paraId="000002A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l’intégration dans les documents types de marchés publics (cahiers des charges types).[</w:t>
      </w:r>
      <w:hyperlink r:id="rId1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Mise en œuvre et intégration dans les marchés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31.3.1 Les ministères et maîtres d’ouvrage sont invités à référencer la norme dans leurs cahiers des charges, en précisant le caractère obligatoire ou recommandé selon le cadre juridique.[</w:t>
      </w:r>
      <w:hyperlink r:id="rId1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congovirtuel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31.3.2 Exemple :</w:t>
      </w:r>
    </w:p>
    <w:p w:rsidR="00000000" w:rsidDel="00000000" w:rsidP="00000000" w:rsidRDefault="00000000" w:rsidRPr="00000000" w14:paraId="000002B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Ministère des Infrastructures rend obligatoire la norme sur les couches de chaussée pour tous les marchés routiers financés sur fonds publics ;</w:t>
      </w:r>
    </w:p>
    <w:p w:rsidR="00000000" w:rsidDel="00000000" w:rsidP="00000000" w:rsidRDefault="00000000" w:rsidRPr="00000000" w14:paraId="000002B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cahiers des charges mentionnent explicitement la référence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NC-RDC-R1 001:2027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exigences de matériaux et de contrôle.[</w:t>
      </w:r>
      <w:hyperlink r:id="rId1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t xml:space="preserve">32. Révision périodique et abrogation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Révision périodique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Conformément aux bonnes pratiques ISO/CEN, chaque norme fait l’objet d’un examen systématique (par exemple tous les cinq ans).[</w:t>
      </w:r>
      <w:hyperlink r:id="rId1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32.1.2 Le CT compétent évalue :</w:t>
      </w:r>
    </w:p>
    <w:p w:rsidR="00000000" w:rsidDel="00000000" w:rsidP="00000000" w:rsidRDefault="00000000" w:rsidRPr="00000000" w14:paraId="000002B8">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l’actualité des exigences ;</w:t>
      </w:r>
    </w:p>
    <w:p w:rsidR="00000000" w:rsidDel="00000000" w:rsidP="00000000" w:rsidRDefault="00000000" w:rsidRPr="00000000" w14:paraId="000002B9">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l’apparition de nouvelles technologies ou pratiques ;</w:t>
      </w:r>
    </w:p>
    <w:p w:rsidR="00000000" w:rsidDel="00000000" w:rsidP="00000000" w:rsidRDefault="00000000" w:rsidRPr="00000000" w14:paraId="000002BA">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retours d’expérience (problèmes rencontrés, litiges, accidents) ;</w:t>
      </w:r>
    </w:p>
    <w:p w:rsidR="00000000" w:rsidDel="00000000" w:rsidP="00000000" w:rsidRDefault="00000000" w:rsidRPr="00000000" w14:paraId="000002BB">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l’évolution des normes internationales et régionales.[</w:t>
      </w:r>
      <w:hyperlink r:id="rId1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32.1.3 L’examen aboutit à une recommandation : confirmer, réviser ou abroger/remplacer la norme.[</w:t>
      </w:r>
      <w:hyperlink r:id="rId1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Abrogation et remplacement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32.2.1 Lorsqu’une norme devient obsolète ou est remplacée par une norme régionale ou internationale adoptée, la Commission nationale adopte une décision formelle d’abrogation ou de retrait.[</w:t>
      </w:r>
      <w:hyperlink r:id="rId1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32.2.2 La décision précise :</w:t>
      </w:r>
    </w:p>
    <w:p w:rsidR="00000000" w:rsidDel="00000000" w:rsidP="00000000" w:rsidRDefault="00000000" w:rsidRPr="00000000" w14:paraId="000002BF">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date d’effet ;</w:t>
      </w:r>
    </w:p>
    <w:p w:rsidR="00000000" w:rsidDel="00000000" w:rsidP="00000000" w:rsidRDefault="00000000" w:rsidRPr="00000000" w14:paraId="000002C0">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dispositions transitoires ;</w:t>
      </w:r>
    </w:p>
    <w:p w:rsidR="00000000" w:rsidDel="00000000" w:rsidP="00000000" w:rsidRDefault="00000000" w:rsidRPr="00000000" w14:paraId="000002C1">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documents de remplacement éventuels.[</w:t>
      </w:r>
      <w:hyperlink r:id="rId1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32.2.3 Exemple :</w:t>
        <w:br w:type="textWrapping"/>
        <w:t xml:space="preserve">Une norme nationale ancienne sur les ponts est remplacée par une nouvelle série de normes basées sur les Eurocodes, adaptées au contexte congolais ; la décision d’abrogation mentionne les références des nouvelles normes et un délai de transition de trois ans pour les projets en cours.[</w:t>
      </w:r>
      <w:hyperlink r:id="rId1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ce niveau de détail vous convient, je peux ensuite :</w:t>
      </w:r>
    </w:p>
    <w:p w:rsidR="00000000" w:rsidDel="00000000" w:rsidP="00000000" w:rsidRDefault="00000000" w:rsidRPr="00000000" w14:paraId="000002C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attaquer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Cinquième Partie (Hiérarchie des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de vrais tableaux (normes, spécifications, guides, codes de bonnes pratiques, documents juridiques, documents administratifs) et des exemples concrets de documents RDC/BTP ;</w:t>
      </w:r>
    </w:p>
    <w:p w:rsidR="00000000" w:rsidDel="00000000" w:rsidP="00000000" w:rsidRDefault="00000000" w:rsidRPr="00000000" w14:paraId="000002C6">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bien commencer directement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Sixième Partie (Guide de rédaction des documents normatifs)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les règles ISO/IEC Partie 2 (structure, emploi de « doit/devrait/peut », etc.) appliquées à une norme type.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vais concentrer cette réponse sur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Sixième Partie – Guide de rédaction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ciblant spécifiquement :</w:t>
      </w:r>
    </w:p>
    <w:p w:rsidR="00000000" w:rsidDel="00000000" w:rsidP="00000000" w:rsidRDefault="00000000" w:rsidRPr="00000000" w14:paraId="000002C8">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règles ISO/CEI de rédaction (Partie 2) ;</w:t>
      </w:r>
    </w:p>
    <w:p w:rsidR="00000000" w:rsidDel="00000000" w:rsidP="00000000" w:rsidRDefault="00000000" w:rsidRPr="00000000" w14:paraId="000002C9">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façon de les appliquer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cas d’adoption par harmonisation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(identique ou modifiée) d’une norme ISO/CEI, CEN, etc.[</w:t>
      </w:r>
      <w:hyperlink r:id="rId1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exemples illustratifs adaptés au contexte de la RDC (normes routières, blocs de béton, etc.).</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m’appuie en particulier sur :</w:t>
      </w:r>
    </w:p>
    <w:p w:rsidR="00000000" w:rsidDel="00000000" w:rsidP="00000000" w:rsidRDefault="00000000" w:rsidRPr="00000000" w14:paraId="000002CC">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ISO/IEC Directives, Part 2 (structure et rédaction des normes) ;[</w:t>
      </w:r>
      <w:hyperlink r:id="rId1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ISO/IEC Guide 21-1 et 21-2 (adoption des normes internationales au niveau national/régional).[</w:t>
      </w:r>
      <w:hyperlink r:id="rId14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38. Principes généraux de rédaction en cas d’harmonisation</w:t>
      </w:r>
    </w:p>
    <w:p w:rsidR="00000000" w:rsidDel="00000000" w:rsidP="00000000" w:rsidRDefault="00000000" w:rsidRPr="00000000" w14:paraId="000002D0">
      <w:pPr>
        <w:pStyle w:val="Heading2"/>
        <w:rPr/>
      </w:pPr>
      <w:r w:rsidDel="00000000" w:rsidR="00000000" w:rsidRPr="00000000">
        <w:rPr>
          <w:rtl w:val="0"/>
        </w:rPr>
        <w:t xml:space="preserve">38.1 Types d’adoption d’une norme internationale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38.1.1 Lorsqu’une norme internationale (ISO, IEC, parfois CEN ou EN ISO) est adoptée au niveau national, la Commission nationale distingue, en cohérence avec ISO/IEC Guide 21-1 :[</w:t>
      </w:r>
      <w:hyperlink r:id="rId14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(IDT) : le contenu technique, la structure et le texte normatif sont reproduits sans changement, à l’exception des éléments strictement nationaux (page de garde, préface, annexes nationales).</w:t>
      </w:r>
    </w:p>
    <w:p w:rsidR="00000000" w:rsidDel="00000000" w:rsidP="00000000" w:rsidRDefault="00000000" w:rsidRPr="00000000" w14:paraId="000002D3">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modifiée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 : le texte international est utilisé comme base, mais certaines dispositions sont adaptées ou complétées pour tenir compte du contexte national (conditions climatiques, réglementation, pratiques industrielles, etc.).</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38.1.2 Le statut d’adoption (IDT, MOD) doit être indiqué explicitement dans la préface ou l’avant-propos national, conformément à ISO/IEC Guide 21-1, afin d’assurer la transparence pour les utilisateurs et les partenaires internationaux.[</w:t>
      </w:r>
      <w:hyperlink r:id="rId1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38.1.3 Exemple de mention :</w:t>
      </w:r>
    </w:p>
    <w:p w:rsidR="00000000" w:rsidDel="00000000" w:rsidP="00000000" w:rsidRDefault="00000000" w:rsidRPr="00000000" w14:paraId="000002D6">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Cette Norme congolaise NC-RDC-BTP 123:2027 est l’adoption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Norme internationale ISO 12345:2024. » (IDT)[</w:t>
      </w:r>
      <w:hyperlink r:id="rId14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Cette Norme congolaise NC-RDC-BTP 124:2027 est l’adoption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modifiée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Norme internationale ISO 6789:2023 ; les écarts sont indiqués en Annexe NA. » (MOD)[</w:t>
      </w:r>
      <w:hyperlink r:id="rId14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rPr/>
      </w:pPr>
      <w:r w:rsidDel="00000000" w:rsidR="00000000" w:rsidRPr="00000000">
        <w:rPr>
          <w:rtl w:val="0"/>
        </w:rPr>
        <w:t xml:space="preserve">39. Structure obligatoire des normes nationales (alignée ISO/CEI)</w:t>
      </w:r>
    </w:p>
    <w:p w:rsidR="00000000" w:rsidDel="00000000" w:rsidP="00000000" w:rsidRDefault="00000000" w:rsidRPr="00000000" w14:paraId="000002DA">
      <w:pPr>
        <w:pStyle w:val="Heading2"/>
        <w:rPr/>
      </w:pPr>
      <w:r w:rsidDel="00000000" w:rsidR="00000000" w:rsidRPr="00000000">
        <w:rPr>
          <w:rtl w:val="0"/>
        </w:rPr>
        <w:t xml:space="preserve">39.1 Éléments obligatoires de structure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39.1.1 Conformément aux Directives ISO/IEC, Partie 2, toute norme adoptée ou élaborée par la Commission nationale comporte au minimum les éléments suivants :[</w:t>
      </w:r>
      <w:hyperlink r:id="rId14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C">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w:t>
      </w:r>
    </w:p>
    <w:p w:rsidR="00000000" w:rsidDel="00000000" w:rsidP="00000000" w:rsidRDefault="00000000" w:rsidRPr="00000000" w14:paraId="000002DD">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Préface ou avant-propos national ;</w:t>
      </w:r>
    </w:p>
    <w:p w:rsidR="00000000" w:rsidDel="00000000" w:rsidP="00000000" w:rsidRDefault="00000000" w:rsidRPr="00000000" w14:paraId="000002DE">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Domaine d’application ;</w:t>
      </w:r>
    </w:p>
    <w:p w:rsidR="00000000" w:rsidDel="00000000" w:rsidP="00000000" w:rsidRDefault="00000000" w:rsidRPr="00000000" w14:paraId="000002DF">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Références normatives ;</w:t>
      </w:r>
    </w:p>
    <w:p w:rsidR="00000000" w:rsidDel="00000000" w:rsidP="00000000" w:rsidRDefault="00000000" w:rsidRPr="00000000" w14:paraId="000002E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et définitions (le cas échéant) ;</w:t>
      </w:r>
    </w:p>
    <w:p w:rsidR="00000000" w:rsidDel="00000000" w:rsidP="00000000" w:rsidRDefault="00000000" w:rsidRPr="00000000" w14:paraId="000002E1">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Symboles et abréviations (si nécessaires) ;</w:t>
      </w:r>
    </w:p>
    <w:p w:rsidR="00000000" w:rsidDel="00000000" w:rsidP="00000000" w:rsidRDefault="00000000" w:rsidRPr="00000000" w14:paraId="000002E2">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Clauses d’exigences ;</w:t>
      </w:r>
    </w:p>
    <w:p w:rsidR="00000000" w:rsidDel="00000000" w:rsidP="00000000" w:rsidRDefault="00000000" w:rsidRPr="00000000" w14:paraId="000002E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Clauses sur les méthodes d’essai (si applicables) ;</w:t>
      </w:r>
    </w:p>
    <w:p w:rsidR="00000000" w:rsidDel="00000000" w:rsidP="00000000" w:rsidRDefault="00000000" w:rsidRPr="00000000" w14:paraId="000002E4">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normatives et/ou informatives ;</w:t>
      </w:r>
    </w:p>
    <w:p w:rsidR="00000000" w:rsidDel="00000000" w:rsidP="00000000" w:rsidRDefault="00000000" w:rsidRPr="00000000" w14:paraId="000002E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Bibliographie (si utile).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39.1.2 En cas d’adoption d’une norme ISO, la structure interne du document (numérotation des clauses, annexes, etc.) doit rester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strictement identique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adoptions IDT, et ne peut être modifiée que pour les adoptions MOD, en veillant à maintenir la correspondance entre les clauses.[</w:t>
      </w:r>
      <w:hyperlink r:id="rId14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7">
      <w:pPr>
        <w:pStyle w:val="Heading2"/>
        <w:rPr/>
      </w:pPr>
      <w:r w:rsidDel="00000000" w:rsidR="00000000" w:rsidRPr="00000000">
        <w:rPr>
          <w:rtl w:val="0"/>
        </w:rPr>
        <w:t xml:space="preserve">39.2 Exemple illustratif – Adoption d’une norme ISO de méthode d’essai</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Supposons que la RDC adopte ISO 178:2019 (Essai de flexion sur plastiques, à titre d’exemple de structure) comme base pour une méthode d’essai des dalles préfabriquées en béton :[</w:t>
      </w:r>
      <w:hyperlink r:id="rId15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ISO :</w:t>
        <w:br w:type="textWrapping"/>
        <w:t xml:space="preserve">« Plastics — Determination of flexural properties »</w:t>
      </w:r>
    </w:p>
    <w:p w:rsidR="00000000" w:rsidDel="00000000" w:rsidP="00000000" w:rsidRDefault="00000000" w:rsidRPr="00000000" w14:paraId="000002EA">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national (adoption IDT, mais adapté en français RDC) :</w:t>
        <w:br w:type="textWrapping"/>
        <w:t xml:space="preserve">« Plastiques — Détermination des propriétés en flexion (Norme adoptée identiquement comme NC-RDC-BTP ISO 178:2019)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structure (Introduction, 1 Domaine d’application, 2 Références normatives, 3 Termes et définitions, etc.) est conservée identique, et l’avant-propos national explique l’usage dans le contexte RDC.[</w:t>
      </w:r>
      <w:hyperlink r:id="rId15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r w:rsidDel="00000000" w:rsidR="00000000" w:rsidRPr="00000000">
        <w:rPr>
          <w:rtl w:val="0"/>
        </w:rPr>
        <w:t xml:space="preserve">40. Règles d’emploi des termes normatifs (DOIT / DEVRAIT / PEUT / EST AUTORISÉ À / IL CONVIENT DE)</w:t>
      </w:r>
    </w:p>
    <w:p w:rsidR="00000000" w:rsidDel="00000000" w:rsidP="00000000" w:rsidRDefault="00000000" w:rsidRPr="00000000" w14:paraId="000002EE">
      <w:pPr>
        <w:pStyle w:val="Heading2"/>
        <w:rPr/>
      </w:pPr>
      <w:r w:rsidDel="00000000" w:rsidR="00000000" w:rsidRPr="00000000">
        <w:rPr>
          <w:rtl w:val="0"/>
        </w:rPr>
        <w:t xml:space="preserve">40.1 Principes ISO/CEI sur le langage normatif</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40.1.1 Les Directives ISO/IEC Partie 2 définissent clairement l’usage des verbes modaux pour exprimer différents niveaux d’obligation :[</w:t>
      </w:r>
      <w:hyperlink r:id="rId15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doit » : exigence obligatoire (requirement) ;</w:t>
      </w:r>
    </w:p>
    <w:p w:rsidR="00000000" w:rsidDel="00000000" w:rsidP="00000000" w:rsidRDefault="00000000" w:rsidRPr="00000000" w14:paraId="000002F1">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devrait » : recommandation (recommendation) ;</w:t>
      </w:r>
    </w:p>
    <w:p w:rsidR="00000000" w:rsidDel="00000000" w:rsidP="00000000" w:rsidRDefault="00000000" w:rsidRPr="00000000" w14:paraId="000002F2">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 : possibilité ou permission (permission) ;</w:t>
      </w:r>
    </w:p>
    <w:p w:rsidR="00000000" w:rsidDel="00000000" w:rsidP="00000000" w:rsidRDefault="00000000" w:rsidRPr="00000000" w14:paraId="000002F3">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 autorisé à » : permission explicite (permission) ;</w:t>
      </w:r>
    </w:p>
    <w:p w:rsidR="00000000" w:rsidDel="00000000" w:rsidP="00000000" w:rsidRDefault="00000000" w:rsidRPr="00000000" w14:paraId="000002F4">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convient de » : recommandation, mais avec une force légèrement plus prescriptive que « devrait » selon le contexte normatif.</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40.1.2 Il 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interdit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d’utiliser ces termes de manière ambiguë ou interchangeable ; chaque occurrence doit être cohérente avec le niveau d’obligation souhaité.[</w:t>
      </w:r>
      <w:hyperlink r:id="rId15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6">
      <w:pPr>
        <w:pStyle w:val="Heading2"/>
        <w:rPr/>
      </w:pPr>
      <w:r w:rsidDel="00000000" w:rsidR="00000000" w:rsidRPr="00000000">
        <w:rPr>
          <w:rtl w:val="0"/>
        </w:rPr>
        <w:t xml:space="preserve">40.2 Cas d’adoption identique d’une norme ISO/CEI</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40.2.1 En adoption IDT, les termes « shall / should / may / is permitted to / it is recommended that » de l’ISO sont traduits de manière standardisée en français :[</w:t>
      </w:r>
      <w:hyperlink r:id="rId15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8">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 « doit » ;</w:t>
      </w:r>
    </w:p>
    <w:p w:rsidR="00000000" w:rsidDel="00000000" w:rsidP="00000000" w:rsidRDefault="00000000" w:rsidRPr="00000000" w14:paraId="000002F9">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 « devrait » ;</w:t>
      </w:r>
    </w:p>
    <w:p w:rsidR="00000000" w:rsidDel="00000000" w:rsidP="00000000" w:rsidRDefault="00000000" w:rsidRPr="00000000" w14:paraId="000002FA">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 is permitted to → « peut » / « est autorisé à » ;</w:t>
      </w:r>
    </w:p>
    <w:p w:rsidR="00000000" w:rsidDel="00000000" w:rsidP="00000000" w:rsidRDefault="00000000" w:rsidRPr="00000000" w14:paraId="000002FB">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recommended that → « il est recommandé de » ;</w:t>
      </w:r>
    </w:p>
    <w:p w:rsidR="00000000" w:rsidDel="00000000" w:rsidP="00000000" w:rsidRDefault="00000000" w:rsidRPr="00000000" w14:paraId="000002FC">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advisable that → « il est conseillé de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40.2.2 Exemple – Norme ISO adoptée pour les revêtements de chaussée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ISO (anglais) :</w:t>
      </w:r>
    </w:p>
    <w:p w:rsidR="00000000" w:rsidDel="00000000" w:rsidP="00000000" w:rsidRDefault="00000000" w:rsidRPr="00000000" w14:paraId="000002FF">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aggregate shall conform to the grading requirements given in Table 1.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national IDT (français RDC) :</w:t>
      </w:r>
    </w:p>
    <w:p w:rsidR="00000000" w:rsidDel="00000000" w:rsidP="00000000" w:rsidRDefault="00000000" w:rsidRPr="00000000" w14:paraId="00000301">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granulats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conformes aux courbes granulométriques données dans le Tableau 1.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terme « doivent » garde le même niveau d’exigence que « shall ».[</w:t>
      </w:r>
      <w:hyperlink r:id="rId15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3">
      <w:pPr>
        <w:pStyle w:val="Heading2"/>
        <w:rPr/>
      </w:pPr>
      <w:r w:rsidDel="00000000" w:rsidR="00000000" w:rsidRPr="00000000">
        <w:rPr>
          <w:rtl w:val="0"/>
        </w:rPr>
        <w:t xml:space="preserve">40.3 Cas d’adoption modifiée (MOD) – articulation avec le droit national</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40.3.1 Dans une adoption MOD, la Commission nationale peut :</w:t>
      </w:r>
    </w:p>
    <w:p w:rsidR="00000000" w:rsidDel="00000000" w:rsidP="00000000" w:rsidRDefault="00000000" w:rsidRPr="00000000" w14:paraId="00000305">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certaines recommandations ISO en exigences obligatoires (si nécessaires au regard du droit public, de la sécurité, des marchés publics) ;</w:t>
      </w:r>
    </w:p>
    <w:p w:rsidR="00000000" w:rsidDel="00000000" w:rsidP="00000000" w:rsidRDefault="00000000" w:rsidRPr="00000000" w14:paraId="0000030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l’inverse, transformer certaines exigences en recommandations si le cadre national ne permet pas encore de les rendre obligatoires.[</w:t>
      </w:r>
      <w:hyperlink r:id="rId15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40.3.2 Exemple – Norme ISO sur la sécurité des échafaudages (scénario fictif) :</w:t>
      </w:r>
    </w:p>
    <w:p w:rsidR="00000000" w:rsidDel="00000000" w:rsidP="00000000" w:rsidRDefault="00000000" w:rsidRPr="00000000" w14:paraId="00000308">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ISO : « Guardrails should be installed on all working platforms above 2 m height. » (recommandation forte)</w:t>
      </w:r>
    </w:p>
    <w:p w:rsidR="00000000" w:rsidDel="00000000" w:rsidP="00000000" w:rsidRDefault="00000000" w:rsidRPr="00000000" w14:paraId="00000309">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en RDC : le Code du travail ou un règlement national impose déjà cette obligation pour tout chantier de BTP.</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MOD :</w:t>
      </w:r>
    </w:p>
    <w:p w:rsidR="00000000" w:rsidDel="00000000" w:rsidP="00000000" w:rsidRDefault="00000000" w:rsidRPr="00000000" w14:paraId="0000030B">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national : « Des garde-corps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installés sur toutes les plates-formes de travail situées à plus de 2 m de hauteur.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l’Annexe nationale (NA), il est indiqué que le « should » a été transformé en « doit » pour alignement avec la réglementation de sécurité au travail.[</w:t>
      </w:r>
      <w:hyperlink r:id="rId15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40.3.3 À l’inverse, si une norme ISO impose une exigence qui dépasse les capacités actuelles du secteur en RDC, la Commission nationale peut :</w:t>
      </w:r>
    </w:p>
    <w:p w:rsidR="00000000" w:rsidDel="00000000" w:rsidP="00000000" w:rsidRDefault="00000000" w:rsidRPr="00000000" w14:paraId="0000030E">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 un « shall » en « devrait » pendant une période transitoire, avec un commentaire explicatif en annexe nationale ;</w:t>
      </w:r>
    </w:p>
    <w:p w:rsidR="00000000" w:rsidDel="00000000" w:rsidP="00000000" w:rsidRDefault="00000000" w:rsidRPr="00000000" w14:paraId="0000030F">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prévoir une annexe informative décrivant un plan de montée en puissance.[</w:t>
      </w:r>
      <w:hyperlink r:id="rId15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41. Règles spécifiques de rédaction en cas d’harmonisation</w:t>
      </w:r>
    </w:p>
    <w:p w:rsidR="00000000" w:rsidDel="00000000" w:rsidP="00000000" w:rsidRDefault="00000000" w:rsidRPr="00000000" w14:paraId="00000312">
      <w:pPr>
        <w:pStyle w:val="Heading2"/>
        <w:rPr/>
      </w:pPr>
      <w:r w:rsidDel="00000000" w:rsidR="00000000" w:rsidRPr="00000000">
        <w:rPr>
          <w:rtl w:val="0"/>
        </w:rPr>
        <w:t xml:space="preserve">41.1 Préface / Avant-propos national</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41.1.1 La norme nationale adoptée doit comporter 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préface ou avant-propos national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distinct du texte ISO, indiquant :[</w:t>
      </w:r>
      <w:hyperlink r:id="rId15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type d’adoption (IDT ou MOD) ;</w:t>
      </w:r>
    </w:p>
    <w:p w:rsidR="00000000" w:rsidDel="00000000" w:rsidP="00000000" w:rsidRDefault="00000000" w:rsidRPr="00000000" w14:paraId="00000315">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lien avec la norme internationale (référence complète, année) ;</w:t>
      </w:r>
    </w:p>
    <w:p w:rsidR="00000000" w:rsidDel="00000000" w:rsidP="00000000" w:rsidRDefault="00000000" w:rsidRPr="00000000" w14:paraId="00000316">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cas échéant, la liste des clauses modifiées ou des compléments nationaux ;</w:t>
      </w:r>
    </w:p>
    <w:p w:rsidR="00000000" w:rsidDel="00000000" w:rsidP="00000000" w:rsidRDefault="00000000" w:rsidRPr="00000000" w14:paraId="00000317">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rattachement à la législation nationale (décrets, règlements, code des marchés publics).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41.1.2 Exemple de préface pour une adoption MOD d’une norme ISO sur les bétons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présente Norme congolaise NC-RDC-BTP 210:2028 est l’adoption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modifiée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Norme internationale ISO XXXX:2025 relative aux bétons de structure.</w:t>
        <w:br w:type="textWrapping"/>
        <w:t xml:space="preserve">Les adaptations portent notamment sur :</w:t>
        <w:br w:type="textWrapping"/>
        <w:t xml:space="preserve">– les classes d’exposition adaptées aux conditions climatiques de la RDC ;</w:t>
        <w:br w:type="textWrapping"/>
        <w:t xml:space="preserve">– des dispositions complémentaires concernant la durabilité en milieu tropical humide ;</w:t>
        <w:br w:type="textWrapping"/>
        <w:t xml:space="preserve">– la prise en compte des exigences de la réglementation nationale en matière de sécurité des ouvrages et de marchés publics.</w:t>
        <w:br w:type="textWrapping"/>
        <w:t xml:space="preserve">Les écarts par rapport au texte ISO sont précisés en Annexe NA. »[</w:t>
      </w:r>
      <w:hyperlink r:id="rId16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A">
      <w:pPr>
        <w:pStyle w:val="Heading2"/>
        <w:rPr/>
      </w:pPr>
      <w:r w:rsidDel="00000000" w:rsidR="00000000" w:rsidRPr="00000000">
        <w:rPr>
          <w:rtl w:val="0"/>
        </w:rPr>
        <w:t xml:space="preserve">41.2 Annexes nationales (NA, NB, etc.)</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41.2.1 Conformément aux pratiques européennes et à ISO/IEC Guide 21-1, les modifications ou compléments nationaux sont regroupés dans des annexes nationales clairement identifiées (NA, NB…).[</w:t>
      </w:r>
      <w:hyperlink r:id="rId16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41.2.2 Types d’éléments en annexe nationale :</w:t>
      </w:r>
    </w:p>
    <w:p w:rsidR="00000000" w:rsidDel="00000000" w:rsidP="00000000" w:rsidRDefault="00000000" w:rsidRPr="00000000" w14:paraId="0000031D">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paramètres nationaux (charges climatiques, coefficients de sécurité, classes d’exposition) ;</w:t>
      </w:r>
    </w:p>
    <w:p w:rsidR="00000000" w:rsidDel="00000000" w:rsidP="00000000" w:rsidRDefault="00000000" w:rsidRPr="00000000" w14:paraId="0000031E">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renvois vers des textes juridiques congolais ;</w:t>
      </w:r>
    </w:p>
    <w:p w:rsidR="00000000" w:rsidDel="00000000" w:rsidP="00000000" w:rsidRDefault="00000000" w:rsidRPr="00000000" w14:paraId="0000031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niveaux de performance spécifiques (par ex. classes de matériaux adaptées aux ressources locales) ;</w:t>
      </w:r>
    </w:p>
    <w:p w:rsidR="00000000" w:rsidDel="00000000" w:rsidP="00000000" w:rsidRDefault="00000000" w:rsidRPr="00000000" w14:paraId="00000320">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dispositions transitoires (application progressive dans les marchés publics).[</w:t>
      </w:r>
      <w:hyperlink r:id="rId16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1">
      <w:pPr>
        <w:pStyle w:val="Heading2"/>
        <w:rPr/>
      </w:pPr>
      <w:r w:rsidDel="00000000" w:rsidR="00000000" w:rsidRPr="00000000">
        <w:rPr>
          <w:rtl w:val="0"/>
        </w:rPr>
        <w:t xml:space="preserve">41.3 Exemple complet – Adoption modifiée des Eurocodes pour les ponts</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Scénario : la RDC décide d’adopter un Eurocode sur les ponts en béton comme norme nationale de calcul :[</w:t>
      </w:r>
      <w:hyperlink r:id="rId16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3">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national :</w:t>
        <w:br w:type="textWrapping"/>
        <w:t xml:space="preserve">« Ponts en béton – Règles de calcul – Norme nationale basée sur l’Eurocode EN 1992-2 »</w:t>
      </w:r>
    </w:p>
    <w:p w:rsidR="00000000" w:rsidDel="00000000" w:rsidP="00000000" w:rsidRDefault="00000000" w:rsidRPr="00000000" w14:paraId="00000324">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Avant-propos :</w:t>
      </w:r>
    </w:p>
    <w:p w:rsidR="00000000" w:rsidDel="00000000" w:rsidP="00000000" w:rsidRDefault="00000000" w:rsidRPr="00000000" w14:paraId="00000325">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d’adoption : MOD ;</w:t>
      </w:r>
    </w:p>
    <w:p w:rsidR="00000000" w:rsidDel="00000000" w:rsidP="00000000" w:rsidRDefault="00000000" w:rsidRPr="00000000" w14:paraId="00000326">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à EN 1992-2 ;</w:t>
      </w:r>
    </w:p>
    <w:p w:rsidR="00000000" w:rsidDel="00000000" w:rsidP="00000000" w:rsidRDefault="00000000" w:rsidRPr="00000000" w14:paraId="00000327">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de l’Annexe NA.[</w:t>
      </w:r>
      <w:hyperlink r:id="rId16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8">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principal :</w:t>
      </w:r>
    </w:p>
    <w:p w:rsidR="00000000" w:rsidDel="00000000" w:rsidP="00000000" w:rsidRDefault="00000000" w:rsidRPr="00000000" w14:paraId="00000329">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reprend le corps du texte EN (traduction française si disponible) avec les clauses numérotées identiquement (4, 5, 6, etc.) ;[</w:t>
      </w:r>
      <w:hyperlink r:id="rId16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A">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conserve les « doit/devrait/peut » tels qu’ils résultent de l’original.</w:t>
      </w:r>
    </w:p>
    <w:p w:rsidR="00000000" w:rsidDel="00000000" w:rsidP="00000000" w:rsidRDefault="00000000" w:rsidRPr="00000000" w14:paraId="0000032B">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nationale NA :</w:t>
      </w:r>
    </w:p>
    <w:p w:rsidR="00000000" w:rsidDel="00000000" w:rsidP="00000000" w:rsidRDefault="00000000" w:rsidRPr="00000000" w14:paraId="0000032C">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fixe les valeurs des paramètres nationaux (coefficient de surcharge de trafic, valeurs caractéristiques de la température, classes d’exposition pour les environnements tropicaux) ;</w:t>
      </w:r>
    </w:p>
    <w:p w:rsidR="00000000" w:rsidDel="00000000" w:rsidP="00000000" w:rsidRDefault="00000000" w:rsidRPr="00000000" w14:paraId="0000032D">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précise que, dans certains cas, des exigences Eurocode « should » sont élevées au niveau « doit » en raison d’exigences nationales de sécurité ;</w:t>
      </w:r>
    </w:p>
    <w:p w:rsidR="00000000" w:rsidDel="00000000" w:rsidP="00000000" w:rsidRDefault="00000000" w:rsidRPr="00000000" w14:paraId="0000032E">
      <w:pPr>
        <w:keepNext w:val="0"/>
        <w:keepLines w:val="0"/>
        <w:pageBreakBefore w:val="0"/>
        <w:widowControl w:val="1"/>
        <w:numPr>
          <w:ilvl w:val="1"/>
          <w:numId w:val="15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introduit des remarques sur les matériaux typiquement utilisés en RDC (granulats locaux, ciments disponibles).[</w:t>
      </w:r>
      <w:hyperlink r:id="rId16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42. Exemples de rédaction d’articles normatifs en harmonisation</w:t>
      </w:r>
    </w:p>
    <w:p w:rsidR="00000000" w:rsidDel="00000000" w:rsidP="00000000" w:rsidRDefault="00000000" w:rsidRPr="00000000" w14:paraId="00000331">
      <w:pPr>
        <w:pStyle w:val="Heading2"/>
        <w:rPr/>
      </w:pPr>
      <w:r w:rsidDel="00000000" w:rsidR="00000000" w:rsidRPr="00000000">
        <w:rPr>
          <w:rtl w:val="0"/>
        </w:rPr>
        <w:t xml:space="preserve">42.1 Exemple 1 – Spécification de matériaux (adoption ISO, IDT)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ISO (fictif) pour les granulats routiers :</w:t>
      </w:r>
    </w:p>
    <w:p w:rsidR="00000000" w:rsidDel="00000000" w:rsidP="00000000" w:rsidRDefault="00000000" w:rsidRPr="00000000" w14:paraId="00000333">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Los Angeles abrasion value of the coarse aggregate shall not exceed 30%.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Rédaction nationale IDT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6.2.2 – Résistance à l’usure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valeur de l’essai Los Angeles des granulats grossiers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inférieure ou égale à 30%.</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Ici, on respecte strictement le niveau d’exigence.[</w:t>
      </w:r>
      <w:hyperlink r:id="rId16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8">
      <w:pPr>
        <w:pStyle w:val="Heading2"/>
        <w:rPr/>
      </w:pPr>
      <w:r w:rsidDel="00000000" w:rsidR="00000000" w:rsidRPr="00000000">
        <w:rPr>
          <w:rtl w:val="0"/>
        </w:rPr>
        <w:t xml:space="preserve">42.2 Exemple 2 – Exigence transformée en recommandation (adoption MOD transitoire)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ISO :</w:t>
      </w:r>
    </w:p>
    <w:p w:rsidR="00000000" w:rsidDel="00000000" w:rsidP="00000000" w:rsidRDefault="00000000" w:rsidRPr="00000000" w14:paraId="0000033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concrete cover shall not be less than 40 mm for external members.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Contexte RDC : les pratiques actuelles ne permettent pas un contrôle systématique du enrobage ; une phase de transition est prévue.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national MOD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Pendant une période transitoire de trois ans à compter de la publication de la présente norme, 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l’enrobage des armatures ne soit pas inférieur à 40 mm pour les éléments exposés.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l’issue de cette période, le Ministère compétent pourra rendre cette exigence obligatoire par voie réglementaire.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type de rédaction doit être clairement signalé comme une adaptation dans la préface ou l’annexe nationale.[</w:t>
      </w:r>
      <w:hyperlink r:id="rId16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0">
      <w:pPr>
        <w:pStyle w:val="Heading2"/>
        <w:rPr/>
      </w:pPr>
      <w:r w:rsidDel="00000000" w:rsidR="00000000" w:rsidRPr="00000000">
        <w:rPr>
          <w:rtl w:val="0"/>
        </w:rPr>
        <w:t xml:space="preserve">42.3 Exemple 3 – Règle de calcul avec paramètre national</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Eurocode :</w:t>
      </w:r>
    </w:p>
    <w:p w:rsidR="00000000" w:rsidDel="00000000" w:rsidP="00000000" w:rsidRDefault="00000000" w:rsidRPr="00000000" w14:paraId="00000342">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γ_G should be taken as 1,35 for permanent loads.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Texte national (MOD)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coefficient partiel γ_G pour les charges permanentes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pris égal à 1,35, sauf indication contraire dans des règlements spécifiques.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Cette valeur est conforme aux pratiques de calcul prévues par les Eurocodes et tient compte des conditions de sécurité retenues pour les ouvrages en RDC.</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Ici, on transforme « should » en « doit », mais on explique la justification et l’alignement avec l’Eurocode.[</w:t>
      </w:r>
      <w:hyperlink r:id="rId16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cette approche correspond à ce que vous recherchez, je peux, dans un prochain message, :</w:t>
      </w:r>
    </w:p>
    <w:p w:rsidR="00000000" w:rsidDel="00000000" w:rsidP="00000000" w:rsidRDefault="00000000" w:rsidRPr="00000000" w14:paraId="00000349">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Sixième Partie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(codification, numérotation, présentation, mise en page, expressions interdites),</w:t>
      </w:r>
    </w:p>
    <w:p w:rsidR="00000000" w:rsidDel="00000000" w:rsidP="00000000" w:rsidRDefault="00000000" w:rsidRPr="00000000" w14:paraId="0000034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et/ou commencer à détailler 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modèles concrets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(fiches norme, fiches d’amendement, registres) avec des exemples déjà mis en forme comme dans un guide ministériel.</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rédige ci-dessous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Cinquième Partie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w:t>
      </w:r>
    </w:p>
    <w:p w:rsidR="00000000" w:rsidDel="00000000" w:rsidP="00000000" w:rsidRDefault="00000000" w:rsidRPr="00000000" w14:paraId="000003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hiérarchie claire des documents ;</w:t>
      </w:r>
    </w:p>
    <w:p w:rsidR="00000000" w:rsidDel="00000000" w:rsidP="00000000" w:rsidRDefault="00000000" w:rsidRPr="00000000" w14:paraId="000003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tableaux structurés ;</w:t>
      </w:r>
    </w:p>
    <w:p w:rsidR="00000000" w:rsidDel="00000000" w:rsidP="00000000" w:rsidRDefault="00000000" w:rsidRPr="00000000" w14:paraId="000003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exemples adaptés au contexte RDC (BTP, marchés publics, administration).[</w:t>
      </w:r>
      <w:hyperlink r:id="rId17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Cinquième Partie – Hiérarchie des documents</w:t>
      </w:r>
    </w:p>
    <w:p w:rsidR="00000000" w:rsidDel="00000000" w:rsidP="00000000" w:rsidRDefault="00000000" w:rsidRPr="00000000" w14:paraId="00000353">
      <w:pPr>
        <w:pStyle w:val="Heading2"/>
        <w:rPr/>
      </w:pPr>
      <w:r w:rsidDel="00000000" w:rsidR="00000000" w:rsidRPr="00000000">
        <w:rPr>
          <w:rtl w:val="0"/>
        </w:rPr>
        <w:t xml:space="preserve">33. Principes généraux de hiérarchie documentaire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Articulation entre normes, droit et administration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33.1.1 La hiérarchie des documents distingue :</w:t>
      </w:r>
    </w:p>
    <w:p w:rsidR="00000000" w:rsidDel="00000000" w:rsidP="00000000" w:rsidRDefault="00000000" w:rsidRPr="00000000" w14:paraId="000003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documents juridiques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(Constitution, lois, ordonnances, décrets, arrêtés, etc.) qui ont force obligatoire en vertu de la Constitution et de l’ordre juridique de la RDC ;[</w:t>
      </w:r>
      <w:hyperlink r:id="rId17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icao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documents normatifs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(normes, spécifications, guides, codes de bonnes pratiques) qui fixent des exigences techniques ou des recommandations, et dont le caractère obligatoire dépend de leur intégration dans les textes juridiques ou les contrats ;[</w:t>
      </w:r>
      <w:hyperlink r:id="rId17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documents administratifs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(procédures, directives internes, manuels, formulaires) qui organisent le fonctionnement des administrations et des organismes.[</w:t>
      </w:r>
      <w:hyperlink r:id="rId17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dcu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33.1.2 En cas de conflit entre un document normatif et un texte juridique, ce dernier prévaut ; les normes techniques doivent être rédigées de manière à faciliter leur compatibilité avec le droit national (marchés publics, sécurité, environnement, urbanisme).[</w:t>
      </w:r>
      <w:hyperlink r:id="rId17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Recommandation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33.2.1 La Commission nationale veille à ce que chaque norme ou document normatif indique clairement, dans son introduction ou son annexe nationale, son positionnement dans la hiérarchie (par ex. « norme nationale volontaire », « norme obligatoire lorsque citée par décret », etc.).[</w:t>
      </w:r>
      <w:hyperlink r:id="rId17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rPr/>
      </w:pPr>
      <w:r w:rsidDel="00000000" w:rsidR="00000000" w:rsidRPr="00000000">
        <w:rPr>
          <w:rtl w:val="0"/>
        </w:rPr>
        <w:t xml:space="preserve">34. Documents juridiques (RDC)</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 1 – Hiérarchie des principaux documents juridiques en RDC (adapté au secteur BTP)</w:t>
      </w:r>
    </w:p>
    <w:tbl>
      <w:tblPr>
        <w:tblStyle w:val="Table1"/>
        <w:tblW w:w="9072.0" w:type="dxa"/>
        <w:jc w:val="left"/>
        <w:tblLayout w:type="fixed"/>
        <w:tblLook w:val="0400"/>
      </w:tblPr>
      <w:tblGrid>
        <w:gridCol w:w="818"/>
        <w:gridCol w:w="1006"/>
        <w:gridCol w:w="926"/>
        <w:gridCol w:w="1031"/>
        <w:gridCol w:w="1095"/>
        <w:gridCol w:w="1113"/>
        <w:gridCol w:w="1113"/>
        <w:gridCol w:w="909"/>
        <w:gridCol w:w="1061"/>
        <w:tblGridChange w:id="0">
          <w:tblGrid>
            <w:gridCol w:w="818"/>
            <w:gridCol w:w="1006"/>
            <w:gridCol w:w="926"/>
            <w:gridCol w:w="1031"/>
            <w:gridCol w:w="1095"/>
            <w:gridCol w:w="1113"/>
            <w:gridCol w:w="1113"/>
            <w:gridCol w:w="909"/>
            <w:gridCol w:w="1061"/>
          </w:tblGrid>
        </w:tblGridChange>
      </w:tblGrid>
      <w:tr>
        <w:trPr>
          <w:cantSplit w:val="0"/>
          <w:tblHeader w:val="1"/>
        </w:trPr>
        <w:tc>
          <w:tcPr>
            <w:vAlign w:val="center"/>
          </w:tcPr>
          <w:p w:rsidR="00000000" w:rsidDel="00000000" w:rsidP="00000000" w:rsidRDefault="00000000" w:rsidRPr="00000000" w14:paraId="0000035F">
            <w:pPr>
              <w:jc w:val="center"/>
              <w:rPr>
                <w:b w:val="1"/>
                <w:bCs w:val="1"/>
              </w:rPr>
            </w:pPr>
            <w:r w:rsidDel="00000000" w:rsidR="00000000" w:rsidRPr="00000000">
              <w:rPr>
                <w:b w:val="1"/>
                <w:bCs w:val="1"/>
                <w:rtl w:val="0"/>
              </w:rPr>
              <w:t xml:space="preserve">Type de document</w:t>
            </w:r>
          </w:p>
        </w:tc>
        <w:tc>
          <w:tcPr>
            <w:vAlign w:val="center"/>
          </w:tcPr>
          <w:p w:rsidR="00000000" w:rsidDel="00000000" w:rsidP="00000000" w:rsidRDefault="00000000" w:rsidRPr="00000000" w14:paraId="00000360">
            <w:pPr>
              <w:jc w:val="center"/>
              <w:rPr>
                <w:b w:val="1"/>
                <w:bCs w:val="1"/>
              </w:rPr>
            </w:pPr>
            <w:r w:rsidDel="00000000" w:rsidR="00000000" w:rsidRPr="00000000">
              <w:rPr>
                <w:b w:val="1"/>
                <w:bCs w:val="1"/>
                <w:rtl w:val="0"/>
              </w:rPr>
              <w:t xml:space="preserve">Définition</w:t>
            </w:r>
          </w:p>
        </w:tc>
        <w:tc>
          <w:tcPr>
            <w:vAlign w:val="cente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Objectif</w:t>
            </w:r>
          </w:p>
        </w:tc>
        <w:tc>
          <w:tcPr>
            <w:vAlign w:val="cente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Autorité compétente</w:t>
            </w:r>
          </w:p>
        </w:tc>
        <w:tc>
          <w:tcPr>
            <w:vAlign w:val="center"/>
          </w:tcPr>
          <w:p w:rsidR="00000000" w:rsidDel="00000000" w:rsidP="00000000" w:rsidRDefault="00000000" w:rsidRPr="00000000" w14:paraId="00000363">
            <w:pPr>
              <w:jc w:val="center"/>
              <w:rPr>
                <w:b w:val="1"/>
                <w:bCs w:val="1"/>
              </w:rPr>
            </w:pPr>
            <w:r w:rsidDel="00000000" w:rsidR="00000000" w:rsidRPr="00000000">
              <w:rPr>
                <w:b w:val="1"/>
                <w:bCs w:val="1"/>
                <w:rtl w:val="0"/>
              </w:rPr>
              <w:t xml:space="preserve">Contenu typique</w:t>
            </w:r>
          </w:p>
        </w:tc>
        <w:tc>
          <w:tcPr>
            <w:vAlign w:val="center"/>
          </w:tcPr>
          <w:p w:rsidR="00000000" w:rsidDel="00000000" w:rsidP="00000000" w:rsidRDefault="00000000" w:rsidRPr="00000000" w14:paraId="00000364">
            <w:pPr>
              <w:jc w:val="center"/>
              <w:rPr>
                <w:b w:val="1"/>
                <w:bCs w:val="1"/>
              </w:rPr>
            </w:pPr>
            <w:r w:rsidDel="00000000" w:rsidR="00000000" w:rsidRPr="00000000">
              <w:rPr>
                <w:b w:val="1"/>
                <w:bCs w:val="1"/>
                <w:rtl w:val="0"/>
              </w:rPr>
              <w:t xml:space="preserve">Durée de validité</w:t>
            </w:r>
          </w:p>
        </w:tc>
        <w:tc>
          <w:tcPr>
            <w:vAlign w:val="center"/>
          </w:tcPr>
          <w:p w:rsidR="00000000" w:rsidDel="00000000" w:rsidP="00000000" w:rsidRDefault="00000000" w:rsidRPr="00000000" w14:paraId="00000365">
            <w:pPr>
              <w:jc w:val="center"/>
              <w:rPr>
                <w:b w:val="1"/>
                <w:bCs w:val="1"/>
              </w:rPr>
            </w:pPr>
            <w:r w:rsidDel="00000000" w:rsidR="00000000" w:rsidRPr="00000000">
              <w:rPr>
                <w:b w:val="1"/>
                <w:bCs w:val="1"/>
                <w:rtl w:val="0"/>
              </w:rPr>
              <w:t xml:space="preserve">Mode de validation</w:t>
            </w:r>
          </w:p>
        </w:tc>
        <w:tc>
          <w:tcPr>
            <w:vAlign w:val="center"/>
          </w:tcPr>
          <w:p w:rsidR="00000000" w:rsidDel="00000000" w:rsidP="00000000" w:rsidRDefault="00000000" w:rsidRPr="00000000" w14:paraId="00000366">
            <w:pPr>
              <w:jc w:val="center"/>
              <w:rPr>
                <w:b w:val="1"/>
                <w:bCs w:val="1"/>
              </w:rPr>
            </w:pPr>
            <w:r w:rsidDel="00000000" w:rsidR="00000000" w:rsidRPr="00000000">
              <w:rPr>
                <w:b w:val="1"/>
                <w:bCs w:val="1"/>
                <w:rtl w:val="0"/>
              </w:rPr>
              <w:t xml:space="preserve">Niveau hiérarchique</w:t>
            </w:r>
          </w:p>
        </w:tc>
        <w:tc>
          <w:tcPr>
            <w:vAlign w:val="center"/>
          </w:tcPr>
          <w:p w:rsidR="00000000" w:rsidDel="00000000" w:rsidP="00000000" w:rsidRDefault="00000000" w:rsidRPr="00000000" w14:paraId="00000367">
            <w:pPr>
              <w:jc w:val="center"/>
              <w:rPr>
                <w:b w:val="1"/>
                <w:bCs w:val="1"/>
              </w:rPr>
            </w:pPr>
            <w:r w:rsidDel="00000000" w:rsidR="00000000" w:rsidRPr="00000000">
              <w:rPr>
                <w:b w:val="1"/>
                <w:bCs w:val="1"/>
                <w:rtl w:val="0"/>
              </w:rPr>
              <w:t xml:space="preserve">Champ d’application</w:t>
            </w:r>
          </w:p>
        </w:tc>
      </w:tr>
      <w:tr>
        <w:trPr>
          <w:cantSplit w:val="0"/>
          <w:tblHeader w:val="0"/>
        </w:trPr>
        <w:tc>
          <w:tcPr>
            <w:vAlign w:val="center"/>
          </w:tcPr>
          <w:p w:rsidR="00000000" w:rsidDel="00000000" w:rsidP="00000000" w:rsidRDefault="00000000" w:rsidRPr="00000000" w14:paraId="00000368">
            <w:pPr>
              <w:rPr/>
            </w:pPr>
            <w:r w:rsidDel="00000000" w:rsidR="00000000" w:rsidRPr="00000000">
              <w:rPr>
                <w:rtl w:val="0"/>
              </w:rPr>
              <w:t xml:space="preserve">Constitution</w:t>
            </w:r>
          </w:p>
        </w:tc>
        <w:tc>
          <w:tcPr>
            <w:vAlign w:val="center"/>
          </w:tcPr>
          <w:p w:rsidR="00000000" w:rsidDel="00000000" w:rsidP="00000000" w:rsidRDefault="00000000" w:rsidRPr="00000000" w14:paraId="00000369">
            <w:pPr>
              <w:rPr/>
            </w:pPr>
            <w:r w:rsidDel="00000000" w:rsidR="00000000" w:rsidRPr="00000000">
              <w:rPr>
                <w:rtl w:val="0"/>
              </w:rPr>
              <w:t xml:space="preserve">Loi fondamentale de l’État fixant l’organisation des pouvoirs, les droits et libertés, les principes de base de l’action publique. [</w:t>
            </w:r>
            <w:hyperlink r:id="rId176">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6A">
            <w:pPr>
              <w:rPr/>
            </w:pPr>
            <w:r w:rsidDel="00000000" w:rsidR="00000000" w:rsidRPr="00000000">
              <w:rPr>
                <w:rtl w:val="0"/>
              </w:rPr>
              <w:t xml:space="preserve">Établir le cadre suprême juridique et institutionnel. [</w:t>
            </w:r>
            <w:hyperlink r:id="rId177">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6B">
            <w:pPr>
              <w:rPr/>
            </w:pPr>
            <w:r w:rsidDel="00000000" w:rsidR="00000000" w:rsidRPr="00000000">
              <w:rPr>
                <w:rtl w:val="0"/>
              </w:rPr>
              <w:t xml:space="preserve">Pouvoir constituant (référendum, Assemblée constituante selon le cas). [</w:t>
            </w:r>
            <w:hyperlink r:id="rId178">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6C">
            <w:pPr>
              <w:rPr/>
            </w:pPr>
            <w:r w:rsidDel="00000000" w:rsidR="00000000" w:rsidRPr="00000000">
              <w:rPr>
                <w:rtl w:val="0"/>
              </w:rPr>
              <w:t xml:space="preserve">Principes de l’État de droit, répartition des compétences, droits fondamentaux, y compris protection de la santé, de l’environnement, des biens publics. [</w:t>
            </w:r>
            <w:hyperlink r:id="rId179">
              <w:r w:rsidDel="00000000" w:rsidR="00000000" w:rsidRPr="00000000">
                <w:rPr>
                  <w:color w:val="0000ff"/>
                  <w:u w:val="single"/>
                  <w:rtl w:val="0"/>
                </w:rPr>
                <w:t xml:space="preserve">7sur7</w:t>
              </w:r>
            </w:hyperlink>
            <w:r w:rsidDel="00000000" w:rsidR="00000000" w:rsidRPr="00000000">
              <w:rPr>
                <w:rtl w:val="0"/>
              </w:rPr>
              <w:t xml:space="preserve">]</w:t>
            </w:r>
          </w:p>
        </w:tc>
        <w:tc>
          <w:tcPr>
            <w:vAlign w:val="center"/>
          </w:tcPr>
          <w:p w:rsidR="00000000" w:rsidDel="00000000" w:rsidP="00000000" w:rsidRDefault="00000000" w:rsidRPr="00000000" w14:paraId="0000036D">
            <w:pPr>
              <w:rPr/>
            </w:pPr>
            <w:r w:rsidDel="00000000" w:rsidR="00000000" w:rsidRPr="00000000">
              <w:rPr>
                <w:rtl w:val="0"/>
              </w:rPr>
              <w:t xml:space="preserve">Stable, jusqu’à révision constitutionnelle. [</w:t>
            </w:r>
            <w:hyperlink r:id="rId180">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6E">
            <w:pPr>
              <w:rPr/>
            </w:pPr>
            <w:r w:rsidDel="00000000" w:rsidR="00000000" w:rsidRPr="00000000">
              <w:rPr>
                <w:rtl w:val="0"/>
              </w:rPr>
              <w:t xml:space="preserve">Procédure de révision constitutionnelle. [</w:t>
            </w:r>
            <w:hyperlink r:id="rId181">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6F">
            <w:pPr>
              <w:rPr/>
            </w:pPr>
            <w:r w:rsidDel="00000000" w:rsidR="00000000" w:rsidRPr="00000000">
              <w:rPr>
                <w:rtl w:val="0"/>
              </w:rPr>
              <w:t xml:space="preserve">Plus élevé</w:t>
            </w:r>
          </w:p>
        </w:tc>
        <w:tc>
          <w:tcPr>
            <w:vAlign w:val="center"/>
          </w:tcPr>
          <w:p w:rsidR="00000000" w:rsidDel="00000000" w:rsidP="00000000" w:rsidRDefault="00000000" w:rsidRPr="00000000" w14:paraId="00000370">
            <w:pPr>
              <w:rPr/>
            </w:pPr>
            <w:r w:rsidDel="00000000" w:rsidR="00000000" w:rsidRPr="00000000">
              <w:rPr>
                <w:rtl w:val="0"/>
              </w:rPr>
              <w:t xml:space="preserve">Tout le territoire national, tous secteurs (y compris BTP).</w:t>
            </w:r>
          </w:p>
        </w:tc>
      </w:tr>
      <w:tr>
        <w:trPr>
          <w:cantSplit w:val="0"/>
          <w:tblHeader w:val="0"/>
        </w:trPr>
        <w:tc>
          <w:tcPr>
            <w:vAlign w:val="center"/>
          </w:tcPr>
          <w:p w:rsidR="00000000" w:rsidDel="00000000" w:rsidP="00000000" w:rsidRDefault="00000000" w:rsidRPr="00000000" w14:paraId="00000371">
            <w:pPr>
              <w:rPr/>
            </w:pPr>
            <w:r w:rsidDel="00000000" w:rsidR="00000000" w:rsidRPr="00000000">
              <w:rPr>
                <w:rtl w:val="0"/>
              </w:rPr>
              <w:t xml:space="preserve">Loi</w:t>
            </w:r>
          </w:p>
        </w:tc>
        <w:tc>
          <w:tcPr>
            <w:vAlign w:val="center"/>
          </w:tcPr>
          <w:p w:rsidR="00000000" w:rsidDel="00000000" w:rsidP="00000000" w:rsidRDefault="00000000" w:rsidRPr="00000000" w14:paraId="00000372">
            <w:pPr>
              <w:rPr/>
            </w:pPr>
            <w:r w:rsidDel="00000000" w:rsidR="00000000" w:rsidRPr="00000000">
              <w:rPr>
                <w:rtl w:val="0"/>
              </w:rPr>
              <w:t xml:space="preserve">Texte législatif adopté par le Parlement et promulgué par le Président de la République. [</w:t>
            </w:r>
            <w:hyperlink r:id="rId182">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73">
            <w:pPr>
              <w:rPr/>
            </w:pPr>
            <w:r w:rsidDel="00000000" w:rsidR="00000000" w:rsidRPr="00000000">
              <w:rPr>
                <w:rtl w:val="0"/>
              </w:rPr>
              <w:t xml:space="preserve">Définir les règles générales et permanentes dans un domaine donné (ex : marchés publics, normalisation, métrologie, urbanisme). [</w:t>
            </w:r>
            <w:hyperlink r:id="rId183">
              <w:r w:rsidDel="00000000" w:rsidR="00000000" w:rsidRPr="00000000">
                <w:rPr>
                  <w:color w:val="0000ff"/>
                  <w:u w:val="single"/>
                  <w:rtl w:val="0"/>
                </w:rPr>
                <w:t xml:space="preserve">fr.scribd</w:t>
              </w:r>
            </w:hyperlink>
            <w:r w:rsidDel="00000000" w:rsidR="00000000" w:rsidRPr="00000000">
              <w:rPr>
                <w:rtl w:val="0"/>
              </w:rPr>
              <w:t xml:space="preserve">]</w:t>
            </w:r>
          </w:p>
        </w:tc>
        <w:tc>
          <w:tcPr>
            <w:vAlign w:val="center"/>
          </w:tcPr>
          <w:p w:rsidR="00000000" w:rsidDel="00000000" w:rsidP="00000000" w:rsidRDefault="00000000" w:rsidRPr="00000000" w14:paraId="00000374">
            <w:pPr>
              <w:rPr/>
            </w:pPr>
            <w:r w:rsidDel="00000000" w:rsidR="00000000" w:rsidRPr="00000000">
              <w:rPr>
                <w:rtl w:val="0"/>
              </w:rPr>
              <w:t xml:space="preserve">Parlement (Assemblée nationale, Sénat) + promulgation présidentielle. [</w:t>
            </w:r>
            <w:hyperlink r:id="rId184">
              <w:r w:rsidDel="00000000" w:rsidR="00000000" w:rsidRPr="00000000">
                <w:rPr>
                  <w:color w:val="0000ff"/>
                  <w:u w:val="single"/>
                  <w:rtl w:val="0"/>
                </w:rPr>
                <w:t xml:space="preserve">fr.scribd</w:t>
              </w:r>
            </w:hyperlink>
            <w:r w:rsidDel="00000000" w:rsidR="00000000" w:rsidRPr="00000000">
              <w:rPr>
                <w:rtl w:val="0"/>
              </w:rPr>
              <w:t xml:space="preserve">]</w:t>
            </w:r>
          </w:p>
        </w:tc>
        <w:tc>
          <w:tcPr>
            <w:vAlign w:val="center"/>
          </w:tcPr>
          <w:p w:rsidR="00000000" w:rsidDel="00000000" w:rsidP="00000000" w:rsidRDefault="00000000" w:rsidRPr="00000000" w14:paraId="00000375">
            <w:pPr>
              <w:rPr/>
            </w:pPr>
            <w:r w:rsidDel="00000000" w:rsidR="00000000" w:rsidRPr="00000000">
              <w:rPr>
                <w:rtl w:val="0"/>
              </w:rPr>
              <w:t xml:space="preserve">Dispositions générales, définitions, principes, règles matérielles et procédurales.</w:t>
            </w:r>
          </w:p>
        </w:tc>
        <w:tc>
          <w:tcPr>
            <w:vAlign w:val="center"/>
          </w:tcPr>
          <w:p w:rsidR="00000000" w:rsidDel="00000000" w:rsidP="00000000" w:rsidRDefault="00000000" w:rsidRPr="00000000" w14:paraId="00000376">
            <w:pPr>
              <w:rPr/>
            </w:pPr>
            <w:r w:rsidDel="00000000" w:rsidR="00000000" w:rsidRPr="00000000">
              <w:rPr>
                <w:rtl w:val="0"/>
              </w:rPr>
              <w:t xml:space="preserve">Permanente, jusqu’à abrogation ou modification.</w:t>
            </w:r>
          </w:p>
        </w:tc>
        <w:tc>
          <w:tcPr>
            <w:vAlign w:val="center"/>
          </w:tcPr>
          <w:p w:rsidR="00000000" w:rsidDel="00000000" w:rsidP="00000000" w:rsidRDefault="00000000" w:rsidRPr="00000000" w14:paraId="00000377">
            <w:pPr>
              <w:rPr/>
            </w:pPr>
            <w:r w:rsidDel="00000000" w:rsidR="00000000" w:rsidRPr="00000000">
              <w:rPr>
                <w:rtl w:val="0"/>
              </w:rPr>
              <w:t xml:space="preserve">Procédure législative.</w:t>
            </w:r>
          </w:p>
        </w:tc>
        <w:tc>
          <w:tcPr>
            <w:vAlign w:val="center"/>
          </w:tcPr>
          <w:p w:rsidR="00000000" w:rsidDel="00000000" w:rsidP="00000000" w:rsidRDefault="00000000" w:rsidRPr="00000000" w14:paraId="00000378">
            <w:pPr>
              <w:rPr/>
            </w:pPr>
            <w:r w:rsidDel="00000000" w:rsidR="00000000" w:rsidRPr="00000000">
              <w:rPr>
                <w:rtl w:val="0"/>
              </w:rPr>
              <w:t xml:space="preserve">Inférieur à la Constitution, supérieur aux règlements.</w:t>
            </w:r>
          </w:p>
        </w:tc>
        <w:tc>
          <w:tcPr>
            <w:vAlign w:val="center"/>
          </w:tcPr>
          <w:p w:rsidR="00000000" w:rsidDel="00000000" w:rsidP="00000000" w:rsidRDefault="00000000" w:rsidRPr="00000000" w14:paraId="00000379">
            <w:pPr>
              <w:rPr/>
            </w:pPr>
            <w:r w:rsidDel="00000000" w:rsidR="00000000" w:rsidRPr="00000000">
              <w:rPr>
                <w:rtl w:val="0"/>
              </w:rPr>
              <w:t xml:space="preserve">Champ défini par la loi (ex. tous les marchés publics, toutes les constructions). [</w:t>
            </w:r>
            <w:hyperlink r:id="rId185">
              <w:r w:rsidDel="00000000" w:rsidR="00000000" w:rsidRPr="00000000">
                <w:rPr>
                  <w:color w:val="0000ff"/>
                  <w:u w:val="single"/>
                  <w:rtl w:val="0"/>
                </w:rPr>
                <w:t xml:space="preserve">fr.scribd</w:t>
              </w:r>
            </w:hyperlink>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37A">
            <w:pPr>
              <w:rPr/>
            </w:pPr>
            <w:r w:rsidDel="00000000" w:rsidR="00000000" w:rsidRPr="00000000">
              <w:rPr>
                <w:rtl w:val="0"/>
              </w:rPr>
              <w:t xml:space="preserve">Ordonnance</w:t>
            </w:r>
          </w:p>
        </w:tc>
        <w:tc>
          <w:tcPr>
            <w:vAlign w:val="center"/>
          </w:tcPr>
          <w:p w:rsidR="00000000" w:rsidDel="00000000" w:rsidP="00000000" w:rsidRDefault="00000000" w:rsidRPr="00000000" w14:paraId="0000037B">
            <w:pPr>
              <w:rPr/>
            </w:pPr>
            <w:r w:rsidDel="00000000" w:rsidR="00000000" w:rsidRPr="00000000">
              <w:rPr>
                <w:rtl w:val="0"/>
              </w:rPr>
              <w:t xml:space="preserve">Acte émanant du Président ou du Gouvernement, précisant l’organisation des services ou l’application de la loi, parfois utilisée pour créer ou réorganiser des organes (ex : Comité national de normalisation). [</w:t>
            </w:r>
            <w:hyperlink r:id="rId186">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7C">
            <w:pPr>
              <w:rPr/>
            </w:pPr>
            <w:r w:rsidDel="00000000" w:rsidR="00000000" w:rsidRPr="00000000">
              <w:rPr>
                <w:rtl w:val="0"/>
              </w:rPr>
              <w:t xml:space="preserve">Organiser les institutions, mettre en œuvre une loi, établir des structures (commissions, agences). [</w:t>
            </w:r>
            <w:hyperlink r:id="rId187">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7D">
            <w:pPr>
              <w:rPr/>
            </w:pPr>
            <w:r w:rsidDel="00000000" w:rsidR="00000000" w:rsidRPr="00000000">
              <w:rPr>
                <w:rtl w:val="0"/>
              </w:rPr>
              <w:t xml:space="preserve">Président de la République ou Gouvernement, selon la Constitution. [</w:t>
            </w:r>
            <w:hyperlink r:id="rId188">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7E">
            <w:pPr>
              <w:rPr/>
            </w:pPr>
            <w:r w:rsidDel="00000000" w:rsidR="00000000" w:rsidRPr="00000000">
              <w:rPr>
                <w:rtl w:val="0"/>
              </w:rPr>
              <w:t xml:space="preserve">Organisation institutionnelle, attributions, fonctionnement des organes, dispositions transitoires. [</w:t>
            </w:r>
            <w:hyperlink r:id="rId189">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7F">
            <w:pPr>
              <w:rPr/>
            </w:pPr>
            <w:r w:rsidDel="00000000" w:rsidR="00000000" w:rsidRPr="00000000">
              <w:rPr>
                <w:rtl w:val="0"/>
              </w:rPr>
              <w:t xml:space="preserve">Jusqu’à abrogation ou modification.</w:t>
            </w:r>
          </w:p>
        </w:tc>
        <w:tc>
          <w:tcPr>
            <w:vAlign w:val="center"/>
          </w:tcPr>
          <w:p w:rsidR="00000000" w:rsidDel="00000000" w:rsidP="00000000" w:rsidRDefault="00000000" w:rsidRPr="00000000" w14:paraId="00000380">
            <w:pPr>
              <w:rPr/>
            </w:pPr>
            <w:r w:rsidDel="00000000" w:rsidR="00000000" w:rsidRPr="00000000">
              <w:rPr>
                <w:rtl w:val="0"/>
              </w:rPr>
              <w:t xml:space="preserve">Signature présidentielle, contreseing ministériel.</w:t>
            </w:r>
          </w:p>
        </w:tc>
        <w:tc>
          <w:tcPr>
            <w:vAlign w:val="center"/>
          </w:tcPr>
          <w:p w:rsidR="00000000" w:rsidDel="00000000" w:rsidP="00000000" w:rsidRDefault="00000000" w:rsidRPr="00000000" w14:paraId="00000381">
            <w:pPr>
              <w:rPr/>
            </w:pPr>
            <w:r w:rsidDel="00000000" w:rsidR="00000000" w:rsidRPr="00000000">
              <w:rPr>
                <w:rtl w:val="0"/>
              </w:rPr>
              <w:t xml:space="preserve">Sous la loi, au-dessus des décrets ministériels.</w:t>
            </w:r>
          </w:p>
        </w:tc>
        <w:tc>
          <w:tcPr>
            <w:vAlign w:val="center"/>
          </w:tcPr>
          <w:p w:rsidR="00000000" w:rsidDel="00000000" w:rsidP="00000000" w:rsidRDefault="00000000" w:rsidRPr="00000000" w14:paraId="00000382">
            <w:pPr>
              <w:rPr/>
            </w:pPr>
            <w:r w:rsidDel="00000000" w:rsidR="00000000" w:rsidRPr="00000000">
              <w:rPr>
                <w:rtl w:val="0"/>
              </w:rPr>
              <w:t xml:space="preserve">Administration centrale, organes publics (ex. organisme national de normalisation).</w:t>
            </w:r>
          </w:p>
        </w:tc>
      </w:tr>
      <w:tr>
        <w:trPr>
          <w:cantSplit w:val="0"/>
          <w:tblHeader w:val="0"/>
        </w:trPr>
        <w:tc>
          <w:tcPr>
            <w:vAlign w:val="center"/>
          </w:tcPr>
          <w:p w:rsidR="00000000" w:rsidDel="00000000" w:rsidP="00000000" w:rsidRDefault="00000000" w:rsidRPr="00000000" w14:paraId="00000383">
            <w:pPr>
              <w:rPr/>
            </w:pPr>
            <w:r w:rsidDel="00000000" w:rsidR="00000000" w:rsidRPr="00000000">
              <w:rPr>
                <w:rtl w:val="0"/>
              </w:rPr>
              <w:t xml:space="preserve">Décret</w:t>
            </w:r>
          </w:p>
        </w:tc>
        <w:tc>
          <w:tcPr>
            <w:vAlign w:val="center"/>
          </w:tcPr>
          <w:p w:rsidR="00000000" w:rsidDel="00000000" w:rsidP="00000000" w:rsidRDefault="00000000" w:rsidRPr="00000000" w14:paraId="00000384">
            <w:pPr>
              <w:rPr/>
            </w:pPr>
            <w:r w:rsidDel="00000000" w:rsidR="00000000" w:rsidRPr="00000000">
              <w:rPr>
                <w:rtl w:val="0"/>
              </w:rPr>
              <w:t xml:space="preserve">Acte réglementaire de portée générale pris par le Premier Ministre ou le Gouvernement, précisant les conditions d’application des lois. [</w:t>
            </w:r>
            <w:hyperlink r:id="rId190">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85">
            <w:pPr>
              <w:rPr/>
            </w:pPr>
            <w:r w:rsidDel="00000000" w:rsidR="00000000" w:rsidRPr="00000000">
              <w:rPr>
                <w:rtl w:val="0"/>
              </w:rPr>
              <w:t xml:space="preserve">Détailler la mise en œuvre de la loi (ex. conditions de construction, règles d’urbanisme, procédures de contrôle).</w:t>
            </w:r>
          </w:p>
        </w:tc>
        <w:tc>
          <w:tcPr>
            <w:vAlign w:val="center"/>
          </w:tcPr>
          <w:p w:rsidR="00000000" w:rsidDel="00000000" w:rsidP="00000000" w:rsidRDefault="00000000" w:rsidRPr="00000000" w14:paraId="00000386">
            <w:pPr>
              <w:rPr/>
            </w:pPr>
            <w:r w:rsidDel="00000000" w:rsidR="00000000" w:rsidRPr="00000000">
              <w:rPr>
                <w:rtl w:val="0"/>
              </w:rPr>
              <w:t xml:space="preserve">Gouvernement, Premier Ministre.</w:t>
            </w:r>
          </w:p>
        </w:tc>
        <w:tc>
          <w:tcPr>
            <w:vAlign w:val="center"/>
          </w:tcPr>
          <w:p w:rsidR="00000000" w:rsidDel="00000000" w:rsidP="00000000" w:rsidRDefault="00000000" w:rsidRPr="00000000" w14:paraId="00000387">
            <w:pPr>
              <w:rPr/>
            </w:pPr>
            <w:r w:rsidDel="00000000" w:rsidR="00000000" w:rsidRPr="00000000">
              <w:rPr>
                <w:rtl w:val="0"/>
              </w:rPr>
              <w:t xml:space="preserve">Dispositions réglementaires détaillées, procédures, compétences des services, sanctions administratives.</w:t>
            </w:r>
          </w:p>
        </w:tc>
        <w:tc>
          <w:tcPr>
            <w:vAlign w:val="center"/>
          </w:tcPr>
          <w:p w:rsidR="00000000" w:rsidDel="00000000" w:rsidP="00000000" w:rsidRDefault="00000000" w:rsidRPr="00000000" w14:paraId="00000388">
            <w:pPr>
              <w:rPr/>
            </w:pPr>
            <w:r w:rsidDel="00000000" w:rsidR="00000000" w:rsidRPr="00000000">
              <w:rPr>
                <w:rtl w:val="0"/>
              </w:rPr>
              <w:t xml:space="preserve">Jusqu’à abrogation ou modification.</w:t>
            </w:r>
          </w:p>
        </w:tc>
        <w:tc>
          <w:tcPr>
            <w:vAlign w:val="center"/>
          </w:tcPr>
          <w:p w:rsidR="00000000" w:rsidDel="00000000" w:rsidP="00000000" w:rsidRDefault="00000000" w:rsidRPr="00000000" w14:paraId="00000389">
            <w:pPr>
              <w:rPr/>
            </w:pPr>
            <w:r w:rsidDel="00000000" w:rsidR="00000000" w:rsidRPr="00000000">
              <w:rPr>
                <w:rtl w:val="0"/>
              </w:rPr>
              <w:t xml:space="preserve">Délibération en Conseil des ministres, signature du Premier Ministre.</w:t>
            </w:r>
          </w:p>
        </w:tc>
        <w:tc>
          <w:tcPr>
            <w:vAlign w:val="center"/>
          </w:tcPr>
          <w:p w:rsidR="00000000" w:rsidDel="00000000" w:rsidP="00000000" w:rsidRDefault="00000000" w:rsidRPr="00000000" w14:paraId="0000038A">
            <w:pPr>
              <w:rPr/>
            </w:pPr>
            <w:r w:rsidDel="00000000" w:rsidR="00000000" w:rsidRPr="00000000">
              <w:rPr>
                <w:rtl w:val="0"/>
              </w:rPr>
              <w:t xml:space="preserve">Sous l’ordonnance, au-dessus des arrêtés.</w:t>
            </w:r>
          </w:p>
        </w:tc>
        <w:tc>
          <w:tcPr>
            <w:vAlign w:val="center"/>
          </w:tcPr>
          <w:p w:rsidR="00000000" w:rsidDel="00000000" w:rsidP="00000000" w:rsidRDefault="00000000" w:rsidRPr="00000000" w14:paraId="0000038B">
            <w:pPr>
              <w:rPr/>
            </w:pPr>
            <w:r w:rsidDel="00000000" w:rsidR="00000000" w:rsidRPr="00000000">
              <w:rPr>
                <w:rtl w:val="0"/>
              </w:rPr>
              <w:t xml:space="preserve">Administration centrale et décentralisée dans le champ indiqué (BTP, urbanisme, sécurité).</w:t>
            </w:r>
          </w:p>
        </w:tc>
      </w:tr>
      <w:tr>
        <w:trPr>
          <w:cantSplit w:val="0"/>
          <w:tblHeader w:val="0"/>
        </w:trPr>
        <w:tc>
          <w:tcPr>
            <w:vAlign w:val="center"/>
          </w:tcPr>
          <w:p w:rsidR="00000000" w:rsidDel="00000000" w:rsidP="00000000" w:rsidRDefault="00000000" w:rsidRPr="00000000" w14:paraId="0000038C">
            <w:pPr>
              <w:rPr/>
            </w:pPr>
            <w:r w:rsidDel="00000000" w:rsidR="00000000" w:rsidRPr="00000000">
              <w:rPr>
                <w:rtl w:val="0"/>
              </w:rPr>
              <w:t xml:space="preserve">Arrêté ministériel</w:t>
            </w:r>
          </w:p>
        </w:tc>
        <w:tc>
          <w:tcPr>
            <w:vAlign w:val="center"/>
          </w:tcPr>
          <w:p w:rsidR="00000000" w:rsidDel="00000000" w:rsidP="00000000" w:rsidRDefault="00000000" w:rsidRPr="00000000" w14:paraId="0000038D">
            <w:pPr>
              <w:rPr/>
            </w:pPr>
            <w:r w:rsidDel="00000000" w:rsidR="00000000" w:rsidRPr="00000000">
              <w:rPr>
                <w:rtl w:val="0"/>
              </w:rPr>
              <w:t xml:space="preserve">Acte pris par un ministre dans son domaine de compétence, souvent pour établir des règlements techniques, des barèmes, des commissions. [</w:t>
            </w:r>
            <w:hyperlink r:id="rId191">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8E">
            <w:pPr>
              <w:rPr/>
            </w:pPr>
            <w:r w:rsidDel="00000000" w:rsidR="00000000" w:rsidRPr="00000000">
              <w:rPr>
                <w:rtl w:val="0"/>
              </w:rPr>
              <w:t xml:space="preserve">Compléter les décrets, fixer des spécifications techniques, créer des commissions (ex. commissions sectorielles, CT). [</w:t>
            </w:r>
            <w:hyperlink r:id="rId192">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8F">
            <w:pPr>
              <w:rPr/>
            </w:pPr>
            <w:r w:rsidDel="00000000" w:rsidR="00000000" w:rsidRPr="00000000">
              <w:rPr>
                <w:rtl w:val="0"/>
              </w:rPr>
              <w:t xml:space="preserve">Ministre compétent (Infrastructures, Urbanisme, Industrie, etc.). [</w:t>
            </w:r>
            <w:hyperlink r:id="rId193">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90">
            <w:pPr>
              <w:rPr/>
            </w:pPr>
            <w:r w:rsidDel="00000000" w:rsidR="00000000" w:rsidRPr="00000000">
              <w:rPr>
                <w:rtl w:val="0"/>
              </w:rPr>
              <w:t xml:space="preserve">Règles détaillées, normes techniques rendues obligatoires, procédures internes, création de commissions. [</w:t>
            </w:r>
            <w:hyperlink r:id="rId194">
              <w:r w:rsidDel="00000000" w:rsidR="00000000" w:rsidRPr="00000000">
                <w:rPr>
                  <w:color w:val="0000ff"/>
                  <w:u w:val="single"/>
                  <w:rtl w:val="0"/>
                </w:rPr>
                <w:t xml:space="preserve">leganet</w:t>
              </w:r>
            </w:hyperlink>
            <w:r w:rsidDel="00000000" w:rsidR="00000000" w:rsidRPr="00000000">
              <w:rPr>
                <w:rtl w:val="0"/>
              </w:rPr>
              <w:t xml:space="preserve">]</w:t>
            </w:r>
          </w:p>
        </w:tc>
        <w:tc>
          <w:tcPr>
            <w:vAlign w:val="center"/>
          </w:tcPr>
          <w:p w:rsidR="00000000" w:rsidDel="00000000" w:rsidP="00000000" w:rsidRDefault="00000000" w:rsidRPr="00000000" w14:paraId="00000391">
            <w:pPr>
              <w:rPr/>
            </w:pPr>
            <w:r w:rsidDel="00000000" w:rsidR="00000000" w:rsidRPr="00000000">
              <w:rPr>
                <w:rtl w:val="0"/>
              </w:rPr>
              <w:t xml:space="preserve">Jusqu’à abrogation ou modification.</w:t>
            </w:r>
          </w:p>
        </w:tc>
        <w:tc>
          <w:tcPr>
            <w:vAlign w:val="center"/>
          </w:tcPr>
          <w:p w:rsidR="00000000" w:rsidDel="00000000" w:rsidP="00000000" w:rsidRDefault="00000000" w:rsidRPr="00000000" w14:paraId="00000392">
            <w:pPr>
              <w:rPr/>
            </w:pPr>
            <w:r w:rsidDel="00000000" w:rsidR="00000000" w:rsidRPr="00000000">
              <w:rPr>
                <w:rtl w:val="0"/>
              </w:rPr>
              <w:t xml:space="preserve">Signature ministérielle.</w:t>
            </w:r>
          </w:p>
        </w:tc>
        <w:tc>
          <w:tcPr>
            <w:vAlign w:val="center"/>
          </w:tcPr>
          <w:p w:rsidR="00000000" w:rsidDel="00000000" w:rsidP="00000000" w:rsidRDefault="00000000" w:rsidRPr="00000000" w14:paraId="00000393">
            <w:pPr>
              <w:rPr/>
            </w:pPr>
            <w:r w:rsidDel="00000000" w:rsidR="00000000" w:rsidRPr="00000000">
              <w:rPr>
                <w:rtl w:val="0"/>
              </w:rPr>
              <w:t xml:space="preserve">Sous les décrets, au-dessus des circulaires.</w:t>
            </w:r>
          </w:p>
        </w:tc>
        <w:tc>
          <w:tcPr>
            <w:vAlign w:val="center"/>
          </w:tcPr>
          <w:p w:rsidR="00000000" w:rsidDel="00000000" w:rsidP="00000000" w:rsidRDefault="00000000" w:rsidRPr="00000000" w14:paraId="00000394">
            <w:pPr>
              <w:rPr/>
            </w:pPr>
            <w:r w:rsidDel="00000000" w:rsidR="00000000" w:rsidRPr="00000000">
              <w:rPr>
                <w:rtl w:val="0"/>
              </w:rPr>
              <w:t xml:space="preserve">Champs définis (secteur BTP, normalisation, contrôle qualité).</w:t>
            </w:r>
          </w:p>
        </w:tc>
      </w:tr>
      <w:tr>
        <w:trPr>
          <w:cantSplit w:val="0"/>
          <w:tblHeader w:val="0"/>
        </w:trPr>
        <w:tc>
          <w:tcPr>
            <w:vAlign w:val="center"/>
          </w:tcPr>
          <w:p w:rsidR="00000000" w:rsidDel="00000000" w:rsidP="00000000" w:rsidRDefault="00000000" w:rsidRPr="00000000" w14:paraId="00000395">
            <w:pPr>
              <w:rPr/>
            </w:pPr>
            <w:r w:rsidDel="00000000" w:rsidR="00000000" w:rsidRPr="00000000">
              <w:rPr>
                <w:rtl w:val="0"/>
              </w:rPr>
              <w:t xml:space="preserve">Circulaire / Instruction</w:t>
            </w:r>
          </w:p>
        </w:tc>
        <w:tc>
          <w:tcPr>
            <w:vAlign w:val="center"/>
          </w:tcPr>
          <w:p w:rsidR="00000000" w:rsidDel="00000000" w:rsidP="00000000" w:rsidRDefault="00000000" w:rsidRPr="00000000" w14:paraId="00000396">
            <w:pPr>
              <w:rPr/>
            </w:pPr>
            <w:r w:rsidDel="00000000" w:rsidR="00000000" w:rsidRPr="00000000">
              <w:rPr>
                <w:rtl w:val="0"/>
              </w:rPr>
              <w:t xml:space="preserve">Texte interne explicatif précisant les modalités d’application d’une loi ou d’un décret, adressé aux services. [</w:t>
            </w:r>
            <w:hyperlink r:id="rId195">
              <w:r w:rsidDel="00000000" w:rsidR="00000000" w:rsidRPr="00000000">
                <w:rPr>
                  <w:color w:val="0000ff"/>
                  <w:u w:val="single"/>
                  <w:rtl w:val="0"/>
                </w:rPr>
                <w:t xml:space="preserve">icao</w:t>
              </w:r>
            </w:hyperlink>
            <w:r w:rsidDel="00000000" w:rsidR="00000000" w:rsidRPr="00000000">
              <w:rPr>
                <w:rtl w:val="0"/>
              </w:rPr>
              <w:t xml:space="preserve">]</w:t>
            </w:r>
          </w:p>
        </w:tc>
        <w:tc>
          <w:tcPr>
            <w:vAlign w:val="center"/>
          </w:tcPr>
          <w:p w:rsidR="00000000" w:rsidDel="00000000" w:rsidP="00000000" w:rsidRDefault="00000000" w:rsidRPr="00000000" w14:paraId="00000397">
            <w:pPr>
              <w:rPr/>
            </w:pPr>
            <w:r w:rsidDel="00000000" w:rsidR="00000000" w:rsidRPr="00000000">
              <w:rPr>
                <w:rtl w:val="0"/>
              </w:rPr>
              <w:t xml:space="preserve">Interpréter, préciser les instructions pour les services déconcentrés.</w:t>
            </w:r>
          </w:p>
        </w:tc>
        <w:tc>
          <w:tcPr>
            <w:vAlign w:val="center"/>
          </w:tcPr>
          <w:p w:rsidR="00000000" w:rsidDel="00000000" w:rsidP="00000000" w:rsidRDefault="00000000" w:rsidRPr="00000000" w14:paraId="00000398">
            <w:pPr>
              <w:rPr/>
            </w:pPr>
            <w:r w:rsidDel="00000000" w:rsidR="00000000" w:rsidRPr="00000000">
              <w:rPr>
                <w:rtl w:val="0"/>
              </w:rPr>
              <w:t xml:space="preserve">Ministre, Secrétaire général, Directeur général.</w:t>
            </w:r>
          </w:p>
        </w:tc>
        <w:tc>
          <w:tcPr>
            <w:vAlign w:val="center"/>
          </w:tcPr>
          <w:p w:rsidR="00000000" w:rsidDel="00000000" w:rsidP="00000000" w:rsidRDefault="00000000" w:rsidRPr="00000000" w14:paraId="00000399">
            <w:pPr>
              <w:rPr/>
            </w:pPr>
            <w:r w:rsidDel="00000000" w:rsidR="00000000" w:rsidRPr="00000000">
              <w:rPr>
                <w:rtl w:val="0"/>
              </w:rPr>
              <w:t xml:space="preserve">Consignes internes, interprétations, procédures de travail.</w:t>
            </w:r>
          </w:p>
        </w:tc>
        <w:tc>
          <w:tcPr>
            <w:vAlign w:val="center"/>
          </w:tcPr>
          <w:p w:rsidR="00000000" w:rsidDel="00000000" w:rsidP="00000000" w:rsidRDefault="00000000" w:rsidRPr="00000000" w14:paraId="0000039A">
            <w:pPr>
              <w:rPr/>
            </w:pPr>
            <w:r w:rsidDel="00000000" w:rsidR="00000000" w:rsidRPr="00000000">
              <w:rPr>
                <w:rtl w:val="0"/>
              </w:rPr>
              <w:t xml:space="preserve">Variable, jusqu’à annulation ou remplacement.</w:t>
            </w:r>
          </w:p>
        </w:tc>
        <w:tc>
          <w:tcPr>
            <w:vAlign w:val="center"/>
          </w:tcPr>
          <w:p w:rsidR="00000000" w:rsidDel="00000000" w:rsidP="00000000" w:rsidRDefault="00000000" w:rsidRPr="00000000" w14:paraId="0000039B">
            <w:pPr>
              <w:rPr/>
            </w:pPr>
            <w:r w:rsidDel="00000000" w:rsidR="00000000" w:rsidRPr="00000000">
              <w:rPr>
                <w:rtl w:val="0"/>
              </w:rPr>
              <w:t xml:space="preserve">Décision administrative interne.</w:t>
            </w:r>
          </w:p>
        </w:tc>
        <w:tc>
          <w:tcPr>
            <w:vAlign w:val="center"/>
          </w:tcPr>
          <w:p w:rsidR="00000000" w:rsidDel="00000000" w:rsidP="00000000" w:rsidRDefault="00000000" w:rsidRPr="00000000" w14:paraId="0000039C">
            <w:pPr>
              <w:rPr/>
            </w:pPr>
            <w:r w:rsidDel="00000000" w:rsidR="00000000" w:rsidRPr="00000000">
              <w:rPr>
                <w:rtl w:val="0"/>
              </w:rPr>
              <w:t xml:space="preserve">Inférieur à l’arrêté ; non réglementaire au sens strict.</w:t>
            </w:r>
          </w:p>
        </w:tc>
        <w:tc>
          <w:tcPr>
            <w:vAlign w:val="center"/>
          </w:tcPr>
          <w:p w:rsidR="00000000" w:rsidDel="00000000" w:rsidP="00000000" w:rsidRDefault="00000000" w:rsidRPr="00000000" w14:paraId="0000039D">
            <w:pPr>
              <w:rPr/>
            </w:pPr>
            <w:r w:rsidDel="00000000" w:rsidR="00000000" w:rsidRPr="00000000">
              <w:rPr>
                <w:rtl w:val="0"/>
              </w:rPr>
              <w:t xml:space="preserve">Services du ministère, parfois opérateurs économiques via l’administration.</w:t>
            </w:r>
          </w:p>
        </w:tc>
      </w:tr>
    </w:tbl>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 tableaux sont un canevas générique à adapter avec les références précises de la RDC (titres et numéros des lois sur la normalisation, les marchés publics, l’urbanisme, etc.).[</w:t>
      </w:r>
      <w:hyperlink r:id="rId19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leganet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35. Documents normatifs</w:t>
      </w:r>
    </w:p>
    <w:p w:rsidR="00000000" w:rsidDel="00000000" w:rsidP="00000000" w:rsidRDefault="00000000" w:rsidRPr="00000000" w14:paraId="000003A1">
      <w:pPr>
        <w:pStyle w:val="Heading2"/>
        <w:rPr/>
      </w:pPr>
      <w:r w:rsidDel="00000000" w:rsidR="00000000" w:rsidRPr="00000000">
        <w:rPr>
          <w:rtl w:val="0"/>
        </w:rPr>
        <w:t xml:space="preserve">35.1 Types de documents normatifs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reprend les catégories les plus fréquentes, en s’alignant sur les typologies ISO/IEC et CEN (normes, spécifications, rapports techniques, guides, méthodes d’essai, codes, fascicules, etc.).[</w:t>
      </w:r>
      <w:hyperlink r:id="rId19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cencenelec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 2 – Principaux documents normatifs du secteur Construction/BTP (RDC)</w:t>
      </w:r>
    </w:p>
    <w:tbl>
      <w:tblPr>
        <w:tblStyle w:val="Table2"/>
        <w:tblW w:w="9072.0" w:type="dxa"/>
        <w:jc w:val="left"/>
        <w:tblLayout w:type="fixed"/>
        <w:tblLook w:val="0400"/>
      </w:tblPr>
      <w:tblGrid>
        <w:gridCol w:w="795"/>
        <w:gridCol w:w="1314"/>
        <w:gridCol w:w="1314"/>
        <w:gridCol w:w="848"/>
        <w:gridCol w:w="967"/>
        <w:gridCol w:w="897"/>
        <w:gridCol w:w="788"/>
        <w:gridCol w:w="1314"/>
        <w:gridCol w:w="835"/>
        <w:tblGridChange w:id="0">
          <w:tblGrid>
            <w:gridCol w:w="795"/>
            <w:gridCol w:w="1314"/>
            <w:gridCol w:w="1314"/>
            <w:gridCol w:w="848"/>
            <w:gridCol w:w="967"/>
            <w:gridCol w:w="897"/>
            <w:gridCol w:w="788"/>
            <w:gridCol w:w="1314"/>
            <w:gridCol w:w="835"/>
          </w:tblGrid>
        </w:tblGridChange>
      </w:tblGrid>
      <w:tr>
        <w:trPr>
          <w:cantSplit w:val="0"/>
          <w:tblHeader w:val="1"/>
        </w:trPr>
        <w:tc>
          <w:tcPr>
            <w:vAlign w:val="center"/>
          </w:tcPr>
          <w:p w:rsidR="00000000" w:rsidDel="00000000" w:rsidP="00000000" w:rsidRDefault="00000000" w:rsidRPr="00000000" w14:paraId="000003A4">
            <w:pPr>
              <w:jc w:val="cente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3A5">
            <w:pPr>
              <w:jc w:val="center"/>
              <w:rPr>
                <w:b w:val="1"/>
                <w:bCs w:val="1"/>
              </w:rPr>
            </w:pPr>
            <w:r w:rsidDel="00000000" w:rsidR="00000000" w:rsidRPr="00000000">
              <w:rPr>
                <w:b w:val="1"/>
                <w:bCs w:val="1"/>
                <w:rtl w:val="0"/>
              </w:rPr>
              <w:t xml:space="preserve">Définition</w:t>
            </w:r>
          </w:p>
        </w:tc>
        <w:tc>
          <w:tcPr>
            <w:vAlign w:val="cente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Objectif</w:t>
            </w:r>
          </w:p>
        </w:tc>
        <w:tc>
          <w:tcPr>
            <w:vAlign w:val="center"/>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Autorité compétente</w:t>
            </w:r>
          </w:p>
        </w:tc>
        <w:tc>
          <w:tcPr>
            <w:vAlign w:val="center"/>
          </w:tcPr>
          <w:p w:rsidR="00000000" w:rsidDel="00000000" w:rsidP="00000000" w:rsidRDefault="00000000" w:rsidRPr="00000000" w14:paraId="000003A8">
            <w:pPr>
              <w:jc w:val="center"/>
              <w:rPr>
                <w:b w:val="1"/>
                <w:bCs w:val="1"/>
              </w:rPr>
            </w:pPr>
            <w:r w:rsidDel="00000000" w:rsidR="00000000" w:rsidRPr="00000000">
              <w:rPr>
                <w:b w:val="1"/>
                <w:bCs w:val="1"/>
                <w:rtl w:val="0"/>
              </w:rPr>
              <w:t xml:space="preserve">Contenu / structure</w:t>
            </w:r>
          </w:p>
        </w:tc>
        <w:tc>
          <w:tcPr>
            <w:vAlign w:val="center"/>
          </w:tcPr>
          <w:p w:rsidR="00000000" w:rsidDel="00000000" w:rsidP="00000000" w:rsidRDefault="00000000" w:rsidRPr="00000000" w14:paraId="000003A9">
            <w:pPr>
              <w:jc w:val="center"/>
              <w:rPr>
                <w:b w:val="1"/>
                <w:bCs w:val="1"/>
              </w:rPr>
            </w:pPr>
            <w:r w:rsidDel="00000000" w:rsidR="00000000" w:rsidRPr="00000000">
              <w:rPr>
                <w:b w:val="1"/>
                <w:bCs w:val="1"/>
                <w:rtl w:val="0"/>
              </w:rPr>
              <w:t xml:space="preserve">Durée de validité</w:t>
            </w:r>
          </w:p>
        </w:tc>
        <w:tc>
          <w:tcPr>
            <w:vAlign w:val="center"/>
          </w:tcPr>
          <w:p w:rsidR="00000000" w:rsidDel="00000000" w:rsidP="00000000" w:rsidRDefault="00000000" w:rsidRPr="00000000" w14:paraId="000003AA">
            <w:pPr>
              <w:jc w:val="center"/>
              <w:rPr>
                <w:b w:val="1"/>
                <w:bCs w:val="1"/>
              </w:rPr>
            </w:pPr>
            <w:r w:rsidDel="00000000" w:rsidR="00000000" w:rsidRPr="00000000">
              <w:rPr>
                <w:b w:val="1"/>
                <w:bCs w:val="1"/>
                <w:rtl w:val="0"/>
              </w:rPr>
              <w:t xml:space="preserve">Mode de validation</w:t>
            </w:r>
          </w:p>
        </w:tc>
        <w:tc>
          <w:tcPr>
            <w:vAlign w:val="center"/>
          </w:tcPr>
          <w:p w:rsidR="00000000" w:rsidDel="00000000" w:rsidP="00000000" w:rsidRDefault="00000000" w:rsidRPr="00000000" w14:paraId="000003AB">
            <w:pPr>
              <w:jc w:val="center"/>
              <w:rPr>
                <w:b w:val="1"/>
                <w:bCs w:val="1"/>
              </w:rPr>
            </w:pPr>
            <w:r w:rsidDel="00000000" w:rsidR="00000000" w:rsidRPr="00000000">
              <w:rPr>
                <w:b w:val="1"/>
                <w:bCs w:val="1"/>
                <w:rtl w:val="0"/>
              </w:rPr>
              <w:t xml:space="preserve">Niveau</w:t>
            </w:r>
          </w:p>
        </w:tc>
        <w:tc>
          <w:tcPr>
            <w:vAlign w:val="center"/>
          </w:tcPr>
          <w:p w:rsidR="00000000" w:rsidDel="00000000" w:rsidP="00000000" w:rsidRDefault="00000000" w:rsidRPr="00000000" w14:paraId="000003AC">
            <w:pPr>
              <w:jc w:val="center"/>
              <w:rPr>
                <w:b w:val="1"/>
                <w:bCs w:val="1"/>
              </w:rPr>
            </w:pPr>
            <w:r w:rsidDel="00000000" w:rsidR="00000000" w:rsidRPr="00000000">
              <w:rPr>
                <w:b w:val="1"/>
                <w:bCs w:val="1"/>
                <w:rtl w:val="0"/>
              </w:rPr>
              <w:t xml:space="preserve">Champ d’application</w:t>
            </w:r>
          </w:p>
        </w:tc>
      </w:tr>
      <w:tr>
        <w:trPr>
          <w:cantSplit w:val="0"/>
          <w:tblHeader w:val="0"/>
        </w:trPr>
        <w:tc>
          <w:tcPr>
            <w:vAlign w:val="center"/>
          </w:tcPr>
          <w:p w:rsidR="00000000" w:rsidDel="00000000" w:rsidP="00000000" w:rsidRDefault="00000000" w:rsidRPr="00000000" w14:paraId="000003AD">
            <w:pPr>
              <w:rPr/>
            </w:pPr>
            <w:r w:rsidDel="00000000" w:rsidR="00000000" w:rsidRPr="00000000">
              <w:rPr>
                <w:rtl w:val="0"/>
              </w:rPr>
              <w:t xml:space="preserve">Norme nationale (NC-RDC-BTP)</w:t>
            </w:r>
          </w:p>
        </w:tc>
        <w:tc>
          <w:tcPr>
            <w:vAlign w:val="center"/>
          </w:tcPr>
          <w:p w:rsidR="00000000" w:rsidDel="00000000" w:rsidP="00000000" w:rsidRDefault="00000000" w:rsidRPr="00000000" w14:paraId="000003AE">
            <w:pPr>
              <w:rPr/>
            </w:pPr>
            <w:r w:rsidDel="00000000" w:rsidR="00000000" w:rsidRPr="00000000">
              <w:rPr>
                <w:rtl w:val="0"/>
              </w:rPr>
              <w:t xml:space="preserve">Document établi par consensus et approuvé par l’organisme national de normalisation, fournissant des règles, lignes directrices ou caractéristiques pour des activités ou leurs résultats. [</w:t>
            </w:r>
            <w:hyperlink r:id="rId198">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AF">
            <w:pPr>
              <w:rPr/>
            </w:pPr>
            <w:r w:rsidDel="00000000" w:rsidR="00000000" w:rsidRPr="00000000">
              <w:rPr>
                <w:rtl w:val="0"/>
              </w:rPr>
              <w:t xml:space="preserve">Harmoniser les exigences techniques, garantir la qualité, faciliter les échanges et la sécurité.</w:t>
            </w:r>
          </w:p>
        </w:tc>
        <w:tc>
          <w:tcPr>
            <w:vAlign w:val="center"/>
          </w:tcPr>
          <w:p w:rsidR="00000000" w:rsidDel="00000000" w:rsidP="00000000" w:rsidRDefault="00000000" w:rsidRPr="00000000" w14:paraId="000003B0">
            <w:pPr>
              <w:rPr/>
            </w:pPr>
            <w:r w:rsidDel="00000000" w:rsidR="00000000" w:rsidRPr="00000000">
              <w:rPr>
                <w:rtl w:val="0"/>
              </w:rPr>
              <w:t xml:space="preserve">Organisme national de normalisation, sur proposition de la Commission nationale et approbation de l’autorité de tutelle. [</w:t>
            </w:r>
            <w:hyperlink r:id="rId199">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B1">
            <w:pPr>
              <w:rPr/>
            </w:pPr>
            <w:r w:rsidDel="00000000" w:rsidR="00000000" w:rsidRPr="00000000">
              <w:rPr>
                <w:rtl w:val="0"/>
              </w:rPr>
              <w:t xml:space="preserve">Structure ISO/IEC Part 2 : Domaine d’application, Références, Termes, Exigences, Méthodes d’essai, Annexes, Annexes nationales (si adoption). [</w:t>
            </w:r>
            <w:hyperlink r:id="rId200">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B2">
            <w:pPr>
              <w:rPr/>
            </w:pPr>
            <w:r w:rsidDel="00000000" w:rsidR="00000000" w:rsidRPr="00000000">
              <w:rPr>
                <w:rtl w:val="0"/>
              </w:rPr>
              <w:t xml:space="preserve">Soumise à révision périodique (généralement 5 ans). [</w:t>
            </w:r>
            <w:hyperlink r:id="rId201">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B3">
            <w:pPr>
              <w:rPr/>
            </w:pPr>
            <w:r w:rsidDel="00000000" w:rsidR="00000000" w:rsidRPr="00000000">
              <w:rPr>
                <w:rtl w:val="0"/>
              </w:rPr>
              <w:t xml:space="preserve">Procédure de normalisation (identification, enquête, vote, adoption). [</w:t>
            </w:r>
            <w:hyperlink r:id="rId202">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B4">
            <w:pPr>
              <w:rPr/>
            </w:pPr>
            <w:r w:rsidDel="00000000" w:rsidR="00000000" w:rsidRPr="00000000">
              <w:rPr>
                <w:rtl w:val="0"/>
              </w:rPr>
              <w:t xml:space="preserve">Inférieur à la loi, mais peut devenir obligatoire si référencée dans un texte juridique ou un cahier des charges.</w:t>
            </w:r>
          </w:p>
        </w:tc>
        <w:tc>
          <w:tcPr>
            <w:vAlign w:val="center"/>
          </w:tcPr>
          <w:p w:rsidR="00000000" w:rsidDel="00000000" w:rsidP="00000000" w:rsidRDefault="00000000" w:rsidRPr="00000000" w14:paraId="000003B5">
            <w:pPr>
              <w:rPr/>
            </w:pPr>
            <w:r w:rsidDel="00000000" w:rsidR="00000000" w:rsidRPr="00000000">
              <w:rPr>
                <w:rtl w:val="0"/>
              </w:rPr>
              <w:t xml:space="preserve">Secteur BTP au sens large, selon le champ de la norme.</w:t>
            </w:r>
          </w:p>
        </w:tc>
      </w:tr>
      <w:tr>
        <w:trPr>
          <w:cantSplit w:val="0"/>
          <w:tblHeader w:val="0"/>
        </w:trPr>
        <w:tc>
          <w:tcPr>
            <w:vAlign w:val="center"/>
          </w:tcPr>
          <w:p w:rsidR="00000000" w:rsidDel="00000000" w:rsidP="00000000" w:rsidRDefault="00000000" w:rsidRPr="00000000" w14:paraId="000003B6">
            <w:pPr>
              <w:rPr/>
            </w:pPr>
            <w:r w:rsidDel="00000000" w:rsidR="00000000" w:rsidRPr="00000000">
              <w:rPr>
                <w:rtl w:val="0"/>
              </w:rPr>
              <w:t xml:space="preserve">Norme sectorielle</w:t>
            </w:r>
          </w:p>
        </w:tc>
        <w:tc>
          <w:tcPr>
            <w:vAlign w:val="center"/>
          </w:tcPr>
          <w:p w:rsidR="00000000" w:rsidDel="00000000" w:rsidP="00000000" w:rsidRDefault="00000000" w:rsidRPr="00000000" w14:paraId="000003B7">
            <w:pPr>
              <w:rPr/>
            </w:pPr>
            <w:r w:rsidDel="00000000" w:rsidR="00000000" w:rsidRPr="00000000">
              <w:rPr>
                <w:rtl w:val="0"/>
              </w:rPr>
              <w:t xml:space="preserve">Norme nationale limitée à un sous-secteur (ex. « Normes routières », « Normes bâtiments »).</w:t>
            </w:r>
          </w:p>
        </w:tc>
        <w:tc>
          <w:tcPr>
            <w:vAlign w:val="center"/>
          </w:tcPr>
          <w:p w:rsidR="00000000" w:rsidDel="00000000" w:rsidP="00000000" w:rsidRDefault="00000000" w:rsidRPr="00000000" w14:paraId="000003B8">
            <w:pPr>
              <w:rPr/>
            </w:pPr>
            <w:r w:rsidDel="00000000" w:rsidR="00000000" w:rsidRPr="00000000">
              <w:rPr>
                <w:rtl w:val="0"/>
              </w:rPr>
              <w:t xml:space="preserve">Définir un cadre cohérent pour un sous-secteur spécifique.</w:t>
            </w:r>
          </w:p>
        </w:tc>
        <w:tc>
          <w:tcPr>
            <w:vAlign w:val="center"/>
          </w:tcPr>
          <w:p w:rsidR="00000000" w:rsidDel="00000000" w:rsidP="00000000" w:rsidRDefault="00000000" w:rsidRPr="00000000" w14:paraId="000003B9">
            <w:pPr>
              <w:rPr/>
            </w:pPr>
            <w:r w:rsidDel="00000000" w:rsidR="00000000" w:rsidRPr="00000000">
              <w:rPr>
                <w:rtl w:val="0"/>
              </w:rPr>
              <w:t xml:space="preserve">Commission nationale sectorielle + organisme national de normalisation.</w:t>
            </w:r>
          </w:p>
        </w:tc>
        <w:tc>
          <w:tcPr>
            <w:vAlign w:val="center"/>
          </w:tcPr>
          <w:p w:rsidR="00000000" w:rsidDel="00000000" w:rsidP="00000000" w:rsidRDefault="00000000" w:rsidRPr="00000000" w14:paraId="000003BA">
            <w:pPr>
              <w:rPr/>
            </w:pPr>
            <w:r w:rsidDel="00000000" w:rsidR="00000000" w:rsidRPr="00000000">
              <w:rPr>
                <w:rtl w:val="0"/>
              </w:rPr>
              <w:t xml:space="preserve">Même structure qu’une norme nationale, souvent regroupée en séries (ex. série NC-RDC-R1 pour les routes).</w:t>
            </w:r>
          </w:p>
        </w:tc>
        <w:tc>
          <w:tcPr>
            <w:vAlign w:val="center"/>
          </w:tcPr>
          <w:p w:rsidR="00000000" w:rsidDel="00000000" w:rsidP="00000000" w:rsidRDefault="00000000" w:rsidRPr="00000000" w14:paraId="000003BB">
            <w:pPr>
              <w:rPr/>
            </w:pPr>
            <w:r w:rsidDel="00000000" w:rsidR="00000000" w:rsidRPr="00000000">
              <w:rPr>
                <w:rtl w:val="0"/>
              </w:rPr>
              <w:t xml:space="preserve">Révision périodique.</w:t>
            </w:r>
          </w:p>
        </w:tc>
        <w:tc>
          <w:tcPr>
            <w:vAlign w:val="center"/>
          </w:tcPr>
          <w:p w:rsidR="00000000" w:rsidDel="00000000" w:rsidP="00000000" w:rsidRDefault="00000000" w:rsidRPr="00000000" w14:paraId="000003BC">
            <w:pPr>
              <w:rPr/>
            </w:pPr>
            <w:r w:rsidDel="00000000" w:rsidR="00000000" w:rsidRPr="00000000">
              <w:rPr>
                <w:rtl w:val="0"/>
              </w:rPr>
              <w:t xml:space="preserve">Idem norme nationale.</w:t>
            </w:r>
          </w:p>
        </w:tc>
        <w:tc>
          <w:tcPr>
            <w:vAlign w:val="center"/>
          </w:tcPr>
          <w:p w:rsidR="00000000" w:rsidDel="00000000" w:rsidP="00000000" w:rsidRDefault="00000000" w:rsidRPr="00000000" w14:paraId="000003BD">
            <w:pPr>
              <w:rPr/>
            </w:pPr>
            <w:r w:rsidDel="00000000" w:rsidR="00000000" w:rsidRPr="00000000">
              <w:rPr>
                <w:rtl w:val="0"/>
              </w:rPr>
              <w:t xml:space="preserve">Niveau identique, mais portée limitée à un secteur.</w:t>
            </w:r>
          </w:p>
        </w:tc>
        <w:tc>
          <w:tcPr>
            <w:vAlign w:val="center"/>
          </w:tcPr>
          <w:p w:rsidR="00000000" w:rsidDel="00000000" w:rsidP="00000000" w:rsidRDefault="00000000" w:rsidRPr="00000000" w14:paraId="000003BE">
            <w:pPr>
              <w:rPr/>
            </w:pPr>
            <w:r w:rsidDel="00000000" w:rsidR="00000000" w:rsidRPr="00000000">
              <w:rPr>
                <w:rtl w:val="0"/>
              </w:rPr>
              <w:t xml:space="preserve">Sous-secteur (routes, ponts, bâtiments, hydraulique).</w:t>
            </w:r>
          </w:p>
        </w:tc>
      </w:tr>
      <w:tr>
        <w:trPr>
          <w:cantSplit w:val="0"/>
          <w:tblHeader w:val="0"/>
        </w:trPr>
        <w:tc>
          <w:tcPr>
            <w:vAlign w:val="center"/>
          </w:tcPr>
          <w:p w:rsidR="00000000" w:rsidDel="00000000" w:rsidP="00000000" w:rsidRDefault="00000000" w:rsidRPr="00000000" w14:paraId="000003BF">
            <w:pPr>
              <w:rPr/>
            </w:pPr>
            <w:r w:rsidDel="00000000" w:rsidR="00000000" w:rsidRPr="00000000">
              <w:rPr>
                <w:rtl w:val="0"/>
              </w:rPr>
              <w:t xml:space="preserve">Norme expérimentale</w:t>
            </w:r>
          </w:p>
        </w:tc>
        <w:tc>
          <w:tcPr>
            <w:vAlign w:val="center"/>
          </w:tcPr>
          <w:p w:rsidR="00000000" w:rsidDel="00000000" w:rsidP="00000000" w:rsidRDefault="00000000" w:rsidRPr="00000000" w14:paraId="000003C0">
            <w:pPr>
              <w:rPr/>
            </w:pPr>
            <w:r w:rsidDel="00000000" w:rsidR="00000000" w:rsidRPr="00000000">
              <w:rPr>
                <w:rtl w:val="0"/>
              </w:rPr>
              <w:t xml:space="preserve">Norme nationale à caractère provisoire pour tester de nouvelles approches ou technologies.</w:t>
            </w:r>
          </w:p>
        </w:tc>
        <w:tc>
          <w:tcPr>
            <w:vAlign w:val="center"/>
          </w:tcPr>
          <w:p w:rsidR="00000000" w:rsidDel="00000000" w:rsidP="00000000" w:rsidRDefault="00000000" w:rsidRPr="00000000" w14:paraId="000003C1">
            <w:pPr>
              <w:rPr/>
            </w:pPr>
            <w:r w:rsidDel="00000000" w:rsidR="00000000" w:rsidRPr="00000000">
              <w:rPr>
                <w:rtl w:val="0"/>
              </w:rPr>
              <w:t xml:space="preserve">Permettre l’expérimentation encadrée avant adoption comme norme définitive.</w:t>
            </w:r>
          </w:p>
        </w:tc>
        <w:tc>
          <w:tcPr>
            <w:vAlign w:val="center"/>
          </w:tcPr>
          <w:p w:rsidR="00000000" w:rsidDel="00000000" w:rsidP="00000000" w:rsidRDefault="00000000" w:rsidRPr="00000000" w14:paraId="000003C2">
            <w:pPr>
              <w:rPr/>
            </w:pPr>
            <w:r w:rsidDel="00000000" w:rsidR="00000000" w:rsidRPr="00000000">
              <w:rPr>
                <w:rtl w:val="0"/>
              </w:rPr>
              <w:t xml:space="preserve">Organisme national de normalisation, sur proposition de la Commission nationale.</w:t>
            </w:r>
          </w:p>
        </w:tc>
        <w:tc>
          <w:tcPr>
            <w:vAlign w:val="center"/>
          </w:tcPr>
          <w:p w:rsidR="00000000" w:rsidDel="00000000" w:rsidP="00000000" w:rsidRDefault="00000000" w:rsidRPr="00000000" w14:paraId="000003C3">
            <w:pPr>
              <w:rPr/>
            </w:pPr>
            <w:r w:rsidDel="00000000" w:rsidR="00000000" w:rsidRPr="00000000">
              <w:rPr>
                <w:rtl w:val="0"/>
              </w:rPr>
              <w:t xml:space="preserve">Contient des avertissements sur le caractère expérimental, clauses de révision accélérée.</w:t>
            </w:r>
          </w:p>
        </w:tc>
        <w:tc>
          <w:tcPr>
            <w:vAlign w:val="center"/>
          </w:tcPr>
          <w:p w:rsidR="00000000" w:rsidDel="00000000" w:rsidP="00000000" w:rsidRDefault="00000000" w:rsidRPr="00000000" w14:paraId="000003C4">
            <w:pPr>
              <w:rPr/>
            </w:pPr>
            <w:r w:rsidDel="00000000" w:rsidR="00000000" w:rsidRPr="00000000">
              <w:rPr>
                <w:rtl w:val="0"/>
              </w:rPr>
              <w:t xml:space="preserve">Durée limitée (ex. 3 ans), réexamen obligatoire.</w:t>
            </w:r>
          </w:p>
        </w:tc>
        <w:tc>
          <w:tcPr>
            <w:vAlign w:val="center"/>
          </w:tcPr>
          <w:p w:rsidR="00000000" w:rsidDel="00000000" w:rsidP="00000000" w:rsidRDefault="00000000" w:rsidRPr="00000000" w14:paraId="000003C5">
            <w:pPr>
              <w:rPr/>
            </w:pPr>
            <w:r w:rsidDel="00000000" w:rsidR="00000000" w:rsidRPr="00000000">
              <w:rPr>
                <w:rtl w:val="0"/>
              </w:rPr>
              <w:t xml:space="preserve">Procédure spécifique avec clause d’essai en vraie grandeur.</w:t>
            </w:r>
          </w:p>
        </w:tc>
        <w:tc>
          <w:tcPr>
            <w:vAlign w:val="center"/>
          </w:tcPr>
          <w:p w:rsidR="00000000" w:rsidDel="00000000" w:rsidP="00000000" w:rsidRDefault="00000000" w:rsidRPr="00000000" w14:paraId="000003C6">
            <w:pPr>
              <w:rPr/>
            </w:pPr>
            <w:r w:rsidDel="00000000" w:rsidR="00000000" w:rsidRPr="00000000">
              <w:rPr>
                <w:rtl w:val="0"/>
              </w:rPr>
              <w:t xml:space="preserve">Inférieur à la loi, usage souvent recommandé ou limité à certains projets pilotes.</w:t>
            </w:r>
          </w:p>
        </w:tc>
        <w:tc>
          <w:tcPr>
            <w:vAlign w:val="center"/>
          </w:tcPr>
          <w:p w:rsidR="00000000" w:rsidDel="00000000" w:rsidP="00000000" w:rsidRDefault="00000000" w:rsidRPr="00000000" w14:paraId="000003C7">
            <w:pPr>
              <w:rPr/>
            </w:pPr>
            <w:r w:rsidDel="00000000" w:rsidR="00000000" w:rsidRPr="00000000">
              <w:rPr>
                <w:rtl w:val="0"/>
              </w:rPr>
              <w:t xml:space="preserve">Projets d’innovation (nouveaux matériaux, techniques).</w:t>
            </w:r>
          </w:p>
        </w:tc>
      </w:tr>
      <w:tr>
        <w:trPr>
          <w:cantSplit w:val="0"/>
          <w:tblHeader w:val="0"/>
        </w:trPr>
        <w:tc>
          <w:tcPr>
            <w:vAlign w:val="center"/>
          </w:tcPr>
          <w:p w:rsidR="00000000" w:rsidDel="00000000" w:rsidP="00000000" w:rsidRDefault="00000000" w:rsidRPr="00000000" w14:paraId="000003C8">
            <w:pPr>
              <w:rPr/>
            </w:pPr>
            <w:r w:rsidDel="00000000" w:rsidR="00000000" w:rsidRPr="00000000">
              <w:rPr>
                <w:rtl w:val="0"/>
              </w:rPr>
              <w:t xml:space="preserve">Spécification technique</w:t>
            </w:r>
          </w:p>
        </w:tc>
        <w:tc>
          <w:tcPr>
            <w:vAlign w:val="center"/>
          </w:tcPr>
          <w:p w:rsidR="00000000" w:rsidDel="00000000" w:rsidP="00000000" w:rsidRDefault="00000000" w:rsidRPr="00000000" w14:paraId="000003C9">
            <w:pPr>
              <w:rPr/>
            </w:pPr>
            <w:r w:rsidDel="00000000" w:rsidR="00000000" w:rsidRPr="00000000">
              <w:rPr>
                <w:rtl w:val="0"/>
              </w:rPr>
              <w:t xml:space="preserve">Document normatif qui prescrit des exigences techniques détaillées pour des produits, matériaux ou procédés. [</w:t>
            </w:r>
            <w:hyperlink r:id="rId203">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CA">
            <w:pPr>
              <w:rPr/>
            </w:pPr>
            <w:r w:rsidDel="00000000" w:rsidR="00000000" w:rsidRPr="00000000">
              <w:rPr>
                <w:rtl w:val="0"/>
              </w:rPr>
              <w:t xml:space="preserve">Soutenir les cahiers des charges, faciliter la rédaction des marchés publics. [</w:t>
            </w:r>
            <w:hyperlink r:id="rId204">
              <w:r w:rsidDel="00000000" w:rsidR="00000000" w:rsidRPr="00000000">
                <w:rPr>
                  <w:color w:val="0000ff"/>
                  <w:u w:val="single"/>
                  <w:rtl w:val="0"/>
                </w:rPr>
                <w:t xml:space="preserve">documents1.worldbank</w:t>
              </w:r>
            </w:hyperlink>
            <w:r w:rsidDel="00000000" w:rsidR="00000000" w:rsidRPr="00000000">
              <w:rPr>
                <w:rtl w:val="0"/>
              </w:rPr>
              <w:t xml:space="preserve">]</w:t>
            </w:r>
          </w:p>
        </w:tc>
        <w:tc>
          <w:tcPr>
            <w:vAlign w:val="center"/>
          </w:tcPr>
          <w:p w:rsidR="00000000" w:rsidDel="00000000" w:rsidP="00000000" w:rsidRDefault="00000000" w:rsidRPr="00000000" w14:paraId="000003CB">
            <w:pPr>
              <w:rPr/>
            </w:pPr>
            <w:r w:rsidDel="00000000" w:rsidR="00000000" w:rsidRPr="00000000">
              <w:rPr>
                <w:rtl w:val="0"/>
              </w:rPr>
              <w:t xml:space="preserve">Commission nationale, éventuellement liée au code des marchés publics. [</w:t>
            </w:r>
            <w:hyperlink r:id="rId205">
              <w:r w:rsidDel="00000000" w:rsidR="00000000" w:rsidRPr="00000000">
                <w:rPr>
                  <w:color w:val="0000ff"/>
                  <w:u w:val="single"/>
                  <w:rtl w:val="0"/>
                </w:rPr>
                <w:t xml:space="preserve">fr.scribd</w:t>
              </w:r>
            </w:hyperlink>
            <w:r w:rsidDel="00000000" w:rsidR="00000000" w:rsidRPr="00000000">
              <w:rPr>
                <w:rtl w:val="0"/>
              </w:rPr>
              <w:t xml:space="preserve">]</w:t>
            </w:r>
          </w:p>
        </w:tc>
        <w:tc>
          <w:tcPr>
            <w:vAlign w:val="center"/>
          </w:tcPr>
          <w:p w:rsidR="00000000" w:rsidDel="00000000" w:rsidP="00000000" w:rsidRDefault="00000000" w:rsidRPr="00000000" w14:paraId="000003CC">
            <w:pPr>
              <w:rPr/>
            </w:pPr>
            <w:r w:rsidDel="00000000" w:rsidR="00000000" w:rsidRPr="00000000">
              <w:rPr>
                <w:rtl w:val="0"/>
              </w:rPr>
              <w:t xml:space="preserve">Exigences chiffrées, tableaux de performance, méthodes de contrôle.</w:t>
            </w:r>
          </w:p>
        </w:tc>
        <w:tc>
          <w:tcPr>
            <w:vAlign w:val="center"/>
          </w:tcPr>
          <w:p w:rsidR="00000000" w:rsidDel="00000000" w:rsidP="00000000" w:rsidRDefault="00000000" w:rsidRPr="00000000" w14:paraId="000003CD">
            <w:pPr>
              <w:rPr/>
            </w:pPr>
            <w:r w:rsidDel="00000000" w:rsidR="00000000" w:rsidRPr="00000000">
              <w:rPr>
                <w:rtl w:val="0"/>
              </w:rPr>
              <w:t xml:space="preserve">Révision périodique ou à la demande.</w:t>
            </w:r>
          </w:p>
        </w:tc>
        <w:tc>
          <w:tcPr>
            <w:vAlign w:val="center"/>
          </w:tcPr>
          <w:p w:rsidR="00000000" w:rsidDel="00000000" w:rsidP="00000000" w:rsidRDefault="00000000" w:rsidRPr="00000000" w14:paraId="000003CE">
            <w:pPr>
              <w:rPr/>
            </w:pPr>
            <w:r w:rsidDel="00000000" w:rsidR="00000000" w:rsidRPr="00000000">
              <w:rPr>
                <w:rtl w:val="0"/>
              </w:rPr>
              <w:t xml:space="preserve">Approche plus souple que la norme, parfois annexée aux CCAG/CCAP.</w:t>
            </w:r>
          </w:p>
        </w:tc>
        <w:tc>
          <w:tcPr>
            <w:vAlign w:val="center"/>
          </w:tcPr>
          <w:p w:rsidR="00000000" w:rsidDel="00000000" w:rsidP="00000000" w:rsidRDefault="00000000" w:rsidRPr="00000000" w14:paraId="000003CF">
            <w:pPr>
              <w:rPr/>
            </w:pPr>
            <w:r w:rsidDel="00000000" w:rsidR="00000000" w:rsidRPr="00000000">
              <w:rPr>
                <w:rtl w:val="0"/>
              </w:rPr>
              <w:t xml:space="preserve">Normatif, mais peut être rendu obligatoire par référence.</w:t>
            </w:r>
          </w:p>
        </w:tc>
        <w:tc>
          <w:tcPr>
            <w:vAlign w:val="center"/>
          </w:tcPr>
          <w:p w:rsidR="00000000" w:rsidDel="00000000" w:rsidP="00000000" w:rsidRDefault="00000000" w:rsidRPr="00000000" w14:paraId="000003D0">
            <w:pPr>
              <w:rPr/>
            </w:pPr>
            <w:r w:rsidDel="00000000" w:rsidR="00000000" w:rsidRPr="00000000">
              <w:rPr>
                <w:rtl w:val="0"/>
              </w:rPr>
              <w:t xml:space="preserve">Couches de chaussée, blocs de béton, aciers, etc.</w:t>
            </w:r>
          </w:p>
        </w:tc>
      </w:tr>
      <w:tr>
        <w:trPr>
          <w:cantSplit w:val="0"/>
          <w:tblHeader w:val="0"/>
        </w:trPr>
        <w:tc>
          <w:tcPr>
            <w:vAlign w:val="center"/>
          </w:tcPr>
          <w:p w:rsidR="00000000" w:rsidDel="00000000" w:rsidP="00000000" w:rsidRDefault="00000000" w:rsidRPr="00000000" w14:paraId="000003D1">
            <w:pPr>
              <w:rPr/>
            </w:pPr>
            <w:r w:rsidDel="00000000" w:rsidR="00000000" w:rsidRPr="00000000">
              <w:rPr>
                <w:rtl w:val="0"/>
              </w:rPr>
              <w:t xml:space="preserve">Rapport technique</w:t>
            </w:r>
          </w:p>
        </w:tc>
        <w:tc>
          <w:tcPr>
            <w:vAlign w:val="center"/>
          </w:tcPr>
          <w:p w:rsidR="00000000" w:rsidDel="00000000" w:rsidP="00000000" w:rsidRDefault="00000000" w:rsidRPr="00000000" w14:paraId="000003D2">
            <w:pPr>
              <w:rPr/>
            </w:pPr>
            <w:r w:rsidDel="00000000" w:rsidR="00000000" w:rsidRPr="00000000">
              <w:rPr>
                <w:rtl w:val="0"/>
              </w:rPr>
              <w:t xml:space="preserve">Document d’information technique (état de l’art, méthodes possibles) sans caractère prescriptif direct. [</w:t>
            </w:r>
            <w:hyperlink r:id="rId206">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D3">
            <w:pPr>
              <w:rPr/>
            </w:pPr>
            <w:r w:rsidDel="00000000" w:rsidR="00000000" w:rsidRPr="00000000">
              <w:rPr>
                <w:rtl w:val="0"/>
              </w:rPr>
              <w:t xml:space="preserve">Fournir des éléments de compréhension, des options techniques, des études comparatives.</w:t>
            </w:r>
          </w:p>
        </w:tc>
        <w:tc>
          <w:tcPr>
            <w:vAlign w:val="center"/>
          </w:tcPr>
          <w:p w:rsidR="00000000" w:rsidDel="00000000" w:rsidP="00000000" w:rsidRDefault="00000000" w:rsidRPr="00000000" w14:paraId="000003D4">
            <w:pPr>
              <w:rPr/>
            </w:pPr>
            <w:r w:rsidDel="00000000" w:rsidR="00000000" w:rsidRPr="00000000">
              <w:rPr>
                <w:rtl w:val="0"/>
              </w:rPr>
              <w:t xml:space="preserve">Commission nationale / Conseil scientifique.</w:t>
            </w:r>
          </w:p>
        </w:tc>
        <w:tc>
          <w:tcPr>
            <w:vAlign w:val="center"/>
          </w:tcPr>
          <w:p w:rsidR="00000000" w:rsidDel="00000000" w:rsidP="00000000" w:rsidRDefault="00000000" w:rsidRPr="00000000" w14:paraId="000003D5">
            <w:pPr>
              <w:rPr/>
            </w:pPr>
            <w:r w:rsidDel="00000000" w:rsidR="00000000" w:rsidRPr="00000000">
              <w:rPr>
                <w:rtl w:val="0"/>
              </w:rPr>
              <w:t xml:space="preserve">Description des méthodes, exemples, études de cas, recommandations non obligatoires.</w:t>
            </w:r>
          </w:p>
        </w:tc>
        <w:tc>
          <w:tcPr>
            <w:vAlign w:val="center"/>
          </w:tcPr>
          <w:p w:rsidR="00000000" w:rsidDel="00000000" w:rsidP="00000000" w:rsidRDefault="00000000" w:rsidRPr="00000000" w14:paraId="000003D6">
            <w:pPr>
              <w:rPr/>
            </w:pPr>
            <w:r w:rsidDel="00000000" w:rsidR="00000000" w:rsidRPr="00000000">
              <w:rPr>
                <w:rtl w:val="0"/>
              </w:rPr>
              <w:t xml:space="preserve">Jusqu’à révision ou remplacement.</w:t>
            </w:r>
          </w:p>
        </w:tc>
        <w:tc>
          <w:tcPr>
            <w:vAlign w:val="center"/>
          </w:tcPr>
          <w:p w:rsidR="00000000" w:rsidDel="00000000" w:rsidP="00000000" w:rsidRDefault="00000000" w:rsidRPr="00000000" w14:paraId="000003D7">
            <w:pPr>
              <w:rPr/>
            </w:pPr>
            <w:r w:rsidDel="00000000" w:rsidR="00000000" w:rsidRPr="00000000">
              <w:rPr>
                <w:rtl w:val="0"/>
              </w:rPr>
              <w:t xml:space="preserve">Validation par la Commission nationale.</w:t>
            </w:r>
          </w:p>
        </w:tc>
        <w:tc>
          <w:tcPr>
            <w:vAlign w:val="center"/>
          </w:tcPr>
          <w:p w:rsidR="00000000" w:rsidDel="00000000" w:rsidP="00000000" w:rsidRDefault="00000000" w:rsidRPr="00000000" w14:paraId="000003D8">
            <w:pPr>
              <w:rPr/>
            </w:pPr>
            <w:r w:rsidDel="00000000" w:rsidR="00000000" w:rsidRPr="00000000">
              <w:rPr>
                <w:rtl w:val="0"/>
              </w:rPr>
              <w:t xml:space="preserve">Moins contraignant que la norme.</w:t>
            </w:r>
          </w:p>
        </w:tc>
        <w:tc>
          <w:tcPr>
            <w:vAlign w:val="center"/>
          </w:tcPr>
          <w:p w:rsidR="00000000" w:rsidDel="00000000" w:rsidP="00000000" w:rsidRDefault="00000000" w:rsidRPr="00000000" w14:paraId="000003D9">
            <w:pPr>
              <w:rPr/>
            </w:pPr>
            <w:r w:rsidDel="00000000" w:rsidR="00000000" w:rsidRPr="00000000">
              <w:rPr>
                <w:rtl w:val="0"/>
              </w:rPr>
              <w:t xml:space="preserve">Appui pour les concepteurs, chercheurs, administration.</w:t>
            </w:r>
          </w:p>
        </w:tc>
      </w:tr>
      <w:tr>
        <w:trPr>
          <w:cantSplit w:val="0"/>
          <w:tblHeader w:val="0"/>
        </w:trPr>
        <w:tc>
          <w:tcPr>
            <w:vAlign w:val="center"/>
          </w:tcPr>
          <w:p w:rsidR="00000000" w:rsidDel="00000000" w:rsidP="00000000" w:rsidRDefault="00000000" w:rsidRPr="00000000" w14:paraId="000003DA">
            <w:pPr>
              <w:rPr/>
            </w:pPr>
            <w:r w:rsidDel="00000000" w:rsidR="00000000" w:rsidRPr="00000000">
              <w:rPr>
                <w:rtl w:val="0"/>
              </w:rPr>
              <w:t xml:space="preserve">Guide / Code de bonnes pratiques</w:t>
            </w:r>
          </w:p>
        </w:tc>
        <w:tc>
          <w:tcPr>
            <w:vAlign w:val="center"/>
          </w:tcPr>
          <w:p w:rsidR="00000000" w:rsidDel="00000000" w:rsidP="00000000" w:rsidRDefault="00000000" w:rsidRPr="00000000" w14:paraId="000003DB">
            <w:pPr>
              <w:rPr/>
            </w:pPr>
            <w:r w:rsidDel="00000000" w:rsidR="00000000" w:rsidRPr="00000000">
              <w:rPr>
                <w:rtl w:val="0"/>
              </w:rPr>
              <w:t xml:space="preserve">Document proposant des recommandations pour la conception, l’exécution, la maintenance, la gestion de projets.</w:t>
            </w:r>
          </w:p>
        </w:tc>
        <w:tc>
          <w:tcPr>
            <w:vAlign w:val="center"/>
          </w:tcPr>
          <w:p w:rsidR="00000000" w:rsidDel="00000000" w:rsidP="00000000" w:rsidRDefault="00000000" w:rsidRPr="00000000" w14:paraId="000003DC">
            <w:pPr>
              <w:rPr/>
            </w:pPr>
            <w:r w:rsidDel="00000000" w:rsidR="00000000" w:rsidRPr="00000000">
              <w:rPr>
                <w:rtl w:val="0"/>
              </w:rPr>
              <w:t xml:space="preserve">Diffuser les bonnes pratiques, expliciter l’usage des normes, améliorer la qualité. [</w:t>
            </w:r>
            <w:hyperlink r:id="rId207">
              <w:r w:rsidDel="00000000" w:rsidR="00000000" w:rsidRPr="00000000">
                <w:rPr>
                  <w:color w:val="0000ff"/>
                  <w:u w:val="single"/>
                  <w:rtl w:val="0"/>
                </w:rPr>
                <w:t xml:space="preserve">documents.worldbank</w:t>
              </w:r>
            </w:hyperlink>
            <w:r w:rsidDel="00000000" w:rsidR="00000000" w:rsidRPr="00000000">
              <w:rPr>
                <w:rtl w:val="0"/>
              </w:rPr>
              <w:t xml:space="preserve">]</w:t>
            </w:r>
          </w:p>
        </w:tc>
        <w:tc>
          <w:tcPr>
            <w:vAlign w:val="center"/>
          </w:tcPr>
          <w:p w:rsidR="00000000" w:rsidDel="00000000" w:rsidP="00000000" w:rsidRDefault="00000000" w:rsidRPr="00000000" w14:paraId="000003DD">
            <w:pPr>
              <w:rPr/>
            </w:pPr>
            <w:r w:rsidDel="00000000" w:rsidR="00000000" w:rsidRPr="00000000">
              <w:rPr>
                <w:rtl w:val="0"/>
              </w:rPr>
              <w:t xml:space="preserve">Commission nationale / ministère sectoriel.</w:t>
            </w:r>
          </w:p>
        </w:tc>
        <w:tc>
          <w:tcPr>
            <w:vAlign w:val="center"/>
          </w:tcPr>
          <w:p w:rsidR="00000000" w:rsidDel="00000000" w:rsidP="00000000" w:rsidRDefault="00000000" w:rsidRPr="00000000" w14:paraId="000003DE">
            <w:pPr>
              <w:rPr/>
            </w:pPr>
            <w:r w:rsidDel="00000000" w:rsidR="00000000" w:rsidRPr="00000000">
              <w:rPr>
                <w:rtl w:val="0"/>
              </w:rPr>
              <w:t xml:space="preserve">Textes explicatifs, schémas, exemples de détail constructif, check-lists.</w:t>
            </w:r>
          </w:p>
        </w:tc>
        <w:tc>
          <w:tcPr>
            <w:vAlign w:val="center"/>
          </w:tcPr>
          <w:p w:rsidR="00000000" w:rsidDel="00000000" w:rsidP="00000000" w:rsidRDefault="00000000" w:rsidRPr="00000000" w14:paraId="000003DF">
            <w:pPr>
              <w:rPr/>
            </w:pPr>
            <w:r w:rsidDel="00000000" w:rsidR="00000000" w:rsidRPr="00000000">
              <w:rPr>
                <w:rtl w:val="0"/>
              </w:rPr>
              <w:t xml:space="preserve">À réviser selon retour d’expérience.</w:t>
            </w:r>
          </w:p>
        </w:tc>
        <w:tc>
          <w:tcPr>
            <w:vAlign w:val="center"/>
          </w:tcPr>
          <w:p w:rsidR="00000000" w:rsidDel="00000000" w:rsidP="00000000" w:rsidRDefault="00000000" w:rsidRPr="00000000" w14:paraId="000003E0">
            <w:pPr>
              <w:rPr/>
            </w:pPr>
            <w:r w:rsidDel="00000000" w:rsidR="00000000" w:rsidRPr="00000000">
              <w:rPr>
                <w:rtl w:val="0"/>
              </w:rPr>
              <w:t xml:space="preserve">Validation par la Commission nationale ou le ministère.</w:t>
            </w:r>
          </w:p>
        </w:tc>
        <w:tc>
          <w:tcPr>
            <w:vAlign w:val="center"/>
          </w:tcPr>
          <w:p w:rsidR="00000000" w:rsidDel="00000000" w:rsidP="00000000" w:rsidRDefault="00000000" w:rsidRPr="00000000" w14:paraId="000003E1">
            <w:pPr>
              <w:rPr/>
            </w:pPr>
            <w:r w:rsidDel="00000000" w:rsidR="00000000" w:rsidRPr="00000000">
              <w:rPr>
                <w:rtl w:val="0"/>
              </w:rPr>
              <w:t xml:space="preserve">Non normatif sauf référence juridique explicite.</w:t>
            </w:r>
          </w:p>
        </w:tc>
        <w:tc>
          <w:tcPr>
            <w:vAlign w:val="center"/>
          </w:tcPr>
          <w:p w:rsidR="00000000" w:rsidDel="00000000" w:rsidP="00000000" w:rsidRDefault="00000000" w:rsidRPr="00000000" w14:paraId="000003E2">
            <w:pPr>
              <w:rPr/>
            </w:pPr>
            <w:r w:rsidDel="00000000" w:rsidR="00000000" w:rsidRPr="00000000">
              <w:rPr>
                <w:rtl w:val="0"/>
              </w:rPr>
              <w:t xml:space="preserve">Usagers professionnels (ingénieurs, architectes, contrôleurs).</w:t>
            </w:r>
          </w:p>
        </w:tc>
      </w:tr>
      <w:tr>
        <w:trPr>
          <w:cantSplit w:val="0"/>
          <w:tblHeader w:val="0"/>
        </w:trPr>
        <w:tc>
          <w:tcPr>
            <w:vAlign w:val="center"/>
          </w:tcPr>
          <w:p w:rsidR="00000000" w:rsidDel="00000000" w:rsidP="00000000" w:rsidRDefault="00000000" w:rsidRPr="00000000" w14:paraId="000003E3">
            <w:pPr>
              <w:rPr/>
            </w:pPr>
            <w:r w:rsidDel="00000000" w:rsidR="00000000" w:rsidRPr="00000000">
              <w:rPr>
                <w:rtl w:val="0"/>
              </w:rPr>
              <w:t xml:space="preserve">Méthode d’essai</w:t>
            </w:r>
          </w:p>
        </w:tc>
        <w:tc>
          <w:tcPr>
            <w:vAlign w:val="center"/>
          </w:tcPr>
          <w:p w:rsidR="00000000" w:rsidDel="00000000" w:rsidP="00000000" w:rsidRDefault="00000000" w:rsidRPr="00000000" w14:paraId="000003E4">
            <w:pPr>
              <w:rPr/>
            </w:pPr>
            <w:r w:rsidDel="00000000" w:rsidR="00000000" w:rsidRPr="00000000">
              <w:rPr>
                <w:rtl w:val="0"/>
              </w:rPr>
              <w:t xml:space="preserve">Norme ou spécification définissant une méthode standardisée de mesure ou d’essai. [</w:t>
            </w:r>
            <w:hyperlink r:id="rId208">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E5">
            <w:pPr>
              <w:rPr/>
            </w:pPr>
            <w:r w:rsidDel="00000000" w:rsidR="00000000" w:rsidRPr="00000000">
              <w:rPr>
                <w:rtl w:val="0"/>
              </w:rPr>
              <w:t xml:space="preserve">Assurer la comparabilité des résultats d’essai, base pour le contrôle qualité.</w:t>
            </w:r>
          </w:p>
        </w:tc>
        <w:tc>
          <w:tcPr>
            <w:vAlign w:val="center"/>
          </w:tcPr>
          <w:p w:rsidR="00000000" w:rsidDel="00000000" w:rsidP="00000000" w:rsidRDefault="00000000" w:rsidRPr="00000000" w14:paraId="000003E6">
            <w:pPr>
              <w:rPr/>
            </w:pPr>
            <w:r w:rsidDel="00000000" w:rsidR="00000000" w:rsidRPr="00000000">
              <w:rPr>
                <w:rtl w:val="0"/>
              </w:rPr>
              <w:t xml:space="preserve">Commission nationale / laboratoires nationaux.</w:t>
            </w:r>
          </w:p>
        </w:tc>
        <w:tc>
          <w:tcPr>
            <w:vAlign w:val="center"/>
          </w:tcPr>
          <w:p w:rsidR="00000000" w:rsidDel="00000000" w:rsidP="00000000" w:rsidRDefault="00000000" w:rsidRPr="00000000" w14:paraId="000003E7">
            <w:pPr>
              <w:rPr/>
            </w:pPr>
            <w:r w:rsidDel="00000000" w:rsidR="00000000" w:rsidRPr="00000000">
              <w:rPr>
                <w:rtl w:val="0"/>
              </w:rPr>
              <w:t xml:space="preserve">Description détaillée de la procédure (échantillonnage, appareils, mode opératoire, expression des résultats).</w:t>
            </w:r>
          </w:p>
        </w:tc>
        <w:tc>
          <w:tcPr>
            <w:vAlign w:val="center"/>
          </w:tcPr>
          <w:p w:rsidR="00000000" w:rsidDel="00000000" w:rsidP="00000000" w:rsidRDefault="00000000" w:rsidRPr="00000000" w14:paraId="000003E8">
            <w:pPr>
              <w:rPr/>
            </w:pPr>
            <w:r w:rsidDel="00000000" w:rsidR="00000000" w:rsidRPr="00000000">
              <w:rPr>
                <w:rtl w:val="0"/>
              </w:rPr>
              <w:t xml:space="preserve">Révision périodique suivi de l’évolution des techniques de laboratoire. [</w:t>
            </w:r>
            <w:hyperlink r:id="rId209">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3E9">
            <w:pPr>
              <w:rPr/>
            </w:pPr>
            <w:r w:rsidDel="00000000" w:rsidR="00000000" w:rsidRPr="00000000">
              <w:rPr>
                <w:rtl w:val="0"/>
              </w:rPr>
              <w:t xml:space="preserve">Procédure de normalisation, parfois adoption ISO/CEN.</w:t>
            </w:r>
          </w:p>
        </w:tc>
        <w:tc>
          <w:tcPr>
            <w:vAlign w:val="center"/>
          </w:tcPr>
          <w:p w:rsidR="00000000" w:rsidDel="00000000" w:rsidP="00000000" w:rsidRDefault="00000000" w:rsidRPr="00000000" w14:paraId="000003EA">
            <w:pPr>
              <w:rPr/>
            </w:pPr>
            <w:r w:rsidDel="00000000" w:rsidR="00000000" w:rsidRPr="00000000">
              <w:rPr>
                <w:rtl w:val="0"/>
              </w:rPr>
              <w:t xml:space="preserve">Normatif, souvent rendu obligatoire dans les cahiers des charges. [</w:t>
            </w:r>
            <w:hyperlink r:id="rId210">
              <w:r w:rsidDel="00000000" w:rsidR="00000000" w:rsidRPr="00000000">
                <w:rPr>
                  <w:color w:val="0000ff"/>
                  <w:u w:val="single"/>
                  <w:rtl w:val="0"/>
                </w:rPr>
                <w:t xml:space="preserve">documents1.worldbank</w:t>
              </w:r>
            </w:hyperlink>
            <w:r w:rsidDel="00000000" w:rsidR="00000000" w:rsidRPr="00000000">
              <w:rPr>
                <w:rtl w:val="0"/>
              </w:rPr>
              <w:t xml:space="preserve">]</w:t>
            </w:r>
          </w:p>
        </w:tc>
        <w:tc>
          <w:tcPr>
            <w:vAlign w:val="center"/>
          </w:tcPr>
          <w:p w:rsidR="00000000" w:rsidDel="00000000" w:rsidP="00000000" w:rsidRDefault="00000000" w:rsidRPr="00000000" w14:paraId="000003EB">
            <w:pPr>
              <w:rPr/>
            </w:pPr>
            <w:r w:rsidDel="00000000" w:rsidR="00000000" w:rsidRPr="00000000">
              <w:rPr>
                <w:rtl w:val="0"/>
              </w:rPr>
              <w:t xml:space="preserve">Laboratoires, contrôleurs techniques, entreprises.</w:t>
            </w:r>
          </w:p>
        </w:tc>
      </w:tr>
      <w:tr>
        <w:trPr>
          <w:cantSplit w:val="0"/>
          <w:tblHeader w:val="0"/>
        </w:trPr>
        <w:tc>
          <w:tcPr>
            <w:vAlign w:val="center"/>
          </w:tcPr>
          <w:p w:rsidR="00000000" w:rsidDel="00000000" w:rsidP="00000000" w:rsidRDefault="00000000" w:rsidRPr="00000000" w14:paraId="000003EC">
            <w:pPr>
              <w:rPr/>
            </w:pPr>
            <w:r w:rsidDel="00000000" w:rsidR="00000000" w:rsidRPr="00000000">
              <w:rPr>
                <w:rtl w:val="0"/>
              </w:rPr>
              <w:t xml:space="preserve">Cahier des charges type (CCT, CCTP type)</w:t>
            </w:r>
          </w:p>
        </w:tc>
        <w:tc>
          <w:tcPr>
            <w:vAlign w:val="center"/>
          </w:tcPr>
          <w:p w:rsidR="00000000" w:rsidDel="00000000" w:rsidP="00000000" w:rsidRDefault="00000000" w:rsidRPr="00000000" w14:paraId="000003ED">
            <w:pPr>
              <w:rPr/>
            </w:pPr>
            <w:r w:rsidDel="00000000" w:rsidR="00000000" w:rsidRPr="00000000">
              <w:rPr>
                <w:rtl w:val="0"/>
              </w:rPr>
              <w:t xml:space="preserve">Document normatif ou quasi normatif utilisé comme référence standard pour les marchés publics. [</w:t>
            </w:r>
            <w:hyperlink r:id="rId211">
              <w:r w:rsidDel="00000000" w:rsidR="00000000" w:rsidRPr="00000000">
                <w:rPr>
                  <w:color w:val="0000ff"/>
                  <w:u w:val="single"/>
                  <w:rtl w:val="0"/>
                </w:rPr>
                <w:t xml:space="preserve">documents1.worldbank</w:t>
              </w:r>
            </w:hyperlink>
            <w:r w:rsidDel="00000000" w:rsidR="00000000" w:rsidRPr="00000000">
              <w:rPr>
                <w:rtl w:val="0"/>
              </w:rPr>
              <w:t xml:space="preserve">]</w:t>
            </w:r>
          </w:p>
        </w:tc>
        <w:tc>
          <w:tcPr>
            <w:vAlign w:val="center"/>
          </w:tcPr>
          <w:p w:rsidR="00000000" w:rsidDel="00000000" w:rsidP="00000000" w:rsidRDefault="00000000" w:rsidRPr="00000000" w14:paraId="000003EE">
            <w:pPr>
              <w:rPr/>
            </w:pPr>
            <w:r w:rsidDel="00000000" w:rsidR="00000000" w:rsidRPr="00000000">
              <w:rPr>
                <w:rtl w:val="0"/>
              </w:rPr>
              <w:t xml:space="preserve">Normaliser les clauses techniques des marchés, réduire les risques de litiges.</w:t>
            </w:r>
          </w:p>
        </w:tc>
        <w:tc>
          <w:tcPr>
            <w:vAlign w:val="center"/>
          </w:tcPr>
          <w:p w:rsidR="00000000" w:rsidDel="00000000" w:rsidP="00000000" w:rsidRDefault="00000000" w:rsidRPr="00000000" w14:paraId="000003EF">
            <w:pPr>
              <w:rPr/>
            </w:pPr>
            <w:r w:rsidDel="00000000" w:rsidR="00000000" w:rsidRPr="00000000">
              <w:rPr>
                <w:rtl w:val="0"/>
              </w:rPr>
              <w:t xml:space="preserve">Ministère des Infrastructures, autorités contractantes, avec avis de la Commission nationale. [</w:t>
            </w:r>
            <w:hyperlink r:id="rId212">
              <w:r w:rsidDel="00000000" w:rsidR="00000000" w:rsidRPr="00000000">
                <w:rPr>
                  <w:color w:val="0000ff"/>
                  <w:u w:val="single"/>
                  <w:rtl w:val="0"/>
                </w:rPr>
                <w:t xml:space="preserve">fr.scribd</w:t>
              </w:r>
            </w:hyperlink>
            <w:r w:rsidDel="00000000" w:rsidR="00000000" w:rsidRPr="00000000">
              <w:rPr>
                <w:rtl w:val="0"/>
              </w:rPr>
              <w:t xml:space="preserve">]</w:t>
            </w:r>
          </w:p>
        </w:tc>
        <w:tc>
          <w:tcPr>
            <w:vAlign w:val="center"/>
          </w:tcPr>
          <w:p w:rsidR="00000000" w:rsidDel="00000000" w:rsidP="00000000" w:rsidRDefault="00000000" w:rsidRPr="00000000" w14:paraId="000003F0">
            <w:pPr>
              <w:rPr/>
            </w:pPr>
            <w:r w:rsidDel="00000000" w:rsidR="00000000" w:rsidRPr="00000000">
              <w:rPr>
                <w:rtl w:val="0"/>
              </w:rPr>
              <w:t xml:space="preserve">Exigences techniques, références aux normes, critères de performance et d’acceptation.</w:t>
            </w:r>
          </w:p>
        </w:tc>
        <w:tc>
          <w:tcPr>
            <w:vAlign w:val="center"/>
          </w:tcPr>
          <w:p w:rsidR="00000000" w:rsidDel="00000000" w:rsidP="00000000" w:rsidRDefault="00000000" w:rsidRPr="00000000" w14:paraId="000003F1">
            <w:pPr>
              <w:rPr/>
            </w:pPr>
            <w:r w:rsidDel="00000000" w:rsidR="00000000" w:rsidRPr="00000000">
              <w:rPr>
                <w:rtl w:val="0"/>
              </w:rPr>
              <w:t xml:space="preserve">Doit être mis à jour périodiquement.</w:t>
            </w:r>
          </w:p>
        </w:tc>
        <w:tc>
          <w:tcPr>
            <w:vAlign w:val="center"/>
          </w:tcPr>
          <w:p w:rsidR="00000000" w:rsidDel="00000000" w:rsidP="00000000" w:rsidRDefault="00000000" w:rsidRPr="00000000" w14:paraId="000003F2">
            <w:pPr>
              <w:rPr/>
            </w:pPr>
            <w:r w:rsidDel="00000000" w:rsidR="00000000" w:rsidRPr="00000000">
              <w:rPr>
                <w:rtl w:val="0"/>
              </w:rPr>
              <w:t xml:space="preserve">Approbation ministérielle (arrêté) souvent requise. [</w:t>
            </w:r>
            <w:hyperlink r:id="rId213">
              <w:r w:rsidDel="00000000" w:rsidR="00000000" w:rsidRPr="00000000">
                <w:rPr>
                  <w:color w:val="0000ff"/>
                  <w:u w:val="single"/>
                  <w:rtl w:val="0"/>
                </w:rPr>
                <w:t xml:space="preserve">fr.scribd</w:t>
              </w:r>
            </w:hyperlink>
            <w:r w:rsidDel="00000000" w:rsidR="00000000" w:rsidRPr="00000000">
              <w:rPr>
                <w:rtl w:val="0"/>
              </w:rPr>
              <w:t xml:space="preserve">]</w:t>
            </w:r>
          </w:p>
        </w:tc>
        <w:tc>
          <w:tcPr>
            <w:vAlign w:val="center"/>
          </w:tcPr>
          <w:p w:rsidR="00000000" w:rsidDel="00000000" w:rsidP="00000000" w:rsidRDefault="00000000" w:rsidRPr="00000000" w14:paraId="000003F3">
            <w:pPr>
              <w:rPr/>
            </w:pPr>
            <w:r w:rsidDel="00000000" w:rsidR="00000000" w:rsidRPr="00000000">
              <w:rPr>
                <w:rtl w:val="0"/>
              </w:rPr>
              <w:t xml:space="preserve">Normatif dans le cadre des marchés publics.</w:t>
            </w:r>
          </w:p>
        </w:tc>
        <w:tc>
          <w:tcPr>
            <w:vAlign w:val="center"/>
          </w:tcPr>
          <w:p w:rsidR="00000000" w:rsidDel="00000000" w:rsidP="00000000" w:rsidRDefault="00000000" w:rsidRPr="00000000" w14:paraId="000003F4">
            <w:pPr>
              <w:rPr/>
            </w:pPr>
            <w:r w:rsidDel="00000000" w:rsidR="00000000" w:rsidRPr="00000000">
              <w:rPr>
                <w:rtl w:val="0"/>
              </w:rPr>
              <w:t xml:space="preserve">Tous les marchés de travaux où le CCT est imposé.</w:t>
            </w:r>
          </w:p>
        </w:tc>
      </w:tr>
      <w:tr>
        <w:trPr>
          <w:cantSplit w:val="0"/>
          <w:tblHeader w:val="0"/>
        </w:trPr>
        <w:tc>
          <w:tcPr>
            <w:vAlign w:val="center"/>
          </w:tcPr>
          <w:p w:rsidR="00000000" w:rsidDel="00000000" w:rsidP="00000000" w:rsidRDefault="00000000" w:rsidRPr="00000000" w14:paraId="000003F5">
            <w:pPr>
              <w:rPr/>
            </w:pPr>
            <w:r w:rsidDel="00000000" w:rsidR="00000000" w:rsidRPr="00000000">
              <w:rPr>
                <w:rtl w:val="0"/>
              </w:rPr>
              <w:t xml:space="preserve">Fascicules techniques</w:t>
            </w:r>
          </w:p>
        </w:tc>
        <w:tc>
          <w:tcPr>
            <w:vAlign w:val="center"/>
          </w:tcPr>
          <w:p w:rsidR="00000000" w:rsidDel="00000000" w:rsidP="00000000" w:rsidRDefault="00000000" w:rsidRPr="00000000" w14:paraId="000003F6">
            <w:pPr>
              <w:rPr/>
            </w:pPr>
            <w:r w:rsidDel="00000000" w:rsidR="00000000" w:rsidRPr="00000000">
              <w:rPr>
                <w:rtl w:val="0"/>
              </w:rPr>
              <w:t xml:space="preserve">Documents détaillant des prescriptions techniques spécifiques (par ex. « Fascicule ponts », « Fascicule drainage »).</w:t>
            </w:r>
          </w:p>
        </w:tc>
        <w:tc>
          <w:tcPr>
            <w:vAlign w:val="center"/>
          </w:tcPr>
          <w:p w:rsidR="00000000" w:rsidDel="00000000" w:rsidP="00000000" w:rsidRDefault="00000000" w:rsidRPr="00000000" w14:paraId="000003F7">
            <w:pPr>
              <w:rPr/>
            </w:pPr>
            <w:r w:rsidDel="00000000" w:rsidR="00000000" w:rsidRPr="00000000">
              <w:rPr>
                <w:rtl w:val="0"/>
              </w:rPr>
              <w:t xml:space="preserve">Compléter les normes par des spécifications opérationnelles.</w:t>
            </w:r>
          </w:p>
        </w:tc>
        <w:tc>
          <w:tcPr>
            <w:vAlign w:val="center"/>
          </w:tcPr>
          <w:p w:rsidR="00000000" w:rsidDel="00000000" w:rsidP="00000000" w:rsidRDefault="00000000" w:rsidRPr="00000000" w14:paraId="000003F8">
            <w:pPr>
              <w:rPr/>
            </w:pPr>
            <w:r w:rsidDel="00000000" w:rsidR="00000000" w:rsidRPr="00000000">
              <w:rPr>
                <w:rtl w:val="0"/>
              </w:rPr>
              <w:t xml:space="preserve">Ministère compétent / Commission nationale.</w:t>
            </w:r>
          </w:p>
        </w:tc>
        <w:tc>
          <w:tcPr>
            <w:vAlign w:val="center"/>
          </w:tcPr>
          <w:p w:rsidR="00000000" w:rsidDel="00000000" w:rsidP="00000000" w:rsidRDefault="00000000" w:rsidRPr="00000000" w14:paraId="000003F9">
            <w:pPr>
              <w:rPr/>
            </w:pPr>
            <w:r w:rsidDel="00000000" w:rsidR="00000000" w:rsidRPr="00000000">
              <w:rPr>
                <w:rtl w:val="0"/>
              </w:rPr>
              <w:t xml:space="preserve">Chapitres par type d’ouvrage ou de matériau.</w:t>
            </w:r>
          </w:p>
        </w:tc>
        <w:tc>
          <w:tcPr>
            <w:vAlign w:val="center"/>
          </w:tcPr>
          <w:p w:rsidR="00000000" w:rsidDel="00000000" w:rsidP="00000000" w:rsidRDefault="00000000" w:rsidRPr="00000000" w14:paraId="000003FA">
            <w:pPr>
              <w:rPr/>
            </w:pPr>
            <w:r w:rsidDel="00000000" w:rsidR="00000000" w:rsidRPr="00000000">
              <w:rPr>
                <w:rtl w:val="0"/>
              </w:rPr>
              <w:t xml:space="preserve">Révision selon évolution des techniques.</w:t>
            </w:r>
          </w:p>
        </w:tc>
        <w:tc>
          <w:tcPr>
            <w:vAlign w:val="center"/>
          </w:tcPr>
          <w:p w:rsidR="00000000" w:rsidDel="00000000" w:rsidP="00000000" w:rsidRDefault="00000000" w:rsidRPr="00000000" w14:paraId="000003FB">
            <w:pPr>
              <w:rPr/>
            </w:pPr>
            <w:r w:rsidDel="00000000" w:rsidR="00000000" w:rsidRPr="00000000">
              <w:rPr>
                <w:rtl w:val="0"/>
              </w:rPr>
              <w:t xml:space="preserve">Souvent approuvés par arrêté.</w:t>
            </w:r>
          </w:p>
        </w:tc>
        <w:tc>
          <w:tcPr>
            <w:vAlign w:val="center"/>
          </w:tcPr>
          <w:p w:rsidR="00000000" w:rsidDel="00000000" w:rsidP="00000000" w:rsidRDefault="00000000" w:rsidRPr="00000000" w14:paraId="000003FC">
            <w:pPr>
              <w:rPr/>
            </w:pPr>
            <w:r w:rsidDel="00000000" w:rsidR="00000000" w:rsidRPr="00000000">
              <w:rPr>
                <w:rtl w:val="0"/>
              </w:rPr>
              <w:t xml:space="preserve">Rang inférieur au décret mais important en pratique.</w:t>
            </w:r>
          </w:p>
        </w:tc>
        <w:tc>
          <w:tcPr>
            <w:vAlign w:val="center"/>
          </w:tcPr>
          <w:p w:rsidR="00000000" w:rsidDel="00000000" w:rsidP="00000000" w:rsidRDefault="00000000" w:rsidRPr="00000000" w14:paraId="000003FD">
            <w:pPr>
              <w:rPr/>
            </w:pPr>
            <w:r w:rsidDel="00000000" w:rsidR="00000000" w:rsidRPr="00000000">
              <w:rPr>
                <w:rtl w:val="0"/>
              </w:rPr>
              <w:t xml:space="preserve">Ingénieurs des services publics et entreprises.</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 catégories peuvent être illustrées avec des exemples concrets de documents RDC :</w:t>
      </w:r>
    </w:p>
    <w:p w:rsidR="00000000" w:rsidDel="00000000" w:rsidP="00000000" w:rsidRDefault="00000000" w:rsidRPr="00000000" w14:paraId="000003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futur « Fascicule technique national des routes » ;</w:t>
      </w:r>
    </w:p>
    <w:p w:rsidR="00000000" w:rsidDel="00000000" w:rsidP="00000000" w:rsidRDefault="00000000" w:rsidRPr="00000000" w14:paraId="000004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 Normes routières NC-RDC-R1 0xx:20xx » ;</w:t>
      </w:r>
    </w:p>
    <w:p w:rsidR="00000000" w:rsidDel="00000000" w:rsidP="00000000" w:rsidRDefault="00000000" w:rsidRPr="00000000" w14:paraId="000004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 Cahier des charges type – Routes – Travaux neufs et réhabilitation » approuvé par arrêté.[</w:t>
      </w:r>
      <w:hyperlink r:id="rId2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rPr/>
      </w:pPr>
      <w:r w:rsidDel="00000000" w:rsidR="00000000" w:rsidRPr="00000000">
        <w:rPr>
          <w:rtl w:val="0"/>
        </w:rPr>
        <w:t xml:space="preserve">36. Documents administratifs</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 3 – Documentations administratives utilisées dans le système de normalisation et dans le secteur BTP</w:t>
      </w:r>
    </w:p>
    <w:tbl>
      <w:tblPr>
        <w:tblStyle w:val="Table3"/>
        <w:tblW w:w="9072.0" w:type="dxa"/>
        <w:jc w:val="left"/>
        <w:tblLayout w:type="fixed"/>
        <w:tblLook w:val="0400"/>
      </w:tblPr>
      <w:tblGrid>
        <w:gridCol w:w="832"/>
        <w:gridCol w:w="1461"/>
        <w:gridCol w:w="952"/>
        <w:gridCol w:w="894"/>
        <w:gridCol w:w="1107"/>
        <w:gridCol w:w="713"/>
        <w:gridCol w:w="769"/>
        <w:gridCol w:w="912"/>
        <w:gridCol w:w="1432"/>
        <w:tblGridChange w:id="0">
          <w:tblGrid>
            <w:gridCol w:w="832"/>
            <w:gridCol w:w="1461"/>
            <w:gridCol w:w="952"/>
            <w:gridCol w:w="894"/>
            <w:gridCol w:w="1107"/>
            <w:gridCol w:w="713"/>
            <w:gridCol w:w="769"/>
            <w:gridCol w:w="912"/>
            <w:gridCol w:w="1432"/>
          </w:tblGrid>
        </w:tblGridChange>
      </w:tblGrid>
      <w:tr>
        <w:trPr>
          <w:cantSplit w:val="0"/>
          <w:tblHeader w:val="1"/>
        </w:trPr>
        <w:tc>
          <w:tcPr>
            <w:vAlign w:val="center"/>
          </w:tcPr>
          <w:p w:rsidR="00000000" w:rsidDel="00000000" w:rsidP="00000000" w:rsidRDefault="00000000" w:rsidRPr="00000000" w14:paraId="00000405">
            <w:pPr>
              <w:jc w:val="cente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406">
            <w:pPr>
              <w:jc w:val="center"/>
              <w:rPr>
                <w:b w:val="1"/>
                <w:bCs w:val="1"/>
              </w:rPr>
            </w:pPr>
            <w:r w:rsidDel="00000000" w:rsidR="00000000" w:rsidRPr="00000000">
              <w:rPr>
                <w:b w:val="1"/>
                <w:bCs w:val="1"/>
                <w:rtl w:val="0"/>
              </w:rPr>
              <w:t xml:space="preserve">Définition</w:t>
            </w:r>
          </w:p>
        </w:tc>
        <w:tc>
          <w:tcPr>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Objectif</w:t>
            </w:r>
          </w:p>
        </w:tc>
        <w:tc>
          <w:tcPr>
            <w:vAlign w:val="center"/>
          </w:tcPr>
          <w:p w:rsidR="00000000" w:rsidDel="00000000" w:rsidP="00000000" w:rsidRDefault="00000000" w:rsidRPr="00000000" w14:paraId="00000408">
            <w:pPr>
              <w:jc w:val="center"/>
              <w:rPr>
                <w:b w:val="1"/>
                <w:bCs w:val="1"/>
              </w:rPr>
            </w:pPr>
            <w:r w:rsidDel="00000000" w:rsidR="00000000" w:rsidRPr="00000000">
              <w:rPr>
                <w:b w:val="1"/>
                <w:bCs w:val="1"/>
                <w:rtl w:val="0"/>
              </w:rPr>
              <w:t xml:space="preserve">Autorité</w:t>
            </w:r>
          </w:p>
        </w:tc>
        <w:tc>
          <w:tcPr>
            <w:vAlign w:val="center"/>
          </w:tcPr>
          <w:p w:rsidR="00000000" w:rsidDel="00000000" w:rsidP="00000000" w:rsidRDefault="00000000" w:rsidRPr="00000000" w14:paraId="00000409">
            <w:pPr>
              <w:jc w:val="center"/>
              <w:rPr>
                <w:b w:val="1"/>
                <w:bCs w:val="1"/>
              </w:rPr>
            </w:pPr>
            <w:r w:rsidDel="00000000" w:rsidR="00000000" w:rsidRPr="00000000">
              <w:rPr>
                <w:b w:val="1"/>
                <w:bCs w:val="1"/>
                <w:rtl w:val="0"/>
              </w:rPr>
              <w:t xml:space="preserve">Contenu</w:t>
            </w:r>
          </w:p>
        </w:tc>
        <w:tc>
          <w:tcPr>
            <w:vAlign w:val="center"/>
          </w:tcPr>
          <w:p w:rsidR="00000000" w:rsidDel="00000000" w:rsidP="00000000" w:rsidRDefault="00000000" w:rsidRPr="00000000" w14:paraId="0000040A">
            <w:pPr>
              <w:jc w:val="center"/>
              <w:rPr>
                <w:b w:val="1"/>
                <w:bCs w:val="1"/>
              </w:rPr>
            </w:pPr>
            <w:r w:rsidDel="00000000" w:rsidR="00000000" w:rsidRPr="00000000">
              <w:rPr>
                <w:b w:val="1"/>
                <w:bCs w:val="1"/>
                <w:rtl w:val="0"/>
              </w:rPr>
              <w:t xml:space="preserve">Durée</w:t>
            </w:r>
          </w:p>
        </w:tc>
        <w:tc>
          <w:tcPr>
            <w:vAlign w:val="center"/>
          </w:tcPr>
          <w:p w:rsidR="00000000" w:rsidDel="00000000" w:rsidP="00000000" w:rsidRDefault="00000000" w:rsidRPr="00000000" w14:paraId="0000040B">
            <w:pPr>
              <w:jc w:val="center"/>
              <w:rPr>
                <w:b w:val="1"/>
                <w:bCs w:val="1"/>
              </w:rPr>
            </w:pPr>
            <w:r w:rsidDel="00000000" w:rsidR="00000000" w:rsidRPr="00000000">
              <w:rPr>
                <w:b w:val="1"/>
                <w:bCs w:val="1"/>
                <w:rtl w:val="0"/>
              </w:rPr>
              <w:t xml:space="preserve">Validation</w:t>
            </w:r>
          </w:p>
        </w:tc>
        <w:tc>
          <w:tcPr>
            <w:vAlign w:val="cente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Niveau</w:t>
            </w:r>
          </w:p>
        </w:tc>
        <w:tc>
          <w:tcPr>
            <w:vAlign w:val="center"/>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Champ</w:t>
            </w:r>
          </w:p>
        </w:tc>
      </w:tr>
      <w:tr>
        <w:trPr>
          <w:cantSplit w:val="0"/>
          <w:tblHeader w:val="0"/>
        </w:trPr>
        <w:tc>
          <w:tcPr>
            <w:vAlign w:val="center"/>
          </w:tcPr>
          <w:p w:rsidR="00000000" w:rsidDel="00000000" w:rsidP="00000000" w:rsidRDefault="00000000" w:rsidRPr="00000000" w14:paraId="0000040E">
            <w:pPr>
              <w:rPr/>
            </w:pPr>
            <w:r w:rsidDel="00000000" w:rsidR="00000000" w:rsidRPr="00000000">
              <w:rPr>
                <w:rtl w:val="0"/>
              </w:rPr>
              <w:t xml:space="preserve">Procédure (procédure interne)</w:t>
            </w:r>
          </w:p>
        </w:tc>
        <w:tc>
          <w:tcPr>
            <w:vAlign w:val="center"/>
          </w:tcPr>
          <w:p w:rsidR="00000000" w:rsidDel="00000000" w:rsidP="00000000" w:rsidRDefault="00000000" w:rsidRPr="00000000" w14:paraId="0000040F">
            <w:pPr>
              <w:rPr/>
            </w:pPr>
            <w:r w:rsidDel="00000000" w:rsidR="00000000" w:rsidRPr="00000000">
              <w:rPr>
                <w:rtl w:val="0"/>
              </w:rPr>
              <w:t xml:space="preserve">Document décrivant de manière détaillée la manière d’exécuter un processus (ex. procédure de consultation publique). [</w:t>
            </w:r>
            <w:hyperlink r:id="rId215">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410">
            <w:pPr>
              <w:rPr/>
            </w:pPr>
            <w:r w:rsidDel="00000000" w:rsidR="00000000" w:rsidRPr="00000000">
              <w:rPr>
                <w:rtl w:val="0"/>
              </w:rPr>
              <w:t xml:space="preserve">Standardiser les pratiques internes, assurer la traçabilité et la qualité.</w:t>
            </w:r>
          </w:p>
        </w:tc>
        <w:tc>
          <w:tcPr>
            <w:vAlign w:val="center"/>
          </w:tcPr>
          <w:p w:rsidR="00000000" w:rsidDel="00000000" w:rsidP="00000000" w:rsidRDefault="00000000" w:rsidRPr="00000000" w14:paraId="00000411">
            <w:pPr>
              <w:rPr/>
            </w:pPr>
            <w:r w:rsidDel="00000000" w:rsidR="00000000" w:rsidRPr="00000000">
              <w:rPr>
                <w:rtl w:val="0"/>
              </w:rPr>
              <w:t xml:space="preserve">Organisme national de normalisation / Ministère.</w:t>
            </w:r>
          </w:p>
        </w:tc>
        <w:tc>
          <w:tcPr>
            <w:vAlign w:val="center"/>
          </w:tcPr>
          <w:p w:rsidR="00000000" w:rsidDel="00000000" w:rsidP="00000000" w:rsidRDefault="00000000" w:rsidRPr="00000000" w14:paraId="00000412">
            <w:pPr>
              <w:rPr/>
            </w:pPr>
            <w:r w:rsidDel="00000000" w:rsidR="00000000" w:rsidRPr="00000000">
              <w:rPr>
                <w:rtl w:val="0"/>
              </w:rPr>
              <w:t xml:space="preserve">Objet, champ, responsabilités, étapes, enregistrements, indicateurs.</w:t>
            </w:r>
          </w:p>
        </w:tc>
        <w:tc>
          <w:tcPr>
            <w:vAlign w:val="center"/>
          </w:tcPr>
          <w:p w:rsidR="00000000" w:rsidDel="00000000" w:rsidP="00000000" w:rsidRDefault="00000000" w:rsidRPr="00000000" w14:paraId="00000413">
            <w:pPr>
              <w:rPr/>
            </w:pPr>
            <w:r w:rsidDel="00000000" w:rsidR="00000000" w:rsidRPr="00000000">
              <w:rPr>
                <w:rtl w:val="0"/>
              </w:rPr>
              <w:t xml:space="preserve">Jusqu’à révision.</w:t>
            </w:r>
          </w:p>
        </w:tc>
        <w:tc>
          <w:tcPr>
            <w:vAlign w:val="center"/>
          </w:tcPr>
          <w:p w:rsidR="00000000" w:rsidDel="00000000" w:rsidP="00000000" w:rsidRDefault="00000000" w:rsidRPr="00000000" w14:paraId="00000414">
            <w:pPr>
              <w:rPr/>
            </w:pPr>
            <w:r w:rsidDel="00000000" w:rsidR="00000000" w:rsidRPr="00000000">
              <w:rPr>
                <w:rtl w:val="0"/>
              </w:rPr>
              <w:t xml:space="preserve">Approbation par la direction.</w:t>
            </w:r>
          </w:p>
        </w:tc>
        <w:tc>
          <w:tcPr>
            <w:vAlign w:val="center"/>
          </w:tcPr>
          <w:p w:rsidR="00000000" w:rsidDel="00000000" w:rsidP="00000000" w:rsidRDefault="00000000" w:rsidRPr="00000000" w14:paraId="00000415">
            <w:pPr>
              <w:rPr/>
            </w:pPr>
            <w:r w:rsidDel="00000000" w:rsidR="00000000" w:rsidRPr="00000000">
              <w:rPr>
                <w:rtl w:val="0"/>
              </w:rPr>
              <w:t xml:space="preserve">Interne.</w:t>
            </w:r>
          </w:p>
        </w:tc>
        <w:tc>
          <w:tcPr>
            <w:vAlign w:val="center"/>
          </w:tcPr>
          <w:p w:rsidR="00000000" w:rsidDel="00000000" w:rsidP="00000000" w:rsidRDefault="00000000" w:rsidRPr="00000000" w14:paraId="00000416">
            <w:pPr>
              <w:rPr/>
            </w:pPr>
            <w:r w:rsidDel="00000000" w:rsidR="00000000" w:rsidRPr="00000000">
              <w:rPr>
                <w:rtl w:val="0"/>
              </w:rPr>
              <w:t xml:space="preserve">Organisme de normalisation, directions techniques.</w:t>
            </w:r>
          </w:p>
        </w:tc>
      </w:tr>
      <w:tr>
        <w:trPr>
          <w:cantSplit w:val="0"/>
          <w:tblHeader w:val="0"/>
        </w:trPr>
        <w:tc>
          <w:tcPr>
            <w:vAlign w:val="center"/>
          </w:tcPr>
          <w:p w:rsidR="00000000" w:rsidDel="00000000" w:rsidP="00000000" w:rsidRDefault="00000000" w:rsidRPr="00000000" w14:paraId="00000417">
            <w:pPr>
              <w:rPr/>
            </w:pPr>
            <w:r w:rsidDel="00000000" w:rsidR="00000000" w:rsidRPr="00000000">
              <w:rPr>
                <w:rtl w:val="0"/>
              </w:rPr>
              <w:t xml:space="preserve">Instruction / Directive</w:t>
            </w:r>
          </w:p>
        </w:tc>
        <w:tc>
          <w:tcPr>
            <w:vAlign w:val="center"/>
          </w:tcPr>
          <w:p w:rsidR="00000000" w:rsidDel="00000000" w:rsidP="00000000" w:rsidRDefault="00000000" w:rsidRPr="00000000" w14:paraId="00000418">
            <w:pPr>
              <w:rPr/>
            </w:pPr>
            <w:r w:rsidDel="00000000" w:rsidR="00000000" w:rsidRPr="00000000">
              <w:rPr>
                <w:rtl w:val="0"/>
              </w:rPr>
              <w:t xml:space="preserve">Document interne donnant des consignes précises à des services ou des agents. [</w:t>
            </w:r>
            <w:hyperlink r:id="rId216">
              <w:r w:rsidDel="00000000" w:rsidR="00000000" w:rsidRPr="00000000">
                <w:rPr>
                  <w:color w:val="0000ff"/>
                  <w:u w:val="single"/>
                  <w:rtl w:val="0"/>
                </w:rPr>
                <w:t xml:space="preserve">dcu</w:t>
              </w:r>
            </w:hyperlink>
            <w:r w:rsidDel="00000000" w:rsidR="00000000" w:rsidRPr="00000000">
              <w:rPr>
                <w:rtl w:val="0"/>
              </w:rPr>
              <w:t xml:space="preserve">]</w:t>
            </w:r>
          </w:p>
        </w:tc>
        <w:tc>
          <w:tcPr>
            <w:vAlign w:val="center"/>
          </w:tcPr>
          <w:p w:rsidR="00000000" w:rsidDel="00000000" w:rsidP="00000000" w:rsidRDefault="00000000" w:rsidRPr="00000000" w14:paraId="00000419">
            <w:pPr>
              <w:rPr/>
            </w:pPr>
            <w:r w:rsidDel="00000000" w:rsidR="00000000" w:rsidRPr="00000000">
              <w:rPr>
                <w:rtl w:val="0"/>
              </w:rPr>
              <w:t xml:space="preserve">Uniformiser les comportements dans des situations spécifiques.</w:t>
            </w:r>
          </w:p>
        </w:tc>
        <w:tc>
          <w:tcPr>
            <w:vAlign w:val="center"/>
          </w:tcPr>
          <w:p w:rsidR="00000000" w:rsidDel="00000000" w:rsidP="00000000" w:rsidRDefault="00000000" w:rsidRPr="00000000" w14:paraId="0000041A">
            <w:pPr>
              <w:rPr/>
            </w:pPr>
            <w:r w:rsidDel="00000000" w:rsidR="00000000" w:rsidRPr="00000000">
              <w:rPr>
                <w:rtl w:val="0"/>
              </w:rPr>
              <w:t xml:space="preserve">Hiérarchie administrative.</w:t>
            </w:r>
          </w:p>
        </w:tc>
        <w:tc>
          <w:tcPr>
            <w:vAlign w:val="center"/>
          </w:tcPr>
          <w:p w:rsidR="00000000" w:rsidDel="00000000" w:rsidP="00000000" w:rsidRDefault="00000000" w:rsidRPr="00000000" w14:paraId="0000041B">
            <w:pPr>
              <w:rPr/>
            </w:pPr>
            <w:r w:rsidDel="00000000" w:rsidR="00000000" w:rsidRPr="00000000">
              <w:rPr>
                <w:rtl w:val="0"/>
              </w:rPr>
              <w:t xml:space="preserve">Règles, consignes, obligations.</w:t>
            </w:r>
          </w:p>
        </w:tc>
        <w:tc>
          <w:tcPr>
            <w:vAlign w:val="center"/>
          </w:tcPr>
          <w:p w:rsidR="00000000" w:rsidDel="00000000" w:rsidP="00000000" w:rsidRDefault="00000000" w:rsidRPr="00000000" w14:paraId="0000041C">
            <w:pPr>
              <w:rPr/>
            </w:pPr>
            <w:r w:rsidDel="00000000" w:rsidR="00000000" w:rsidRPr="00000000">
              <w:rPr>
                <w:rtl w:val="0"/>
              </w:rPr>
              <w:t xml:space="preserve">Variable.</w:t>
            </w:r>
          </w:p>
        </w:tc>
        <w:tc>
          <w:tcPr>
            <w:vAlign w:val="center"/>
          </w:tcPr>
          <w:p w:rsidR="00000000" w:rsidDel="00000000" w:rsidP="00000000" w:rsidRDefault="00000000" w:rsidRPr="00000000" w14:paraId="0000041D">
            <w:pPr>
              <w:rPr/>
            </w:pPr>
            <w:r w:rsidDel="00000000" w:rsidR="00000000" w:rsidRPr="00000000">
              <w:rPr>
                <w:rtl w:val="0"/>
              </w:rPr>
              <w:t xml:space="preserve">Signature de l’autorité responsable.</w:t>
            </w:r>
          </w:p>
        </w:tc>
        <w:tc>
          <w:tcPr>
            <w:vAlign w:val="center"/>
          </w:tcPr>
          <w:p w:rsidR="00000000" w:rsidDel="00000000" w:rsidP="00000000" w:rsidRDefault="00000000" w:rsidRPr="00000000" w14:paraId="0000041E">
            <w:pPr>
              <w:rPr/>
            </w:pPr>
            <w:r w:rsidDel="00000000" w:rsidR="00000000" w:rsidRPr="00000000">
              <w:rPr>
                <w:rtl w:val="0"/>
              </w:rPr>
              <w:t xml:space="preserve">Interne.</w:t>
            </w:r>
          </w:p>
        </w:tc>
        <w:tc>
          <w:tcPr>
            <w:vAlign w:val="center"/>
          </w:tcPr>
          <w:p w:rsidR="00000000" w:rsidDel="00000000" w:rsidP="00000000" w:rsidRDefault="00000000" w:rsidRPr="00000000" w14:paraId="0000041F">
            <w:pPr>
              <w:rPr/>
            </w:pPr>
            <w:r w:rsidDel="00000000" w:rsidR="00000000" w:rsidRPr="00000000">
              <w:rPr>
                <w:rtl w:val="0"/>
              </w:rPr>
              <w:t xml:space="preserve">Services d’un ministère, agence, commission.</w:t>
            </w:r>
          </w:p>
        </w:tc>
      </w:tr>
      <w:tr>
        <w:trPr>
          <w:cantSplit w:val="0"/>
          <w:tblHeader w:val="0"/>
        </w:trPr>
        <w:tc>
          <w:tcPr>
            <w:vAlign w:val="center"/>
          </w:tcPr>
          <w:p w:rsidR="00000000" w:rsidDel="00000000" w:rsidP="00000000" w:rsidRDefault="00000000" w:rsidRPr="00000000" w14:paraId="00000420">
            <w:pPr>
              <w:rPr/>
            </w:pPr>
            <w:r w:rsidDel="00000000" w:rsidR="00000000" w:rsidRPr="00000000">
              <w:rPr>
                <w:rtl w:val="0"/>
              </w:rPr>
              <w:t xml:space="preserve">Manuel / Guide interne</w:t>
            </w:r>
          </w:p>
        </w:tc>
        <w:tc>
          <w:tcPr>
            <w:vAlign w:val="center"/>
          </w:tcPr>
          <w:p w:rsidR="00000000" w:rsidDel="00000000" w:rsidP="00000000" w:rsidRDefault="00000000" w:rsidRPr="00000000" w14:paraId="00000421">
            <w:pPr>
              <w:rPr/>
            </w:pPr>
            <w:r w:rsidDel="00000000" w:rsidR="00000000" w:rsidRPr="00000000">
              <w:rPr>
                <w:rtl w:val="0"/>
              </w:rPr>
              <w:t xml:space="preserve">Document décrivant l’organisation, les politiques et les procédures d’un organisme (ex. Manuel qualité de la Commission nationale). [</w:t>
            </w:r>
            <w:hyperlink r:id="rId217">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422">
            <w:pPr>
              <w:rPr/>
            </w:pPr>
            <w:r w:rsidDel="00000000" w:rsidR="00000000" w:rsidRPr="00000000">
              <w:rPr>
                <w:rtl w:val="0"/>
              </w:rPr>
              <w:t xml:space="preserve">Assurer la cohérence des pratiques, l’orientation du personnel.</w:t>
            </w:r>
          </w:p>
        </w:tc>
        <w:tc>
          <w:tcPr>
            <w:vAlign w:val="center"/>
          </w:tcPr>
          <w:p w:rsidR="00000000" w:rsidDel="00000000" w:rsidP="00000000" w:rsidRDefault="00000000" w:rsidRPr="00000000" w14:paraId="00000423">
            <w:pPr>
              <w:rPr/>
            </w:pPr>
            <w:r w:rsidDel="00000000" w:rsidR="00000000" w:rsidRPr="00000000">
              <w:rPr>
                <w:rtl w:val="0"/>
              </w:rPr>
              <w:t xml:space="preserve">Direction de l’organisme.</w:t>
            </w:r>
          </w:p>
        </w:tc>
        <w:tc>
          <w:tcPr>
            <w:vAlign w:val="center"/>
          </w:tcPr>
          <w:p w:rsidR="00000000" w:rsidDel="00000000" w:rsidP="00000000" w:rsidRDefault="00000000" w:rsidRPr="00000000" w14:paraId="00000424">
            <w:pPr>
              <w:rPr/>
            </w:pPr>
            <w:r w:rsidDel="00000000" w:rsidR="00000000" w:rsidRPr="00000000">
              <w:rPr>
                <w:rtl w:val="0"/>
              </w:rPr>
              <w:t xml:space="preserve">Organigrammes, procédures, politiques, formulaires types.</w:t>
            </w:r>
          </w:p>
        </w:tc>
        <w:tc>
          <w:tcPr>
            <w:vAlign w:val="center"/>
          </w:tcPr>
          <w:p w:rsidR="00000000" w:rsidDel="00000000" w:rsidP="00000000" w:rsidRDefault="00000000" w:rsidRPr="00000000" w14:paraId="00000425">
            <w:pPr>
              <w:rPr/>
            </w:pPr>
            <w:r w:rsidDel="00000000" w:rsidR="00000000" w:rsidRPr="00000000">
              <w:rPr>
                <w:rtl w:val="0"/>
              </w:rPr>
              <w:t xml:space="preserve">Révision périodique.</w:t>
            </w:r>
          </w:p>
        </w:tc>
        <w:tc>
          <w:tcPr>
            <w:vAlign w:val="center"/>
          </w:tcPr>
          <w:p w:rsidR="00000000" w:rsidDel="00000000" w:rsidP="00000000" w:rsidRDefault="00000000" w:rsidRPr="00000000" w14:paraId="00000426">
            <w:pPr>
              <w:rPr/>
            </w:pPr>
            <w:r w:rsidDel="00000000" w:rsidR="00000000" w:rsidRPr="00000000">
              <w:rPr>
                <w:rtl w:val="0"/>
              </w:rPr>
              <w:t xml:space="preserve">Validation par la direction et/ou la Commission nationale.</w:t>
            </w:r>
          </w:p>
        </w:tc>
        <w:tc>
          <w:tcPr>
            <w:vAlign w:val="center"/>
          </w:tcPr>
          <w:p w:rsidR="00000000" w:rsidDel="00000000" w:rsidP="00000000" w:rsidRDefault="00000000" w:rsidRPr="00000000" w14:paraId="00000427">
            <w:pPr>
              <w:rPr/>
            </w:pPr>
            <w:r w:rsidDel="00000000" w:rsidR="00000000" w:rsidRPr="00000000">
              <w:rPr>
                <w:rtl w:val="0"/>
              </w:rPr>
              <w:t xml:space="preserve">Interne, parfois diffusé aux parties prenantes.</w:t>
            </w:r>
          </w:p>
        </w:tc>
        <w:tc>
          <w:tcPr>
            <w:vAlign w:val="center"/>
          </w:tcPr>
          <w:p w:rsidR="00000000" w:rsidDel="00000000" w:rsidP="00000000" w:rsidRDefault="00000000" w:rsidRPr="00000000" w14:paraId="00000428">
            <w:pPr>
              <w:rPr/>
            </w:pPr>
            <w:r w:rsidDel="00000000" w:rsidR="00000000" w:rsidRPr="00000000">
              <w:rPr>
                <w:rtl w:val="0"/>
              </w:rPr>
              <w:t xml:space="preserve">Organisme de normalisation, ministères.</w:t>
            </w:r>
          </w:p>
        </w:tc>
      </w:tr>
      <w:tr>
        <w:trPr>
          <w:cantSplit w:val="0"/>
          <w:tblHeader w:val="0"/>
        </w:trPr>
        <w:tc>
          <w:tcPr>
            <w:vAlign w:val="center"/>
          </w:tcPr>
          <w:p w:rsidR="00000000" w:rsidDel="00000000" w:rsidP="00000000" w:rsidRDefault="00000000" w:rsidRPr="00000000" w14:paraId="00000429">
            <w:pPr>
              <w:rPr/>
            </w:pPr>
            <w:r w:rsidDel="00000000" w:rsidR="00000000" w:rsidRPr="00000000">
              <w:rPr>
                <w:rtl w:val="0"/>
              </w:rPr>
              <w:t xml:space="preserve">Mode opératoire</w:t>
            </w:r>
          </w:p>
        </w:tc>
        <w:tc>
          <w:tcPr>
            <w:vAlign w:val="center"/>
          </w:tcPr>
          <w:p w:rsidR="00000000" w:rsidDel="00000000" w:rsidP="00000000" w:rsidRDefault="00000000" w:rsidRPr="00000000" w14:paraId="0000042A">
            <w:pPr>
              <w:rPr/>
            </w:pPr>
            <w:r w:rsidDel="00000000" w:rsidR="00000000" w:rsidRPr="00000000">
              <w:rPr>
                <w:rtl w:val="0"/>
              </w:rPr>
              <w:t xml:space="preserve">Document décrivant comment exécuter une tâche précise (ex. saisie des registres de commentaires). [</w:t>
            </w:r>
            <w:hyperlink r:id="rId218">
              <w:r w:rsidDel="00000000" w:rsidR="00000000" w:rsidRPr="00000000">
                <w:rPr>
                  <w:color w:val="0000ff"/>
                  <w:u w:val="single"/>
                  <w:rtl w:val="0"/>
                </w:rPr>
                <w:t xml:space="preserve">thedocs.worldbank</w:t>
              </w:r>
            </w:hyperlink>
            <w:r w:rsidDel="00000000" w:rsidR="00000000" w:rsidRPr="00000000">
              <w:rPr>
                <w:rtl w:val="0"/>
              </w:rPr>
              <w:t xml:space="preserve">]</w:t>
            </w:r>
          </w:p>
        </w:tc>
        <w:tc>
          <w:tcPr>
            <w:vAlign w:val="center"/>
          </w:tcPr>
          <w:p w:rsidR="00000000" w:rsidDel="00000000" w:rsidP="00000000" w:rsidRDefault="00000000" w:rsidRPr="00000000" w14:paraId="0000042B">
            <w:pPr>
              <w:rPr/>
            </w:pPr>
            <w:r w:rsidDel="00000000" w:rsidR="00000000" w:rsidRPr="00000000">
              <w:rPr>
                <w:rtl w:val="0"/>
              </w:rPr>
              <w:t xml:space="preserve">Réduire les erreurs, garantir la répétabilité.</w:t>
            </w:r>
          </w:p>
        </w:tc>
        <w:tc>
          <w:tcPr>
            <w:vAlign w:val="center"/>
          </w:tcPr>
          <w:p w:rsidR="00000000" w:rsidDel="00000000" w:rsidP="00000000" w:rsidRDefault="00000000" w:rsidRPr="00000000" w14:paraId="0000042C">
            <w:pPr>
              <w:rPr/>
            </w:pPr>
            <w:r w:rsidDel="00000000" w:rsidR="00000000" w:rsidRPr="00000000">
              <w:rPr>
                <w:rtl w:val="0"/>
              </w:rPr>
              <w:t xml:space="preserve">Responsable de processus.</w:t>
            </w:r>
          </w:p>
        </w:tc>
        <w:tc>
          <w:tcPr>
            <w:vAlign w:val="center"/>
          </w:tcPr>
          <w:p w:rsidR="00000000" w:rsidDel="00000000" w:rsidP="00000000" w:rsidRDefault="00000000" w:rsidRPr="00000000" w14:paraId="0000042D">
            <w:pPr>
              <w:rPr/>
            </w:pPr>
            <w:r w:rsidDel="00000000" w:rsidR="00000000" w:rsidRPr="00000000">
              <w:rPr>
                <w:rtl w:val="0"/>
              </w:rPr>
              <w:t xml:space="preserve">Étapes détaillées, captures d’écran, formulaires.</w:t>
            </w:r>
          </w:p>
        </w:tc>
        <w:tc>
          <w:tcPr>
            <w:vAlign w:val="center"/>
          </w:tcPr>
          <w:p w:rsidR="00000000" w:rsidDel="00000000" w:rsidP="00000000" w:rsidRDefault="00000000" w:rsidRPr="00000000" w14:paraId="0000042E">
            <w:pPr>
              <w:rPr/>
            </w:pPr>
            <w:r w:rsidDel="00000000" w:rsidR="00000000" w:rsidRPr="00000000">
              <w:rPr>
                <w:rtl w:val="0"/>
              </w:rPr>
              <w:t xml:space="preserve">Jusqu’à révision.</w:t>
            </w:r>
          </w:p>
        </w:tc>
        <w:tc>
          <w:tcPr>
            <w:vAlign w:val="center"/>
          </w:tcPr>
          <w:p w:rsidR="00000000" w:rsidDel="00000000" w:rsidP="00000000" w:rsidRDefault="00000000" w:rsidRPr="00000000" w14:paraId="0000042F">
            <w:pPr>
              <w:rPr/>
            </w:pPr>
            <w:r w:rsidDel="00000000" w:rsidR="00000000" w:rsidRPr="00000000">
              <w:rPr>
                <w:rtl w:val="0"/>
              </w:rPr>
              <w:t xml:space="preserve">Validation par le responsable de service.</w:t>
            </w:r>
          </w:p>
        </w:tc>
        <w:tc>
          <w:tcPr>
            <w:vAlign w:val="center"/>
          </w:tcPr>
          <w:p w:rsidR="00000000" w:rsidDel="00000000" w:rsidP="00000000" w:rsidRDefault="00000000" w:rsidRPr="00000000" w14:paraId="00000430">
            <w:pPr>
              <w:rPr/>
            </w:pPr>
            <w:r w:rsidDel="00000000" w:rsidR="00000000" w:rsidRPr="00000000">
              <w:rPr>
                <w:rtl w:val="0"/>
              </w:rPr>
              <w:t xml:space="preserve">Interne.</w:t>
            </w:r>
          </w:p>
        </w:tc>
        <w:tc>
          <w:tcPr>
            <w:vAlign w:val="center"/>
          </w:tcPr>
          <w:p w:rsidR="00000000" w:rsidDel="00000000" w:rsidP="00000000" w:rsidRDefault="00000000" w:rsidRPr="00000000" w14:paraId="00000431">
            <w:pPr>
              <w:rPr/>
            </w:pPr>
            <w:r w:rsidDel="00000000" w:rsidR="00000000" w:rsidRPr="00000000">
              <w:rPr>
                <w:rtl w:val="0"/>
              </w:rPr>
              <w:t xml:space="preserve">Secrétariat technique/administratif.</w:t>
            </w:r>
          </w:p>
        </w:tc>
      </w:tr>
      <w:tr>
        <w:trPr>
          <w:cantSplit w:val="0"/>
          <w:tblHeader w:val="0"/>
        </w:trPr>
        <w:tc>
          <w:tcPr>
            <w:vAlign w:val="center"/>
          </w:tcPr>
          <w:p w:rsidR="00000000" w:rsidDel="00000000" w:rsidP="00000000" w:rsidRDefault="00000000" w:rsidRPr="00000000" w14:paraId="00000432">
            <w:pPr>
              <w:rPr/>
            </w:pPr>
            <w:r w:rsidDel="00000000" w:rsidR="00000000" w:rsidRPr="00000000">
              <w:rPr>
                <w:rtl w:val="0"/>
              </w:rPr>
              <w:t xml:space="preserve">Formulaire</w:t>
            </w:r>
          </w:p>
        </w:tc>
        <w:tc>
          <w:tcPr>
            <w:vAlign w:val="center"/>
          </w:tcPr>
          <w:p w:rsidR="00000000" w:rsidDel="00000000" w:rsidP="00000000" w:rsidRDefault="00000000" w:rsidRPr="00000000" w14:paraId="00000433">
            <w:pPr>
              <w:rPr/>
            </w:pPr>
            <w:r w:rsidDel="00000000" w:rsidR="00000000" w:rsidRPr="00000000">
              <w:rPr>
                <w:rtl w:val="0"/>
              </w:rPr>
              <w:t xml:space="preserve">Support structuré de collecte d’information (fiche projet, fiche de vote, fiche de commentaire). [</w:t>
            </w:r>
            <w:hyperlink r:id="rId219">
              <w:r w:rsidDel="00000000" w:rsidR="00000000" w:rsidRPr="00000000">
                <w:rPr>
                  <w:color w:val="0000ff"/>
                  <w:u w:val="single"/>
                  <w:rtl w:val="0"/>
                </w:rPr>
                <w:t xml:space="preserve">documents1.worldbank</w:t>
              </w:r>
            </w:hyperlink>
            <w:r w:rsidDel="00000000" w:rsidR="00000000" w:rsidRPr="00000000">
              <w:rPr>
                <w:rtl w:val="0"/>
              </w:rPr>
              <w:t xml:space="preserve">]</w:t>
            </w:r>
          </w:p>
        </w:tc>
        <w:tc>
          <w:tcPr>
            <w:vAlign w:val="center"/>
          </w:tcPr>
          <w:p w:rsidR="00000000" w:rsidDel="00000000" w:rsidP="00000000" w:rsidRDefault="00000000" w:rsidRPr="00000000" w14:paraId="00000434">
            <w:pPr>
              <w:rPr/>
            </w:pPr>
            <w:r w:rsidDel="00000000" w:rsidR="00000000" w:rsidRPr="00000000">
              <w:rPr>
                <w:rtl w:val="0"/>
              </w:rPr>
              <w:t xml:space="preserve">Standardiser la collecte de données.</w:t>
            </w:r>
          </w:p>
        </w:tc>
        <w:tc>
          <w:tcPr>
            <w:vAlign w:val="center"/>
          </w:tcPr>
          <w:p w:rsidR="00000000" w:rsidDel="00000000" w:rsidP="00000000" w:rsidRDefault="00000000" w:rsidRPr="00000000" w14:paraId="00000435">
            <w:pPr>
              <w:rPr/>
            </w:pPr>
            <w:r w:rsidDel="00000000" w:rsidR="00000000" w:rsidRPr="00000000">
              <w:rPr>
                <w:rtl w:val="0"/>
              </w:rPr>
              <w:t xml:space="preserve">Organisme de normalisation.</w:t>
            </w:r>
          </w:p>
        </w:tc>
        <w:tc>
          <w:tcPr>
            <w:vAlign w:val="center"/>
          </w:tcPr>
          <w:p w:rsidR="00000000" w:rsidDel="00000000" w:rsidP="00000000" w:rsidRDefault="00000000" w:rsidRPr="00000000" w14:paraId="00000436">
            <w:pPr>
              <w:rPr/>
            </w:pPr>
            <w:r w:rsidDel="00000000" w:rsidR="00000000" w:rsidRPr="00000000">
              <w:rPr>
                <w:rtl w:val="0"/>
              </w:rPr>
              <w:t xml:space="preserve">Champs à remplir, rubriques pré-définies.</w:t>
            </w:r>
          </w:p>
        </w:tc>
        <w:tc>
          <w:tcPr>
            <w:vAlign w:val="center"/>
          </w:tcPr>
          <w:p w:rsidR="00000000" w:rsidDel="00000000" w:rsidP="00000000" w:rsidRDefault="00000000" w:rsidRPr="00000000" w14:paraId="00000437">
            <w:pPr>
              <w:rPr/>
            </w:pPr>
            <w:r w:rsidDel="00000000" w:rsidR="00000000" w:rsidRPr="00000000">
              <w:rPr>
                <w:rtl w:val="0"/>
              </w:rPr>
              <w:t xml:space="preserve">Variable.</w:t>
            </w:r>
          </w:p>
        </w:tc>
        <w:tc>
          <w:tcPr>
            <w:vAlign w:val="center"/>
          </w:tcPr>
          <w:p w:rsidR="00000000" w:rsidDel="00000000" w:rsidP="00000000" w:rsidRDefault="00000000" w:rsidRPr="00000000" w14:paraId="00000438">
            <w:pPr>
              <w:rPr/>
            </w:pPr>
            <w:r w:rsidDel="00000000" w:rsidR="00000000" w:rsidRPr="00000000">
              <w:rPr>
                <w:rtl w:val="0"/>
              </w:rPr>
              <w:t xml:space="preserve">Approbation interne.</w:t>
            </w:r>
          </w:p>
        </w:tc>
        <w:tc>
          <w:tcPr>
            <w:vAlign w:val="center"/>
          </w:tcPr>
          <w:p w:rsidR="00000000" w:rsidDel="00000000" w:rsidP="00000000" w:rsidRDefault="00000000" w:rsidRPr="00000000" w14:paraId="00000439">
            <w:pPr>
              <w:rPr/>
            </w:pPr>
            <w:r w:rsidDel="00000000" w:rsidR="00000000" w:rsidRPr="00000000">
              <w:rPr>
                <w:rtl w:val="0"/>
              </w:rPr>
              <w:t xml:space="preserve">Interne / partagé.</w:t>
            </w:r>
          </w:p>
        </w:tc>
        <w:tc>
          <w:tcPr>
            <w:vAlign w:val="center"/>
          </w:tcPr>
          <w:p w:rsidR="00000000" w:rsidDel="00000000" w:rsidP="00000000" w:rsidRDefault="00000000" w:rsidRPr="00000000" w14:paraId="0000043A">
            <w:pPr>
              <w:rPr/>
            </w:pPr>
            <w:r w:rsidDel="00000000" w:rsidR="00000000" w:rsidRPr="00000000">
              <w:rPr>
                <w:rtl w:val="0"/>
              </w:rPr>
              <w:t xml:space="preserve">Tous acteurs impliqués.</w:t>
            </w:r>
          </w:p>
        </w:tc>
      </w:tr>
      <w:tr>
        <w:trPr>
          <w:cantSplit w:val="0"/>
          <w:tblHeader w:val="0"/>
        </w:trPr>
        <w:tc>
          <w:tcPr>
            <w:vAlign w:val="center"/>
          </w:tcPr>
          <w:p w:rsidR="00000000" w:rsidDel="00000000" w:rsidP="00000000" w:rsidRDefault="00000000" w:rsidRPr="00000000" w14:paraId="0000043B">
            <w:pPr>
              <w:rPr/>
            </w:pPr>
            <w:r w:rsidDel="00000000" w:rsidR="00000000" w:rsidRPr="00000000">
              <w:rPr>
                <w:rtl w:val="0"/>
              </w:rPr>
              <w:t xml:space="preserve">Registre</w:t>
            </w:r>
          </w:p>
        </w:tc>
        <w:tc>
          <w:tcPr>
            <w:vAlign w:val="center"/>
          </w:tcPr>
          <w:p w:rsidR="00000000" w:rsidDel="00000000" w:rsidP="00000000" w:rsidRDefault="00000000" w:rsidRPr="00000000" w14:paraId="0000043C">
            <w:pPr>
              <w:rPr/>
            </w:pPr>
            <w:r w:rsidDel="00000000" w:rsidR="00000000" w:rsidRPr="00000000">
              <w:rPr>
                <w:rtl w:val="0"/>
              </w:rPr>
              <w:t xml:space="preserve">Tableau ou base de données recensant des informations (experts, votes, normes, commentaires, conflits d’intérêts). [</w:t>
            </w:r>
            <w:hyperlink r:id="rId220">
              <w:r w:rsidDel="00000000" w:rsidR="00000000" w:rsidRPr="00000000">
                <w:rPr>
                  <w:color w:val="0000ff"/>
                  <w:u w:val="single"/>
                  <w:rtl w:val="0"/>
                </w:rPr>
                <w:t xml:space="preserve">iso</w:t>
              </w:r>
            </w:hyperlink>
            <w:r w:rsidDel="00000000" w:rsidR="00000000" w:rsidRPr="00000000">
              <w:rPr>
                <w:rtl w:val="0"/>
              </w:rPr>
              <w:t xml:space="preserve">]</w:t>
            </w:r>
          </w:p>
        </w:tc>
        <w:tc>
          <w:tcPr>
            <w:vAlign w:val="center"/>
          </w:tcPr>
          <w:p w:rsidR="00000000" w:rsidDel="00000000" w:rsidP="00000000" w:rsidRDefault="00000000" w:rsidRPr="00000000" w14:paraId="0000043D">
            <w:pPr>
              <w:rPr/>
            </w:pPr>
            <w:r w:rsidDel="00000000" w:rsidR="00000000" w:rsidRPr="00000000">
              <w:rPr>
                <w:rtl w:val="0"/>
              </w:rPr>
              <w:t xml:space="preserve">Assurer la traçabilité, permettre le suivi et les audits.</w:t>
            </w:r>
          </w:p>
        </w:tc>
        <w:tc>
          <w:tcPr>
            <w:vAlign w:val="center"/>
          </w:tcPr>
          <w:p w:rsidR="00000000" w:rsidDel="00000000" w:rsidP="00000000" w:rsidRDefault="00000000" w:rsidRPr="00000000" w14:paraId="0000043E">
            <w:pPr>
              <w:rPr/>
            </w:pPr>
            <w:r w:rsidDel="00000000" w:rsidR="00000000" w:rsidRPr="00000000">
              <w:rPr>
                <w:rtl w:val="0"/>
              </w:rPr>
              <w:t xml:space="preserve">Commission nationale / Secrétariat.</w:t>
            </w:r>
          </w:p>
        </w:tc>
        <w:tc>
          <w:tcPr>
            <w:vAlign w:val="center"/>
          </w:tcPr>
          <w:p w:rsidR="00000000" w:rsidDel="00000000" w:rsidP="00000000" w:rsidRDefault="00000000" w:rsidRPr="00000000" w14:paraId="0000043F">
            <w:pPr>
              <w:rPr/>
            </w:pPr>
            <w:r w:rsidDel="00000000" w:rsidR="00000000" w:rsidRPr="00000000">
              <w:rPr>
                <w:rtl w:val="0"/>
              </w:rPr>
              <w:t xml:space="preserve">Entrées datées, identifiant des dossiers.</w:t>
            </w:r>
          </w:p>
        </w:tc>
        <w:tc>
          <w:tcPr>
            <w:vAlign w:val="center"/>
          </w:tcPr>
          <w:p w:rsidR="00000000" w:rsidDel="00000000" w:rsidP="00000000" w:rsidRDefault="00000000" w:rsidRPr="00000000" w14:paraId="00000440">
            <w:pPr>
              <w:rPr/>
            </w:pPr>
            <w:r w:rsidDel="00000000" w:rsidR="00000000" w:rsidRPr="00000000">
              <w:rPr>
                <w:rtl w:val="0"/>
              </w:rPr>
              <w:t xml:space="preserve">Permanent avec mises à jour.</w:t>
            </w:r>
          </w:p>
        </w:tc>
        <w:tc>
          <w:tcPr>
            <w:vAlign w:val="center"/>
          </w:tcPr>
          <w:p w:rsidR="00000000" w:rsidDel="00000000" w:rsidP="00000000" w:rsidRDefault="00000000" w:rsidRPr="00000000" w14:paraId="00000441">
            <w:pPr>
              <w:rPr/>
            </w:pPr>
            <w:r w:rsidDel="00000000" w:rsidR="00000000" w:rsidRPr="00000000">
              <w:rPr>
                <w:rtl w:val="0"/>
              </w:rPr>
              <w:t xml:space="preserve">Validation continue par l’autorité responsable.</w:t>
            </w:r>
          </w:p>
        </w:tc>
        <w:tc>
          <w:tcPr>
            <w:vAlign w:val="center"/>
          </w:tcPr>
          <w:p w:rsidR="00000000" w:rsidDel="00000000" w:rsidP="00000000" w:rsidRDefault="00000000" w:rsidRPr="00000000" w14:paraId="00000442">
            <w:pPr>
              <w:rPr/>
            </w:pPr>
            <w:r w:rsidDel="00000000" w:rsidR="00000000" w:rsidRPr="00000000">
              <w:rPr>
                <w:rtl w:val="0"/>
              </w:rPr>
              <w:t xml:space="preserve">Interne, parfois communicable.</w:t>
            </w:r>
          </w:p>
        </w:tc>
        <w:tc>
          <w:tcPr>
            <w:vAlign w:val="center"/>
          </w:tcPr>
          <w:p w:rsidR="00000000" w:rsidDel="00000000" w:rsidP="00000000" w:rsidRDefault="00000000" w:rsidRPr="00000000" w14:paraId="00000443">
            <w:pPr>
              <w:rPr/>
            </w:pPr>
            <w:r w:rsidDel="00000000" w:rsidR="00000000" w:rsidRPr="00000000">
              <w:rPr>
                <w:rtl w:val="0"/>
              </w:rPr>
              <w:t xml:space="preserve">Gouvernance de la normalisation.</w:t>
            </w:r>
          </w:p>
        </w:tc>
      </w:tr>
      <w:tr>
        <w:trPr>
          <w:cantSplit w:val="0"/>
          <w:tblHeader w:val="0"/>
        </w:trPr>
        <w:tc>
          <w:tcPr>
            <w:vAlign w:val="center"/>
          </w:tcPr>
          <w:p w:rsidR="00000000" w:rsidDel="00000000" w:rsidP="00000000" w:rsidRDefault="00000000" w:rsidRPr="00000000" w14:paraId="00000444">
            <w:pPr>
              <w:rPr/>
            </w:pPr>
            <w:r w:rsidDel="00000000" w:rsidR="00000000" w:rsidRPr="00000000">
              <w:rPr>
                <w:rtl w:val="0"/>
              </w:rPr>
              <w:t xml:space="preserve">Rapport</w:t>
            </w:r>
          </w:p>
        </w:tc>
        <w:tc>
          <w:tcPr>
            <w:vAlign w:val="center"/>
          </w:tcPr>
          <w:p w:rsidR="00000000" w:rsidDel="00000000" w:rsidP="00000000" w:rsidRDefault="00000000" w:rsidRPr="00000000" w14:paraId="00000445">
            <w:pPr>
              <w:rPr/>
            </w:pPr>
            <w:r w:rsidDel="00000000" w:rsidR="00000000" w:rsidRPr="00000000">
              <w:rPr>
                <w:rtl w:val="0"/>
              </w:rPr>
              <w:t xml:space="preserve">Document synthétisant des activités, décisions, résultats (rapport annuel de normalisation, rapport de comité technique). [</w:t>
            </w:r>
            <w:hyperlink r:id="rId221">
              <w:r w:rsidDel="00000000" w:rsidR="00000000" w:rsidRPr="00000000">
                <w:rPr>
                  <w:color w:val="0000ff"/>
                  <w:u w:val="single"/>
                  <w:rtl w:val="0"/>
                </w:rPr>
                <w:t xml:space="preserve">thedocs.worldbank</w:t>
              </w:r>
            </w:hyperlink>
            <w:r w:rsidDel="00000000" w:rsidR="00000000" w:rsidRPr="00000000">
              <w:rPr>
                <w:rtl w:val="0"/>
              </w:rPr>
              <w:t xml:space="preserve">]</w:t>
            </w:r>
          </w:p>
        </w:tc>
        <w:tc>
          <w:tcPr>
            <w:vAlign w:val="center"/>
          </w:tcPr>
          <w:p w:rsidR="00000000" w:rsidDel="00000000" w:rsidP="00000000" w:rsidRDefault="00000000" w:rsidRPr="00000000" w14:paraId="00000446">
            <w:pPr>
              <w:rPr/>
            </w:pPr>
            <w:r w:rsidDel="00000000" w:rsidR="00000000" w:rsidRPr="00000000">
              <w:rPr>
                <w:rtl w:val="0"/>
              </w:rPr>
              <w:t xml:space="preserve">Informer, rendre compte, proposer des améliorations.</w:t>
            </w:r>
          </w:p>
        </w:tc>
        <w:tc>
          <w:tcPr>
            <w:vAlign w:val="center"/>
          </w:tcPr>
          <w:p w:rsidR="00000000" w:rsidDel="00000000" w:rsidP="00000000" w:rsidRDefault="00000000" w:rsidRPr="00000000" w14:paraId="00000447">
            <w:pPr>
              <w:rPr/>
            </w:pPr>
            <w:r w:rsidDel="00000000" w:rsidR="00000000" w:rsidRPr="00000000">
              <w:rPr>
                <w:rtl w:val="0"/>
              </w:rPr>
              <w:t xml:space="preserve">Organes de la Commission, ministères.</w:t>
            </w:r>
          </w:p>
        </w:tc>
        <w:tc>
          <w:tcPr>
            <w:vAlign w:val="center"/>
          </w:tcPr>
          <w:p w:rsidR="00000000" w:rsidDel="00000000" w:rsidP="00000000" w:rsidRDefault="00000000" w:rsidRPr="00000000" w14:paraId="00000448">
            <w:pPr>
              <w:rPr/>
            </w:pPr>
            <w:r w:rsidDel="00000000" w:rsidR="00000000" w:rsidRPr="00000000">
              <w:rPr>
                <w:rtl w:val="0"/>
              </w:rPr>
              <w:t xml:space="preserve">Constat, analyses, recommandations.</w:t>
            </w:r>
          </w:p>
        </w:tc>
        <w:tc>
          <w:tcPr>
            <w:vAlign w:val="center"/>
          </w:tcPr>
          <w:p w:rsidR="00000000" w:rsidDel="00000000" w:rsidP="00000000" w:rsidRDefault="00000000" w:rsidRPr="00000000" w14:paraId="00000449">
            <w:pPr>
              <w:rPr/>
            </w:pPr>
            <w:r w:rsidDel="00000000" w:rsidR="00000000" w:rsidRPr="00000000">
              <w:rPr>
                <w:rtl w:val="0"/>
              </w:rPr>
              <w:t xml:space="preserve">Périodique.</w:t>
            </w:r>
          </w:p>
        </w:tc>
        <w:tc>
          <w:tcPr>
            <w:vAlign w:val="center"/>
          </w:tcPr>
          <w:p w:rsidR="00000000" w:rsidDel="00000000" w:rsidP="00000000" w:rsidRDefault="00000000" w:rsidRPr="00000000" w14:paraId="0000044A">
            <w:pPr>
              <w:rPr/>
            </w:pPr>
            <w:r w:rsidDel="00000000" w:rsidR="00000000" w:rsidRPr="00000000">
              <w:rPr>
                <w:rtl w:val="0"/>
              </w:rPr>
              <w:t xml:space="preserve">Adoption par l’organe émetteur.</w:t>
            </w:r>
          </w:p>
        </w:tc>
        <w:tc>
          <w:tcPr>
            <w:vAlign w:val="center"/>
          </w:tcPr>
          <w:p w:rsidR="00000000" w:rsidDel="00000000" w:rsidP="00000000" w:rsidRDefault="00000000" w:rsidRPr="00000000" w14:paraId="0000044B">
            <w:pPr>
              <w:rPr/>
            </w:pPr>
            <w:r w:rsidDel="00000000" w:rsidR="00000000" w:rsidRPr="00000000">
              <w:rPr>
                <w:rtl w:val="0"/>
              </w:rPr>
              <w:t xml:space="preserve">Interne / public selon le cas.</w:t>
            </w:r>
          </w:p>
        </w:tc>
        <w:tc>
          <w:tcPr>
            <w:vAlign w:val="center"/>
          </w:tcPr>
          <w:p w:rsidR="00000000" w:rsidDel="00000000" w:rsidP="00000000" w:rsidRDefault="00000000" w:rsidRPr="00000000" w14:paraId="0000044C">
            <w:pPr>
              <w:rPr/>
            </w:pPr>
            <w:r w:rsidDel="00000000" w:rsidR="00000000" w:rsidRPr="00000000">
              <w:rPr>
                <w:rtl w:val="0"/>
              </w:rPr>
              <w:t xml:space="preserve">Gouvernance, pilotage.</w:t>
            </w:r>
          </w:p>
        </w:tc>
      </w:tr>
      <w:tr>
        <w:trPr>
          <w:cantSplit w:val="0"/>
          <w:tblHeader w:val="0"/>
        </w:trPr>
        <w:tc>
          <w:tcPr>
            <w:vAlign w:val="center"/>
          </w:tcPr>
          <w:p w:rsidR="00000000" w:rsidDel="00000000" w:rsidP="00000000" w:rsidRDefault="00000000" w:rsidRPr="00000000" w14:paraId="0000044D">
            <w:pPr>
              <w:rPr/>
            </w:pPr>
            <w:r w:rsidDel="00000000" w:rsidR="00000000" w:rsidRPr="00000000">
              <w:rPr>
                <w:rtl w:val="0"/>
              </w:rPr>
              <w:t xml:space="preserve">Procès-verbal / Compte rendu</w:t>
            </w:r>
          </w:p>
        </w:tc>
        <w:tc>
          <w:tcPr>
            <w:vAlign w:val="center"/>
          </w:tcPr>
          <w:p w:rsidR="00000000" w:rsidDel="00000000" w:rsidP="00000000" w:rsidRDefault="00000000" w:rsidRPr="00000000" w14:paraId="0000044E">
            <w:pPr>
              <w:rPr/>
            </w:pPr>
            <w:r w:rsidDel="00000000" w:rsidR="00000000" w:rsidRPr="00000000">
              <w:rPr>
                <w:rtl w:val="0"/>
              </w:rPr>
              <w:t xml:space="preserve">Document relatant les discussions, décisions et votes d’une réunion.</w:t>
            </w:r>
          </w:p>
        </w:tc>
        <w:tc>
          <w:tcPr>
            <w:vAlign w:val="center"/>
          </w:tcPr>
          <w:p w:rsidR="00000000" w:rsidDel="00000000" w:rsidP="00000000" w:rsidRDefault="00000000" w:rsidRPr="00000000" w14:paraId="0000044F">
            <w:pPr>
              <w:rPr/>
            </w:pPr>
            <w:r w:rsidDel="00000000" w:rsidR="00000000" w:rsidRPr="00000000">
              <w:rPr>
                <w:rtl w:val="0"/>
              </w:rPr>
              <w:t xml:space="preserve">Assurer la traçabilité des décisions, base des actions de suivi.</w:t>
            </w:r>
          </w:p>
        </w:tc>
        <w:tc>
          <w:tcPr>
            <w:vAlign w:val="center"/>
          </w:tcPr>
          <w:p w:rsidR="00000000" w:rsidDel="00000000" w:rsidP="00000000" w:rsidRDefault="00000000" w:rsidRPr="00000000" w14:paraId="00000450">
            <w:pPr>
              <w:rPr/>
            </w:pPr>
            <w:r w:rsidDel="00000000" w:rsidR="00000000" w:rsidRPr="00000000">
              <w:rPr>
                <w:rtl w:val="0"/>
              </w:rPr>
              <w:t xml:space="preserve">Organe qui se réunit (CT, Commission nationale).</w:t>
            </w:r>
          </w:p>
        </w:tc>
        <w:tc>
          <w:tcPr>
            <w:vAlign w:val="center"/>
          </w:tcPr>
          <w:p w:rsidR="00000000" w:rsidDel="00000000" w:rsidP="00000000" w:rsidRDefault="00000000" w:rsidRPr="00000000" w14:paraId="00000451">
            <w:pPr>
              <w:rPr/>
            </w:pPr>
            <w:r w:rsidDel="00000000" w:rsidR="00000000" w:rsidRPr="00000000">
              <w:rPr>
                <w:rtl w:val="0"/>
              </w:rPr>
              <w:t xml:space="preserve">Ordre du jour, participants, résumé des débats, décisions, votes.</w:t>
            </w:r>
          </w:p>
        </w:tc>
        <w:tc>
          <w:tcPr>
            <w:vAlign w:val="center"/>
          </w:tcPr>
          <w:p w:rsidR="00000000" w:rsidDel="00000000" w:rsidP="00000000" w:rsidRDefault="00000000" w:rsidRPr="00000000" w14:paraId="00000452">
            <w:pPr>
              <w:rPr/>
            </w:pPr>
            <w:r w:rsidDel="00000000" w:rsidR="00000000" w:rsidRPr="00000000">
              <w:rPr>
                <w:rtl w:val="0"/>
              </w:rPr>
              <w:t xml:space="preserve">Permanent.</w:t>
            </w:r>
          </w:p>
        </w:tc>
        <w:tc>
          <w:tcPr>
            <w:vAlign w:val="center"/>
          </w:tcPr>
          <w:p w:rsidR="00000000" w:rsidDel="00000000" w:rsidP="00000000" w:rsidRDefault="00000000" w:rsidRPr="00000000" w14:paraId="00000453">
            <w:pPr>
              <w:rPr/>
            </w:pPr>
            <w:r w:rsidDel="00000000" w:rsidR="00000000" w:rsidRPr="00000000">
              <w:rPr>
                <w:rtl w:val="0"/>
              </w:rPr>
              <w:t xml:space="preserve">Validation par le président de séance.</w:t>
            </w:r>
          </w:p>
        </w:tc>
        <w:tc>
          <w:tcPr>
            <w:vAlign w:val="center"/>
          </w:tcPr>
          <w:p w:rsidR="00000000" w:rsidDel="00000000" w:rsidP="00000000" w:rsidRDefault="00000000" w:rsidRPr="00000000" w14:paraId="00000454">
            <w:pPr>
              <w:rPr/>
            </w:pPr>
            <w:r w:rsidDel="00000000" w:rsidR="00000000" w:rsidRPr="00000000">
              <w:rPr>
                <w:rtl w:val="0"/>
              </w:rPr>
              <w:t xml:space="preserve">Interne, parfois partagé.</w:t>
            </w:r>
          </w:p>
        </w:tc>
        <w:tc>
          <w:tcPr>
            <w:vAlign w:val="center"/>
          </w:tcPr>
          <w:p w:rsidR="00000000" w:rsidDel="00000000" w:rsidP="00000000" w:rsidRDefault="00000000" w:rsidRPr="00000000" w14:paraId="00000455">
            <w:pPr>
              <w:rPr/>
            </w:pPr>
            <w:r w:rsidDel="00000000" w:rsidR="00000000" w:rsidRPr="00000000">
              <w:rPr>
                <w:rtl w:val="0"/>
              </w:rPr>
              <w:t xml:space="preserve">Tous organes.</w:t>
            </w:r>
          </w:p>
        </w:tc>
      </w:tr>
      <w:tr>
        <w:trPr>
          <w:cantSplit w:val="0"/>
          <w:tblHeader w:val="0"/>
        </w:trPr>
        <w:tc>
          <w:tcPr>
            <w:vAlign w:val="center"/>
          </w:tcPr>
          <w:p w:rsidR="00000000" w:rsidDel="00000000" w:rsidP="00000000" w:rsidRDefault="00000000" w:rsidRPr="00000000" w14:paraId="00000456">
            <w:pPr>
              <w:rPr/>
            </w:pPr>
            <w:r w:rsidDel="00000000" w:rsidR="00000000" w:rsidRPr="00000000">
              <w:rPr>
                <w:rtl w:val="0"/>
              </w:rPr>
              <w:t xml:space="preserve">Avis / Note technique</w:t>
            </w:r>
          </w:p>
        </w:tc>
        <w:tc>
          <w:tcPr>
            <w:vAlign w:val="center"/>
          </w:tcPr>
          <w:p w:rsidR="00000000" w:rsidDel="00000000" w:rsidP="00000000" w:rsidRDefault="00000000" w:rsidRPr="00000000" w14:paraId="00000457">
            <w:pPr>
              <w:rPr/>
            </w:pPr>
            <w:r w:rsidDel="00000000" w:rsidR="00000000" w:rsidRPr="00000000">
              <w:rPr>
                <w:rtl w:val="0"/>
              </w:rPr>
              <w:t xml:space="preserve">Document exprimant une position ou une analyse technique sur une question précise.</w:t>
            </w:r>
          </w:p>
        </w:tc>
        <w:tc>
          <w:tcPr>
            <w:vAlign w:val="center"/>
          </w:tcPr>
          <w:p w:rsidR="00000000" w:rsidDel="00000000" w:rsidP="00000000" w:rsidRDefault="00000000" w:rsidRPr="00000000" w14:paraId="00000458">
            <w:pPr>
              <w:rPr/>
            </w:pPr>
            <w:r w:rsidDel="00000000" w:rsidR="00000000" w:rsidRPr="00000000">
              <w:rPr>
                <w:rtl w:val="0"/>
              </w:rPr>
              <w:t xml:space="preserve">Éclairer la décision des autorités.</w:t>
            </w:r>
          </w:p>
        </w:tc>
        <w:tc>
          <w:tcPr>
            <w:vAlign w:val="center"/>
          </w:tcPr>
          <w:p w:rsidR="00000000" w:rsidDel="00000000" w:rsidP="00000000" w:rsidRDefault="00000000" w:rsidRPr="00000000" w14:paraId="00000459">
            <w:pPr>
              <w:rPr/>
            </w:pPr>
            <w:r w:rsidDel="00000000" w:rsidR="00000000" w:rsidRPr="00000000">
              <w:rPr>
                <w:rtl w:val="0"/>
              </w:rPr>
              <w:t xml:space="preserve">Conseil scientifique, CT.</w:t>
            </w:r>
          </w:p>
        </w:tc>
        <w:tc>
          <w:tcPr>
            <w:vAlign w:val="center"/>
          </w:tcPr>
          <w:p w:rsidR="00000000" w:rsidDel="00000000" w:rsidP="00000000" w:rsidRDefault="00000000" w:rsidRPr="00000000" w14:paraId="0000045A">
            <w:pPr>
              <w:rPr/>
            </w:pPr>
            <w:r w:rsidDel="00000000" w:rsidR="00000000" w:rsidRPr="00000000">
              <w:rPr>
                <w:rtl w:val="0"/>
              </w:rPr>
              <w:t xml:space="preserve">Analyse, options, recommandations.</w:t>
            </w:r>
          </w:p>
        </w:tc>
        <w:tc>
          <w:tcPr>
            <w:vAlign w:val="center"/>
          </w:tcPr>
          <w:p w:rsidR="00000000" w:rsidDel="00000000" w:rsidP="00000000" w:rsidRDefault="00000000" w:rsidRPr="00000000" w14:paraId="0000045B">
            <w:pPr>
              <w:rPr/>
            </w:pPr>
            <w:r w:rsidDel="00000000" w:rsidR="00000000" w:rsidRPr="00000000">
              <w:rPr>
                <w:rtl w:val="0"/>
              </w:rPr>
              <w:t xml:space="preserve">Selon le sujet.</w:t>
            </w:r>
          </w:p>
        </w:tc>
        <w:tc>
          <w:tcPr>
            <w:vAlign w:val="center"/>
          </w:tcPr>
          <w:p w:rsidR="00000000" w:rsidDel="00000000" w:rsidP="00000000" w:rsidRDefault="00000000" w:rsidRPr="00000000" w14:paraId="0000045C">
            <w:pPr>
              <w:rPr/>
            </w:pPr>
            <w:r w:rsidDel="00000000" w:rsidR="00000000" w:rsidRPr="00000000">
              <w:rPr>
                <w:rtl w:val="0"/>
              </w:rPr>
              <w:t xml:space="preserve">Signature des experts.</w:t>
            </w:r>
          </w:p>
        </w:tc>
        <w:tc>
          <w:tcPr>
            <w:vAlign w:val="center"/>
          </w:tcPr>
          <w:p w:rsidR="00000000" w:rsidDel="00000000" w:rsidP="00000000" w:rsidRDefault="00000000" w:rsidRPr="00000000" w14:paraId="0000045D">
            <w:pPr>
              <w:rPr/>
            </w:pPr>
            <w:r w:rsidDel="00000000" w:rsidR="00000000" w:rsidRPr="00000000">
              <w:rPr>
                <w:rtl w:val="0"/>
              </w:rPr>
              <w:t xml:space="preserve">Non normatif.</w:t>
            </w:r>
          </w:p>
        </w:tc>
        <w:tc>
          <w:tcPr>
            <w:vAlign w:val="center"/>
          </w:tcPr>
          <w:p w:rsidR="00000000" w:rsidDel="00000000" w:rsidP="00000000" w:rsidRDefault="00000000" w:rsidRPr="00000000" w14:paraId="0000045E">
            <w:pPr>
              <w:rPr/>
            </w:pPr>
            <w:r w:rsidDel="00000000" w:rsidR="00000000" w:rsidRPr="00000000">
              <w:rPr>
                <w:rtl w:val="0"/>
              </w:rPr>
              <w:t xml:space="preserve">Décideurs publics, CT.</w:t>
            </w:r>
          </w:p>
        </w:tc>
      </w:tr>
    </w:tbl>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rPr/>
      </w:pPr>
      <w:r w:rsidDel="00000000" w:rsidR="00000000" w:rsidRPr="00000000">
        <w:rPr>
          <w:rtl w:val="0"/>
        </w:rPr>
        <w:t xml:space="preserve">37. Exemples d’articulation hiérarchique dans le contexte RDC/BTP</w:t>
      </w:r>
    </w:p>
    <w:p w:rsidR="00000000" w:rsidDel="00000000" w:rsidP="00000000" w:rsidRDefault="00000000" w:rsidRPr="00000000" w14:paraId="00000461">
      <w:pPr>
        <w:pStyle w:val="Heading2"/>
        <w:rPr/>
      </w:pPr>
      <w:r w:rsidDel="00000000" w:rsidR="00000000" w:rsidRPr="00000000">
        <w:rPr>
          <w:rtl w:val="0"/>
        </w:rPr>
        <w:t xml:space="preserve">37.1 Exemple 1 – Norme routière rendue obligatoire</w:t>
      </w:r>
    </w:p>
    <w:p w:rsidR="00000000" w:rsidDel="00000000" w:rsidP="00000000" w:rsidRDefault="00000000" w:rsidRPr="00000000" w14:paraId="000004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juridique :</w:t>
      </w:r>
    </w:p>
    <w:p w:rsidR="00000000" w:rsidDel="00000000" w:rsidP="00000000" w:rsidRDefault="00000000" w:rsidRPr="00000000" w14:paraId="0000046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Loi sur les marchés publics ;[</w:t>
      </w:r>
      <w:hyperlink r:id="rId2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congovirtuel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Décret fixant les règles de passation et d’exécution des marchés de travaux ;</w:t>
      </w:r>
    </w:p>
    <w:p w:rsidR="00000000" w:rsidDel="00000000" w:rsidP="00000000" w:rsidRDefault="00000000" w:rsidRPr="00000000" w14:paraId="0000046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Arrêté ministériel adoptant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Cahier des charges type pour les marchés routiers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2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normatif :</w:t>
      </w:r>
    </w:p>
    <w:p w:rsidR="00000000" w:rsidDel="00000000" w:rsidP="00000000" w:rsidRDefault="00000000" w:rsidRPr="00000000" w14:paraId="0000046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Série de normes « NC-RDC-R1 0xx:20xx – Routes – Couches de chaussée » adoptées par la Commission nationale ;[</w:t>
      </w:r>
      <w:hyperlink r:id="rId2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Méthodes d’essai associées (essais CBR, granulométrie, limites d’Atterberg).[</w:t>
      </w:r>
      <w:hyperlink r:id="rId2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administratif :</w:t>
      </w:r>
    </w:p>
    <w:p w:rsidR="00000000" w:rsidDel="00000000" w:rsidP="00000000" w:rsidRDefault="00000000" w:rsidRPr="00000000" w14:paraId="0000046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Procédure interne pour la vérification de la conformité aux normes dans les marchés ;</w:t>
      </w:r>
    </w:p>
    <w:p w:rsidR="00000000" w:rsidDel="00000000" w:rsidP="00000000" w:rsidRDefault="00000000" w:rsidRPr="00000000" w14:paraId="0000046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Formulaires de contrôle qualité (fiches d’essais, check-lists de chantier).</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ce cas, l’arrête ministériel renvoie explicitement aux normes nationales pour définir les exigences techniques minimales ; les normes acquièrent alors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caractère obligatoire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le cadre des marchés publics concernés.[</w:t>
      </w:r>
      <w:hyperlink r:id="rId2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D">
      <w:pPr>
        <w:pStyle w:val="Heading2"/>
        <w:rPr/>
      </w:pPr>
      <w:r w:rsidDel="00000000" w:rsidR="00000000" w:rsidRPr="00000000">
        <w:rPr>
          <w:rtl w:val="0"/>
        </w:rPr>
        <w:t xml:space="preserve">37.2 Exemple 2 – Norme bâtiment volontaire, mais recommandée</w:t>
      </w:r>
    </w:p>
    <w:p w:rsidR="00000000" w:rsidDel="00000000" w:rsidP="00000000" w:rsidRDefault="00000000" w:rsidRPr="00000000" w14:paraId="000004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juridique :</w:t>
      </w:r>
    </w:p>
    <w:p w:rsidR="00000000" w:rsidDel="00000000" w:rsidP="00000000" w:rsidRDefault="00000000" w:rsidRPr="00000000" w14:paraId="0000046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Loi sur la construction et l’urbanisme ;</w:t>
      </w:r>
    </w:p>
    <w:p w:rsidR="00000000" w:rsidDel="00000000" w:rsidP="00000000" w:rsidRDefault="00000000" w:rsidRPr="00000000" w14:paraId="0000047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Décret fixant des exigences générales de sécurité et de salubrité des bâtiments.</w:t>
      </w:r>
    </w:p>
    <w:p w:rsidR="00000000" w:rsidDel="00000000" w:rsidP="00000000" w:rsidRDefault="00000000" w:rsidRPr="00000000" w14:paraId="000004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normatif :</w:t>
      </w:r>
    </w:p>
    <w:p w:rsidR="00000000" w:rsidDel="00000000" w:rsidP="00000000" w:rsidRDefault="00000000" w:rsidRPr="00000000" w14:paraId="0000047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Norme NC-RDC-BTP 2xx:20xx « Blocs de béton pour maçonnerie – Spécifications ».[</w:t>
      </w:r>
      <w:hyperlink r:id="rId2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administratif :</w:t>
      </w:r>
    </w:p>
    <w:p w:rsidR="00000000" w:rsidDel="00000000" w:rsidP="00000000" w:rsidRDefault="00000000" w:rsidRPr="00000000" w14:paraId="0000047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Circulaire du Ministère de l’Urbanisme « recommandant » l’utilisation de cette norme pour les projets privés et publics ;</w:t>
      </w:r>
    </w:p>
    <w:p w:rsidR="00000000" w:rsidDel="00000000" w:rsidP="00000000" w:rsidRDefault="00000000" w:rsidRPr="00000000" w14:paraId="0000047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 de bonnes pratiques pour les maçons et artisans.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Ici, la norme reste en principe volontaire, mais fortement recommandée et utilisée comme référence en cas de litige ou d’expertise.[</w:t>
      </w:r>
      <w:hyperlink r:id="rId2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7">
      <w:pPr>
        <w:pStyle w:val="Heading2"/>
        <w:rPr/>
      </w:pPr>
      <w:r w:rsidDel="00000000" w:rsidR="00000000" w:rsidRPr="00000000">
        <w:rPr>
          <w:rtl w:val="0"/>
        </w:rPr>
        <w:t xml:space="preserve">37.3 Exemple 3 – Adoption harmonisée d’un Eurocode pour les ponts</w:t>
      </w:r>
    </w:p>
    <w:p w:rsidR="00000000" w:rsidDel="00000000" w:rsidP="00000000" w:rsidRDefault="00000000" w:rsidRPr="00000000" w14:paraId="000004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juridique :</w:t>
      </w:r>
    </w:p>
    <w:p w:rsidR="00000000" w:rsidDel="00000000" w:rsidP="00000000" w:rsidRDefault="00000000" w:rsidRPr="00000000" w14:paraId="0000047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Aucun texte n’impose encore formellement l’usage de l’Eurocode ; cependant, un décret ou un arrêté pourrait ultérieurement le faire.</w:t>
      </w:r>
    </w:p>
    <w:p w:rsidR="00000000" w:rsidDel="00000000" w:rsidP="00000000" w:rsidRDefault="00000000" w:rsidRPr="00000000" w14:paraId="000004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normatif :</w:t>
      </w:r>
    </w:p>
    <w:p w:rsidR="00000000" w:rsidDel="00000000" w:rsidP="00000000" w:rsidRDefault="00000000" w:rsidRPr="00000000" w14:paraId="0000047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Norme NC-RDC-BTP 3xx:20xx « Ponts en béton – Règles de calcul » adoption MOD de EN 1992-2 avec annexe NA ;[</w:t>
      </w:r>
      <w:hyperlink r:id="rId2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NA fixant les paramètres nationaux (charges climatiques, classes d’exposition).</w:t>
      </w:r>
    </w:p>
    <w:p w:rsidR="00000000" w:rsidDel="00000000" w:rsidP="00000000" w:rsidRDefault="00000000" w:rsidRPr="00000000" w14:paraId="000004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 administratif :</w:t>
      </w:r>
    </w:p>
    <w:p w:rsidR="00000000" w:rsidDel="00000000" w:rsidP="00000000" w:rsidRDefault="00000000" w:rsidRPr="00000000" w14:paraId="0000047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 de l’Agence nationale des routes invitant les concepteurs à appliquer cette norme pour les nouveaux projets structurants ;</w:t>
      </w:r>
    </w:p>
    <w:p w:rsidR="00000000" w:rsidDel="00000000" w:rsidP="00000000" w:rsidRDefault="00000000" w:rsidRPr="00000000" w14:paraId="0000047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Fiches de vérification pour les bureaux de contrôle.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Cette articulation permet une montée en puissance progressive du référentiel Eurocode adapté à la RDC, sans attendre la réforme complète des textes juridiques.[</w:t>
      </w:r>
      <w:hyperlink r:id="rId2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Voici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Sixième Partie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rédigée, en insistant sur :</w:t>
      </w:r>
    </w:p>
    <w:p w:rsidR="00000000" w:rsidDel="00000000" w:rsidP="00000000" w:rsidRDefault="00000000" w:rsidRPr="00000000" w14:paraId="00000487">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règles de rédaction ISO/CEI (Partie 2) ;</w:t>
      </w:r>
    </w:p>
    <w:p w:rsidR="00000000" w:rsidDel="00000000" w:rsidP="00000000" w:rsidRDefault="00000000" w:rsidRPr="00000000" w14:paraId="00000488">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annexes nationales selon ISO/IEC Guide 21-1 ;</w:t>
      </w:r>
    </w:p>
    <w:p w:rsidR="00000000" w:rsidDel="00000000" w:rsidP="00000000" w:rsidRDefault="00000000" w:rsidRPr="00000000" w14:paraId="00000489">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différences rédactionnelles entre adoption identique (IDT) et modifiée (MOD) ;</w:t>
      </w:r>
    </w:p>
    <w:p w:rsidR="00000000" w:rsidDel="00000000" w:rsidP="00000000" w:rsidRDefault="00000000" w:rsidRPr="00000000" w14:paraId="0000048A">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l’intégration des spécificités géo-climatiques et environnementales de la RDC.[</w:t>
      </w:r>
      <w:hyperlink r:id="rId2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rPr/>
      </w:pPr>
      <w:r w:rsidDel="00000000" w:rsidR="00000000" w:rsidRPr="00000000">
        <w:rPr>
          <w:rtl w:val="0"/>
        </w:rPr>
        <w:t xml:space="preserve">Sixième Partie – Guide complet de rédaction des documents normatifs</w:t>
      </w:r>
    </w:p>
    <w:p w:rsidR="00000000" w:rsidDel="00000000" w:rsidP="00000000" w:rsidRDefault="00000000" w:rsidRPr="00000000" w14:paraId="0000048D">
      <w:pPr>
        <w:pStyle w:val="Heading2"/>
        <w:rPr/>
      </w:pPr>
      <w:r w:rsidDel="00000000" w:rsidR="00000000" w:rsidRPr="00000000">
        <w:rPr>
          <w:rtl w:val="0"/>
        </w:rPr>
        <w:t xml:space="preserve">38. Dispositions générales</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Objet de la présente Partie</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38.1.1 La présente Partie définit les règles de rédaction des normes et autres documents normatifs de la Commission nationale, en alignement avec les Directives ISO/IEC, Partie 2, et avec ISO/IEC Guide 21-1 pour l’adoption des normes internationales.[</w:t>
      </w:r>
      <w:hyperlink r:id="rId2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38.1.2 Elle s’applique à la fois :</w:t>
      </w:r>
    </w:p>
    <w:p w:rsidR="00000000" w:rsidDel="00000000" w:rsidP="00000000" w:rsidRDefault="00000000" w:rsidRPr="00000000" w14:paraId="00000490">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normes élaborées au niveau national ;</w:t>
      </w:r>
    </w:p>
    <w:p w:rsidR="00000000" w:rsidDel="00000000" w:rsidP="00000000" w:rsidRDefault="00000000" w:rsidRPr="00000000" w14:paraId="00000491">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normes adoptées par harmonisation à partir de normes ISO, IEC, CEN ou autres (adoption identique – IDT, adoption modifiée – MOD).[</w:t>
      </w:r>
      <w:hyperlink r:id="rId2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 Principes de base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 Le langage utilisé doit être clair, précis, non ambigu et conforme à la terminologie reconnue, afin de garantir une interprétation uniforme et une application harmonisée des normes.[</w:t>
      </w:r>
      <w:hyperlink r:id="rId2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38.2.2 Les règles de rédaction doivent permettre l’intégration explicite des spécificités géographiques, climatiques et environnementales de la RDC (conditions tropicales humides, fortes pluies, température, sols, risques géologiques), sans rompre la cohérence avec le texte international en cas d’harmonisation.[</w:t>
      </w:r>
      <w:hyperlink r:id="rId2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rPr/>
      </w:pPr>
      <w:r w:rsidDel="00000000" w:rsidR="00000000" w:rsidRPr="00000000">
        <w:rPr>
          <w:rtl w:val="0"/>
        </w:rPr>
        <w:t xml:space="preserve">39. Structure, numérotation et codification</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Structure des documents normatifs</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39.1.1 La structure des normes nationales suit les éléments recommandés par les Directives ISO/IEC Partie 2 :[</w:t>
      </w:r>
      <w:hyperlink r:id="rId2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8">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de titre ;</w:t>
      </w:r>
    </w:p>
    <w:p w:rsidR="00000000" w:rsidDel="00000000" w:rsidP="00000000" w:rsidRDefault="00000000" w:rsidRPr="00000000" w14:paraId="00000499">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Préface nationale ;</w:t>
      </w:r>
    </w:p>
    <w:p w:rsidR="00000000" w:rsidDel="00000000" w:rsidP="00000000" w:rsidRDefault="00000000" w:rsidRPr="00000000" w14:paraId="0000049A">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des matières ;</w:t>
      </w:r>
    </w:p>
    <w:p w:rsidR="00000000" w:rsidDel="00000000" w:rsidP="00000000" w:rsidRDefault="00000000" w:rsidRPr="00000000" w14:paraId="0000049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(facultative) ;</w:t>
      </w:r>
    </w:p>
    <w:p w:rsidR="00000000" w:rsidDel="00000000" w:rsidP="00000000" w:rsidRDefault="00000000" w:rsidRPr="00000000" w14:paraId="0000049C">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Domaine d’application ;</w:t>
      </w:r>
    </w:p>
    <w:p w:rsidR="00000000" w:rsidDel="00000000" w:rsidP="00000000" w:rsidRDefault="00000000" w:rsidRPr="00000000" w14:paraId="0000049D">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Références normatives ;</w:t>
      </w:r>
    </w:p>
    <w:p w:rsidR="00000000" w:rsidDel="00000000" w:rsidP="00000000" w:rsidRDefault="00000000" w:rsidRPr="00000000" w14:paraId="0000049E">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Termes et définitions ;</w:t>
      </w:r>
    </w:p>
    <w:p w:rsidR="00000000" w:rsidDel="00000000" w:rsidP="00000000" w:rsidRDefault="00000000" w:rsidRPr="00000000" w14:paraId="0000049F">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Symboles et abréviations (si nécessaire) ;</w:t>
      </w:r>
    </w:p>
    <w:p w:rsidR="00000000" w:rsidDel="00000000" w:rsidP="00000000" w:rsidRDefault="00000000" w:rsidRPr="00000000" w14:paraId="000004A0">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6, 7… Clauses d’exigences et de méthodes ;</w:t>
      </w:r>
    </w:p>
    <w:p w:rsidR="00000000" w:rsidDel="00000000" w:rsidP="00000000" w:rsidRDefault="00000000" w:rsidRPr="00000000" w14:paraId="000004A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normatives (obligatoires) ;</w:t>
      </w:r>
    </w:p>
    <w:p w:rsidR="00000000" w:rsidDel="00000000" w:rsidP="00000000" w:rsidRDefault="00000000" w:rsidRPr="00000000" w14:paraId="000004A2">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informatives (facultatives) ;</w:t>
      </w:r>
    </w:p>
    <w:p w:rsidR="00000000" w:rsidDel="00000000" w:rsidP="00000000" w:rsidRDefault="00000000" w:rsidRPr="00000000" w14:paraId="000004A3">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Bibliographie (facultative) ;</w:t>
      </w:r>
    </w:p>
    <w:p w:rsidR="00000000" w:rsidDel="00000000" w:rsidP="00000000" w:rsidRDefault="00000000" w:rsidRPr="00000000" w14:paraId="000004A4">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nationale(s) NA, NB, etc. (en cas d’adoption).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39.1.2 En cas d’adoption identique d’une norme ISO ou EN ISO, la structure interne (numérotation des clauses et annexes) doit être conservée afin de maintenir la correspondance avec la norme internationale.[</w:t>
      </w:r>
      <w:hyperlink r:id="rId2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Numérotation hiérarchique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39.2.1 La numérotation suit une hiérarchie logique :</w:t>
      </w:r>
    </w:p>
    <w:p w:rsidR="00000000" w:rsidDel="00000000" w:rsidP="00000000" w:rsidRDefault="00000000" w:rsidRPr="00000000" w14:paraId="000004A8">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niveaux principaux : 1, 2, 3, … ;</w:t>
      </w:r>
    </w:p>
    <w:p w:rsidR="00000000" w:rsidDel="00000000" w:rsidP="00000000" w:rsidRDefault="00000000" w:rsidRPr="00000000" w14:paraId="000004A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sous-clauses : 3.1, 3.2, 3.3 ;</w:t>
      </w:r>
    </w:p>
    <w:p w:rsidR="00000000" w:rsidDel="00000000" w:rsidP="00000000" w:rsidRDefault="00000000" w:rsidRPr="00000000" w14:paraId="000004AA">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sous-sous-clauses : 3.1.1, 3.1.2, etc.[</w:t>
      </w:r>
      <w:hyperlink r:id="rId2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39.2.2 Les annexes sont désignées par des lettres (Annexe A, Annexe B), et les annexes nationales par NA, NB, conformément à ISO/IEC Guide 21-1 et aux pratiques CEN/CENELEC.[</w:t>
      </w:r>
      <w:hyperlink r:id="rId2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 Codification des normes nationales</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39.3.1 La Commission nationale adopte une codification normalisée, par exemple :</w:t>
      </w:r>
    </w:p>
    <w:p w:rsidR="00000000" w:rsidDel="00000000" w:rsidP="00000000" w:rsidRDefault="00000000" w:rsidRPr="00000000" w14:paraId="000004AD">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XXX:YYYY, où :</w:t>
      </w:r>
    </w:p>
    <w:p w:rsidR="00000000" w:rsidDel="00000000" w:rsidP="00000000" w:rsidRDefault="00000000" w:rsidRPr="00000000" w14:paraId="000004AE">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 = Norme congolaise ;</w:t>
      </w:r>
    </w:p>
    <w:p w:rsidR="00000000" w:rsidDel="00000000" w:rsidP="00000000" w:rsidRDefault="00000000" w:rsidRPr="00000000" w14:paraId="000004AF">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RDC = République Démocratique du Congo ;</w:t>
      </w:r>
    </w:p>
    <w:p w:rsidR="00000000" w:rsidDel="00000000" w:rsidP="00000000" w:rsidRDefault="00000000" w:rsidRPr="00000000" w14:paraId="000004B0">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BTP = secteur Construction, Infrastructures, Travaux publics, Génie civil ;</w:t>
      </w:r>
    </w:p>
    <w:p w:rsidR="00000000" w:rsidDel="00000000" w:rsidP="00000000" w:rsidRDefault="00000000" w:rsidRPr="00000000" w14:paraId="000004B1">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 = numéro séquentiel ;</w:t>
      </w:r>
    </w:p>
    <w:p w:rsidR="00000000" w:rsidDel="00000000" w:rsidP="00000000" w:rsidRDefault="00000000" w:rsidRPr="00000000" w14:paraId="000004B2">
      <w:pPr>
        <w:keepNext w:val="0"/>
        <w:keepLines w:val="0"/>
        <w:pageBreakBefore w:val="0"/>
        <w:widowControl w:val="1"/>
        <w:numPr>
          <w:ilvl w:val="1"/>
          <w:numId w:val="16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YYYY = année de publication.</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39.3.2 En cas d’adoption d’une norme ISO, il est recommandé de mentionner en préface la référence internationale (par ex. ISO 12345:2024) et d’indiquer IDT ou MOD selon ISO/IEC Guide 21-1.[</w:t>
      </w:r>
      <w:hyperlink r:id="rId2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scc-ccn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rPr/>
      </w:pPr>
      <w:r w:rsidDel="00000000" w:rsidR="00000000" w:rsidRPr="00000000">
        <w:rPr>
          <w:rtl w:val="0"/>
        </w:rPr>
        <w:t xml:space="preserve">40. Langage normatif et niveaux d’obligation</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 Règles générales (ISO/CEI Partie 2)</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40.1.1 Les Directives ISO/IEC Partie 2 distinguent clairement les verbes modaux et leur signification :[</w:t>
      </w:r>
      <w:hyperlink r:id="rId2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8">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doit » : exigence obligatoire (requirement) ;</w:t>
      </w:r>
    </w:p>
    <w:p w:rsidR="00000000" w:rsidDel="00000000" w:rsidP="00000000" w:rsidRDefault="00000000" w:rsidRPr="00000000" w14:paraId="000004B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devrait » : recommandation forte (recommendation) ;</w:t>
      </w:r>
    </w:p>
    <w:p w:rsidR="00000000" w:rsidDel="00000000" w:rsidP="00000000" w:rsidRDefault="00000000" w:rsidRPr="00000000" w14:paraId="000004BA">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peut » / « est autorisé à » : permission (permission) ;</w:t>
      </w:r>
    </w:p>
    <w:p w:rsidR="00000000" w:rsidDel="00000000" w:rsidP="00000000" w:rsidRDefault="00000000" w:rsidRPr="00000000" w14:paraId="000004BB">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convient de » / « il est recommandé de » : recommandation, souvent utilisée pour les bonnes pratiques ou dispositions conseillées.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40.1.2 Les normes de la Commission nationale doivent utiliser ces verbes de manière cohérente ; un même verbe ne peut pas être utilisé pour des niveaux d’obligation différents au sein d’un même document.[</w:t>
      </w:r>
      <w:hyperlink r:id="rId2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 Différences rédactionnelles entre adoption IDT et MOD</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Adoption identique (IDT)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verbes modaux sont traduits de manière standard (shall → doit, should → devrait, may → peut) sans modification du niveau d’exigence.[</w:t>
      </w:r>
      <w:hyperlink r:id="rId24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0">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Aucune clause ISO « should » ne doit être transformée en « doit » dans le corps du texte ; toute adaptation doit être opérée et expliquée dans une annexe nationale.[</w:t>
      </w:r>
      <w:hyperlink r:id="rId24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Adoption modifiée (MOD)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est possible de rehausser le niveau d’obligation (should → doit) ou de l’abaisser (shall → devrait) pour tenir compte des exigences juridiques ou des capacités techniques nationales, mais ces modifications doivent être clairement identifiées comme des écarts par rapport au texte international.[</w:t>
      </w:r>
      <w:hyperlink r:id="rId2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scc-ccn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3">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modifications majeures sont décrites dans l’annexe nationale NA et, éventuellement, signalées par un symbole ou une note dans le corps du texte (selon le système de mise en page adopté par l’organisme national).[</w:t>
      </w:r>
      <w:hyperlink r:id="rId24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 Exemples comparés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40.3.1 Exemple 1 – Exigence de résistance des matériaux (IDT)</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(anglais) :</w:t>
      </w:r>
    </w:p>
    <w:p w:rsidR="00000000" w:rsidDel="00000000" w:rsidP="00000000" w:rsidRDefault="00000000" w:rsidRPr="00000000" w14:paraId="000004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compressive strength of the concrete shall not be less than 25 MPa at 28 days.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nationale IDT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 Résistance à la compression</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résistance à la compression du béton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au moins égale à 25 MPa à 28 jours.</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Ici, « shall » → « doit » sans modification.[</w:t>
      </w:r>
      <w:hyperlink r:id="rId24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40.3.2 Exemple 2 – Adaptation MOD pour climat tropical</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(original) :</w:t>
      </w:r>
    </w:p>
    <w:p w:rsidR="00000000" w:rsidDel="00000000" w:rsidP="00000000" w:rsidRDefault="00000000" w:rsidRPr="00000000" w14:paraId="000004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protective coating should be applied if the structure is exposed to aggressive environments.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Contexte RDC : certaines zones présentent une agressivité élevée (forte pluviométrie, taux d’humidité élevé, pollution), avec risques de corrosion.[</w:t>
      </w:r>
      <w:hyperlink r:id="rId24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MOD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7.4.1 Protection des armatures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les zones à environnement agressif (milieu marin, zones industrielles polluées, régions à forte humidité et pluviométrie), un revêtement de protection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appliqué sur les armatures exposées.</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1 – Cette exigence constitue une adaptation nationale du texte ISO, motivée par les conditions climatiques et environnementales de la RDC. Les dispositions correspondantes de la norme ISO originale sont formulées sous forme de recommandation (« devrait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Ici, on transforme le « should » ISO en « doit » national, en le justifiant explicitement.[</w:t>
      </w:r>
      <w:hyperlink r:id="rId24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rPr/>
      </w:pPr>
      <w:r w:rsidDel="00000000" w:rsidR="00000000" w:rsidRPr="00000000">
        <w:rPr>
          <w:rtl w:val="0"/>
        </w:rPr>
        <w:t xml:space="preserve">41. Annexes nationales selon ISO/IEC Guide 21-1</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Rôle et statut des annexes nationales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41.1.1 L’ISO/IEC Guide 21-1 définit les méthodes pour l’adoption des normes internationales et précise qu’un standard adopté peut comporter 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annexes nationales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intégrer des spécificités locales (paramètres, compléments, écarts).[</w:t>
      </w:r>
      <w:hyperlink r:id="rId25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41.1.2 Les annexes nationales peuvent être :</w:t>
      </w:r>
    </w:p>
    <w:p w:rsidR="00000000" w:rsidDel="00000000" w:rsidP="00000000" w:rsidRDefault="00000000" w:rsidRPr="00000000" w14:paraId="000004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Annexes normatives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lorsqu’elles contiennent des exigences obligatoires ;</w:t>
      </w:r>
    </w:p>
    <w:p w:rsidR="00000000" w:rsidDel="00000000" w:rsidP="00000000" w:rsidRDefault="00000000" w:rsidRPr="00000000" w14:paraId="000004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Annexes informatives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lorsqu’elles contiennent des explications, des recommandations ou des exemples.[</w:t>
      </w:r>
      <w:hyperlink r:id="rId25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Types de contenu des annexes nationales</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41.2.1 Conformément au Guide 21-1, une annexe nationale peut inclure :[</w:t>
      </w:r>
      <w:hyperlink r:id="rId25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liste 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paramètres nationaux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(valeurs de coefficients, classes d’exposition, charges climatiques, etc.) ;</w:t>
      </w:r>
    </w:p>
    <w:p w:rsidR="00000000" w:rsidDel="00000000" w:rsidP="00000000" w:rsidRDefault="00000000" w:rsidRPr="00000000" w14:paraId="000004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compléments spécifiques au contexte juridique (renvois à des lois, règlements ou codes congolais) ;</w:t>
      </w:r>
    </w:p>
    <w:p w:rsidR="00000000" w:rsidDel="00000000" w:rsidP="00000000" w:rsidRDefault="00000000" w:rsidRPr="00000000" w14:paraId="000004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compléments techniques propres aux conditions géo-climatiques et environnementales (zones sismiques, conditions de pluviométrie, températures, types de sols) ;</w:t>
      </w:r>
    </w:p>
    <w:p w:rsidR="00000000" w:rsidDel="00000000" w:rsidP="00000000" w:rsidRDefault="00000000" w:rsidRPr="00000000" w14:paraId="000004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dispositions transitoires d’application.</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41.2.2 Exemple – Annexe nationale NA pour une norme basée sur un Eurocode ponts :</w:t>
      </w:r>
    </w:p>
    <w:p w:rsidR="00000000" w:rsidDel="00000000" w:rsidP="00000000" w:rsidRDefault="00000000" w:rsidRPr="00000000" w14:paraId="000004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NA.1 Paramètres nationaux pour les charges de trafic routier ;</w:t>
      </w:r>
    </w:p>
    <w:p w:rsidR="00000000" w:rsidDel="00000000" w:rsidP="00000000" w:rsidRDefault="00000000" w:rsidRPr="00000000" w14:paraId="000004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NA.2 Paramètres nationaux pour les actions climatiques (pluie, vent, température) ;</w:t>
      </w:r>
    </w:p>
    <w:p w:rsidR="00000000" w:rsidDel="00000000" w:rsidP="00000000" w:rsidRDefault="00000000" w:rsidRPr="00000000" w14:paraId="000004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NA.3 Classes d’exposition pour les environnements humides et chauds en RDC ;</w:t>
      </w:r>
    </w:p>
    <w:p w:rsidR="00000000" w:rsidDel="00000000" w:rsidP="00000000" w:rsidRDefault="00000000" w:rsidRPr="00000000" w14:paraId="000004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 Références aux textes nationaux sur la sécurité des ouvrages.[</w:t>
      </w:r>
      <w:hyperlink r:id="rId25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Règles de rédaction des annexes nationales</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41.3.1 Les annexes nationales doivent :</w:t>
      </w:r>
    </w:p>
    <w:p w:rsidR="00000000" w:rsidDel="00000000" w:rsidP="00000000" w:rsidRDefault="00000000" w:rsidRPr="00000000" w14:paraId="000004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être clairement identifiées comme « Annexe NA (nationale) » ;</w:t>
      </w:r>
    </w:p>
    <w:p w:rsidR="00000000" w:rsidDel="00000000" w:rsidP="00000000" w:rsidRDefault="00000000" w:rsidRPr="00000000" w14:paraId="000004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préciser si elles sont normatives ou informatives ;</w:t>
      </w:r>
    </w:p>
    <w:p w:rsidR="00000000" w:rsidDel="00000000" w:rsidP="00000000" w:rsidRDefault="00000000" w:rsidRPr="00000000" w14:paraId="000004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mentionner explicitement qu’elles complètent ou modifient le texte international.[</w:t>
      </w:r>
      <w:hyperlink r:id="rId25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41.3.2 Exemple de formulation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NA</w:t>
        <w:br w:type="textWrapping"/>
        <w:t xml:space="preserve">(NORMATIVE)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Paramètres nationaux pour la République Démocratique du Congo</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NA.1 Objet</w:t>
        <w:br w:type="textWrapping"/>
        <w:t xml:space="preserve">La présente annexe fixe les paramètres nationaux à utiliser pour l’application de la présente Norme congolaise sur le territoire de la RDC.</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NA.2 Classes d’exposition</w:t>
        <w:br w:type="textWrapping"/>
        <w:t xml:space="preserve">Les classes d’exposition des éléments en béton sont définies en fonction des conditions climatiques et environnementales particulières de la RDC, telles que décrites au Tableau NA.1.</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rPr/>
      </w:pPr>
      <w:r w:rsidDel="00000000" w:rsidR="00000000" w:rsidRPr="00000000">
        <w:rPr>
          <w:rtl w:val="0"/>
        </w:rPr>
        <w:t xml:space="preserve">42. Intégration des exigences géo-climatiques et environnementales de la RDC</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Paramètres nationaux liés au climat et à la géographie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42.1.1 La RDC présente une diversité de conditions climatiques (équatoriales, tropicales, de montagne), avec des pluviométries élevées, des températures moyennes importantes, des sols parfois très plastiques ou saturés, ainsi que des risques particuliers (érosion, inondations, glissements de terrain).[</w:t>
      </w:r>
      <w:hyperlink r:id="rId25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42.1.2 Ces facteurs doivent être intégrés dans les normes adoptées en tant que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paramètres nationaux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notamment pour :</w:t>
      </w:r>
    </w:p>
    <w:p w:rsidR="00000000" w:rsidDel="00000000" w:rsidP="00000000" w:rsidRDefault="00000000" w:rsidRPr="00000000" w14:paraId="000004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charges climatiques (pluie, vent, température) ;</w:t>
      </w:r>
    </w:p>
    <w:p w:rsidR="00000000" w:rsidDel="00000000" w:rsidP="00000000" w:rsidRDefault="00000000" w:rsidRPr="00000000" w14:paraId="000004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classes d’exposition du béton ;</w:t>
      </w:r>
    </w:p>
    <w:p w:rsidR="00000000" w:rsidDel="00000000" w:rsidP="00000000" w:rsidRDefault="00000000" w:rsidRPr="00000000" w14:paraId="000004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spécifications des matériaux (résistance à l’eau, abrasion, gel/dégel si pertinent en altitude) ;</w:t>
      </w:r>
    </w:p>
    <w:p w:rsidR="00000000" w:rsidDel="00000000" w:rsidP="00000000" w:rsidRDefault="00000000" w:rsidRPr="00000000" w14:paraId="000004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règles de drainage et de gestion des eaux.[</w:t>
      </w:r>
      <w:hyperlink r:id="rId25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Exemples concrets d’intégration dans une annexe nationale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42.2.1 Exemple 1 – Norme de calcul des ponts (basée sur Eurocodes)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NA – Extrait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NA.3 Classes d’exposition pour les ponts en béton en RDC</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classes d’exposition définies dans le texte principal sont complétées comme suit pour tenir compte des conditions tropicales humides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Classe XC-RDC 1 : milieux intérieurs secs ;</w:t>
        <w:br w:type="textWrapping"/>
        <w:t xml:space="preserve">– Classe XC-RDC 2 : milieux extérieurs protégés de la pluie ;</w:t>
        <w:br w:type="textWrapping"/>
        <w:t xml:space="preserve">– Classe XC-RDC 3 : milieux extérieurs soumis à la pluie fréquente ;</w:t>
        <w:br w:type="textWrapping"/>
        <w:t xml:space="preserve">– Classe XS-RDC 1 : milieux à proximité de zones maritimes ou de voies navigables fortement salées.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Les paramètres NA.3.1 à NA.3.4 fixent les enrobages minimaux, la qualité minimale du béton et les exigences de recouvrement en fonction de ces classes.[</w:t>
      </w:r>
      <w:hyperlink r:id="rId25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fidic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42.2.2 Exemple 2 – Norme sur les couches de chaussée</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NA – Extrait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 Conditions climatiques pour le dimensionnement des chaussées</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NA.4.1 Les zones climatiques routières sont définies comme suit :</w:t>
        <w:br w:type="textWrapping"/>
        <w:t xml:space="preserve">– Zone A : climat équatorial humide (pluviométrie annuelle &gt; 1 800 mm) ;</w:t>
        <w:br w:type="textWrapping"/>
        <w:t xml:space="preserve">– Zone B : climat tropical de savane (1 200 à 1 800 mm) ;</w:t>
        <w:br w:type="textWrapping"/>
        <w:t xml:space="preserve">– Zone C : climat moins humide (pluviométrie &lt; 1 200 mm).</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NA.4.2 Les épaisseurs minimales des couches de chaussée, les spécifications des matériaux et les dispositifs de drainage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ajustés selon le Tableau NA.2, en fonction de la zone climatique et de la catégorie de trafic.[</w:t>
      </w:r>
      <w:hyperlink r:id="rId25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Prise en compte de l’environnement et des risques</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42.3.1 Les annexes nationales peuvent intégrer :</w:t>
      </w:r>
    </w:p>
    <w:p w:rsidR="00000000" w:rsidDel="00000000" w:rsidP="00000000" w:rsidRDefault="00000000" w:rsidRPr="00000000" w14:paraId="000005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prescriptions particulières pour la protection de l’environnement (limitation de l’érosion, gestion des déblais, protection des cours d’eau) ;</w:t>
      </w:r>
    </w:p>
    <w:p w:rsidR="00000000" w:rsidDel="00000000" w:rsidP="00000000" w:rsidRDefault="00000000" w:rsidRPr="00000000" w14:paraId="000005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exigences relatives à la résilience climatique (résistance aux inondations, aux coulées de boue).[</w:t>
      </w:r>
      <w:hyperlink r:id="rId25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42.3.2 Exemple – Norme sur les ouvrages de drainage routier</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NA – Extrait :</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NA.5 Protection des berges et des talus</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les zones fortement sujettes à l’érosion, les dispositifs de protection des talus et des berges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intégrer des solutions adaptées aux conditions locales (enrochements, gabions, végétalisation), selon les prescriptions nationales en matière de lutte contre l’érosion.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Les dispositions du présent NA.5 complètent les recommandations générales de la norme ISO de référence, en tenant compte des politiques nationales de gestion environnementale.[</w:t>
      </w:r>
      <w:hyperlink r:id="rId26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rPr/>
      </w:pPr>
      <w:r w:rsidDel="00000000" w:rsidR="00000000" w:rsidRPr="00000000">
        <w:rPr>
          <w:rtl w:val="0"/>
        </w:rPr>
        <w:t xml:space="preserve">43. Expressions interdites et bonnes pratiques rédactionnelles</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Expressions à proscrire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43.1.1 Sont à proscrire dans les normes :</w:t>
      </w:r>
    </w:p>
    <w:p w:rsidR="00000000" w:rsidDel="00000000" w:rsidP="00000000" w:rsidRDefault="00000000" w:rsidRPr="00000000" w14:paraId="000005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formulations vagues (« qualité suffisante », « bonne pratique » sans définition) ;</w:t>
      </w:r>
    </w:p>
    <w:p w:rsidR="00000000" w:rsidDel="00000000" w:rsidP="00000000" w:rsidRDefault="00000000" w:rsidRPr="00000000" w14:paraId="000005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expressions subjectives ou morales (« de préférence », « si possible ») ;</w:t>
      </w:r>
    </w:p>
    <w:p w:rsidR="00000000" w:rsidDel="00000000" w:rsidP="00000000" w:rsidRDefault="00000000" w:rsidRPr="00000000" w14:paraId="000005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renvois non normatifs (par ex. « conforme aux directives internes du ministère » sans référence précise).[</w:t>
      </w:r>
      <w:hyperlink r:id="rId26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43.1.2 En cas d’adoption MOD, il est interdit de modifier le texte international en ajoutant des formulations imprécises qui affaibliraient la clarté du document ; toute adaptation doit rester techniquement justifiable.[</w:t>
      </w:r>
      <w:hyperlink r:id="rId26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Bonnes pratiques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43.2.1 Chaque exigence doit être :</w:t>
      </w:r>
    </w:p>
    <w:p w:rsidR="00000000" w:rsidDel="00000000" w:rsidP="00000000" w:rsidRDefault="00000000" w:rsidRPr="00000000" w14:paraId="000005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formulée de manière affirmative, précise, mesurable ou vérifiable ;</w:t>
      </w:r>
    </w:p>
    <w:p w:rsidR="00000000" w:rsidDel="00000000" w:rsidP="00000000" w:rsidRDefault="00000000" w:rsidRPr="00000000" w14:paraId="000005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située dans une clause pertinente (ex. exigences, méthodes d’essai, annexes normatives).[</w:t>
      </w:r>
      <w:hyperlink r:id="rId26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43.2.2 Les annexes nationales doivent clairement distinguer les exigences (utilisant « doit ») des recommandations (utilisant « devrait » ou « il convient de »), en particulier lorsqu’elles traduisent des exigences environnementales propres au contexte congolais.[</w:t>
      </w:r>
      <w:hyperlink r:id="rId26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vous le souhaitez, je peux maintenant :</w:t>
      </w:r>
    </w:p>
    <w:p w:rsidR="00000000" w:rsidDel="00000000" w:rsidP="00000000" w:rsidRDefault="00000000" w:rsidRPr="00000000" w14:paraId="000005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rédiger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Septième Partie (Règles de présentation : Titre, Objet, Références, Termes, Exigences, Méthodes d’essai, etc.)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montrant, sur un exemple de norme complète, comment ces règles de rédaction se traduisent concrètement ;</w:t>
      </w:r>
    </w:p>
    <w:p w:rsidR="00000000" w:rsidDel="00000000" w:rsidP="00000000" w:rsidRDefault="00000000" w:rsidRPr="00000000" w14:paraId="000005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passer à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Cinquième Partie (Hiérarchie des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des tableaux détaillés.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Voici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Septième Partie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Guide, rédigée avec un niveau de détail élevé et des exemples concrets de normes applicables en RDC, en respectant la structure prescrite par les Directives ISO/IEC, Partie 2.[</w:t>
      </w:r>
      <w:hyperlink r:id="rId26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rPr/>
      </w:pPr>
      <w:r w:rsidDel="00000000" w:rsidR="00000000" w:rsidRPr="00000000">
        <w:rPr>
          <w:rtl w:val="0"/>
        </w:rPr>
        <w:t xml:space="preserve">Septième Partie – Règles de présentation des normes</w:t>
      </w:r>
    </w:p>
    <w:p w:rsidR="00000000" w:rsidDel="00000000" w:rsidP="00000000" w:rsidRDefault="00000000" w:rsidRPr="00000000" w14:paraId="00000521">
      <w:pPr>
        <w:pStyle w:val="Heading2"/>
        <w:rPr/>
      </w:pPr>
      <w:r w:rsidDel="00000000" w:rsidR="00000000" w:rsidRPr="00000000">
        <w:rPr>
          <w:rtl w:val="0"/>
        </w:rPr>
        <w:t xml:space="preserve">43. Principes de présentation</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Objet de la Partie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43.1.1 La présente Partie définit la structure détaillée et les règles de présentation des normes nationales du secteur de la construction, des infrastructures, des travaux publics et du génie civil, qu’elles soient élaborées en RDC ou adoptées par harmonisation à partir de normes internationales ou régionales.[</w:t>
      </w:r>
      <w:hyperlink r:id="rId26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43.1.2 Elle se fonde sur les Directives ISO/IEC, Partie 2, qui fixent les éléments obligatoires d’une norme (titre, domaine d’application, références normatives, termes et définitions, clauses d’exigences, annexes), tout en les adaptant aux besoins spécifiques et au contexte juridique de la RDC.[</w:t>
      </w:r>
      <w:hyperlink r:id="rId26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Règles générales</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43.2.1 Chaque norme doit être rédigée de manière cohérente avec la structure suivante :</w:t>
      </w:r>
    </w:p>
    <w:p w:rsidR="00000000" w:rsidDel="00000000" w:rsidP="00000000" w:rsidRDefault="00000000" w:rsidRPr="00000000" w14:paraId="000005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w:t>
      </w:r>
    </w:p>
    <w:p w:rsidR="00000000" w:rsidDel="00000000" w:rsidP="00000000" w:rsidRDefault="00000000" w:rsidRPr="00000000" w14:paraId="000005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Préface nationale ;</w:t>
      </w:r>
    </w:p>
    <w:p w:rsidR="00000000" w:rsidDel="00000000" w:rsidP="00000000" w:rsidRDefault="00000000" w:rsidRPr="00000000" w14:paraId="000005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des matières ;</w:t>
      </w:r>
    </w:p>
    <w:p w:rsidR="00000000" w:rsidDel="00000000" w:rsidP="00000000" w:rsidRDefault="00000000" w:rsidRPr="00000000" w14:paraId="000005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(si nécessaire) ;</w:t>
      </w:r>
    </w:p>
    <w:p w:rsidR="00000000" w:rsidDel="00000000" w:rsidP="00000000" w:rsidRDefault="00000000" w:rsidRPr="00000000" w14:paraId="000005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Domaine d’application ;</w:t>
      </w:r>
    </w:p>
    <w:p w:rsidR="00000000" w:rsidDel="00000000" w:rsidP="00000000" w:rsidRDefault="00000000" w:rsidRPr="00000000" w14:paraId="000005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Références normatives ;</w:t>
      </w:r>
    </w:p>
    <w:p w:rsidR="00000000" w:rsidDel="00000000" w:rsidP="00000000" w:rsidRDefault="00000000" w:rsidRPr="00000000" w14:paraId="000005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Termes et définitions ;</w:t>
      </w:r>
    </w:p>
    <w:p w:rsidR="00000000" w:rsidDel="00000000" w:rsidP="00000000" w:rsidRDefault="00000000" w:rsidRPr="00000000" w14:paraId="000005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Symboles et abréviations (si applicables) ;</w:t>
      </w:r>
    </w:p>
    <w:p w:rsidR="00000000" w:rsidDel="00000000" w:rsidP="00000000" w:rsidRDefault="00000000" w:rsidRPr="00000000" w14:paraId="000005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et suivants : exigences, méthodes d’essai, critères d’acceptation, contrôle qualité, inspection ;</w:t>
      </w:r>
    </w:p>
    <w:p w:rsidR="00000000" w:rsidDel="00000000" w:rsidP="00000000" w:rsidRDefault="00000000" w:rsidRPr="00000000" w14:paraId="000005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normatives ;</w:t>
      </w:r>
    </w:p>
    <w:p w:rsidR="00000000" w:rsidDel="00000000" w:rsidP="00000000" w:rsidRDefault="00000000" w:rsidRPr="00000000" w14:paraId="000005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informatives ;</w:t>
      </w:r>
    </w:p>
    <w:p w:rsidR="00000000" w:rsidDel="00000000" w:rsidP="00000000" w:rsidRDefault="00000000" w:rsidRPr="00000000" w14:paraId="000005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Bibliographie ;</w:t>
      </w:r>
    </w:p>
    <w:p w:rsidR="00000000" w:rsidDel="00000000" w:rsidP="00000000" w:rsidRDefault="00000000" w:rsidRPr="00000000" w14:paraId="0000053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Annexe(s) nationale(s) (NA, NB, etc.) en cas d’adoption harmonisée.[</w:t>
      </w:r>
      <w:hyperlink r:id="rId26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43.2.2 La numérotation des clauses suit les prescriptions ISO/IEC : le « Domaine d’application » est toujours la clause 1, les « Références normatives » la clause 2, les « Termes et définitions » la clause 3, et la Bibliographie ne porte pas de numéro de clause.[</w:t>
      </w:r>
      <w:hyperlink r:id="rId26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2"/>
        <w:rPr/>
      </w:pPr>
      <w:r w:rsidDel="00000000" w:rsidR="00000000" w:rsidRPr="00000000">
        <w:rPr>
          <w:rtl w:val="0"/>
        </w:rPr>
        <w:t xml:space="preserve">44. Titre de la norme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Structure du titre</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44.1.1 Le titre suit la structure ISO recommandée :</w:t>
      </w:r>
    </w:p>
    <w:p w:rsidR="00000000" w:rsidDel="00000000" w:rsidP="00000000" w:rsidRDefault="00000000" w:rsidRPr="00000000" w14:paraId="000005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élément introductif (facultatif, domaine général) ;</w:t>
      </w:r>
    </w:p>
    <w:p w:rsidR="00000000" w:rsidDel="00000000" w:rsidP="00000000" w:rsidRDefault="00000000" w:rsidRPr="00000000" w14:paraId="000005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élément principal (objet technique principal) ;</w:t>
      </w:r>
    </w:p>
    <w:p w:rsidR="00000000" w:rsidDel="00000000" w:rsidP="00000000" w:rsidRDefault="00000000" w:rsidRPr="00000000" w14:paraId="000005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éventuellement, élément complémentaire (partie ou aspect particulier).[</w:t>
      </w:r>
      <w:hyperlink r:id="rId27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44.1.2 Exemples adaptés à la RDC :</w:t>
      </w:r>
    </w:p>
    <w:p w:rsidR="00000000" w:rsidDel="00000000" w:rsidP="00000000" w:rsidRDefault="00000000" w:rsidRPr="00000000" w14:paraId="000005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Routes — Couches de chaussée — Spécifications des matériaux granulaires » ;</w:t>
      </w:r>
    </w:p>
    <w:p w:rsidR="00000000" w:rsidDel="00000000" w:rsidP="00000000" w:rsidRDefault="00000000" w:rsidRPr="00000000" w14:paraId="000005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Ponts en béton — Règles de calcul — Part 1 : Actions et combinaisons d’actions » ;</w:t>
      </w:r>
    </w:p>
    <w:p w:rsidR="00000000" w:rsidDel="00000000" w:rsidP="00000000" w:rsidRDefault="00000000" w:rsidRPr="00000000" w14:paraId="000005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Blocs de béton pour maçonnerie — Spécifications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Règles rédactionnelles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44.2.1 Le titre doit être concis, explicite et permettre d’identifier clairement l’objet de la norme sans ambiguïté ; il ne contient pas à ce stade de verbes d’obligation.[</w:t>
      </w:r>
      <w:hyperlink r:id="rId27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44.2.2 En cas d’adoption d’une norme ISO ou EN ISO, le titre national est aligné autant que possible sur le titre international, en y ajoutant si nécessaire une mention de type « (Norme adoptée identiquement) » dans la préface nationale plutôt que dans le titre lui-même.[</w:t>
      </w:r>
      <w:hyperlink r:id="rId27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rPr/>
      </w:pPr>
      <w:r w:rsidDel="00000000" w:rsidR="00000000" w:rsidRPr="00000000">
        <w:rPr>
          <w:rtl w:val="0"/>
        </w:rPr>
        <w:t xml:space="preserve">45. Objet (Domaine d’application – Clause 1)</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Finalité de la clause 1</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45.1.1 La clause « 1 Domaine d’application » décrit précisément ce que couvre la norme et ce qu’elle ne couvre pas ; elle doit être concise mais suffisamment explicite pour éviter une interprétation trop large ou trop restrictive.[</w:t>
      </w:r>
      <w:hyperlink r:id="rId27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Exemple – Norme sur les blocs de béton (RDC)</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Domaine d’application</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Norme congolaise spécifie les exigences relatives aux blocs de béton pour maçonnerie destinés à la construction de murs porteurs et non porteurs dans les bâtiments résidentiels et non résidentiels en République Démocratique du Congo.</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s’applique aux blocs produits industriellement et utilisés dans des ouvrages soumis aux conditions climatiques et environnementales courantes du territoire national.</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ne s’applique pas aux blocs en béton légers ou cellulaires, ni aux produits préfabriqués structuraux spécifiques (poutrelles, dalles).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Adaptation aux conditions RDC</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45.3.1 Le domaine d’application peut mentionner explicitement les conditions géo-climatiques (climat tropical humide, fortes pluies, sols particuliers) lorsque celles-ci influent sur l’utilisation de la norme, tout en gardant les aspects chiffrés dans les clauses ou annexes.[</w:t>
      </w:r>
      <w:hyperlink r:id="rId27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rPr/>
      </w:pPr>
      <w:r w:rsidDel="00000000" w:rsidR="00000000" w:rsidRPr="00000000">
        <w:rPr>
          <w:rtl w:val="0"/>
        </w:rPr>
        <w:t xml:space="preserve">46. Références normatives (Clause 2)</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 Rôle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46.1.1 La clause « 2 Références normatives » énumère les documents cités de manière telle que tout ou partie de leur contenu constitue des exigences de la norme ; ces références sont indispensables à l’application de la norme.[</w:t>
      </w:r>
      <w:hyperlink r:id="rId27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 Règles de présentation</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46.2.1 Les références sont listées avec leur identifiant complet, titre et, si possible, année :</w:t>
      </w:r>
    </w:p>
    <w:p w:rsidR="00000000" w:rsidDel="00000000" w:rsidP="00000000" w:rsidRDefault="00000000" w:rsidRPr="00000000" w14:paraId="0000055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0xx:20yy, Titre… ;</w:t>
      </w:r>
    </w:p>
    <w:p w:rsidR="00000000" w:rsidDel="00000000" w:rsidP="00000000" w:rsidRDefault="00000000" w:rsidRPr="00000000" w14:paraId="000005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12345:2024, Titre… ;</w:t>
      </w:r>
    </w:p>
    <w:p w:rsidR="00000000" w:rsidDel="00000000" w:rsidP="00000000" w:rsidRDefault="00000000" w:rsidRPr="00000000" w14:paraId="000005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1992-2:2018, Titre….[</w:t>
      </w:r>
      <w:hyperlink r:id="rId27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46.2.2 Dans une norme adoptée par harmonisation (IDT ou MOD), la clause 2 reprend les références de la norme ISO/EN, complétées éventuellement par des références nationales (normes RDC sur les matériaux, textes juridiques).[</w:t>
      </w:r>
      <w:hyperlink r:id="rId27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 Exemple – Norme sur les couches de chaussée (RDC)</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Références normatives</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documents suivants, en tout ou en partie, sont référencés de manière normative dans la présente norme et sont indispensables à son application. Pour les références datées, seule l’édition citée s’applique. Pour les références non datées, la dernière édition du document de référence (y compris ses amendements) s’applique.</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0xx:2027, Routes — Essais CBR — Méthode de laboratoire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17892-1:2014, Geotechnical investigation and testing — Laboratory testing of soil — Part 1: Determination of water content</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Arrêté ministériel n°…/…/… relatif aux conditions techniques d’exécution des travaux routiers (le cas échéant).[</w:t>
      </w:r>
      <w:hyperlink r:id="rId27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rPr/>
      </w:pPr>
      <w:r w:rsidDel="00000000" w:rsidR="00000000" w:rsidRPr="00000000">
        <w:rPr>
          <w:rtl w:val="0"/>
        </w:rPr>
        <w:t xml:space="preserve">47. Termes, définitions, symboles et abréviations (Clauses 3 et 4)</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47.1 Termes et définitions (Clause 3)</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47.1.1 Les Directives ISO/IEC rappellent que les termes doivent être présentés dans leur forme grammaticale de base et que les définitions ne doivent pas contenir de prescriptions (« doit », « devrait »).[</w:t>
      </w:r>
      <w:hyperlink r:id="rId27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webdesk.jsa.or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47.1.2 En RDC, la clause 3 doit s’appuyer autant que possible sur les vocabulaires existants (ISO 6707 pour la construction, vocabulaires ISO pour les matériaux) et sur le lexique national développé dans la Huitième Partie du présent Guide, afin d’assurer une cohérence terminologique.[</w:t>
      </w:r>
      <w:hyperlink r:id="rId28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47.1.3 Exemple – Norme blocs de béton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Termes et définitions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fins de la présente norme, les termes et définitions suivants s’appliquent.</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br w:type="textWrapping"/>
        <w:t xml:space="preserve">bloc de béton</w:t>
        <w:br w:type="textWrapping"/>
        <w:t xml:space="preserve">élément préfabriqué en béton, de forme généralement parallélépipédique, destiné à la constitution de maçonneries.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br w:type="textWrapping"/>
        <w:t xml:space="preserve">bloc porteur</w:t>
        <w:br w:type="textWrapping"/>
        <w:t xml:space="preserve">bloc de béton destiné à la réalisation de maçonneries participant à la résistance mécanique de l’ouvrage.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br w:type="textWrapping"/>
        <w:t xml:space="preserve">bloc non porteur</w:t>
        <w:br w:type="textWrapping"/>
        <w:t xml:space="preserve">bloc de béton destiné à la réalisation de cloisons ou de murs ne participant pas à la résistance principale de l’ouvrage.</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47.2 Symboles et abréviations (Clause 4)</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47.2.1 Lorsque la norme utilise des symboles (par ex. fckf_{ck}fck​, γGγ_GγG​, EEE) ou des abréviations (CBR, LA), ceux-ci sont listés et définis dans une clause spécifique, après la clause des termes.[</w:t>
      </w:r>
      <w:hyperlink r:id="rId28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47.2.2 Exemple – Norme de dimensionnement routier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Symboles et abréviations</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CBR indice portant de Californie</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ESAL Equivalent Single Axle Load (essieu standard)</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EsE_sEs​ module d’Young du sol de fondation.</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rPr/>
      </w:pPr>
      <w:r w:rsidDel="00000000" w:rsidR="00000000" w:rsidRPr="00000000">
        <w:rPr>
          <w:rtl w:val="0"/>
        </w:rPr>
        <w:t xml:space="preserve">48. Exigences (Clauses principales)</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 Règles de rédaction des exigences</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48.1.1 Les clauses d’exigences contiennent les dispositions « qui doivent être satisfaites pour que la norme soit conforme », en utilisant les verbes modaux conformes à ISO/IEC Partie 2 (« doit », « devrait », « peut »).[</w:t>
      </w:r>
      <w:hyperlink r:id="rId28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48.1.2 Chaque exigence doit être formulée de façon vérifiable, avec des critères mesurables (dimensions, seuils, classes, tolérances) et, si nécessaire, des renvois aux méthodes d’essai.[</w:t>
      </w:r>
      <w:hyperlink r:id="rId28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48.2 Exemple – Exigences pour les blocs de béton (RDC)</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Exigences</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Dimensions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Les dimensions nominales des blocs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choisies parmi celles indiquées dans le Tableau 1.</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Les tolérances sur les dimensions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conformes au Tableau 2.</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Résistance à la compression</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La résistance à la compression moyenne des blocs porteurs, déterminée conformément à la clause 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au moins égale aux valeurs indiquées dans le Tableau 3.</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Les blocs non porteurs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devraient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atteindre au minimum la classe de résistance X définie au Tableau 4.</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Absorption d’eau</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Le taux d’absorption d’eau des blocs destinés à des maçonneries exposées aux intempéries dans les zones à forte pluviométrie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inférieur ou égal à W % (paramètre national fixé en Annexe NA).</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 exemple montre comment intégrer les exigences spécifiques aux zones à forte pluviométrie en renvoyant à une annexe nationale pour les valeurs chiffrées.[</w:t>
      </w:r>
      <w:hyperlink r:id="rId28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rPr/>
      </w:pPr>
      <w:r w:rsidDel="00000000" w:rsidR="00000000" w:rsidRPr="00000000">
        <w:rPr>
          <w:rtl w:val="0"/>
        </w:rPr>
        <w:t xml:space="preserve">49. Méthodes d’essai et critères d’acceptation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 Clause « Méthodes d’essai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49.1.1 Les méthodes d’essai décrivent, de manière normative, les procédures à suivre pour vérifier la conformité aux exigences : préparation des échantillons, appareils, conditions d’essai, calcul des résultats.[</w:t>
      </w:r>
      <w:hyperlink r:id="rId28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49.1.2 Lorsque des méthodes ISO/EN sont adoptées, le texte peut renvoyer à ces documents, éventuellement avec des annexes nationales pour les paramètres spécifiques (température d’essai, conditions d’humidité, nombre d’échantillons).[</w:t>
      </w:r>
      <w:hyperlink r:id="rId28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49.1.3 Exemple – Essai CBR (norme nationale basée sur une norme ISO)</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Méthodes d’essai</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Détermination de l’indice CBR</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L’essai CBR est réalisé conformément à NC-RDC-BTP 0yy:20xx, « Routes — Essai CBR — Méthode de laboratoire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Les échantillons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préparés en reproduisant les conditions de compactage et de teneur en eau représentatives des conditions de service dans la zone climatique considérée (voir Annexe NA).</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49.2 Critères d’acceptation</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49.2.1 Les critères d’acceptation indiquent, pour chaque type d’essai, les valeurs ou classes qui permettent de juger de la conformité (accepté/refusé, niveau de qualité).[</w:t>
      </w:r>
      <w:hyperlink r:id="rId28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49.2.2 Exemple – Norme sur les couches de chaussée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Critères d’acceptation</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Les matériaux destinés à la couche de base granulaire sont jugés conformes si :</w:t>
        <w:br w:type="textWrapping"/>
        <w:t xml:space="preserve">a) l’indice CBR à 95% de Proctor modifié est supérieur ou égal à CBR_min ;</w:t>
        <w:br w:type="textWrapping"/>
        <w:t xml:space="preserve">b) la teneur en fines (passant au tamis 0,075 mm) est comprise entre x % et y % ;</w:t>
        <w:br w:type="textWrapping"/>
        <w:t xml:space="preserve">c) la valeur Los Angeles est inférieure ou égale à LA_max ;</w:t>
        <w:br w:type="textWrapping"/>
        <w:t xml:space="preserve">d) les résultats respectent les critères spécifiques de la zone climatique (voir Tableau NA.3).</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rPr/>
      </w:pPr>
      <w:r w:rsidDel="00000000" w:rsidR="00000000" w:rsidRPr="00000000">
        <w:rPr>
          <w:rtl w:val="0"/>
        </w:rPr>
        <w:t xml:space="preserve">50. Contrôle qualité et inspection</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 Clauses relatives au contrôle qualité</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50.1.1 Les normes du secteur BTP peuvent comporter une clause spécifiant les exigences de contrôle qualité, en lien avec les systèmes de management (ex. ISO 9001) et les pratiques de contrôle des chantiers prévues par les marchés publics.[</w:t>
      </w:r>
      <w:hyperlink r:id="rId28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50.1.2 Exemple – Norme sur les blocs de béton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Contrôle qualité</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Le fabricant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mettre en œuvre un système de contrôle qualité documenté couvrant :</w:t>
        <w:br w:type="textWrapping"/>
        <w:t xml:space="preserve">– le contrôle des matières premières ;</w:t>
        <w:br w:type="textWrapping"/>
        <w:t xml:space="preserve">– le contrôle en cours de production ;</w:t>
        <w:br w:type="textWrapping"/>
        <w:t xml:space="preserve">– les essais de routine sur produits finis ;</w:t>
        <w:br w:type="textWrapping"/>
        <w:t xml:space="preserve">– l’enregistrement et la conservation des résultats d’essais pendant au moins cinq ans.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L’acheteur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exiger un audit du système de contrôle qualité du fabricant, en se référant le cas échéant à ISO 9001 ou à d’autres référentiels reconnus.</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50.2 Clauses d’inspection</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50.2.1 Une clause « Inspection » peut préciser les droits et modalités d’intervention des organismes de contrôle (laboratoires, organismes d’inspection, contrôleurs techniques des marchés publics).[</w:t>
      </w:r>
      <w:hyperlink r:id="rId28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Inspection</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L’autorité contractante ou son représentant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 autorisé 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procéder à toute inspection des installations de production et des chantiers aux fins de vérifier l’application de la présente norme.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Les modalités d’inspection (fréquence, échantillonnage, essais)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définies dans les cahiers des charges des marchés, en référence aux clauses de la présente norme.</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rPr/>
      </w:pPr>
      <w:r w:rsidDel="00000000" w:rsidR="00000000" w:rsidRPr="00000000">
        <w:rPr>
          <w:rtl w:val="0"/>
        </w:rPr>
        <w:t xml:space="preserve">51. Annexes normatives et informatives, Bibliographie</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Annexes normatives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51.1.1 Les annexes normatives font partie intégrante des exigences de la norme ; le non-respect de leur contenu entraîne la non-conformité.[</w:t>
      </w:r>
      <w:hyperlink r:id="rId29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51.1.2 Exemples de contenu d’une annexe normative dans le contexte RDC :</w:t>
      </w:r>
    </w:p>
    <w:p w:rsidR="00000000" w:rsidDel="00000000" w:rsidP="00000000" w:rsidRDefault="00000000" w:rsidRPr="00000000" w14:paraId="000005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tableaux de classes de résistance des matériaux ;</w:t>
      </w:r>
    </w:p>
    <w:p w:rsidR="00000000" w:rsidDel="00000000" w:rsidP="00000000" w:rsidRDefault="00000000" w:rsidRPr="00000000" w14:paraId="000005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listes de paramètres géo-climatiques (zones climatiques, classes d’exposition) ;</w:t>
      </w:r>
    </w:p>
    <w:p w:rsidR="00000000" w:rsidDel="00000000" w:rsidP="00000000" w:rsidRDefault="00000000" w:rsidRPr="00000000" w14:paraId="000005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schémas-types de détail constructif (par ex. drainage en zone à forte pluviométrie).[</w:t>
      </w:r>
      <w:hyperlink r:id="rId29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Annexes informatives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51.2.1 Les annexes informatives apportent des exemples, des explications, des guides d’application, sans créer d’exigences supplémentaires.[</w:t>
      </w:r>
      <w:hyperlink r:id="rId29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51.2.2 Exemple :</w:t>
      </w:r>
    </w:p>
    <w:p w:rsidR="00000000" w:rsidDel="00000000" w:rsidP="00000000" w:rsidRDefault="00000000" w:rsidRPr="00000000" w14:paraId="0000059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B (informative) – « Exemples de dimensionnement de chaussées en zone A (climat équatorial humide) » ;</w:t>
      </w:r>
    </w:p>
    <w:p w:rsidR="00000000" w:rsidDel="00000000" w:rsidP="00000000" w:rsidRDefault="00000000" w:rsidRPr="00000000" w14:paraId="0000059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Annexe C (informative) – « Exemple de plan de contrôle qualité en usine de blocs de béton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 Bibliographie</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51.3.1 La bibliographie recense les documents cités pour information (rapports, guides, documents de bailleurs, études techniques), mais qui ne sont pas nécessaires à l’application de la norme.[</w:t>
      </w:r>
      <w:hyperlink r:id="rId29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51.3.2 Pour une norme routière RDC, la bibliographie peut citer :</w:t>
      </w:r>
    </w:p>
    <w:p w:rsidR="00000000" w:rsidDel="00000000" w:rsidP="00000000" w:rsidRDefault="00000000" w:rsidRPr="00000000" w14:paraId="000005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rapports de la Banque mondiale sur la conception des routes en pays en développement ;</w:t>
      </w:r>
    </w:p>
    <w:p w:rsidR="00000000" w:rsidDel="00000000" w:rsidP="00000000" w:rsidRDefault="00000000" w:rsidRPr="00000000" w14:paraId="000005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PIARC ;</w:t>
      </w:r>
    </w:p>
    <w:p w:rsidR="00000000" w:rsidDel="00000000" w:rsidP="00000000" w:rsidRDefault="00000000" w:rsidRPr="00000000" w14:paraId="000005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de la BAD sur la résilience climatique des infrastructures.[</w:t>
      </w:r>
      <w:hyperlink r:id="rId29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rPr/>
      </w:pPr>
      <w:r w:rsidDel="00000000" w:rsidR="00000000" w:rsidRPr="00000000">
        <w:rPr>
          <w:rtl w:val="0"/>
        </w:rPr>
        <w:t xml:space="preserve">52. Historique des modifications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Principe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52.1.1 Chaque norme doit comporter un historique des modifications (par exemple en annexe ou dans une table dédiée), indiquant :</w:t>
      </w:r>
    </w:p>
    <w:p w:rsidR="00000000" w:rsidDel="00000000" w:rsidP="00000000" w:rsidRDefault="00000000" w:rsidRPr="00000000" w14:paraId="000005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l’édition initiale ;</w:t>
      </w:r>
    </w:p>
    <w:p w:rsidR="00000000" w:rsidDel="00000000" w:rsidP="00000000" w:rsidRDefault="00000000" w:rsidRPr="00000000" w14:paraId="000005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amendements successifs ;</w:t>
      </w:r>
    </w:p>
    <w:p w:rsidR="00000000" w:rsidDel="00000000" w:rsidP="00000000" w:rsidRDefault="00000000" w:rsidRPr="00000000" w14:paraId="000005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révisions ;</w:t>
      </w:r>
    </w:p>
    <w:p w:rsidR="00000000" w:rsidDel="00000000" w:rsidP="00000000" w:rsidRDefault="00000000" w:rsidRPr="00000000" w14:paraId="000005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changements majeurs (paramètres climatiques, exigences environnementales, niveaux de performance).[</w:t>
      </w:r>
      <w:hyperlink r:id="rId29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Exemple – Tableau d’historique</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Historique des modifications</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NC-RDC-BTP 210:2028 – 1ère édition : adoption modifiée d’une norme ISO, introduction d’une Annexe NA spécifique aux classes d’exposition en RDC.</w:t>
        <w:br w:type="textWrapping"/>
        <w:t xml:space="preserve">– Amendement A1:2032 : mise à jour des classes climatiques et des paramètres de durabilité suite à de nouvelles données hydrométéorologiques.</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 historique est particulièrement important dans un contexte où les conditions climatiques évoluent (changements climatiques, nouvelles données).[</w:t>
      </w:r>
      <w:hyperlink r:id="rId29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vous le souhaitez, je peux ensuite :</w:t>
      </w:r>
    </w:p>
    <w:p w:rsidR="00000000" w:rsidDel="00000000" w:rsidP="00000000" w:rsidRDefault="00000000" w:rsidRPr="00000000" w14:paraId="000005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proposer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exemple complet de norme 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toutes les sections 1 à 10 + annexes, sur un cas concret RDC, par exemple « Blocs de béton pour maçonnerie » ou « Couches de chaussée »),</w:t>
      </w:r>
    </w:p>
    <w:p w:rsidR="00000000" w:rsidDel="00000000" w:rsidP="00000000" w:rsidRDefault="00000000" w:rsidRPr="00000000" w14:paraId="000005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passer aux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Annexes opérationnelles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(modèles d’ordre du jour, PV, fiches projet, registres, matrices RACI) pour la Neuvième Partie.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construis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Huitième Partie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 un véritable mini-référentiel terminologique, aligné sur ISO 6707 (vocabulaire construction/génie civil, contrats, durabilité) et adapté au contexte RDC (routes, pluies intenses, sols, marchés publics, bailleurs).[</w:t>
      </w:r>
      <w:hyperlink r:id="rId29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rPr/>
      </w:pPr>
      <w:r w:rsidDel="00000000" w:rsidR="00000000" w:rsidRPr="00000000">
        <w:rPr>
          <w:rtl w:val="0"/>
        </w:rPr>
        <w:t xml:space="preserve">Huitième Partie – Vocabulaire, principes terminologiques et lexique sectoriel</w:t>
      </w:r>
    </w:p>
    <w:p w:rsidR="00000000" w:rsidDel="00000000" w:rsidP="00000000" w:rsidRDefault="00000000" w:rsidRPr="00000000" w14:paraId="000005BE">
      <w:pPr>
        <w:pStyle w:val="Heading2"/>
        <w:rPr/>
      </w:pPr>
      <w:r w:rsidDel="00000000" w:rsidR="00000000" w:rsidRPr="00000000">
        <w:rPr>
          <w:rtl w:val="0"/>
        </w:rPr>
        <w:t xml:space="preserve">53. Dispositions générales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Objet</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53.1.1 La présente Partie établit les principes de gestion de la terminologie et propose un lexique de base pour les normes, cahiers des charges et documents administratifs du secteur de la construction, des infrastructures, des travaux publics et du génie civil en RDC.[</w:t>
      </w:r>
      <w:hyperlink r:id="rId29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53.1.2 Elle s’inspire des séries ISO 6707 « Bâtiments et ouvrages de génie civil — Vocabulaire » (termes généraux, termes de contrat et de communication, termes de durabilité), qui définissent des concepts fondamentaux largement utilisés dans les normes, réglementations et contrats.[</w:t>
      </w:r>
      <w:hyperlink r:id="rId29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rPr/>
      </w:pPr>
      <w:r w:rsidDel="00000000" w:rsidR="00000000" w:rsidRPr="00000000">
        <w:rPr>
          <w:rtl w:val="0"/>
        </w:rPr>
        <w:t xml:space="preserve">54. Principes terminologiques</w:t>
      </w:r>
    </w:p>
    <w:p w:rsidR="00000000" w:rsidDel="00000000" w:rsidP="00000000" w:rsidRDefault="00000000" w:rsidRPr="00000000" w14:paraId="000005C4">
      <w:pPr>
        <w:pStyle w:val="Heading2"/>
        <w:rPr/>
      </w:pPr>
      <w:r w:rsidDel="00000000" w:rsidR="00000000" w:rsidRPr="00000000">
        <w:rPr>
          <w:rtl w:val="0"/>
        </w:rPr>
        <w:t xml:space="preserve">54.1 Alignement avec les vocabulaires ISO</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54.1.1 La Commission nationale adopte comme référence principale la série ISO 6707 pour les termes généraux de la construction et du génie civil (ouvrage, bâtiment, pont, chantier, maître d’ouvrage, etc.), pour garantir une cohérence entre les normes nationales et les normes internationales.[</w:t>
      </w:r>
      <w:hyperlink r:id="rId30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54.1.2 Pour la durabilité, les termes sont alignés sur ISO 6707-3 (sustainability terms), qui fournit des définitions harmonisées pour des concepts comme « durabilité », « performance environnementale », « empreinte environnementale » dans le secteur de la construction.[</w:t>
      </w:r>
      <w:hyperlink r:id="rId30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7">
      <w:pPr>
        <w:pStyle w:val="Heading2"/>
        <w:rPr/>
      </w:pPr>
      <w:r w:rsidDel="00000000" w:rsidR="00000000" w:rsidRPr="00000000">
        <w:rPr>
          <w:rtl w:val="0"/>
        </w:rPr>
        <w:t xml:space="preserve">54.2 Règles de rédaction des définitions</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54.2.1 Les définitions doivent :</w:t>
      </w:r>
    </w:p>
    <w:p w:rsidR="00000000" w:rsidDel="00000000" w:rsidP="00000000" w:rsidRDefault="00000000" w:rsidRPr="00000000" w14:paraId="000005C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être rédigées sous forme de phrases nominales (sans « doit / devrait ») ;</w:t>
      </w:r>
    </w:p>
    <w:p w:rsidR="00000000" w:rsidDel="00000000" w:rsidP="00000000" w:rsidRDefault="00000000" w:rsidRPr="00000000" w14:paraId="000005C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éviter d’introduire des exigences techniques (celles-ci figurent dans les clauses d’exigences, pas dans les définitions) ;</w:t>
      </w:r>
    </w:p>
    <w:p w:rsidR="00000000" w:rsidDel="00000000" w:rsidP="00000000" w:rsidRDefault="00000000" w:rsidRPr="00000000" w14:paraId="000005C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être basées sur un concept central, éventuellement complété par des notes explicatives.[</w:t>
      </w:r>
      <w:hyperlink r:id="rId30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54.2.2 Lorsqu’un terme ISO 6707 existe, la définition nationale doit rester cohérente avec le sens ISO, avec éventuellement une note permettant de préciser le contexte RDC (ex. rôle de l’ANR, usage courant dans les marchés publics).[</w:t>
      </w:r>
      <w:hyperlink r:id="rId30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D">
      <w:pPr>
        <w:pStyle w:val="Heading2"/>
        <w:rPr/>
      </w:pPr>
      <w:r w:rsidDel="00000000" w:rsidR="00000000" w:rsidRPr="00000000">
        <w:rPr>
          <w:rtl w:val="0"/>
        </w:rPr>
        <w:t xml:space="preserve">54.3 Harmonisation des termes dans les normes et les contrats</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54.3.1 Les normes nationales, les cahiers des charges types, les documents contractuels et les guides doivent utiliser la même terminologie pour des concepts identiques (par ex. « maître d’ouvrage », « entrepreneur », « ouvrage », « réception »), conformément aux parties « Termes de contrat et de communication » d’ISO 6707-2.[</w:t>
      </w:r>
      <w:hyperlink r:id="rId30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54.3.2 Les traductions et variantes locales (par ex. « maître d’ouvrage délégué », « agence d’exécution » pour les projets financés par bailleurs) doivent être définies explicitement dans le lexique et référencées de façon cohérente dans les documents.[</w:t>
      </w:r>
      <w:hyperlink r:id="rId30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rPr/>
      </w:pPr>
      <w:r w:rsidDel="00000000" w:rsidR="00000000" w:rsidRPr="00000000">
        <w:rPr>
          <w:rtl w:val="0"/>
        </w:rPr>
        <w:t xml:space="preserve">55. Catégories de termes pour le secteur Construction/BTP en RDC</w:t>
      </w:r>
    </w:p>
    <w:p w:rsidR="00000000" w:rsidDel="00000000" w:rsidP="00000000" w:rsidRDefault="00000000" w:rsidRPr="00000000" w14:paraId="000005D2">
      <w:pPr>
        <w:pStyle w:val="Heading2"/>
        <w:rPr/>
      </w:pPr>
      <w:r w:rsidDel="00000000" w:rsidR="00000000" w:rsidRPr="00000000">
        <w:rPr>
          <w:rtl w:val="0"/>
        </w:rPr>
        <w:t xml:space="preserve">55.1 Catégories retenues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55.1.1 Pour le présent Guide et les normes associées, les termes sont regroupés en catégories inspirées d’ISO 6707 :[</w:t>
      </w:r>
      <w:hyperlink r:id="rId30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généraux de la construction et du génie civil (ouvrage, bâtiment, pont, chaussée, chaussée urbaine, etc.).</w:t>
      </w:r>
    </w:p>
    <w:p w:rsidR="00000000" w:rsidDel="00000000" w:rsidP="00000000" w:rsidRDefault="00000000" w:rsidRPr="00000000" w14:paraId="000005D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de contrat et de communication (maître d’ouvrage, maître d’œuvre, entrepreneur, consultant, réception, garantie, etc.).</w:t>
      </w:r>
    </w:p>
    <w:p w:rsidR="00000000" w:rsidDel="00000000" w:rsidP="00000000" w:rsidRDefault="00000000" w:rsidRPr="00000000" w14:paraId="000005D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relatifs aux matériaux et produits (béton, bloc, granulats, acier, bitume, etc.).</w:t>
      </w:r>
    </w:p>
    <w:p w:rsidR="00000000" w:rsidDel="00000000" w:rsidP="00000000" w:rsidRDefault="00000000" w:rsidRPr="00000000" w14:paraId="000005D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relatifs aux sols et fondations.</w:t>
      </w:r>
    </w:p>
    <w:p w:rsidR="00000000" w:rsidDel="00000000" w:rsidP="00000000" w:rsidRDefault="00000000" w:rsidRPr="00000000" w14:paraId="000005D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Termes de durabilité, environnement et résilience (classe d’exposition, durabilité, résilience climatique, érosion, ruissellement).[</w:t>
      </w:r>
      <w:hyperlink r:id="rId30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55.1.2 Les listes ci-après donnent des exemples de définitions à intégrer dans les normes types et les cahiers des charges en RDC, en se basant sur les concepts ISO et l’usage local.[</w:t>
      </w:r>
      <w:hyperlink r:id="rId30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rPr/>
      </w:pPr>
      <w:r w:rsidDel="00000000" w:rsidR="00000000" w:rsidRPr="00000000">
        <w:rPr>
          <w:rtl w:val="0"/>
        </w:rPr>
        <w:t xml:space="preserve">56. Lexique de base – Exemples de définitions adaptées au contexte RDC</w:t>
      </w:r>
    </w:p>
    <w:p w:rsidR="00000000" w:rsidDel="00000000" w:rsidP="00000000" w:rsidRDefault="00000000" w:rsidRPr="00000000" w14:paraId="000005DC">
      <w:pPr>
        <w:pStyle w:val="Heading2"/>
        <w:rPr/>
      </w:pPr>
      <w:r w:rsidDel="00000000" w:rsidR="00000000" w:rsidRPr="00000000">
        <w:rPr>
          <w:rtl w:val="0"/>
        </w:rPr>
        <w:t xml:space="preserve">56.1 Termes généraux de la construction et du génie civil</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Exemples structurés comme dans ISO 6707-1 (termes généraux).[</w:t>
      </w:r>
      <w:hyperlink r:id="rId30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56.1.1</w:t>
        <w:br w:type="textWrapping"/>
        <w:t xml:space="preserve">ouvrage de génie civil</w:t>
        <w:br w:type="textWrapping"/>
        <w:t xml:space="preserve">construction ou ensemble de constructions, permanentes ou temporaires, réalisées pour répondre à une fonction donnée (transport, stockage, protection, etc.).</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Un ouvrage de génie civil peut être une route, un pont, un barrage, un réseau d’assainissement, une piste rurale.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56.1.2</w:t>
        <w:br w:type="textWrapping"/>
        <w:t xml:space="preserve">chaussée</w:t>
        <w:br w:type="textWrapping"/>
        <w:t xml:space="preserve">partie de la route aménagée pour la circulation des véhicules.</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Une chaussée peut comporter une ou plusieurs voies de circulation et des couches successives (fondation, base, surface).</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w:t>
        <w:br w:type="textWrapping"/>
        <w:t xml:space="preserve">piste rurale</w:t>
        <w:br w:type="textWrapping"/>
        <w:t xml:space="preserve">route de desserte locale généralement non revêtue, à trafic faible, assurant l’accès aux zones rurales.</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Dans le contexte de la RDC, les pistes rurales jouent un rôle essentiel pour l’accès aux marchés, aux services et aux infrastructures sociales dans les zones enclavées.</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w:t>
        <w:br w:type="textWrapping"/>
        <w:t xml:space="preserve">bâtiment</w:t>
        <w:br w:type="textWrapping"/>
        <w:t xml:space="preserve">construction couverte, destinée à abriter des personnes, des biens ou des activités.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Les bâtiments peuvent être à usage d’habitation, administratif, scolaire, hospitalier, industriel, etc.[</w:t>
      </w:r>
      <w:hyperlink r:id="rId3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rPr/>
      </w:pPr>
      <w:r w:rsidDel="00000000" w:rsidR="00000000" w:rsidRPr="00000000">
        <w:rPr>
          <w:rtl w:val="0"/>
        </w:rPr>
        <w:t xml:space="preserve">56.2 Termes de contrat et de communication (alignés ISO 6707-2)</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6707-2 définit des termes de contrat comme « employer », « contractor », « consultant », etc., que l’on transpose en français juridique RDC.[</w:t>
      </w:r>
      <w:hyperlink r:id="rId3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56.2.1</w:t>
        <w:br w:type="textWrapping"/>
        <w:t xml:space="preserve">maître d’ouvrage</w:t>
        <w:br w:type="textWrapping"/>
        <w:t xml:space="preserve">personne morale, publique ou privée, pour le compte de laquelle l’ouvrage est construit.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Dans les projets d’infrastructure en RDC, le maître d’ouvrage est souvent un ministère (Infrastructures, Urbanisme, Énergie) ou une agence d’exécution (ANR) agissant pour l’État ou une entité administrative.[</w:t>
      </w:r>
      <w:hyperlink r:id="rId3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56.2.2</w:t>
        <w:br w:type="textWrapping"/>
        <w:t xml:space="preserve">maître d’ouvrage délégué</w:t>
        <w:br w:type="textWrapping"/>
        <w:t xml:space="preserve">personne morale à laquelle le maître d’ouvrage confie, par un mandat, tout ou partie de ses attributions pour la réalisation de l’ouvrage.</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Dans le cadre des projets financés par bailleurs, une unité de coordination de projet peut agir comme maître d’ouvrage délégué.[</w:t>
      </w:r>
      <w:hyperlink r:id="rId3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56.2.3</w:t>
        <w:br w:type="textWrapping"/>
        <w:t xml:space="preserve">maître d’œuvre</w:t>
        <w:br w:type="textWrapping"/>
        <w:t xml:space="preserve">personne physique ou morale chargée, par le maître d’ouvrage, de la conception, du suivi et du contrôle de l’exécution des travaux.</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 maître d’œuvre peut être un bureau d’études, un cabinet d’ingénieurs-conseils, ou une équipe interne d’un ministère.[</w:t>
      </w:r>
      <w:hyperlink r:id="rId3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56.2.4</w:t>
        <w:br w:type="textWrapping"/>
        <w:t xml:space="preserve">entrepreneur</w:t>
        <w:br w:type="textWrapping"/>
        <w:t xml:space="preserve">personne morale ou physique qui, dans le cadre d’un contrat de travaux, réalise l’ouvrage conformément aux documents du marché.</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56.2.5</w:t>
        <w:br w:type="textWrapping"/>
        <w:t xml:space="preserve">réception des travaux</w:t>
        <w:br w:type="textWrapping"/>
        <w:t xml:space="preserve">acte par lequel le maître d’ouvrage accepte l’ouvrage avec ou sans réserves, à l’issue des opérations de contrôle prévues au contrat.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Dans les marchés publics de la RDC, la réception peut comporter une réception provisoire et une réception définitive, chacune assortie de conditions spécifiques.[</w:t>
      </w:r>
      <w:hyperlink r:id="rId3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2"/>
        <w:rPr/>
      </w:pPr>
      <w:r w:rsidDel="00000000" w:rsidR="00000000" w:rsidRPr="00000000">
        <w:rPr>
          <w:rtl w:val="0"/>
        </w:rPr>
        <w:t xml:space="preserve">56.3 Termes relatifs aux matériaux et produits</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56.3.1</w:t>
        <w:br w:type="textWrapping"/>
        <w:t xml:space="preserve">bloc de béton</w:t>
        <w:br w:type="textWrapping"/>
        <w:t xml:space="preserve">élément préfabriqué en béton, généralement parallélépipédique, destiné à la réalisation de maçonneries.</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Les blocs de béton utilisés en RDC peuvent être pleins ou creux, pour murs porteurs ou non porteurs.</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56.3.2</w:t>
        <w:br w:type="textWrapping"/>
        <w:t xml:space="preserve">béton de structure</w:t>
        <w:br w:type="textWrapping"/>
        <w:t xml:space="preserve">béton destiné à constituer des éléments porteurs (poutres, dalles, poteaux, voiles, fondations) et à reprendre des efforts structuraux.</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56.3.3</w:t>
        <w:br w:type="textWrapping"/>
        <w:t xml:space="preserve">béton non structurel</w:t>
        <w:br w:type="textWrapping"/>
        <w:t xml:space="preserve">béton utilisé pour des éléments n’ayant pas de rôle structural principal (chapes, remplissages, éléments non porteurs).</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56.3.4</w:t>
        <w:br w:type="textWrapping"/>
        <w:t xml:space="preserve">granulat</w:t>
        <w:br w:type="textWrapping"/>
        <w:t xml:space="preserve">matériau granulaire, naturel ou artificiel, utilisé notamment pour la fabrication de bétons, mortiers et couches de chaussées.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En RDC, les granulats peuvent provenir de carrières (roc concassé), de gisements alluvionnaires (sables, graviers) ou de matériaux latéritiques.</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56.3.5</w:t>
        <w:br w:type="textWrapping"/>
        <w:t xml:space="preserve">matériau granulaire pour chaussée</w:t>
        <w:br w:type="textWrapping"/>
        <w:t xml:space="preserve">matériau composé de particules minérales de différentes tailles, utilisé pour les couches de fondation et de base des chaussées.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La performance de ces matériaux est évaluée par des essais tels que l’indice CBR, la granulométrie et la résistance à l’usure (Los Angeles).[</w:t>
      </w:r>
      <w:hyperlink r:id="rId3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rPr/>
      </w:pPr>
      <w:r w:rsidDel="00000000" w:rsidR="00000000" w:rsidRPr="00000000">
        <w:rPr>
          <w:rtl w:val="0"/>
        </w:rPr>
        <w:t xml:space="preserve">56.4 Termes relatifs aux sols et fondations</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56.4.1</w:t>
        <w:br w:type="textWrapping"/>
        <w:t xml:space="preserve">sol de fondation</w:t>
        <w:br w:type="textWrapping"/>
        <w:t xml:space="preserve">sol sur lequel repose la structure de chaussée ou les fondations d’un ouvrage.</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En RDC, les caractéristiques du sol de fondation (portance, plasticité, sensibilité à l’eau) sont déterminantes pour le choix du type de chaussée.</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56.4.2</w:t>
        <w:br w:type="textWrapping"/>
        <w:t xml:space="preserve">portance du sol</w:t>
        <w:br w:type="textWrapping"/>
        <w:t xml:space="preserve">capacité du sol à supporter les charges appliquées sans subir de déformations excessives.</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L’essai CBR est couramment utilisé comme indicateur de portance pour les études routières.[</w:t>
      </w:r>
      <w:hyperlink r:id="rId3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56.4.3</w:t>
        <w:br w:type="textWrapping"/>
        <w:t xml:space="preserve">sol problématique</w:t>
        <w:br w:type="textWrapping"/>
        <w:t xml:space="preserve">sol présentant des caractéristiques susceptibles de nuire à la stabilité ou à la durabilité d’un ouvrage (argiles très plastiques, sols organiques, sols gonflants, etc.).</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Des sols problématiques sont fréquemment rencontrés dans certaines régions de la RDC et nécessitent des mesures spécifiques (renforcement, drainage, substitution).</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rPr/>
      </w:pPr>
      <w:r w:rsidDel="00000000" w:rsidR="00000000" w:rsidRPr="00000000">
        <w:rPr>
          <w:rtl w:val="0"/>
        </w:rPr>
        <w:t xml:space="preserve">56.5 Termes de durabilité, environnement et résilience (alignés ISO 6707-3)</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6707-3 fournit un cadre pour les termes de durabilité et de développement durable dans la construction.[</w:t>
      </w:r>
      <w:hyperlink r:id="rId3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56.5.1</w:t>
        <w:br w:type="textWrapping"/>
        <w:t xml:space="preserve">durabilité (des ouvrages)</w:t>
        <w:br w:type="textWrapping"/>
        <w:t xml:space="preserve">aptitude d’un ouvrage à maintenir dans le temps les niveaux de performance exigés, compte tenu des conditions d’usage et des actions environnementales.[</w:t>
      </w:r>
      <w:hyperlink r:id="rId31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En RDC, cela inclut la résistance aux fortes pluies, à l’humidité, aux variations de température, à l’érosion, et aux sollicitations d’exploitation.</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56.5.2</w:t>
        <w:br w:type="textWrapping"/>
        <w:t xml:space="preserve">classe d’exposition (du béton)</w:t>
        <w:br w:type="textWrapping"/>
        <w:t xml:space="preserve">catégorie définissant les conditions environnementales auxquelles un élément en béton est exposé, afin de déterminer les mesures de protection et les spécifications de durabilité appropriées.[</w:t>
      </w:r>
      <w:hyperlink r:id="rId32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Des classes d’exposition spécifiques à la RDC (humidités élevées, environnements agressifs, proximité de milieux marins ou industriels) sont fixées dans les annexes nationales des normes correspondantes.</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56.5.3</w:t>
        <w:br w:type="textWrapping"/>
        <w:t xml:space="preserve">résilience climatique (des infrastructures)</w:t>
        <w:br w:type="textWrapping"/>
        <w:t xml:space="preserve">aptitude d’une infrastructure à résister aux effets négatifs des phénomènes climatiques extrêmes (pluies intenses, inondations, glissements de terrain) et à retrouver rapidement son niveau de service.[</w:t>
      </w:r>
      <w:hyperlink r:id="rId32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56.5.4</w:t>
        <w:br w:type="textWrapping"/>
        <w:t xml:space="preserve">érosion (des talus et des berges)</w:t>
        <w:br w:type="textWrapping"/>
        <w:t xml:space="preserve">processus de détachement et de transport de matériaux du sol ou des roches par l’action de l’eau, du vent ou de la gravité.</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L’érosion des talus et des berges constitue un risque majeur pour la stabilité des routes et des ouvrages hydrauliques en RDC, notamment dans les zones de forte pluviométrie.[</w:t>
      </w:r>
      <w:hyperlink r:id="rId3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56.5.5</w:t>
        <w:br w:type="textWrapping"/>
        <w:t xml:space="preserve">gestion des eaux pluviales</w:t>
        <w:br w:type="textWrapping"/>
        <w:t xml:space="preserve">ensemble des mesures visant à collecter, transporter, stocker et infiltrer les eaux de pluie de manière à limiter les risques d’inondation, d’érosion et de dégradation des infrastructures.</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Dans le dimensionnement des chaussées en RDC, la gestion des eaux pluviales est une composante essentielle de la durabilité.[</w:t>
      </w:r>
      <w:hyperlink r:id="rId3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rPr/>
      </w:pPr>
      <w:r w:rsidDel="00000000" w:rsidR="00000000" w:rsidRPr="00000000">
        <w:rPr>
          <w:rtl w:val="0"/>
        </w:rPr>
        <w:t xml:space="preserve">56.6 Exemples d’intégration du vocabulaire dans les normes RDC</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56.6.1 Exemple de clause de définitions dans une norme routière</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Termes et définitions</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br w:type="textWrapping"/>
        <w:t xml:space="preserve">chaussée</w:t>
        <w:br w:type="textWrapping"/>
        <w:t xml:space="preserve">partie de la route aménagée pour la circulation des véhicules.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br w:type="textWrapping"/>
        <w:t xml:space="preserve">piste rurale</w:t>
        <w:br w:type="textWrapping"/>
        <w:t xml:space="preserve">route de desserte locale généralement non revêtue, à trafic faible.</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br w:type="textWrapping"/>
        <w:t xml:space="preserve">sol de fondation</w:t>
        <w:br w:type="textWrapping"/>
        <w:t xml:space="preserve">sol sur lequel repose la structure de chaussée.</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br w:type="textWrapping"/>
        <w:t xml:space="preserve">durabilité</w:t>
        <w:br w:type="textWrapping"/>
        <w:t xml:space="preserve">aptitude d’une chaussée à maintenir ses performances dans le temps, compte tenu des conditions de trafic et des actions climatiques (pluie, température).[</w:t>
      </w:r>
      <w:hyperlink r:id="rId3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56.6.2 Exemple dans un cahier des charges type</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 section « Définitions », le cahier des charges type pour les marchés routiers reprend ces termes, ce qui évite les divergences d’interprétation entre normes, contrats et spécifications techniques, et s’aligne sur les vocabulaires ISO.[</w:t>
      </w:r>
      <w:hyperlink r:id="rId3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J’étends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Huitième Partie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des sous-lexiques ciblés pour : ponts, hydraulique, bâtiments, sécurité incendie, hygiène-santé-sécurité au travail, management de la qualité, environnement &amp; développement durable, et vocabulaire des bailleurs, en m’appuyant sur les vocabulaires ISO (construction, qualité, environnement, SST) et les glossaires de cadres environnementaux et sociaux.[</w:t>
      </w:r>
      <w:hyperlink r:id="rId3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rtl w:val="0"/>
        </w:rPr>
        <w:t xml:space="preserve">56.7 Sous-domaine « Ponts et ouvrages d’art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Basé sur les concepts généraux ISO 6707 pour les ouvrages de génie civil, adaptés aux ponts.[</w:t>
      </w:r>
      <w:hyperlink r:id="rId3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56.7.1</w:t>
        <w:br w:type="textWrapping"/>
        <w:t xml:space="preserve">pont</w:t>
        <w:br w:type="textWrapping"/>
        <w:t xml:space="preserve">ouvrage de génie civil permettant de franchir un obstacle (cours d’eau, vallée, route, voie ferrée) par un cheminement continu pour les usagers.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En RDC, les ponts peuvent être en béton armé, béton précontraint, métal, bois ou combinés ; ils jouent un rôle critique pour la continuité du réseau routier, notamment en zones rurales.</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56.7.2</w:t>
        <w:br w:type="textWrapping"/>
        <w:t xml:space="preserve">ouvrage d’art</w:t>
        <w:br w:type="textWrapping"/>
        <w:t xml:space="preserve">ouvrage de génie civil destiné à franchir un obstacle (pont, viaduc, passage supérieur ou inférieur, dalot, tranchée couverte, etc.).</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56.7.3</w:t>
        <w:br w:type="textWrapping"/>
        <w:t xml:space="preserve">culée</w:t>
        <w:br w:type="textWrapping"/>
        <w:t xml:space="preserve">partie d’extrémité d’un pont, en général en béton ou en maçonnerie, assurant le support du tablier et la transition avec les remblais d’accès.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56.7.4</w:t>
        <w:br w:type="textWrapping"/>
        <w:t xml:space="preserve">pile</w:t>
        <w:br w:type="textWrapping"/>
        <w:t xml:space="preserve">élément vertical intermédiaire supportant le tablier entre deux culées.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56.7.5</w:t>
        <w:br w:type="textWrapping"/>
        <w:t xml:space="preserve">tablier</w:t>
        <w:br w:type="textWrapping"/>
        <w:t xml:space="preserve">partie d’un pont supportant la chaussée ou le cheminement des usagers.</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56.7.6</w:t>
        <w:br w:type="textWrapping"/>
        <w:t xml:space="preserve">garde-corps / dispositif de retenue</w:t>
        <w:br w:type="textWrapping"/>
        <w:t xml:space="preserve">élément de sécurité disposé en bordure de tablier ou sur les approches pour empêcher les chutes de véhicules ou de piétons.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Norme NC-RDC-BTP « Ponts en béton — Règles de calcul » : la clause de définitions reprend ces termes et ajoute des notes sur les ponts métalliques existants dans certains corridors et sur les dispositifs de retenue adaptés aux motos et véhicules surchargés, fréquents sur les axes ruraux.</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rPr/>
      </w:pPr>
      <w:r w:rsidDel="00000000" w:rsidR="00000000" w:rsidRPr="00000000">
        <w:rPr>
          <w:rtl w:val="0"/>
        </w:rPr>
        <w:t xml:space="preserve">56.8 Sous-domaine « Hydraulique, assainissement et gestion des eaux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56.8.1</w:t>
        <w:br w:type="textWrapping"/>
        <w:t xml:space="preserve">ouvrage hydraulique</w:t>
        <w:br w:type="textWrapping"/>
        <w:t xml:space="preserve">ouvrage de génie civil destiné à capter, conduire, stocker, évacuer ou traiter les eaux (stations de pompage, caniveaux, dalots, bassins, digues, barrages, réseaux d’assainissement).</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56.8.2</w:t>
        <w:br w:type="textWrapping"/>
        <w:t xml:space="preserve">drainage routier</w:t>
        <w:br w:type="textWrapping"/>
        <w:t xml:space="preserve">ensemble des dispositifs (fossés, caniveaux, buses, dalots, cunettes) destinés à recueillir et évacuer les eaux de ruissellement afin de protéger la chaussée et ses abords.</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En RDC, le drainage routier est essentiel pour la durabilité des chaussées en zones à forte pluviométrie ; il fait l’objet de prescriptions spécifiques dans les annexes nationales des normes de chaussée.[</w:t>
      </w:r>
      <w:hyperlink r:id="rId3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56.8.3</w:t>
        <w:br w:type="textWrapping"/>
        <w:t xml:space="preserve">dalot</w:t>
        <w:br w:type="textWrapping"/>
        <w:t xml:space="preserve">ouvrage de drainage de section fermée (souvent rectangulaire ou voûtée), permettant le passage des eaux sous une route ou une voie ferrée.</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56.8.4</w:t>
        <w:br w:type="textWrapping"/>
        <w:t xml:space="preserve">ouvrage d’assainissement</w:t>
        <w:br w:type="textWrapping"/>
        <w:t xml:space="preserve">ouvrage destiné à collecter, transporter, traiter ou rejeter les eaux usées ou pluviales (regards, conduites, stations d’épuration, exutoires).</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56.8.5</w:t>
        <w:br w:type="textWrapping"/>
        <w:t xml:space="preserve">bassin de rétention / d’orage</w:t>
        <w:br w:type="textWrapping"/>
        <w:t xml:space="preserve">ouvrage de stockage temporaire des eaux pluviales destiné à écrêter les débits de pointe et à limiter les risques d’inondation et d’érosion.</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Une norme « Ouvrages de drainage routier — Conception et dimensionnement » peut inclure ces définitions, en les complétant par des notes sur les crues rapides des petits bassins versants en zone tropicale et la sensibilité des pistes rurales à l’érosion.[</w:t>
      </w:r>
      <w:hyperlink r:id="rId3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56.9 Sous-domaine « Bâtiments »</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56.9.1</w:t>
        <w:br w:type="textWrapping"/>
        <w:t xml:space="preserve">bâtiment d’habitation</w:t>
        <w:br w:type="textWrapping"/>
        <w:t xml:space="preserve">bâtiment destiné principalement au logement de personnes, qu’il s’agisse de maisons individuelles, d’immeubles collectifs ou de logements sociaux.</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56.9.2</w:t>
        <w:br w:type="textWrapping"/>
        <w:t xml:space="preserve">bâtiment public</w:t>
        <w:br w:type="textWrapping"/>
        <w:t xml:space="preserve">bâtiment destiné à accueillir le public (écoles, hôpitaux, bureaux administratifs, marchés couverts, gares).</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56.9.3</w:t>
        <w:br w:type="textWrapping"/>
        <w:t xml:space="preserve">structure porteuse</w:t>
        <w:br w:type="textWrapping"/>
        <w:t xml:space="preserve">ensemble des éléments (fondations, poteaux, poutres, murs porteurs, planchers) assurant la résistance et la stabilité d’un bâtiment.</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56.9.4</w:t>
        <w:br w:type="textWrapping"/>
        <w:t xml:space="preserve">cloison</w:t>
        <w:br w:type="textWrapping"/>
        <w:t xml:space="preserve">élément vertical séparatif qui ne participe pas principalement à la stabilité du bâtiment.</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56.9.5</w:t>
        <w:br w:type="textWrapping"/>
        <w:t xml:space="preserve">accessibilité</w:t>
        <w:br w:type="textWrapping"/>
        <w:t xml:space="preserve">aptitude d’un bâtiment à pouvoir être utilisé par toutes les personnes, y compris celles à mobilité réduite, dans des conditions de sécurité et de confort raisonnables.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Les futures normes RDC pourront intégrer des exigences d’accessibilité adaptées au contexte local (rampe, largeur de portes, signalisation), en lien avec les politiques nationales d’inclusion.</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56.10 Sous-domaine « Codes de sécurité incendie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56.10.1</w:t>
        <w:br w:type="textWrapping"/>
        <w:t xml:space="preserve">sécurité incendie (dans les bâtiments)</w:t>
        <w:br w:type="textWrapping"/>
        <w:t xml:space="preserve">ensemble des mesures visant à prévenir l’apparition d’un incendie, limiter sa propagation et garantir l’évacuation et la protection des occupants.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56.10.2</w:t>
        <w:br w:type="textWrapping"/>
        <w:t xml:space="preserve">résistance au feu (d’un élément de construction)</w:t>
        <w:br w:type="textWrapping"/>
        <w:t xml:space="preserve">aptitude d’un élément (mur, plancher, poutre, porte) à conserver, pendant une durée déterminée, sa stabilité, son étanchéité aux flammes et/ou son isolation thermique lorsqu’il est soumis à un incendie normalisé.</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56.10.3</w:t>
        <w:br w:type="textWrapping"/>
        <w:t xml:space="preserve">compartimentage</w:t>
        <w:br w:type="textWrapping"/>
        <w:t xml:space="preserve">principe consistant à subdiviser un bâtiment en compartiments résistants au feu, afin de limiter la propagation d’un incendie.</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56.10.4</w:t>
        <w:br w:type="textWrapping"/>
        <w:t xml:space="preserve">voie d’évacuation</w:t>
        <w:br w:type="textWrapping"/>
        <w:t xml:space="preserve">cheminement permettant aux occupants d’un bâtiment de rejoindre un lieu sûr en cas d’incendie (escaliers, couloirs, sorties).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56.10.5</w:t>
        <w:br w:type="textWrapping"/>
        <w:t xml:space="preserve">issue de secours</w:t>
        <w:br w:type="textWrapping"/>
        <w:t xml:space="preserve">sortie spécialement aménagée pour permettre l’évacuation rapide et sûre des occupants en cas d’urgence.</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Dans une future « Norme de sécurité incendie pour bâtiments recevant du public », ces termes figureront en clause 3, avec des notes expliquant les contraintes typiques des bâtiments en RDC (densité d’occupation des marchés, alimentation en eau pour les sapeurs-pompiers, présence de groupes électrogènes).</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rPr/>
      </w:pPr>
      <w:r w:rsidDel="00000000" w:rsidR="00000000" w:rsidRPr="00000000">
        <w:rPr>
          <w:rtl w:val="0"/>
        </w:rPr>
        <w:t xml:space="preserve">56.11 Sous-domaine « Hygiène, santé et sécurité au travail (SST)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Aligné sur la terminologie des normes de management de la SST (type ISO 45001) et des glossaires simplifiés.[</w:t>
      </w:r>
      <w:hyperlink r:id="rId3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qse-academy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56.11.1</w:t>
        <w:br w:type="textWrapping"/>
        <w:t xml:space="preserve">santé et sécurité au travail</w:t>
        <w:br w:type="textWrapping"/>
        <w:t xml:space="preserve">conditions et facteurs qui affectent ou peuvent affecter la santé et la sécurité des travailleurs sur le lieu de travail.</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56.11.2</w:t>
        <w:br w:type="textWrapping"/>
        <w:t xml:space="preserve">risque (en SST)</w:t>
        <w:br w:type="textWrapping"/>
        <w:t xml:space="preserve">combinaison de la probabilité de survenue d’un événement dangereux lié au travail et de la gravité de ses conséquences.[</w:t>
      </w:r>
      <w:hyperlink r:id="rId3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qse-academy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56.11.3</w:t>
        <w:br w:type="textWrapping"/>
        <w:t xml:space="preserve">danger</w:t>
        <w:br w:type="textWrapping"/>
        <w:t xml:space="preserve">source potentielle de dommage, de blessure ou d’atteinte à la santé.[</w:t>
      </w:r>
      <w:hyperlink r:id="rId3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qse-academy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 En BTP : travail en hauteur, effondrement de tranchée, circulation d’engins, électricité, chaleur extrême.</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56.11.4</w:t>
        <w:br w:type="textWrapping"/>
        <w:t xml:space="preserve">équipement de protection individuelle (EPI)</w:t>
        <w:br w:type="textWrapping"/>
        <w:t xml:space="preserve">équipement porté ou tenu par un travailleur pour se protéger contre un ou plusieurs risques susceptibles de menacer sa santé ou sa sécurité.</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 En RDC, les EPI usuels sur les chantiers sont les casques, gilets fluorescents, chaussures de sécurité, harnais, gants, lunettes.</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56.11.5</w:t>
        <w:br w:type="textWrapping"/>
        <w:t xml:space="preserve">plan de sécurité et de santé (PSS)</w:t>
        <w:br w:type="textWrapping"/>
        <w:t xml:space="preserve">document décrivant l’organisation, les mesures et les moyens mis en œuvre pour assurer la sécurité et la santé sur un chantier de construction.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Les cahiers des charges types et normes de chantier peuvent imposer un PSS conforme à la législation nationale et, le cas échéant, aux exigences des bailleurs (plans de gestion de la santé et de la sécurité).[</w:t>
      </w:r>
      <w:hyperlink r:id="rId3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rPr/>
      </w:pPr>
      <w:r w:rsidDel="00000000" w:rsidR="00000000" w:rsidRPr="00000000">
        <w:rPr>
          <w:rtl w:val="0"/>
        </w:rPr>
        <w:t xml:space="preserve">56.12 Sous-domaine « Management de la qualité »</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Basé sur le vocabulaire ISO 9000 (termes utilisés dans ISO 9001) et glossaires associés.[</w:t>
      </w:r>
      <w:hyperlink r:id="rId3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committee.iso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56.12.1</w:t>
        <w:br w:type="textWrapping"/>
        <w:t xml:space="preserve">qualité</w:t>
        <w:br w:type="textWrapping"/>
        <w:t xml:space="preserve">aptitude d’un ensemble de caractéristiques intrinsèques d’un objet (produit, service, processus, système) à satisfaire des exigences.[</w:t>
      </w:r>
      <w:hyperlink r:id="rId3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committee.iso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56.12.2</w:t>
        <w:br w:type="textWrapping"/>
        <w:t xml:space="preserve">système de management de la qualité</w:t>
        <w:br w:type="textWrapping"/>
        <w:t xml:space="preserve">partie d’un système de management qui permet de définir la politique qualité et les objectifs qualité et d’atteindre ces objectifs.[</w:t>
      </w:r>
      <w:hyperlink r:id="rId3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committee.iso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56.12.3</w:t>
        <w:br w:type="textWrapping"/>
        <w:t xml:space="preserve">assurance qualité</w:t>
        <w:br w:type="textWrapping"/>
        <w:t xml:space="preserve">partie du management de la qualité visant à donner confiance que les exigences relatives à la qualité seront satisfaites.[</w:t>
      </w:r>
      <w:hyperlink r:id="rId3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committee.iso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56.12.4</w:t>
        <w:br w:type="textWrapping"/>
        <w:t xml:space="preserve">non-conformité</w:t>
        <w:br w:type="textWrapping"/>
        <w:t xml:space="preserve">non-satisfaction d’une exigence.[</w:t>
      </w:r>
      <w:hyperlink r:id="rId3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committee.iso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56.12.5</w:t>
        <w:br w:type="textWrapping"/>
        <w:t xml:space="preserve">action corrective</w:t>
        <w:br w:type="textWrapping"/>
        <w:t xml:space="preserve">action visant à éliminer la cause d’une non-conformité détectée ou d’une autre situation indésirable.[</w:t>
      </w:r>
      <w:hyperlink r:id="rId3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committee.iso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Dans une norme sur les blocs de béton, un paragraphe « Contrôle de production en usine » peut exiger que le fabricant dispose d’un système de management de la qualité documenté, incluant la gestion des non-conformités et des actions correctives.</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rPr/>
      </w:pPr>
      <w:r w:rsidDel="00000000" w:rsidR="00000000" w:rsidRPr="00000000">
        <w:rPr>
          <w:rtl w:val="0"/>
        </w:rPr>
        <w:t xml:space="preserve">56.13 Sous-domaine « Environnement et développement durable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Basé sur ISO 14050 (management environnemental — vocabulaire) et ISO 6707-3 (sustainability terms).[</w:t>
      </w:r>
      <w:hyperlink r:id="rId3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img.antpedia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56.13.1</w:t>
        <w:br w:type="textWrapping"/>
        <w:t xml:space="preserve">management environnemental</w:t>
        <w:br w:type="textWrapping"/>
        <w:t xml:space="preserve">partie du management global qui inclut la structure organisationnelle, les activités de planification, les responsabilités, les pratiques, les procédures, les processus et les ressources pour élaborer, mettre en œuvre, réaliser, passer en revue et maintenir la politique environnementale.[</w:t>
      </w:r>
      <w:hyperlink r:id="rId3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56.13.2</w:t>
        <w:br w:type="textWrapping"/>
        <w:t xml:space="preserve">aspect environnemental</w:t>
        <w:br w:type="textWrapping"/>
        <w:t xml:space="preserve">élément des activités, produits ou services d’une organisation qui peut interagir avec l’environnement.[</w:t>
      </w:r>
      <w:hyperlink r:id="rId3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img.antpedia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 En chantier BTP RDC : rejets dans les eaux de surface, extraction de granulats, bruit, poussières, déboisement, gestion des déchets.</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56.13.3</w:t>
        <w:br w:type="textWrapping"/>
        <w:t xml:space="preserve">impact environnemental</w:t>
        <w:br w:type="textWrapping"/>
        <w:t xml:space="preserve">modification de l’environnement, défavorable ou bénéfique, résultant en tout ou partie des aspects environnementaux d’une organisation.[</w:t>
      </w:r>
      <w:hyperlink r:id="rId34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56.13.4</w:t>
        <w:br w:type="textWrapping"/>
        <w:t xml:space="preserve">développement durable (dans le BTP)</w:t>
        <w:br w:type="textWrapping"/>
        <w:t xml:space="preserve">développement qui répond aux besoins du présent sans compromettre la capacité des générations futures de répondre aux leurs, appliqué aux ouvrages et infrastructures (intégrant aspects économiques, sociaux, environnementaux).[</w:t>
      </w:r>
      <w:hyperlink r:id="rId34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56.13.5</w:t>
        <w:br w:type="textWrapping"/>
        <w:t xml:space="preserve">mesures d’atténuation</w:t>
        <w:br w:type="textWrapping"/>
        <w:t xml:space="preserve">mesures visant à réduire les impacts négatifs d’un projet sur l’environnement et les populations.[</w:t>
      </w:r>
      <w:hyperlink r:id="rId3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56.13.6</w:t>
        <w:br w:type="textWrapping"/>
        <w:t xml:space="preserve">mesures de compensation</w:t>
        <w:br w:type="textWrapping"/>
        <w:t xml:space="preserve">mesures visant à compenser des impacts négatifs significatifs ne pouvant être évités ou suffisamment atténués.[</w:t>
      </w:r>
      <w:hyperlink r:id="rId34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Dans les normes et guides pour projets routiers, ces termes sont utilisés dans les annexes environnementales (plans de gestion environnementale et sociale, PGE/PES), conformément aux exigences des bailleurs.[</w:t>
      </w:r>
      <w:hyperlink r:id="rId34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rPr/>
      </w:pPr>
      <w:r w:rsidDel="00000000" w:rsidR="00000000" w:rsidRPr="00000000">
        <w:rPr>
          <w:rtl w:val="0"/>
        </w:rPr>
        <w:t xml:space="preserve">56.14 Sous-domaine « Vocabulaire technique des bailleurs de fonds »</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Basé sur les glossaires des cadres environnementaux et sociaux (ESF) et documents de marchés de bailleurs comme la Banque mondiale.[</w:t>
      </w:r>
      <w:hyperlink r:id="rId34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56.14.1</w:t>
        <w:br w:type="textWrapping"/>
        <w:t xml:space="preserve">cadre environnemental et social (CES / ESF)</w:t>
        <w:br w:type="textWrapping"/>
        <w:t xml:space="preserve">ensemble de politiques, normes et procédures d’un bailleur définissant la manière dont les risques et impacts environnementaux et sociaux des projets financés doivent être gérés.[</w:t>
      </w:r>
      <w:hyperlink r:id="rId34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56.14.2</w:t>
        <w:br w:type="textWrapping"/>
        <w:t xml:space="preserve">évaluation environnementale et sociale (EES / ESIA)</w:t>
        <w:br w:type="textWrapping"/>
        <w:t xml:space="preserve">processus permettant d’identifier, d’évaluer et de gérer les impacts environnementaux et sociaux d’un projet avant sa mise en œuvre.[</w:t>
      </w:r>
      <w:hyperlink r:id="rId35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56.14.3</w:t>
        <w:br w:type="textWrapping"/>
        <w:t xml:space="preserve">plan de gestion environnementale et sociale (PGES / ESMP)</w:t>
        <w:br w:type="textWrapping"/>
        <w:t xml:space="preserve">document décrivant les mesures d’atténuation, de suivi et de gestion des impacts environnementaux et sociaux d’un projet.[</w:t>
      </w:r>
      <w:hyperlink r:id="rId35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56.14.4</w:t>
        <w:br w:type="textWrapping"/>
        <w:t xml:space="preserve">parties prenantes</w:t>
        <w:br w:type="textWrapping"/>
        <w:t xml:space="preserve">individus ou groupes qui sont concernés par un projet ou peuvent en être affectés, ou qui peuvent influencer le projet.[</w:t>
      </w:r>
      <w:hyperlink r:id="rId35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56.14.5</w:t>
        <w:br w:type="textWrapping"/>
        <w:t xml:space="preserve">consultation des parties prenantes</w:t>
        <w:br w:type="textWrapping"/>
        <w:t xml:space="preserve">processus de communication et de dialogue avec les parties prenantes visant à partager des informations et recueillir leurs contributions, de manière significative et adaptée.[</w:t>
      </w:r>
      <w:hyperlink r:id="rId35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56.14.6</w:t>
        <w:br w:type="textWrapping"/>
        <w:t xml:space="preserve">griefs (mécanisme de gestion des plaintes)</w:t>
        <w:br w:type="textWrapping"/>
        <w:t xml:space="preserve">demande ou plainte formelle exprimée par des individus ou des groupes qui estiment être affectés par un projet, et mécanisme prévu pour les recevoir, les traiter et y répondre.[</w:t>
      </w:r>
      <w:hyperlink r:id="rId35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thedocs.worldbank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EXEMPLE RDC – Dans un cahier des charges pour un projet routier cofinancé par un bailleur, ces termes sont repris dans une section « Définitions », et la norme nationale sur la gestion environnementale des chantiers renvoie explicitement aux PGES, consultations des parties prenantes et mécanismes de gestion des plaintes exigés par le bailleur.[</w:t>
      </w:r>
      <w:hyperlink r:id="rId35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rPr/>
      </w:pPr>
      <w:r w:rsidDel="00000000" w:rsidR="00000000" w:rsidRPr="00000000">
        <w:rPr>
          <w:rtl w:val="0"/>
        </w:rPr>
        <w:t xml:space="preserve">56.15 Utilisation du lexique dans les normes et documents nationaux</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56.15.1 Les normes nationales et les cahiers des charges types doivent :</w:t>
      </w:r>
    </w:p>
    <w:p w:rsidR="00000000" w:rsidDel="00000000" w:rsidP="00000000" w:rsidRDefault="00000000" w:rsidRPr="00000000" w14:paraId="0000066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intégrer les définitions pertinentes de ces sous-domaines en clause 3 (Termes et définitions) ;</w:t>
      </w:r>
    </w:p>
    <w:p w:rsidR="00000000" w:rsidDel="00000000" w:rsidP="00000000" w:rsidRDefault="00000000" w:rsidRPr="00000000" w14:paraId="0000066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harmoniser les formulations avec les vocabulaires ISO (construction, qualité, environnement, SST) et les glossaires de bailleurs ;[</w:t>
      </w:r>
      <w:hyperlink r:id="rId35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sis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D">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signaler, le cas échéant, les écarts ou compléments nationaux dans des notes ou annexes nationales (NA).[</w:t>
      </w:r>
      <w:hyperlink r:id="rId35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56.15.2 Cela garantit une cohérence terminologique :</w:t>
      </w:r>
    </w:p>
    <w:p w:rsidR="00000000" w:rsidDel="00000000" w:rsidP="00000000" w:rsidRDefault="00000000" w:rsidRPr="00000000" w14:paraId="0000066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les normes RDC adoptées par harmonisation (ISO, EN, Eurocodes),</w:t>
      </w:r>
    </w:p>
    <w:p w:rsidR="00000000" w:rsidDel="00000000" w:rsidP="00000000" w:rsidRDefault="00000000" w:rsidRPr="00000000" w14:paraId="0000067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normes, contrats, documents de projet et exigences des bailleurs,</w:t>
      </w:r>
    </w:p>
    <w:p w:rsidR="00000000" w:rsidDel="00000000" w:rsidP="00000000" w:rsidRDefault="00000000" w:rsidRPr="00000000" w14:paraId="0000067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facilite la lecture par les acteurs nationaux et internationaux (ministères, agences, entreprises, bureaux d’études, banques, ONG).[</w:t>
      </w:r>
      <w:hyperlink r:id="rId35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vous le souhaitez, je peux maintenant :</w:t>
      </w:r>
    </w:p>
    <w:p w:rsidR="00000000" w:rsidDel="00000000" w:rsidP="00000000" w:rsidRDefault="00000000" w:rsidRPr="00000000" w14:paraId="0000067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proposer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autonome de vocabulaire sectoriel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(format « mini-norme de vocabulaire » type NC-RDC-BTP « Vocabulaire de la construction et des infrastructures »),</w:t>
      </w:r>
    </w:p>
    <w:p w:rsidR="00000000" w:rsidDel="00000000" w:rsidP="00000000" w:rsidRDefault="00000000" w:rsidRPr="00000000" w14:paraId="0000067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préparer 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listes prêtes à être copiées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 domaine) pour insertion directe dans vos projets de normes et cahiers des charges types.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propose 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Neuvième Partie – Annexes opérationnelles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structurée comme dans un vrai guide ministériel, avec des modèles détaillés et des exemples adaptés au contexte de la normalisation BTP en RDC (routes, bâtiments, projets financés par bailleurs).[</w:t>
      </w:r>
      <w:hyperlink r:id="rId35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Neuvième Partie – Annexes opérationnelles</w:t>
      </w:r>
    </w:p>
    <w:p w:rsidR="00000000" w:rsidDel="00000000" w:rsidP="00000000" w:rsidRDefault="00000000" w:rsidRPr="00000000" w14:paraId="0000067B">
      <w:pPr>
        <w:pStyle w:val="Heading2"/>
        <w:rPr/>
      </w:pPr>
      <w:r w:rsidDel="00000000" w:rsidR="00000000" w:rsidRPr="00000000">
        <w:rPr>
          <w:rtl w:val="0"/>
        </w:rPr>
        <w:t xml:space="preserve">57. Dispositions générales</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57.1 Objet</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57.1.1 Les présentes annexes opérationnelles fournissent des modèles types de documents à utiliser par la Commission nationale, ses organes et ses partenaires (ministères, agences, bureaux d’études, laboratoires) dans le cadre des travaux de normalisation dans le secteur de la construction, des infrastructures, des travaux publics et du génie civil.[</w:t>
      </w:r>
      <w:hyperlink r:id="rId36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57.1.2 Ces modèles sont conçus pour :</w:t>
      </w:r>
    </w:p>
    <w:p w:rsidR="00000000" w:rsidDel="00000000" w:rsidP="00000000" w:rsidRDefault="00000000" w:rsidRPr="00000000" w14:paraId="0000067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assurer l’uniformité des pratiques documentaires ;</w:t>
      </w:r>
    </w:p>
    <w:p w:rsidR="00000000" w:rsidDel="00000000" w:rsidP="00000000" w:rsidRDefault="00000000" w:rsidRPr="00000000" w14:paraId="0000068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faciliter la traçabilité et l’audit des travaux ;</w:t>
      </w:r>
    </w:p>
    <w:p w:rsidR="00000000" w:rsidDel="00000000" w:rsidP="00000000" w:rsidRDefault="00000000" w:rsidRPr="00000000" w14:paraId="0000068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aligner les pratiques de normalisation avec les exigences des marchés publics et des bailleurs de fonds (notamment la Banque mondiale).[</w:t>
      </w:r>
      <w:hyperlink r:id="rId36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57.2 Caractère normatif</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57.2.1 Les modèles présentés dans cette Partie sont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recommandés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 base commune, mais peuvent être adaptés par la Commission nationale en fonction des spécificités de chaque projet ou secteur, sous réserve de conserver les informations minimales obligatoires.[</w:t>
      </w:r>
      <w:hyperlink r:id="rId36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rPr/>
      </w:pPr>
      <w:r w:rsidDel="00000000" w:rsidR="00000000" w:rsidRPr="00000000">
        <w:rPr>
          <w:rtl w:val="0"/>
        </w:rPr>
        <w:t xml:space="preserve">58. Modèles de réunions : ordre du jour, convocation, procès-verbal</w:t>
      </w:r>
    </w:p>
    <w:p w:rsidR="00000000" w:rsidDel="00000000" w:rsidP="00000000" w:rsidRDefault="00000000" w:rsidRPr="00000000" w14:paraId="00000686">
      <w:pPr>
        <w:pStyle w:val="Heading2"/>
        <w:rPr/>
      </w:pPr>
      <w:r w:rsidDel="00000000" w:rsidR="00000000" w:rsidRPr="00000000">
        <w:rPr>
          <w:rtl w:val="0"/>
        </w:rPr>
        <w:t xml:space="preserve">58.1 Modèle d’ordre du jour</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OJ-1 – Modèle d’ordre du jour d’une réunion de la Commission nationale plénière</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Organisme : Commission nationale d’élaboration des normes – Secteur Construction/BTP</w:t>
      </w:r>
    </w:p>
    <w:p w:rsidR="00000000" w:rsidDel="00000000" w:rsidP="00000000" w:rsidRDefault="00000000" w:rsidRPr="00000000" w14:paraId="0000068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n° : CNP/2026/02</w:t>
      </w:r>
    </w:p>
    <w:p w:rsidR="00000000" w:rsidDel="00000000" w:rsidP="00000000" w:rsidRDefault="00000000" w:rsidRPr="00000000" w14:paraId="0000068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68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Heure : …</w:t>
      </w:r>
    </w:p>
    <w:p w:rsidR="00000000" w:rsidDel="00000000" w:rsidP="00000000" w:rsidRDefault="00000000" w:rsidRPr="00000000" w14:paraId="0000068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Lieu :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Ordre du jour :</w:t>
      </w:r>
    </w:p>
    <w:p w:rsidR="00000000" w:rsidDel="00000000" w:rsidP="00000000" w:rsidRDefault="00000000" w:rsidRPr="00000000" w14:paraId="0000068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Ouverture de la séance et vérification du quorum</w:t>
      </w:r>
    </w:p>
    <w:p w:rsidR="00000000" w:rsidDel="00000000" w:rsidP="00000000" w:rsidRDefault="00000000" w:rsidRPr="00000000" w14:paraId="0000068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de l’ordre du jour</w:t>
      </w:r>
    </w:p>
    <w:p w:rsidR="00000000" w:rsidDel="00000000" w:rsidP="00000000" w:rsidRDefault="00000000" w:rsidRPr="00000000" w14:paraId="0000069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du rapport annuel 20XX des activités de normalisation</w:t>
      </w:r>
    </w:p>
    <w:p w:rsidR="00000000" w:rsidDel="00000000" w:rsidP="00000000" w:rsidRDefault="00000000" w:rsidRPr="00000000" w14:paraId="0000069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Examen et adoption du programme de travail 20XX–20YY</w:t>
      </w:r>
    </w:p>
    <w:p w:rsidR="00000000" w:rsidDel="00000000" w:rsidP="00000000" w:rsidRDefault="00000000" w:rsidRPr="00000000" w14:paraId="0000069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Présentation et adoption de la norme NC-RDC-BTP R1 001:20YY « Routes — Couches de chaussée »</w:t>
      </w:r>
    </w:p>
    <w:p w:rsidR="00000000" w:rsidDel="00000000" w:rsidP="00000000" w:rsidRDefault="00000000" w:rsidRPr="00000000" w14:paraId="0000069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Examen des demandes de nouveaux travaux (Fiches projet FPN-B1-2026-01, FPN-H1-2026-02)</w:t>
      </w:r>
    </w:p>
    <w:p w:rsidR="00000000" w:rsidDel="00000000" w:rsidP="00000000" w:rsidRDefault="00000000" w:rsidRPr="00000000" w14:paraId="0000069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w:t>
      </w:r>
    </w:p>
    <w:p w:rsidR="00000000" w:rsidDel="00000000" w:rsidP="00000000" w:rsidRDefault="00000000" w:rsidRPr="00000000" w14:paraId="0000069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Clôture de la séance</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modèle est adapté à une séance où l’on adopte une norme importante pour les projets routiers financés par un bailleur.[</w:t>
      </w:r>
      <w:hyperlink r:id="rId36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97">
      <w:pPr>
        <w:pStyle w:val="Heading2"/>
        <w:rPr/>
      </w:pPr>
      <w:r w:rsidDel="00000000" w:rsidR="00000000" w:rsidRPr="00000000">
        <w:rPr>
          <w:rtl w:val="0"/>
        </w:rPr>
        <w:t xml:space="preserve">58.2 Modèle de convocation</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CV-1 – Convocation à une réunion de Comité technique</w:t>
      </w: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 : Convocation à la réunion du Comité technique CT-R1 « Chaussées et couches de chaussée »</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Monsieur/Madame …</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êtes convié(e) à participer à la réunion du Comité technique CT-R1 qui se tiendra :</w:t>
      </w:r>
    </w:p>
    <w:p w:rsidR="00000000" w:rsidDel="00000000" w:rsidP="00000000" w:rsidRDefault="00000000" w:rsidRPr="00000000" w14:paraId="0000069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69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Heure : …</w:t>
      </w:r>
    </w:p>
    <w:p w:rsidR="00000000" w:rsidDel="00000000" w:rsidP="00000000" w:rsidRDefault="00000000" w:rsidRPr="00000000" w14:paraId="0000069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Lieu : … / ou plateforme de visioconférence :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Ordre du jour :</w:t>
      </w:r>
    </w:p>
    <w:p w:rsidR="00000000" w:rsidDel="00000000" w:rsidP="00000000" w:rsidRDefault="00000000" w:rsidRPr="00000000" w14:paraId="000006A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Rappel du mandat du CT-R1</w:t>
      </w:r>
    </w:p>
    <w:p w:rsidR="00000000" w:rsidDel="00000000" w:rsidP="00000000" w:rsidRDefault="00000000" w:rsidRPr="00000000" w14:paraId="000006A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Examen des commentaires reçus lors de l’enquête publique sur le projet de norme NC-RDC-BTP R1 001:20YY</w:t>
      </w:r>
    </w:p>
    <w:p w:rsidR="00000000" w:rsidDel="00000000" w:rsidP="00000000" w:rsidRDefault="00000000" w:rsidRPr="00000000" w14:paraId="000006A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Finalisation du texte en vue de l’adoption par la Commission nationale</w:t>
      </w:r>
    </w:p>
    <w:p w:rsidR="00000000" w:rsidDel="00000000" w:rsidP="00000000" w:rsidRDefault="00000000" w:rsidRPr="00000000" w14:paraId="000006A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vous prions de bien vouloir confirmer votre participation et, le cas échéant, transmettre à l’avance vos contributions écrites.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br w:type="textWrapping"/>
        <w:t xml:space="preserve">Président CT-R1 / Secrétariat technique</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rPr/>
      </w:pPr>
      <w:r w:rsidDel="00000000" w:rsidR="00000000" w:rsidRPr="00000000">
        <w:rPr>
          <w:rtl w:val="0"/>
        </w:rPr>
        <w:t xml:space="preserve">58.3 Modèle de procès-verbal (PV)</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PV-1 – Procès-verbal d’une réunion de Comité technique</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Organe : Comité technique CT-B1 « Structures en béton et maçonnerie »</w:t>
      </w:r>
    </w:p>
    <w:p w:rsidR="00000000" w:rsidDel="00000000" w:rsidP="00000000" w:rsidRDefault="00000000" w:rsidRPr="00000000" w14:paraId="000006A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Réunion n° : CT-B1/2026/03</w:t>
      </w:r>
    </w:p>
    <w:p w:rsidR="00000000" w:rsidDel="00000000" w:rsidP="00000000" w:rsidRDefault="00000000" w:rsidRPr="00000000" w14:paraId="000006A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 Lieu :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t>
      </w:r>
    </w:p>
    <w:p w:rsidR="00000000" w:rsidDel="00000000" w:rsidP="00000000" w:rsidRDefault="00000000" w:rsidRPr="00000000" w14:paraId="000006A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 des membres présents et absents, avec catégories (administration, entreprise, laboratoire, université, ONG).</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principaux :</w:t>
      </w:r>
    </w:p>
    <w:p w:rsidR="00000000" w:rsidDel="00000000" w:rsidP="00000000" w:rsidRDefault="00000000" w:rsidRPr="00000000" w14:paraId="000006A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Ouverture de la séance, rappel des règles de quorum et d’éthique.</w:t>
      </w:r>
    </w:p>
    <w:p w:rsidR="00000000" w:rsidDel="00000000" w:rsidP="00000000" w:rsidRDefault="00000000" w:rsidRPr="00000000" w14:paraId="000006B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du procès-verbal de la réunion précédente.</w:t>
      </w:r>
    </w:p>
    <w:p w:rsidR="00000000" w:rsidDel="00000000" w:rsidP="00000000" w:rsidRDefault="00000000" w:rsidRPr="00000000" w14:paraId="000006B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Examen des commentaires sur le projet de norme « Blocs de béton pour maçonnerie – Spécifications ».</w:t>
      </w:r>
    </w:p>
    <w:p w:rsidR="00000000" w:rsidDel="00000000" w:rsidP="00000000" w:rsidRDefault="00000000" w:rsidRPr="00000000" w14:paraId="000006B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de transmettre la version révisée à la Commission nationale pour adoption.</w:t>
      </w:r>
    </w:p>
    <w:p w:rsidR="00000000" w:rsidDel="00000000" w:rsidP="00000000" w:rsidRDefault="00000000" w:rsidRPr="00000000" w14:paraId="000006B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 (questions sur la future norme « Blocs stabilisés en terre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Décisions :</w:t>
      </w:r>
    </w:p>
    <w:p w:rsidR="00000000" w:rsidDel="00000000" w:rsidP="00000000" w:rsidRDefault="00000000" w:rsidRPr="00000000" w14:paraId="000006B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1 : Le CT-B1 approuve la version CD-B1.3 de la norme « Blocs de béton pour maçonnerie – Spécifications ».</w:t>
      </w:r>
    </w:p>
    <w:p w:rsidR="00000000" w:rsidDel="00000000" w:rsidP="00000000" w:rsidRDefault="00000000" w:rsidRPr="00000000" w14:paraId="000006B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2 : Le CT-B1 propose d’ouvrir un nouveau projet de norme sur les blocs en terre stabilisée (FPN-B2-2026-01).</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PV précise les actions, les responsables et les délais (ex. « le Secrétariat technique transmettra la version CD-B1.3 à la Commission nationale avant le 30/… »).[</w:t>
      </w:r>
      <w:hyperlink r:id="rId36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rPr/>
      </w:pPr>
      <w:r w:rsidDel="00000000" w:rsidR="00000000" w:rsidRPr="00000000">
        <w:rPr>
          <w:rtl w:val="0"/>
        </w:rPr>
        <w:t xml:space="preserve">59. Fiches projet, fiches norme, fiches d’amendement</w:t>
      </w:r>
    </w:p>
    <w:p w:rsidR="00000000" w:rsidDel="00000000" w:rsidP="00000000" w:rsidRDefault="00000000" w:rsidRPr="00000000" w14:paraId="000006BA">
      <w:pPr>
        <w:pStyle w:val="Heading2"/>
        <w:rPr/>
      </w:pPr>
      <w:r w:rsidDel="00000000" w:rsidR="00000000" w:rsidRPr="00000000">
        <w:rPr>
          <w:rtl w:val="0"/>
        </w:rPr>
        <w:t xml:space="preserve">59.1 Fiche projet de norme (FPN)</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Inspirée des formulaires ISO de type « New Work Item Proposal » (Form 4).[</w:t>
      </w:r>
      <w:hyperlink r:id="rId36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FPN-1 – Fiche projet de norme</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interne : FPN-R1-2026-01</w:t>
      </w:r>
    </w:p>
    <w:p w:rsidR="00000000" w:rsidDel="00000000" w:rsidP="00000000" w:rsidRDefault="00000000" w:rsidRPr="00000000" w14:paraId="000006B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provisoire : « Routes — Couches de chaussée — Spécifications des matériaux granulaires »</w:t>
      </w:r>
    </w:p>
    <w:p w:rsidR="00000000" w:rsidDel="00000000" w:rsidP="00000000" w:rsidRDefault="00000000" w:rsidRPr="00000000" w14:paraId="000006B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Proposant : Agence nationale des routes (ANR) + Fédération des entreprises du BTP</w:t>
      </w:r>
    </w:p>
    <w:p w:rsidR="00000000" w:rsidDel="00000000" w:rsidP="00000000" w:rsidRDefault="00000000" w:rsidRPr="00000000" w14:paraId="000006C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de document : Norme nationale / Norme sectorielle / Norme expérimentale</w:t>
      </w:r>
    </w:p>
    <w:p w:rsidR="00000000" w:rsidDel="00000000" w:rsidP="00000000" w:rsidRDefault="00000000" w:rsidRPr="00000000" w14:paraId="000006C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w:t>
      </w:r>
    </w:p>
    <w:p w:rsidR="00000000" w:rsidDel="00000000" w:rsidP="00000000" w:rsidRDefault="00000000" w:rsidRPr="00000000" w14:paraId="000006C2">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fragmentation des pratiques actuelles ;</w:t>
      </w:r>
    </w:p>
    <w:p w:rsidR="00000000" w:rsidDel="00000000" w:rsidP="00000000" w:rsidRDefault="00000000" w:rsidRPr="00000000" w14:paraId="000006C3">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exigences des bailleurs (Banque mondiale) ;[</w:t>
      </w:r>
      <w:hyperlink r:id="rId36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besoin d’harmoniser les spécifications des matériaux granulaires pour garantir la durabilité des routes.</w:t>
      </w:r>
    </w:p>
    <w:p w:rsidR="00000000" w:rsidDel="00000000" w:rsidP="00000000" w:rsidRDefault="00000000" w:rsidRPr="00000000" w14:paraId="000006C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Champ d’application : couches de fondation et de base des routes nationales et provinciales.</w:t>
      </w:r>
    </w:p>
    <w:p w:rsidR="00000000" w:rsidDel="00000000" w:rsidP="00000000" w:rsidRDefault="00000000" w:rsidRPr="00000000" w14:paraId="000006C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Lien avec la législation : Code des marchés publics, directives sur les travaux routiers.[</w:t>
      </w:r>
      <w:hyperlink r:id="rId36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Références existantes :</w:t>
      </w:r>
    </w:p>
    <w:p w:rsidR="00000000" w:rsidDel="00000000" w:rsidP="00000000" w:rsidRDefault="00000000" w:rsidRPr="00000000" w14:paraId="000006C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Norme ISO/EN sur les matériaux granulaires ;</w:t>
      </w:r>
    </w:p>
    <w:p w:rsidR="00000000" w:rsidDel="00000000" w:rsidP="00000000" w:rsidRDefault="00000000" w:rsidRPr="00000000" w14:paraId="000006C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PIARC ;</w:t>
      </w:r>
    </w:p>
    <w:p w:rsidR="00000000" w:rsidDel="00000000" w:rsidP="00000000" w:rsidRDefault="00000000" w:rsidRPr="00000000" w14:paraId="000006C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de la Banque mondiale.[</w:t>
      </w:r>
      <w:hyperlink r:id="rId36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Parties prenantes : ANR, entreprises routières, laboratoires routiers, universités, bailleurs.</w:t>
      </w:r>
    </w:p>
    <w:p w:rsidR="00000000" w:rsidDel="00000000" w:rsidP="00000000" w:rsidRDefault="00000000" w:rsidRPr="00000000" w14:paraId="000006C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Calendrier prévisionnel : préparation, enquête, adoption.</w:t>
      </w:r>
    </w:p>
    <w:p w:rsidR="00000000" w:rsidDel="00000000" w:rsidP="00000000" w:rsidRDefault="00000000" w:rsidRPr="00000000" w14:paraId="000006CD">
      <w:pPr>
        <w:pStyle w:val="Heading2"/>
        <w:rPr/>
      </w:pPr>
      <w:r w:rsidDel="00000000" w:rsidR="00000000" w:rsidRPr="00000000">
        <w:rPr>
          <w:rtl w:val="0"/>
        </w:rPr>
        <w:t xml:space="preserve">59.2 Fiche norme</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FN-1 – Fiche d’identification d’une norme</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 NC-RDC-BTP R1 001:20YY</w:t>
      </w:r>
    </w:p>
    <w:p w:rsidR="00000000" w:rsidDel="00000000" w:rsidP="00000000" w:rsidRDefault="00000000" w:rsidRPr="00000000" w14:paraId="000006D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 Routes — Couches de chaussée — Spécifications des matériaux granulaires</w:t>
      </w:r>
    </w:p>
    <w:p w:rsidR="00000000" w:rsidDel="00000000" w:rsidP="00000000" w:rsidRDefault="00000000" w:rsidRPr="00000000" w14:paraId="000006D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Statut : Norme nationale (adoption MOD d’une norme ISO/EN)[</w:t>
      </w:r>
      <w:hyperlink r:id="rId36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d’adoption : …</w:t>
      </w:r>
    </w:p>
    <w:p w:rsidR="00000000" w:rsidDel="00000000" w:rsidP="00000000" w:rsidRDefault="00000000" w:rsidRPr="00000000" w14:paraId="000006D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 responsable : CT-R1</w:t>
      </w:r>
    </w:p>
    <w:p w:rsidR="00000000" w:rsidDel="00000000" w:rsidP="00000000" w:rsidRDefault="00000000" w:rsidRPr="00000000" w14:paraId="000006D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Sous-commission sectorielle : Routes et ouvrages d’art</w:t>
      </w:r>
    </w:p>
    <w:p w:rsidR="00000000" w:rsidDel="00000000" w:rsidP="00000000" w:rsidRDefault="00000000" w:rsidRPr="00000000" w14:paraId="000006D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Domaine : chaussées routières</w:t>
      </w:r>
    </w:p>
    <w:p w:rsidR="00000000" w:rsidDel="00000000" w:rsidP="00000000" w:rsidRDefault="00000000" w:rsidRPr="00000000" w14:paraId="000006D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Lien avec la loi ou les décrets : arrêté ministériel n° … rendant cette norme obligatoire pour les marchés routiers financés sur fonds publics.[</w:t>
      </w:r>
      <w:hyperlink r:id="rId37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congovirtuel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Remarques : présence d’une Annexe NA spécifique aux zones climatiques de la RDC.[</w:t>
      </w:r>
      <w:hyperlink r:id="rId37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8">
      <w:pPr>
        <w:pStyle w:val="Heading2"/>
        <w:rPr/>
      </w:pPr>
      <w:r w:rsidDel="00000000" w:rsidR="00000000" w:rsidRPr="00000000">
        <w:rPr>
          <w:rtl w:val="0"/>
        </w:rPr>
        <w:t xml:space="preserve">59.3 Fiche d’amendement</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FA-1 – Fiche d’amendement d’une norme</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Norme concernée : NC-RDC-BTP 210:2028 (bétons de structure)</w:t>
      </w:r>
    </w:p>
    <w:p w:rsidR="00000000" w:rsidDel="00000000" w:rsidP="00000000" w:rsidRDefault="00000000" w:rsidRPr="00000000" w14:paraId="000006D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 de l’amendement : mise à jour des classes d’exposition et des exigences de durabilité.</w:t>
      </w:r>
    </w:p>
    <w:p w:rsidR="00000000" w:rsidDel="00000000" w:rsidP="00000000" w:rsidRDefault="00000000" w:rsidRPr="00000000" w14:paraId="000006D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 nouvelles données sur les conditions climatiques (pluie, humidité), retours d’expérience sur la durabilité des ouvrages.[</w:t>
      </w:r>
      <w:hyperlink r:id="rId37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D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Clauses modifiées : 5.3, 6.2, Annexe NA.</w:t>
      </w:r>
    </w:p>
    <w:p w:rsidR="00000000" w:rsidDel="00000000" w:rsidP="00000000" w:rsidRDefault="00000000" w:rsidRPr="00000000" w14:paraId="000006D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d’amendement : technique (modification des valeurs), éditorial (correction de termes).</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rPr/>
      </w:pPr>
      <w:r w:rsidDel="00000000" w:rsidR="00000000" w:rsidRPr="00000000">
        <w:rPr>
          <w:rtl w:val="0"/>
        </w:rPr>
        <w:t xml:space="preserve">60. Registres (experts, votes, commentaires, conflits d’intérêts, consultations publiques)</w:t>
      </w:r>
    </w:p>
    <w:p w:rsidR="00000000" w:rsidDel="00000000" w:rsidP="00000000" w:rsidRDefault="00000000" w:rsidRPr="00000000" w14:paraId="000006E1">
      <w:pPr>
        <w:pStyle w:val="Heading2"/>
        <w:rPr/>
      </w:pPr>
      <w:r w:rsidDel="00000000" w:rsidR="00000000" w:rsidRPr="00000000">
        <w:rPr>
          <w:rtl w:val="0"/>
        </w:rPr>
        <w:t xml:space="preserve">60.1 Registre des experts</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RE-1 – Registre des experts</w:t>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Colonnes :</w:t>
      </w:r>
    </w:p>
    <w:p w:rsidR="00000000" w:rsidDel="00000000" w:rsidP="00000000" w:rsidRDefault="00000000" w:rsidRPr="00000000" w14:paraId="000006E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expert ;</w:t>
      </w:r>
    </w:p>
    <w:p w:rsidR="00000000" w:rsidDel="00000000" w:rsidP="00000000" w:rsidRDefault="00000000" w:rsidRPr="00000000" w14:paraId="000006E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prénom ;</w:t>
      </w:r>
    </w:p>
    <w:p w:rsidR="00000000" w:rsidDel="00000000" w:rsidP="00000000" w:rsidRDefault="00000000" w:rsidRPr="00000000" w14:paraId="000006E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 ;</w:t>
      </w:r>
    </w:p>
    <w:p w:rsidR="00000000" w:rsidDel="00000000" w:rsidP="00000000" w:rsidRDefault="00000000" w:rsidRPr="00000000" w14:paraId="000006E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Catégorie (administration, entreprise, laboratoire, université, ONG) ;[</w:t>
      </w:r>
      <w:hyperlink r:id="rId37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helpdesk-docs.iso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E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Comités/GT auxquels il participe (CT-B1, GT-R1.1, etc.) ;</w:t>
      </w:r>
    </w:p>
    <w:p w:rsidR="00000000" w:rsidDel="00000000" w:rsidP="00000000" w:rsidRDefault="00000000" w:rsidRPr="00000000" w14:paraId="000006E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Domaine d’expertise (béton, sols, ponts, environnement) ;</w:t>
      </w:r>
    </w:p>
    <w:p w:rsidR="00000000" w:rsidDel="00000000" w:rsidP="00000000" w:rsidRDefault="00000000" w:rsidRPr="00000000" w14:paraId="000006E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de début de mandat, date de fin ;</w:t>
      </w:r>
    </w:p>
    <w:p w:rsidR="00000000" w:rsidDel="00000000" w:rsidP="00000000" w:rsidRDefault="00000000" w:rsidRPr="00000000" w14:paraId="000006E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Déclaration d’intérêts : oui/non – date.[</w:t>
      </w:r>
      <w:hyperlink r:id="rId37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openknowledge.worldbank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EC">
      <w:pPr>
        <w:pStyle w:val="Heading2"/>
        <w:rPr/>
      </w:pPr>
      <w:r w:rsidDel="00000000" w:rsidR="00000000" w:rsidRPr="00000000">
        <w:rPr>
          <w:rtl w:val="0"/>
        </w:rPr>
        <w:t xml:space="preserve">60.2 Registre des votes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RV-1 – Registre des votes sur les projets de normes</w:t>
      </w: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Colonnes :</w:t>
      </w:r>
    </w:p>
    <w:p w:rsidR="00000000" w:rsidDel="00000000" w:rsidP="00000000" w:rsidRDefault="00000000" w:rsidRPr="00000000" w14:paraId="000006E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du projet (ex. PN-R1-001) ;</w:t>
      </w:r>
    </w:p>
    <w:p w:rsidR="00000000" w:rsidDel="00000000" w:rsidP="00000000" w:rsidRDefault="00000000" w:rsidRPr="00000000" w14:paraId="000006F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Organe de vote (Commission nationale, CT) ;</w:t>
      </w:r>
    </w:p>
    <w:p w:rsidR="00000000" w:rsidDel="00000000" w:rsidP="00000000" w:rsidRDefault="00000000" w:rsidRPr="00000000" w14:paraId="000006F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du vote ;</w:t>
      </w:r>
    </w:p>
    <w:p w:rsidR="00000000" w:rsidDel="00000000" w:rsidP="00000000" w:rsidRDefault="00000000" w:rsidRPr="00000000" w14:paraId="000006F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 votants ;</w:t>
      </w:r>
    </w:p>
    <w:p w:rsidR="00000000" w:rsidDel="00000000" w:rsidP="00000000" w:rsidRDefault="00000000" w:rsidRPr="00000000" w14:paraId="000006F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Résultat : pour, contre, abstentions ;</w:t>
      </w:r>
    </w:p>
    <w:p w:rsidR="00000000" w:rsidDel="00000000" w:rsidP="00000000" w:rsidRDefault="00000000" w:rsidRPr="00000000" w14:paraId="000006F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Commentaires majeurs ;</w:t>
      </w:r>
    </w:p>
    <w:p w:rsidR="00000000" w:rsidDel="00000000" w:rsidP="00000000" w:rsidRDefault="00000000" w:rsidRPr="00000000" w14:paraId="000006F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(adopté, rejeté, à réviser).[</w:t>
      </w:r>
      <w:hyperlink r:id="rId37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F6">
      <w:pPr>
        <w:pStyle w:val="Heading2"/>
        <w:rPr/>
      </w:pPr>
      <w:r w:rsidDel="00000000" w:rsidR="00000000" w:rsidRPr="00000000">
        <w:rPr>
          <w:rtl w:val="0"/>
        </w:rPr>
        <w:t xml:space="preserve">60.3 Registre des observations (enquêtes publiques)</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RO-1 – Registre des observations à l’enquête publique</w:t>
      </w: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Colonnes :</w:t>
      </w:r>
    </w:p>
    <w:p w:rsidR="00000000" w:rsidDel="00000000" w:rsidP="00000000" w:rsidRDefault="00000000" w:rsidRPr="00000000" w14:paraId="000006F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commentaire ;</w:t>
      </w:r>
    </w:p>
    <w:p w:rsidR="00000000" w:rsidDel="00000000" w:rsidP="00000000" w:rsidRDefault="00000000" w:rsidRPr="00000000" w14:paraId="000006F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 de norme ;</w:t>
      </w:r>
    </w:p>
    <w:p w:rsidR="00000000" w:rsidDel="00000000" w:rsidP="00000000" w:rsidRDefault="00000000" w:rsidRPr="00000000" w14:paraId="000006F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Commentateur (organisme, catégorie) ;</w:t>
      </w:r>
    </w:p>
    <w:p w:rsidR="00000000" w:rsidDel="00000000" w:rsidP="00000000" w:rsidRDefault="00000000" w:rsidRPr="00000000" w14:paraId="000006F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Clause concernée ;</w:t>
      </w:r>
    </w:p>
    <w:p w:rsidR="00000000" w:rsidDel="00000000" w:rsidP="00000000" w:rsidRDefault="00000000" w:rsidRPr="00000000" w14:paraId="000006F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de commentaire (éditorial, technique, majeur, mineur) ;</w:t>
      </w:r>
    </w:p>
    <w:p w:rsidR="00000000" w:rsidDel="00000000" w:rsidP="00000000" w:rsidRDefault="00000000" w:rsidRPr="00000000" w14:paraId="000006F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 du commentateur ;</w:t>
      </w:r>
    </w:p>
    <w:p w:rsidR="00000000" w:rsidDel="00000000" w:rsidP="00000000" w:rsidRDefault="00000000" w:rsidRPr="00000000" w14:paraId="000006F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Décision du GT/CT (accepté, partiellement accepté, non accepté) ;</w:t>
      </w:r>
    </w:p>
    <w:p w:rsidR="00000000" w:rsidDel="00000000" w:rsidP="00000000" w:rsidRDefault="00000000" w:rsidRPr="00000000" w14:paraId="0000070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r>
      <w:hyperlink r:id="rId37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01">
      <w:pPr>
        <w:pStyle w:val="Heading2"/>
        <w:rPr/>
      </w:pPr>
      <w:r w:rsidDel="00000000" w:rsidR="00000000" w:rsidRPr="00000000">
        <w:rPr>
          <w:rtl w:val="0"/>
        </w:rPr>
        <w:t xml:space="preserve">60.4 Registre des conflits d’intérêts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RCI-1 – Registre des conflits d’intérêts</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Colonnes :</w:t>
      </w:r>
    </w:p>
    <w:p w:rsidR="00000000" w:rsidDel="00000000" w:rsidP="00000000" w:rsidRDefault="00000000" w:rsidRPr="00000000" w14:paraId="0000070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de la personne ;</w:t>
      </w:r>
    </w:p>
    <w:p w:rsidR="00000000" w:rsidDel="00000000" w:rsidP="00000000" w:rsidRDefault="00000000" w:rsidRPr="00000000" w14:paraId="0000070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Organe ;</w:t>
      </w:r>
    </w:p>
    <w:p w:rsidR="00000000" w:rsidDel="00000000" w:rsidP="00000000" w:rsidRDefault="00000000" w:rsidRPr="00000000" w14:paraId="0000070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Nature de l’intérêt (financier, professionnel, familial, autre) ;</w:t>
      </w:r>
    </w:p>
    <w:p w:rsidR="00000000" w:rsidDel="00000000" w:rsidP="00000000" w:rsidRDefault="00000000" w:rsidRPr="00000000" w14:paraId="0000070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Dossier concerné ;</w:t>
      </w:r>
    </w:p>
    <w:p w:rsidR="00000000" w:rsidDel="00000000" w:rsidP="00000000" w:rsidRDefault="00000000" w:rsidRPr="00000000" w14:paraId="0000070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Mesure prise (non participation au vote, retrait de la réunion, etc.) ;</w:t>
      </w:r>
    </w:p>
    <w:p w:rsidR="00000000" w:rsidDel="00000000" w:rsidP="00000000" w:rsidRDefault="00000000" w:rsidRPr="00000000" w14:paraId="0000070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d’inscription, date de mise à jour.[</w:t>
      </w:r>
      <w:hyperlink r:id="rId37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sfs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0A">
      <w:pPr>
        <w:pStyle w:val="Heading2"/>
        <w:rPr/>
      </w:pPr>
      <w:r w:rsidDel="00000000" w:rsidR="00000000" w:rsidRPr="00000000">
        <w:rPr>
          <w:rtl w:val="0"/>
        </w:rPr>
        <w:t xml:space="preserve">60.5 Registre des consultations publiques</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RCP-1 – Registre des consultations publiques</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Colonnes :</w:t>
      </w:r>
    </w:p>
    <w:p w:rsidR="00000000" w:rsidDel="00000000" w:rsidP="00000000" w:rsidRDefault="00000000" w:rsidRPr="00000000" w14:paraId="0000070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du projet de norme ;</w:t>
      </w:r>
    </w:p>
    <w:p w:rsidR="00000000" w:rsidDel="00000000" w:rsidP="00000000" w:rsidRDefault="00000000" w:rsidRPr="00000000" w14:paraId="0000070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Période d’enquête (dates) ;</w:t>
      </w:r>
    </w:p>
    <w:p w:rsidR="00000000" w:rsidDel="00000000" w:rsidP="00000000" w:rsidRDefault="00000000" w:rsidRPr="00000000" w14:paraId="0000070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Modes de consultation (site web, ateliers, presse, etc.) ;[</w:t>
      </w:r>
      <w:hyperlink r:id="rId37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 commentaires reçus ;</w:t>
      </w:r>
    </w:p>
    <w:p w:rsidR="00000000" w:rsidDel="00000000" w:rsidP="00000000" w:rsidRDefault="00000000" w:rsidRPr="00000000" w14:paraId="0000071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de commentateurs (administration, entreprises, ONG, citoyens) ;</w:t>
      </w:r>
    </w:p>
    <w:p w:rsidR="00000000" w:rsidDel="00000000" w:rsidP="00000000" w:rsidRDefault="00000000" w:rsidRPr="00000000" w14:paraId="0000071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Synthèse des sujets principaux.[</w:t>
      </w:r>
      <w:hyperlink r:id="rId37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rPr/>
      </w:pPr>
      <w:r w:rsidDel="00000000" w:rsidR="00000000" w:rsidRPr="00000000">
        <w:rPr>
          <w:rtl w:val="0"/>
        </w:rPr>
        <w:t xml:space="preserve">61. Tableaux de suivi, plannings, diagrammes de processus et matrices RACI</w:t>
      </w:r>
    </w:p>
    <w:p w:rsidR="00000000" w:rsidDel="00000000" w:rsidP="00000000" w:rsidRDefault="00000000" w:rsidRPr="00000000" w14:paraId="00000715">
      <w:pPr>
        <w:pStyle w:val="Heading2"/>
        <w:rPr/>
      </w:pPr>
      <w:r w:rsidDel="00000000" w:rsidR="00000000" w:rsidRPr="00000000">
        <w:rPr>
          <w:rtl w:val="0"/>
        </w:rPr>
        <w:t xml:space="preserve">61.1 Tableau de suivi du programme de travail</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TS-1 – Tableau de suivi des projets de normes</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Colonnes :</w:t>
      </w:r>
    </w:p>
    <w:p w:rsidR="00000000" w:rsidDel="00000000" w:rsidP="00000000" w:rsidRDefault="00000000" w:rsidRPr="00000000" w14:paraId="0000071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Référence projet (FPN…) ;</w:t>
      </w:r>
    </w:p>
    <w:p w:rsidR="00000000" w:rsidDel="00000000" w:rsidP="00000000" w:rsidRDefault="00000000" w:rsidRPr="00000000" w14:paraId="0000071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Titre ;</w:t>
      </w:r>
    </w:p>
    <w:p w:rsidR="00000000" w:rsidDel="00000000" w:rsidP="00000000" w:rsidRDefault="00000000" w:rsidRPr="00000000" w14:paraId="0000071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 responsable ;</w:t>
      </w:r>
    </w:p>
    <w:p w:rsidR="00000000" w:rsidDel="00000000" w:rsidP="00000000" w:rsidRDefault="00000000" w:rsidRPr="00000000" w14:paraId="0000071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Étapes (FPN, CD, Enquête, Vote, Adoption, Publication) ;[</w:t>
      </w:r>
      <w:hyperlink r:id="rId38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Dates prévues / dates réelles ;</w:t>
      </w:r>
    </w:p>
    <w:p w:rsidR="00000000" w:rsidDel="00000000" w:rsidP="00000000" w:rsidRDefault="00000000" w:rsidRPr="00000000" w14:paraId="0000071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Statut (en cours, retardé, adopté) ;</w:t>
      </w:r>
    </w:p>
    <w:p w:rsidR="00000000" w:rsidDel="00000000" w:rsidP="00000000" w:rsidRDefault="00000000" w:rsidRPr="00000000" w14:paraId="0000071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Observations (ex. « conditionnée à l’avis de la Banque mondiale pour le projet X »).[</w:t>
      </w:r>
      <w:hyperlink r:id="rId38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F">
      <w:pPr>
        <w:pStyle w:val="Heading2"/>
        <w:rPr/>
      </w:pPr>
      <w:r w:rsidDel="00000000" w:rsidR="00000000" w:rsidRPr="00000000">
        <w:rPr>
          <w:rtl w:val="0"/>
        </w:rPr>
        <w:t xml:space="preserve">61.2 Diagramme de processus (textuel) – Cycle de normalisation</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DP-1 – Description textuelle du processus</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Soumission de la FPN par un ministère ou une agence d’exécution de projets d’infrastructures (ex. ANR).[</w:t>
      </w:r>
      <w:hyperlink r:id="rId38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Examen par la Sous-commission sectorielle (Routes).</w:t>
      </w:r>
    </w:p>
    <w:p w:rsidR="00000000" w:rsidDel="00000000" w:rsidP="00000000" w:rsidRDefault="00000000" w:rsidRPr="00000000" w14:paraId="0000072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et priorisation par le Comité de pilotage.[</w:t>
      </w:r>
      <w:hyperlink r:id="rId38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Constitution du CT et éventuels GT ; élaboration du WD puis du CD.[</w:t>
      </w:r>
      <w:hyperlink r:id="rId38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Enquête publique nationale (60–90 jours).[</w:t>
      </w:r>
      <w:hyperlink r:id="rId38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experts.cenelec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Traitement des commentaires, élaboration de la version finale.[</w:t>
      </w:r>
      <w:hyperlink r:id="rId38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 et adoption par la Commission nationale.[</w:t>
      </w:r>
      <w:hyperlink r:id="rId38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Publication de la norme ; intégration dans les cahiers des charges types des marchés routiers.[</w:t>
      </w:r>
      <w:hyperlink r:id="rId38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Suivi d’application et révision périodique.[</w:t>
      </w:r>
      <w:hyperlink r:id="rId38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A">
      <w:pPr>
        <w:pStyle w:val="Heading2"/>
        <w:rPr/>
      </w:pPr>
      <w:r w:rsidDel="00000000" w:rsidR="00000000" w:rsidRPr="00000000">
        <w:rPr>
          <w:rtl w:val="0"/>
        </w:rPr>
        <w:t xml:space="preserve">61.3 Matrices RACI</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RACI-1 – Matrice RACI pour l’élaboration d’une norme routière</w:t>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Légende :</w:t>
      </w:r>
    </w:p>
    <w:p w:rsidR="00000000" w:rsidDel="00000000" w:rsidP="00000000" w:rsidRDefault="00000000" w:rsidRPr="00000000" w14:paraId="0000072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 Responsable (fait)</w:t>
      </w:r>
    </w:p>
    <w:p w:rsidR="00000000" w:rsidDel="00000000" w:rsidP="00000000" w:rsidRDefault="00000000" w:rsidRPr="00000000" w14:paraId="0000072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Autorité (approuve)</w:t>
      </w:r>
    </w:p>
    <w:p w:rsidR="00000000" w:rsidDel="00000000" w:rsidP="00000000" w:rsidRDefault="00000000" w:rsidRPr="00000000" w14:paraId="0000072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Consulté</w:t>
      </w:r>
    </w:p>
    <w:p w:rsidR="00000000" w:rsidDel="00000000" w:rsidP="00000000" w:rsidRDefault="00000000" w:rsidRPr="00000000" w14:paraId="0000073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Informé</w:t>
      </w:r>
    </w:p>
    <w:tbl>
      <w:tblPr>
        <w:tblStyle w:val="Table4"/>
        <w:tblW w:w="9072.0" w:type="dxa"/>
        <w:jc w:val="left"/>
        <w:tblLayout w:type="fixed"/>
        <w:tblLook w:val="0400"/>
      </w:tblPr>
      <w:tblGrid>
        <w:gridCol w:w="1234"/>
        <w:gridCol w:w="1039"/>
        <w:gridCol w:w="716"/>
        <w:gridCol w:w="1455"/>
        <w:gridCol w:w="526"/>
        <w:gridCol w:w="697"/>
        <w:gridCol w:w="1255"/>
        <w:gridCol w:w="415"/>
        <w:gridCol w:w="965"/>
        <w:gridCol w:w="770"/>
        <w:tblGridChange w:id="0">
          <w:tblGrid>
            <w:gridCol w:w="1234"/>
            <w:gridCol w:w="1039"/>
            <w:gridCol w:w="716"/>
            <w:gridCol w:w="1455"/>
            <w:gridCol w:w="526"/>
            <w:gridCol w:w="697"/>
            <w:gridCol w:w="1255"/>
            <w:gridCol w:w="415"/>
            <w:gridCol w:w="965"/>
            <w:gridCol w:w="770"/>
          </w:tblGrid>
        </w:tblGridChange>
      </w:tblGrid>
      <w:tr>
        <w:trPr>
          <w:cantSplit w:val="0"/>
          <w:tblHeader w:val="1"/>
        </w:trPr>
        <w:tc>
          <w:tcPr>
            <w:vAlign w:val="center"/>
          </w:tcPr>
          <w:p w:rsidR="00000000" w:rsidDel="00000000" w:rsidP="00000000" w:rsidRDefault="00000000" w:rsidRPr="00000000" w14:paraId="00000731">
            <w:pPr>
              <w:jc w:val="center"/>
              <w:rPr>
                <w:b w:val="1"/>
                <w:bCs w:val="1"/>
              </w:rPr>
            </w:pPr>
            <w:r w:rsidDel="00000000" w:rsidR="00000000" w:rsidRPr="00000000">
              <w:rPr>
                <w:b w:val="1"/>
                <w:bCs w:val="1"/>
                <w:rtl w:val="0"/>
              </w:rPr>
              <w:t xml:space="preserve">Étape</w:t>
            </w:r>
          </w:p>
        </w:tc>
        <w:tc>
          <w:tcPr>
            <w:vAlign w:val="center"/>
          </w:tcPr>
          <w:p w:rsidR="00000000" w:rsidDel="00000000" w:rsidP="00000000" w:rsidRDefault="00000000" w:rsidRPr="00000000" w14:paraId="00000732">
            <w:pPr>
              <w:jc w:val="center"/>
              <w:rPr>
                <w:b w:val="1"/>
                <w:bCs w:val="1"/>
              </w:rPr>
            </w:pPr>
            <w:r w:rsidDel="00000000" w:rsidR="00000000" w:rsidRPr="00000000">
              <w:rPr>
                <w:b w:val="1"/>
                <w:bCs w:val="1"/>
                <w:rtl w:val="0"/>
              </w:rPr>
              <w:t xml:space="preserve">Commission nationale</w:t>
            </w:r>
          </w:p>
        </w:tc>
        <w:tc>
          <w:tcPr>
            <w:vAlign w:val="center"/>
          </w:tcPr>
          <w:p w:rsidR="00000000" w:rsidDel="00000000" w:rsidP="00000000" w:rsidRDefault="00000000" w:rsidRPr="00000000" w14:paraId="00000733">
            <w:pPr>
              <w:jc w:val="center"/>
              <w:rPr>
                <w:b w:val="1"/>
                <w:bCs w:val="1"/>
              </w:rPr>
            </w:pPr>
            <w:r w:rsidDel="00000000" w:rsidR="00000000" w:rsidRPr="00000000">
              <w:rPr>
                <w:b w:val="1"/>
                <w:bCs w:val="1"/>
                <w:rtl w:val="0"/>
              </w:rPr>
              <w:t xml:space="preserve">Comité de pilotage</w:t>
            </w:r>
          </w:p>
        </w:tc>
        <w:tc>
          <w:tcPr>
            <w:vAlign w:val="center"/>
          </w:tcPr>
          <w:p w:rsidR="00000000" w:rsidDel="00000000" w:rsidP="00000000" w:rsidRDefault="00000000" w:rsidRPr="00000000" w14:paraId="00000734">
            <w:pPr>
              <w:jc w:val="center"/>
              <w:rPr>
                <w:b w:val="1"/>
                <w:bCs w:val="1"/>
              </w:rPr>
            </w:pPr>
            <w:r w:rsidDel="00000000" w:rsidR="00000000" w:rsidRPr="00000000">
              <w:rPr>
                <w:b w:val="1"/>
                <w:bCs w:val="1"/>
                <w:rtl w:val="0"/>
              </w:rPr>
              <w:t xml:space="preserve">Sous-commission Routes</w:t>
            </w:r>
          </w:p>
        </w:tc>
        <w:tc>
          <w:tcPr>
            <w:vAlign w:val="center"/>
          </w:tcPr>
          <w:p w:rsidR="00000000" w:rsidDel="00000000" w:rsidP="00000000" w:rsidRDefault="00000000" w:rsidRPr="00000000" w14:paraId="00000735">
            <w:pPr>
              <w:jc w:val="center"/>
              <w:rPr>
                <w:b w:val="1"/>
                <w:bCs w:val="1"/>
              </w:rPr>
            </w:pPr>
            <w:r w:rsidDel="00000000" w:rsidR="00000000" w:rsidRPr="00000000">
              <w:rPr>
                <w:b w:val="1"/>
                <w:bCs w:val="1"/>
                <w:rtl w:val="0"/>
              </w:rPr>
              <w:t xml:space="preserve">CT-R1</w:t>
            </w:r>
          </w:p>
        </w:tc>
        <w:tc>
          <w:tcPr>
            <w:vAlign w:val="center"/>
          </w:tcPr>
          <w:p w:rsidR="00000000" w:rsidDel="00000000" w:rsidP="00000000" w:rsidRDefault="00000000" w:rsidRPr="00000000" w14:paraId="00000736">
            <w:pPr>
              <w:jc w:val="center"/>
              <w:rPr>
                <w:b w:val="1"/>
                <w:bCs w:val="1"/>
              </w:rPr>
            </w:pPr>
            <w:r w:rsidDel="00000000" w:rsidR="00000000" w:rsidRPr="00000000">
              <w:rPr>
                <w:b w:val="1"/>
                <w:bCs w:val="1"/>
                <w:rtl w:val="0"/>
              </w:rPr>
              <w:t xml:space="preserve">GT-R1.1</w:t>
            </w:r>
          </w:p>
        </w:tc>
        <w:tc>
          <w:tcPr>
            <w:vAlign w:val="center"/>
          </w:tcPr>
          <w:p w:rsidR="00000000" w:rsidDel="00000000" w:rsidP="00000000" w:rsidRDefault="00000000" w:rsidRPr="00000000" w14:paraId="00000737">
            <w:pPr>
              <w:jc w:val="center"/>
              <w:rPr>
                <w:b w:val="1"/>
                <w:bCs w:val="1"/>
              </w:rPr>
            </w:pPr>
            <w:r w:rsidDel="00000000" w:rsidR="00000000" w:rsidRPr="00000000">
              <w:rPr>
                <w:b w:val="1"/>
                <w:bCs w:val="1"/>
                <w:rtl w:val="0"/>
              </w:rPr>
              <w:t xml:space="preserve">Ministère Infrastructures</w:t>
            </w:r>
          </w:p>
        </w:tc>
        <w:tc>
          <w:tcPr>
            <w:vAlign w:val="center"/>
          </w:tcPr>
          <w:p w:rsidR="00000000" w:rsidDel="00000000" w:rsidP="00000000" w:rsidRDefault="00000000" w:rsidRPr="00000000" w14:paraId="00000738">
            <w:pPr>
              <w:jc w:val="center"/>
              <w:rPr>
                <w:b w:val="1"/>
                <w:bCs w:val="1"/>
              </w:rPr>
            </w:pPr>
            <w:r w:rsidDel="00000000" w:rsidR="00000000" w:rsidRPr="00000000">
              <w:rPr>
                <w:b w:val="1"/>
                <w:bCs w:val="1"/>
                <w:rtl w:val="0"/>
              </w:rPr>
              <w:t xml:space="preserve">ANR</w:t>
            </w:r>
          </w:p>
        </w:tc>
        <w:tc>
          <w:tcPr>
            <w:vAlign w:val="center"/>
          </w:tcPr>
          <w:p w:rsidR="00000000" w:rsidDel="00000000" w:rsidP="00000000" w:rsidRDefault="00000000" w:rsidRPr="00000000" w14:paraId="00000739">
            <w:pPr>
              <w:jc w:val="center"/>
              <w:rPr>
                <w:b w:val="1"/>
                <w:bCs w:val="1"/>
              </w:rPr>
            </w:pPr>
            <w:r w:rsidDel="00000000" w:rsidR="00000000" w:rsidRPr="00000000">
              <w:rPr>
                <w:b w:val="1"/>
                <w:bCs w:val="1"/>
                <w:rtl w:val="0"/>
              </w:rPr>
              <w:t xml:space="preserve">Entreprises / FEC</w:t>
            </w:r>
          </w:p>
        </w:tc>
        <w:tc>
          <w:tcPr>
            <w:vAlign w:val="center"/>
          </w:tcPr>
          <w:p w:rsidR="00000000" w:rsidDel="00000000" w:rsidP="00000000" w:rsidRDefault="00000000" w:rsidRPr="00000000" w14:paraId="0000073A">
            <w:pPr>
              <w:jc w:val="center"/>
              <w:rPr>
                <w:b w:val="1"/>
                <w:bCs w:val="1"/>
              </w:rPr>
            </w:pPr>
            <w:r w:rsidDel="00000000" w:rsidR="00000000" w:rsidRPr="00000000">
              <w:rPr>
                <w:b w:val="1"/>
                <w:bCs w:val="1"/>
                <w:rtl w:val="0"/>
              </w:rPr>
              <w:t xml:space="preserve">Bailleurs (BM, BAD)</w:t>
            </w:r>
          </w:p>
        </w:tc>
      </w:tr>
      <w:tr>
        <w:trPr>
          <w:cantSplit w:val="0"/>
          <w:tblHeader w:val="0"/>
        </w:trPr>
        <w:tc>
          <w:tcPr>
            <w:vAlign w:val="center"/>
          </w:tcPr>
          <w:p w:rsidR="00000000" w:rsidDel="00000000" w:rsidP="00000000" w:rsidRDefault="00000000" w:rsidRPr="00000000" w14:paraId="0000073B">
            <w:pPr>
              <w:rPr/>
            </w:pPr>
            <w:r w:rsidDel="00000000" w:rsidR="00000000" w:rsidRPr="00000000">
              <w:rPr>
                <w:rtl w:val="0"/>
              </w:rPr>
              <w:t xml:space="preserve">FPN (soumission)</w:t>
            </w:r>
          </w:p>
        </w:tc>
        <w:tc>
          <w:tcPr>
            <w:vAlign w:val="center"/>
          </w:tcPr>
          <w:p w:rsidR="00000000" w:rsidDel="00000000" w:rsidP="00000000" w:rsidRDefault="00000000" w:rsidRPr="00000000" w14:paraId="0000073C">
            <w:pPr>
              <w:rPr/>
            </w:pPr>
            <w:r w:rsidDel="00000000" w:rsidR="00000000" w:rsidRPr="00000000">
              <w:rPr>
                <w:rtl w:val="0"/>
              </w:rPr>
              <w:t xml:space="preserve">I</w:t>
            </w:r>
          </w:p>
        </w:tc>
        <w:tc>
          <w:tcPr>
            <w:vAlign w:val="center"/>
          </w:tcPr>
          <w:p w:rsidR="00000000" w:rsidDel="00000000" w:rsidP="00000000" w:rsidRDefault="00000000" w:rsidRPr="00000000" w14:paraId="0000073D">
            <w:pPr>
              <w:rPr/>
            </w:pPr>
            <w:r w:rsidDel="00000000" w:rsidR="00000000" w:rsidRPr="00000000">
              <w:rPr>
                <w:rtl w:val="0"/>
              </w:rPr>
              <w:t xml:space="preserve">I</w:t>
            </w:r>
          </w:p>
        </w:tc>
        <w:tc>
          <w:tcPr>
            <w:vAlign w:val="center"/>
          </w:tcPr>
          <w:p w:rsidR="00000000" w:rsidDel="00000000" w:rsidP="00000000" w:rsidRDefault="00000000" w:rsidRPr="00000000" w14:paraId="0000073E">
            <w:pPr>
              <w:rPr/>
            </w:pPr>
            <w:r w:rsidDel="00000000" w:rsidR="00000000" w:rsidRPr="00000000">
              <w:rPr>
                <w:rtl w:val="0"/>
              </w:rPr>
              <w:t xml:space="preserve">C</w:t>
            </w:r>
          </w:p>
        </w:tc>
        <w:tc>
          <w:tcPr>
            <w:vAlign w:val="center"/>
          </w:tcPr>
          <w:p w:rsidR="00000000" w:rsidDel="00000000" w:rsidP="00000000" w:rsidRDefault="00000000" w:rsidRPr="00000000" w14:paraId="0000073F">
            <w:pPr>
              <w:rPr/>
            </w:pPr>
            <w:r w:rsidDel="00000000" w:rsidR="00000000" w:rsidRPr="00000000">
              <w:rPr>
                <w:rtl w:val="0"/>
              </w:rPr>
              <w:t xml:space="preserve">C</w:t>
            </w:r>
          </w:p>
        </w:tc>
        <w:tc>
          <w:tcPr>
            <w:vAlign w:val="center"/>
          </w:tcPr>
          <w:p w:rsidR="00000000" w:rsidDel="00000000" w:rsidP="00000000" w:rsidRDefault="00000000" w:rsidRPr="00000000" w14:paraId="00000740">
            <w:pPr>
              <w:rPr/>
            </w:pPr>
            <w:r w:rsidDel="00000000" w:rsidR="00000000" w:rsidRPr="00000000">
              <w:rPr>
                <w:rtl w:val="0"/>
              </w:rPr>
              <w:t xml:space="preserve">C</w:t>
            </w:r>
          </w:p>
        </w:tc>
        <w:tc>
          <w:tcPr>
            <w:vAlign w:val="center"/>
          </w:tcPr>
          <w:p w:rsidR="00000000" w:rsidDel="00000000" w:rsidP="00000000" w:rsidRDefault="00000000" w:rsidRPr="00000000" w14:paraId="00000741">
            <w:pPr>
              <w:rPr/>
            </w:pPr>
            <w:r w:rsidDel="00000000" w:rsidR="00000000" w:rsidRPr="00000000">
              <w:rPr>
                <w:rtl w:val="0"/>
              </w:rPr>
              <w:t xml:space="preserve">A</w:t>
            </w:r>
          </w:p>
        </w:tc>
        <w:tc>
          <w:tcPr>
            <w:vAlign w:val="center"/>
          </w:tcPr>
          <w:p w:rsidR="00000000" w:rsidDel="00000000" w:rsidP="00000000" w:rsidRDefault="00000000" w:rsidRPr="00000000" w14:paraId="00000742">
            <w:pPr>
              <w:rPr/>
            </w:pPr>
            <w:r w:rsidDel="00000000" w:rsidR="00000000" w:rsidRPr="00000000">
              <w:rPr>
                <w:rtl w:val="0"/>
              </w:rPr>
              <w:t xml:space="preserve">R</w:t>
            </w:r>
          </w:p>
        </w:tc>
        <w:tc>
          <w:tcPr>
            <w:vAlign w:val="center"/>
          </w:tcPr>
          <w:p w:rsidR="00000000" w:rsidDel="00000000" w:rsidP="00000000" w:rsidRDefault="00000000" w:rsidRPr="00000000" w14:paraId="00000743">
            <w:pPr>
              <w:rPr/>
            </w:pPr>
            <w:r w:rsidDel="00000000" w:rsidR="00000000" w:rsidRPr="00000000">
              <w:rPr>
                <w:rtl w:val="0"/>
              </w:rPr>
              <w:t xml:space="preserve">C</w:t>
            </w:r>
          </w:p>
        </w:tc>
        <w:tc>
          <w:tcPr>
            <w:vAlign w:val="center"/>
          </w:tcPr>
          <w:p w:rsidR="00000000" w:rsidDel="00000000" w:rsidP="00000000" w:rsidRDefault="00000000" w:rsidRPr="00000000" w14:paraId="00000744">
            <w:pPr>
              <w:rPr/>
            </w:pPr>
            <w:r w:rsidDel="00000000" w:rsidR="00000000" w:rsidRPr="00000000">
              <w:rPr>
                <w:rtl w:val="0"/>
              </w:rPr>
              <w:t xml:space="preserve">C</w:t>
            </w:r>
          </w:p>
        </w:tc>
      </w:tr>
      <w:tr>
        <w:trPr>
          <w:cantSplit w:val="0"/>
          <w:tblHeader w:val="0"/>
        </w:trPr>
        <w:tc>
          <w:tcPr>
            <w:vAlign w:val="center"/>
          </w:tcPr>
          <w:p w:rsidR="00000000" w:rsidDel="00000000" w:rsidP="00000000" w:rsidRDefault="00000000" w:rsidRPr="00000000" w14:paraId="00000745">
            <w:pPr>
              <w:rPr/>
            </w:pPr>
            <w:r w:rsidDel="00000000" w:rsidR="00000000" w:rsidRPr="00000000">
              <w:rPr>
                <w:rtl w:val="0"/>
              </w:rPr>
              <w:t xml:space="preserve">Priorisation</w:t>
            </w:r>
          </w:p>
        </w:tc>
        <w:tc>
          <w:tcPr>
            <w:vAlign w:val="center"/>
          </w:tcPr>
          <w:p w:rsidR="00000000" w:rsidDel="00000000" w:rsidP="00000000" w:rsidRDefault="00000000" w:rsidRPr="00000000" w14:paraId="00000746">
            <w:pPr>
              <w:rPr/>
            </w:pPr>
            <w:r w:rsidDel="00000000" w:rsidR="00000000" w:rsidRPr="00000000">
              <w:rPr>
                <w:rtl w:val="0"/>
              </w:rPr>
              <w:t xml:space="preserve">A</w:t>
            </w:r>
          </w:p>
        </w:tc>
        <w:tc>
          <w:tcPr>
            <w:vAlign w:val="center"/>
          </w:tcPr>
          <w:p w:rsidR="00000000" w:rsidDel="00000000" w:rsidP="00000000" w:rsidRDefault="00000000" w:rsidRPr="00000000" w14:paraId="00000747">
            <w:pPr>
              <w:rPr/>
            </w:pPr>
            <w:r w:rsidDel="00000000" w:rsidR="00000000" w:rsidRPr="00000000">
              <w:rPr>
                <w:rtl w:val="0"/>
              </w:rPr>
              <w:t xml:space="preserve">R</w:t>
            </w:r>
          </w:p>
        </w:tc>
        <w:tc>
          <w:tcPr>
            <w:vAlign w:val="center"/>
          </w:tcPr>
          <w:p w:rsidR="00000000" w:rsidDel="00000000" w:rsidP="00000000" w:rsidRDefault="00000000" w:rsidRPr="00000000" w14:paraId="00000748">
            <w:pPr>
              <w:rPr/>
            </w:pPr>
            <w:r w:rsidDel="00000000" w:rsidR="00000000" w:rsidRPr="00000000">
              <w:rPr>
                <w:rtl w:val="0"/>
              </w:rPr>
              <w:t xml:space="preserve">C</w:t>
            </w:r>
          </w:p>
        </w:tc>
        <w:tc>
          <w:tcPr>
            <w:vAlign w:val="center"/>
          </w:tcPr>
          <w:p w:rsidR="00000000" w:rsidDel="00000000" w:rsidP="00000000" w:rsidRDefault="00000000" w:rsidRPr="00000000" w14:paraId="00000749">
            <w:pPr>
              <w:rPr/>
            </w:pPr>
            <w:r w:rsidDel="00000000" w:rsidR="00000000" w:rsidRPr="00000000">
              <w:rPr>
                <w:rtl w:val="0"/>
              </w:rPr>
              <w:t xml:space="preserve">I</w:t>
            </w:r>
          </w:p>
        </w:tc>
        <w:tc>
          <w:tcPr>
            <w:vAlign w:val="center"/>
          </w:tcPr>
          <w:p w:rsidR="00000000" w:rsidDel="00000000" w:rsidP="00000000" w:rsidRDefault="00000000" w:rsidRPr="00000000" w14:paraId="0000074A">
            <w:pPr>
              <w:rPr/>
            </w:pPr>
            <w:r w:rsidDel="00000000" w:rsidR="00000000" w:rsidRPr="00000000">
              <w:rPr>
                <w:rtl w:val="0"/>
              </w:rPr>
              <w:t xml:space="preserve">I</w:t>
            </w:r>
          </w:p>
        </w:tc>
        <w:tc>
          <w:tcPr>
            <w:vAlign w:val="center"/>
          </w:tcPr>
          <w:p w:rsidR="00000000" w:rsidDel="00000000" w:rsidP="00000000" w:rsidRDefault="00000000" w:rsidRPr="00000000" w14:paraId="0000074B">
            <w:pPr>
              <w:rPr/>
            </w:pPr>
            <w:r w:rsidDel="00000000" w:rsidR="00000000" w:rsidRPr="00000000">
              <w:rPr>
                <w:rtl w:val="0"/>
              </w:rPr>
              <w:t xml:space="preserve">C</w:t>
            </w:r>
          </w:p>
        </w:tc>
        <w:tc>
          <w:tcPr>
            <w:vAlign w:val="center"/>
          </w:tcPr>
          <w:p w:rsidR="00000000" w:rsidDel="00000000" w:rsidP="00000000" w:rsidRDefault="00000000" w:rsidRPr="00000000" w14:paraId="0000074C">
            <w:pPr>
              <w:rPr/>
            </w:pPr>
            <w:r w:rsidDel="00000000" w:rsidR="00000000" w:rsidRPr="00000000">
              <w:rPr>
                <w:rtl w:val="0"/>
              </w:rPr>
              <w:t xml:space="preserve">C</w:t>
            </w:r>
          </w:p>
        </w:tc>
        <w:tc>
          <w:tcPr>
            <w:vAlign w:val="center"/>
          </w:tcPr>
          <w:p w:rsidR="00000000" w:rsidDel="00000000" w:rsidP="00000000" w:rsidRDefault="00000000" w:rsidRPr="00000000" w14:paraId="0000074D">
            <w:pPr>
              <w:rPr/>
            </w:pPr>
            <w:r w:rsidDel="00000000" w:rsidR="00000000" w:rsidRPr="00000000">
              <w:rPr>
                <w:rtl w:val="0"/>
              </w:rPr>
              <w:t xml:space="preserve">C</w:t>
            </w:r>
          </w:p>
        </w:tc>
        <w:tc>
          <w:tcPr>
            <w:vAlign w:val="center"/>
          </w:tcPr>
          <w:p w:rsidR="00000000" w:rsidDel="00000000" w:rsidP="00000000" w:rsidRDefault="00000000" w:rsidRPr="00000000" w14:paraId="0000074E">
            <w:pPr>
              <w:rPr/>
            </w:pPr>
            <w:r w:rsidDel="00000000" w:rsidR="00000000" w:rsidRPr="00000000">
              <w:rPr>
                <w:rtl w:val="0"/>
              </w:rPr>
              <w:t xml:space="preserve">C</w:t>
            </w:r>
          </w:p>
        </w:tc>
      </w:tr>
      <w:tr>
        <w:trPr>
          <w:cantSplit w:val="0"/>
          <w:tblHeader w:val="0"/>
        </w:trPr>
        <w:tc>
          <w:tcPr>
            <w:vAlign w:val="center"/>
          </w:tcPr>
          <w:p w:rsidR="00000000" w:rsidDel="00000000" w:rsidP="00000000" w:rsidRDefault="00000000" w:rsidRPr="00000000" w14:paraId="0000074F">
            <w:pPr>
              <w:rPr/>
            </w:pPr>
            <w:r w:rsidDel="00000000" w:rsidR="00000000" w:rsidRPr="00000000">
              <w:rPr>
                <w:rtl w:val="0"/>
              </w:rPr>
              <w:t xml:space="preserve">Élaboration WD/CD</w:t>
            </w:r>
          </w:p>
        </w:tc>
        <w:tc>
          <w:tcPr>
            <w:vAlign w:val="center"/>
          </w:tcPr>
          <w:p w:rsidR="00000000" w:rsidDel="00000000" w:rsidP="00000000" w:rsidRDefault="00000000" w:rsidRPr="00000000" w14:paraId="00000750">
            <w:pPr>
              <w:rPr/>
            </w:pPr>
            <w:r w:rsidDel="00000000" w:rsidR="00000000" w:rsidRPr="00000000">
              <w:rPr>
                <w:rtl w:val="0"/>
              </w:rPr>
              <w:t xml:space="preserve">I</w:t>
            </w:r>
          </w:p>
        </w:tc>
        <w:tc>
          <w:tcPr>
            <w:vAlign w:val="center"/>
          </w:tcPr>
          <w:p w:rsidR="00000000" w:rsidDel="00000000" w:rsidP="00000000" w:rsidRDefault="00000000" w:rsidRPr="00000000" w14:paraId="00000751">
            <w:pPr>
              <w:rPr/>
            </w:pPr>
            <w:r w:rsidDel="00000000" w:rsidR="00000000" w:rsidRPr="00000000">
              <w:rPr>
                <w:rtl w:val="0"/>
              </w:rPr>
              <w:t xml:space="preserve">C</w:t>
            </w:r>
          </w:p>
        </w:tc>
        <w:tc>
          <w:tcPr>
            <w:vAlign w:val="center"/>
          </w:tcPr>
          <w:p w:rsidR="00000000" w:rsidDel="00000000" w:rsidP="00000000" w:rsidRDefault="00000000" w:rsidRPr="00000000" w14:paraId="00000752">
            <w:pPr>
              <w:rPr/>
            </w:pPr>
            <w:r w:rsidDel="00000000" w:rsidR="00000000" w:rsidRPr="00000000">
              <w:rPr>
                <w:rtl w:val="0"/>
              </w:rPr>
              <w:t xml:space="preserve">C</w:t>
            </w:r>
          </w:p>
        </w:tc>
        <w:tc>
          <w:tcPr>
            <w:vAlign w:val="center"/>
          </w:tcPr>
          <w:p w:rsidR="00000000" w:rsidDel="00000000" w:rsidP="00000000" w:rsidRDefault="00000000" w:rsidRPr="00000000" w14:paraId="00000753">
            <w:pPr>
              <w:rPr/>
            </w:pPr>
            <w:r w:rsidDel="00000000" w:rsidR="00000000" w:rsidRPr="00000000">
              <w:rPr>
                <w:rtl w:val="0"/>
              </w:rPr>
              <w:t xml:space="preserve">R</w:t>
            </w:r>
          </w:p>
        </w:tc>
        <w:tc>
          <w:tcPr>
            <w:vAlign w:val="center"/>
          </w:tcPr>
          <w:p w:rsidR="00000000" w:rsidDel="00000000" w:rsidP="00000000" w:rsidRDefault="00000000" w:rsidRPr="00000000" w14:paraId="00000754">
            <w:pPr>
              <w:rPr/>
            </w:pPr>
            <w:r w:rsidDel="00000000" w:rsidR="00000000" w:rsidRPr="00000000">
              <w:rPr>
                <w:rtl w:val="0"/>
              </w:rPr>
              <w:t xml:space="preserve">R</w:t>
            </w:r>
          </w:p>
        </w:tc>
        <w:tc>
          <w:tcPr>
            <w:vAlign w:val="center"/>
          </w:tcPr>
          <w:p w:rsidR="00000000" w:rsidDel="00000000" w:rsidP="00000000" w:rsidRDefault="00000000" w:rsidRPr="00000000" w14:paraId="00000755">
            <w:pPr>
              <w:rPr/>
            </w:pPr>
            <w:r w:rsidDel="00000000" w:rsidR="00000000" w:rsidRPr="00000000">
              <w:rPr>
                <w:rtl w:val="0"/>
              </w:rPr>
              <w:t xml:space="preserve">I</w:t>
            </w:r>
          </w:p>
        </w:tc>
        <w:tc>
          <w:tcPr>
            <w:vAlign w:val="center"/>
          </w:tcPr>
          <w:p w:rsidR="00000000" w:rsidDel="00000000" w:rsidP="00000000" w:rsidRDefault="00000000" w:rsidRPr="00000000" w14:paraId="00000756">
            <w:pPr>
              <w:rPr/>
            </w:pPr>
            <w:r w:rsidDel="00000000" w:rsidR="00000000" w:rsidRPr="00000000">
              <w:rPr>
                <w:rtl w:val="0"/>
              </w:rPr>
              <w:t xml:space="preserve">C</w:t>
            </w:r>
          </w:p>
        </w:tc>
        <w:tc>
          <w:tcPr>
            <w:vAlign w:val="center"/>
          </w:tcPr>
          <w:p w:rsidR="00000000" w:rsidDel="00000000" w:rsidP="00000000" w:rsidRDefault="00000000" w:rsidRPr="00000000" w14:paraId="00000757">
            <w:pPr>
              <w:rPr/>
            </w:pPr>
            <w:r w:rsidDel="00000000" w:rsidR="00000000" w:rsidRPr="00000000">
              <w:rPr>
                <w:rtl w:val="0"/>
              </w:rPr>
              <w:t xml:space="preserve">C</w:t>
            </w:r>
          </w:p>
        </w:tc>
        <w:tc>
          <w:tcPr>
            <w:vAlign w:val="center"/>
          </w:tcPr>
          <w:p w:rsidR="00000000" w:rsidDel="00000000" w:rsidP="00000000" w:rsidRDefault="00000000" w:rsidRPr="00000000" w14:paraId="00000758">
            <w:pPr>
              <w:rPr/>
            </w:pPr>
            <w:r w:rsidDel="00000000" w:rsidR="00000000" w:rsidRPr="00000000">
              <w:rPr>
                <w:rtl w:val="0"/>
              </w:rPr>
              <w:t xml:space="preserve">C</w:t>
            </w:r>
          </w:p>
        </w:tc>
      </w:tr>
      <w:tr>
        <w:trPr>
          <w:cantSplit w:val="0"/>
          <w:tblHeader w:val="0"/>
        </w:trPr>
        <w:tc>
          <w:tcPr>
            <w:vAlign w:val="center"/>
          </w:tcPr>
          <w:p w:rsidR="00000000" w:rsidDel="00000000" w:rsidP="00000000" w:rsidRDefault="00000000" w:rsidRPr="00000000" w14:paraId="00000759">
            <w:pPr>
              <w:rPr/>
            </w:pPr>
            <w:r w:rsidDel="00000000" w:rsidR="00000000" w:rsidRPr="00000000">
              <w:rPr>
                <w:rtl w:val="0"/>
              </w:rPr>
              <w:t xml:space="preserve">Enquête publique</w:t>
            </w:r>
          </w:p>
        </w:tc>
        <w:tc>
          <w:tcPr>
            <w:vAlign w:val="center"/>
          </w:tcPr>
          <w:p w:rsidR="00000000" w:rsidDel="00000000" w:rsidP="00000000" w:rsidRDefault="00000000" w:rsidRPr="00000000" w14:paraId="0000075A">
            <w:pPr>
              <w:rPr/>
            </w:pPr>
            <w:r w:rsidDel="00000000" w:rsidR="00000000" w:rsidRPr="00000000">
              <w:rPr>
                <w:rtl w:val="0"/>
              </w:rPr>
              <w:t xml:space="preserve">A</w:t>
            </w:r>
          </w:p>
        </w:tc>
        <w:tc>
          <w:tcPr>
            <w:vAlign w:val="center"/>
          </w:tcPr>
          <w:p w:rsidR="00000000" w:rsidDel="00000000" w:rsidP="00000000" w:rsidRDefault="00000000" w:rsidRPr="00000000" w14:paraId="0000075B">
            <w:pPr>
              <w:rPr/>
            </w:pPr>
            <w:r w:rsidDel="00000000" w:rsidR="00000000" w:rsidRPr="00000000">
              <w:rPr>
                <w:rtl w:val="0"/>
              </w:rPr>
              <w:t xml:space="preserve">R</w:t>
            </w:r>
          </w:p>
        </w:tc>
        <w:tc>
          <w:tcPr>
            <w:vAlign w:val="center"/>
          </w:tcPr>
          <w:p w:rsidR="00000000" w:rsidDel="00000000" w:rsidP="00000000" w:rsidRDefault="00000000" w:rsidRPr="00000000" w14:paraId="0000075C">
            <w:pPr>
              <w:rPr/>
            </w:pPr>
            <w:r w:rsidDel="00000000" w:rsidR="00000000" w:rsidRPr="00000000">
              <w:rPr>
                <w:rtl w:val="0"/>
              </w:rPr>
              <w:t xml:space="preserve">C</w:t>
            </w:r>
          </w:p>
        </w:tc>
        <w:tc>
          <w:tcPr>
            <w:vAlign w:val="center"/>
          </w:tcPr>
          <w:p w:rsidR="00000000" w:rsidDel="00000000" w:rsidP="00000000" w:rsidRDefault="00000000" w:rsidRPr="00000000" w14:paraId="0000075D">
            <w:pPr>
              <w:rPr/>
            </w:pPr>
            <w:r w:rsidDel="00000000" w:rsidR="00000000" w:rsidRPr="00000000">
              <w:rPr>
                <w:rtl w:val="0"/>
              </w:rPr>
              <w:t xml:space="preserve">R</w:t>
            </w:r>
          </w:p>
        </w:tc>
        <w:tc>
          <w:tcPr>
            <w:vAlign w:val="center"/>
          </w:tcPr>
          <w:p w:rsidR="00000000" w:rsidDel="00000000" w:rsidP="00000000" w:rsidRDefault="00000000" w:rsidRPr="00000000" w14:paraId="0000075E">
            <w:pPr>
              <w:rPr/>
            </w:pPr>
            <w:r w:rsidDel="00000000" w:rsidR="00000000" w:rsidRPr="00000000">
              <w:rPr>
                <w:rtl w:val="0"/>
              </w:rPr>
              <w:t xml:space="preserve">C</w:t>
            </w:r>
          </w:p>
        </w:tc>
        <w:tc>
          <w:tcPr>
            <w:vAlign w:val="center"/>
          </w:tcPr>
          <w:p w:rsidR="00000000" w:rsidDel="00000000" w:rsidP="00000000" w:rsidRDefault="00000000" w:rsidRPr="00000000" w14:paraId="0000075F">
            <w:pPr>
              <w:rPr/>
            </w:pPr>
            <w:r w:rsidDel="00000000" w:rsidR="00000000" w:rsidRPr="00000000">
              <w:rPr>
                <w:rtl w:val="0"/>
              </w:rPr>
              <w:t xml:space="preserve">C</w:t>
            </w:r>
          </w:p>
        </w:tc>
        <w:tc>
          <w:tcPr>
            <w:vAlign w:val="center"/>
          </w:tcPr>
          <w:p w:rsidR="00000000" w:rsidDel="00000000" w:rsidP="00000000" w:rsidRDefault="00000000" w:rsidRPr="00000000" w14:paraId="00000760">
            <w:pPr>
              <w:rPr/>
            </w:pPr>
            <w:r w:rsidDel="00000000" w:rsidR="00000000" w:rsidRPr="00000000">
              <w:rPr>
                <w:rtl w:val="0"/>
              </w:rPr>
              <w:t xml:space="preserve">C</w:t>
            </w:r>
          </w:p>
        </w:tc>
        <w:tc>
          <w:tcPr>
            <w:vAlign w:val="center"/>
          </w:tcPr>
          <w:p w:rsidR="00000000" w:rsidDel="00000000" w:rsidP="00000000" w:rsidRDefault="00000000" w:rsidRPr="00000000" w14:paraId="00000761">
            <w:pPr>
              <w:rPr/>
            </w:pPr>
            <w:r w:rsidDel="00000000" w:rsidR="00000000" w:rsidRPr="00000000">
              <w:rPr>
                <w:rtl w:val="0"/>
              </w:rPr>
              <w:t xml:space="preserve">C</w:t>
            </w:r>
          </w:p>
        </w:tc>
        <w:tc>
          <w:tcPr>
            <w:vAlign w:val="center"/>
          </w:tcPr>
          <w:p w:rsidR="00000000" w:rsidDel="00000000" w:rsidP="00000000" w:rsidRDefault="00000000" w:rsidRPr="00000000" w14:paraId="00000762">
            <w:pPr>
              <w:rPr/>
            </w:pPr>
            <w:r w:rsidDel="00000000" w:rsidR="00000000" w:rsidRPr="00000000">
              <w:rPr>
                <w:rtl w:val="0"/>
              </w:rPr>
              <w:t xml:space="preserve">I</w:t>
            </w:r>
          </w:p>
        </w:tc>
      </w:tr>
      <w:tr>
        <w:trPr>
          <w:cantSplit w:val="0"/>
          <w:tblHeader w:val="0"/>
        </w:trPr>
        <w:tc>
          <w:tcPr>
            <w:vAlign w:val="center"/>
          </w:tcPr>
          <w:p w:rsidR="00000000" w:rsidDel="00000000" w:rsidP="00000000" w:rsidRDefault="00000000" w:rsidRPr="00000000" w14:paraId="00000763">
            <w:pPr>
              <w:rPr/>
            </w:pPr>
            <w:r w:rsidDel="00000000" w:rsidR="00000000" w:rsidRPr="00000000">
              <w:rPr>
                <w:rtl w:val="0"/>
              </w:rPr>
              <w:t xml:space="preserve">Traitement commentaires</w:t>
            </w:r>
          </w:p>
        </w:tc>
        <w:tc>
          <w:tcPr>
            <w:vAlign w:val="center"/>
          </w:tcPr>
          <w:p w:rsidR="00000000" w:rsidDel="00000000" w:rsidP="00000000" w:rsidRDefault="00000000" w:rsidRPr="00000000" w14:paraId="00000764">
            <w:pPr>
              <w:rPr/>
            </w:pPr>
            <w:r w:rsidDel="00000000" w:rsidR="00000000" w:rsidRPr="00000000">
              <w:rPr>
                <w:rtl w:val="0"/>
              </w:rPr>
              <w:t xml:space="preserve">I</w:t>
            </w:r>
          </w:p>
        </w:tc>
        <w:tc>
          <w:tcPr>
            <w:vAlign w:val="center"/>
          </w:tcPr>
          <w:p w:rsidR="00000000" w:rsidDel="00000000" w:rsidP="00000000" w:rsidRDefault="00000000" w:rsidRPr="00000000" w14:paraId="00000765">
            <w:pPr>
              <w:rPr/>
            </w:pPr>
            <w:r w:rsidDel="00000000" w:rsidR="00000000" w:rsidRPr="00000000">
              <w:rPr>
                <w:rtl w:val="0"/>
              </w:rPr>
              <w:t xml:space="preserve">C</w:t>
            </w:r>
          </w:p>
        </w:tc>
        <w:tc>
          <w:tcPr>
            <w:vAlign w:val="center"/>
          </w:tcPr>
          <w:p w:rsidR="00000000" w:rsidDel="00000000" w:rsidP="00000000" w:rsidRDefault="00000000" w:rsidRPr="00000000" w14:paraId="00000766">
            <w:pPr>
              <w:rPr/>
            </w:pPr>
            <w:r w:rsidDel="00000000" w:rsidR="00000000" w:rsidRPr="00000000">
              <w:rPr>
                <w:rtl w:val="0"/>
              </w:rPr>
              <w:t xml:space="preserve">C</w:t>
            </w:r>
          </w:p>
        </w:tc>
        <w:tc>
          <w:tcPr>
            <w:vAlign w:val="center"/>
          </w:tcPr>
          <w:p w:rsidR="00000000" w:rsidDel="00000000" w:rsidP="00000000" w:rsidRDefault="00000000" w:rsidRPr="00000000" w14:paraId="00000767">
            <w:pPr>
              <w:rPr/>
            </w:pPr>
            <w:r w:rsidDel="00000000" w:rsidR="00000000" w:rsidRPr="00000000">
              <w:rPr>
                <w:rtl w:val="0"/>
              </w:rPr>
              <w:t xml:space="preserve">R</w:t>
            </w:r>
          </w:p>
        </w:tc>
        <w:tc>
          <w:tcPr>
            <w:vAlign w:val="center"/>
          </w:tcPr>
          <w:p w:rsidR="00000000" w:rsidDel="00000000" w:rsidP="00000000" w:rsidRDefault="00000000" w:rsidRPr="00000000" w14:paraId="00000768">
            <w:pPr>
              <w:rPr/>
            </w:pPr>
            <w:r w:rsidDel="00000000" w:rsidR="00000000" w:rsidRPr="00000000">
              <w:rPr>
                <w:rtl w:val="0"/>
              </w:rPr>
              <w:t xml:space="preserve">R</w:t>
            </w:r>
          </w:p>
        </w:tc>
        <w:tc>
          <w:tcPr>
            <w:vAlign w:val="center"/>
          </w:tcPr>
          <w:p w:rsidR="00000000" w:rsidDel="00000000" w:rsidP="00000000" w:rsidRDefault="00000000" w:rsidRPr="00000000" w14:paraId="00000769">
            <w:pPr>
              <w:rPr/>
            </w:pPr>
            <w:r w:rsidDel="00000000" w:rsidR="00000000" w:rsidRPr="00000000">
              <w:rPr>
                <w:rtl w:val="0"/>
              </w:rPr>
              <w:t xml:space="preserve">I</w:t>
            </w:r>
          </w:p>
        </w:tc>
        <w:tc>
          <w:tcPr>
            <w:vAlign w:val="center"/>
          </w:tcPr>
          <w:p w:rsidR="00000000" w:rsidDel="00000000" w:rsidP="00000000" w:rsidRDefault="00000000" w:rsidRPr="00000000" w14:paraId="0000076A">
            <w:pPr>
              <w:rPr/>
            </w:pPr>
            <w:r w:rsidDel="00000000" w:rsidR="00000000" w:rsidRPr="00000000">
              <w:rPr>
                <w:rtl w:val="0"/>
              </w:rPr>
              <w:t xml:space="preserve">C</w:t>
            </w:r>
          </w:p>
        </w:tc>
        <w:tc>
          <w:tcPr>
            <w:vAlign w:val="center"/>
          </w:tcPr>
          <w:p w:rsidR="00000000" w:rsidDel="00000000" w:rsidP="00000000" w:rsidRDefault="00000000" w:rsidRPr="00000000" w14:paraId="0000076B">
            <w:pPr>
              <w:rPr/>
            </w:pPr>
            <w:r w:rsidDel="00000000" w:rsidR="00000000" w:rsidRPr="00000000">
              <w:rPr>
                <w:rtl w:val="0"/>
              </w:rPr>
              <w:t xml:space="preserve">C</w:t>
            </w:r>
          </w:p>
        </w:tc>
        <w:tc>
          <w:tcPr>
            <w:vAlign w:val="center"/>
          </w:tcPr>
          <w:p w:rsidR="00000000" w:rsidDel="00000000" w:rsidP="00000000" w:rsidRDefault="00000000" w:rsidRPr="00000000" w14:paraId="0000076C">
            <w:pPr>
              <w:rPr/>
            </w:pPr>
            <w:r w:rsidDel="00000000" w:rsidR="00000000" w:rsidRPr="00000000">
              <w:rPr>
                <w:rtl w:val="0"/>
              </w:rPr>
              <w:t xml:space="preserve">C</w:t>
            </w:r>
          </w:p>
        </w:tc>
      </w:tr>
      <w:tr>
        <w:trPr>
          <w:cantSplit w:val="0"/>
          <w:tblHeader w:val="0"/>
        </w:trPr>
        <w:tc>
          <w:tcPr>
            <w:vAlign w:val="center"/>
          </w:tcPr>
          <w:p w:rsidR="00000000" w:rsidDel="00000000" w:rsidP="00000000" w:rsidRDefault="00000000" w:rsidRPr="00000000" w14:paraId="0000076D">
            <w:pPr>
              <w:rPr/>
            </w:pPr>
            <w:r w:rsidDel="00000000" w:rsidR="00000000" w:rsidRPr="00000000">
              <w:rPr>
                <w:rtl w:val="0"/>
              </w:rPr>
              <w:t xml:space="preserve">Vote/adoption</w:t>
            </w:r>
          </w:p>
        </w:tc>
        <w:tc>
          <w:tcPr>
            <w:vAlign w:val="center"/>
          </w:tcPr>
          <w:p w:rsidR="00000000" w:rsidDel="00000000" w:rsidP="00000000" w:rsidRDefault="00000000" w:rsidRPr="00000000" w14:paraId="0000076E">
            <w:pPr>
              <w:rPr/>
            </w:pPr>
            <w:r w:rsidDel="00000000" w:rsidR="00000000" w:rsidRPr="00000000">
              <w:rPr>
                <w:rtl w:val="0"/>
              </w:rPr>
              <w:t xml:space="preserve">A</w:t>
            </w:r>
          </w:p>
        </w:tc>
        <w:tc>
          <w:tcPr>
            <w:vAlign w:val="center"/>
          </w:tcPr>
          <w:p w:rsidR="00000000" w:rsidDel="00000000" w:rsidP="00000000" w:rsidRDefault="00000000" w:rsidRPr="00000000" w14:paraId="0000076F">
            <w:pPr>
              <w:rPr/>
            </w:pPr>
            <w:r w:rsidDel="00000000" w:rsidR="00000000" w:rsidRPr="00000000">
              <w:rPr>
                <w:rtl w:val="0"/>
              </w:rPr>
              <w:t xml:space="preserve">C</w:t>
            </w:r>
          </w:p>
        </w:tc>
        <w:tc>
          <w:tcPr>
            <w:vAlign w:val="center"/>
          </w:tcPr>
          <w:p w:rsidR="00000000" w:rsidDel="00000000" w:rsidP="00000000" w:rsidRDefault="00000000" w:rsidRPr="00000000" w14:paraId="00000770">
            <w:pPr>
              <w:rPr/>
            </w:pPr>
            <w:r w:rsidDel="00000000" w:rsidR="00000000" w:rsidRPr="00000000">
              <w:rPr>
                <w:rtl w:val="0"/>
              </w:rPr>
              <w:t xml:space="preserve">I</w:t>
            </w:r>
          </w:p>
        </w:tc>
        <w:tc>
          <w:tcPr>
            <w:vAlign w:val="center"/>
          </w:tcPr>
          <w:p w:rsidR="00000000" w:rsidDel="00000000" w:rsidP="00000000" w:rsidRDefault="00000000" w:rsidRPr="00000000" w14:paraId="00000771">
            <w:pPr>
              <w:rPr/>
            </w:pPr>
            <w:r w:rsidDel="00000000" w:rsidR="00000000" w:rsidRPr="00000000">
              <w:rPr>
                <w:rtl w:val="0"/>
              </w:rPr>
              <w:t xml:space="preserve">C</w:t>
            </w:r>
          </w:p>
        </w:tc>
        <w:tc>
          <w:tcPr>
            <w:vAlign w:val="center"/>
          </w:tcPr>
          <w:p w:rsidR="00000000" w:rsidDel="00000000" w:rsidP="00000000" w:rsidRDefault="00000000" w:rsidRPr="00000000" w14:paraId="00000772">
            <w:pPr>
              <w:rPr/>
            </w:pPr>
            <w:r w:rsidDel="00000000" w:rsidR="00000000" w:rsidRPr="00000000">
              <w:rPr>
                <w:rtl w:val="0"/>
              </w:rPr>
              <w:t xml:space="preserve">I</w:t>
            </w:r>
          </w:p>
        </w:tc>
        <w:tc>
          <w:tcPr>
            <w:vAlign w:val="center"/>
          </w:tcPr>
          <w:p w:rsidR="00000000" w:rsidDel="00000000" w:rsidP="00000000" w:rsidRDefault="00000000" w:rsidRPr="00000000" w14:paraId="00000773">
            <w:pPr>
              <w:rPr/>
            </w:pPr>
            <w:r w:rsidDel="00000000" w:rsidR="00000000" w:rsidRPr="00000000">
              <w:rPr>
                <w:rtl w:val="0"/>
              </w:rPr>
              <w:t xml:space="preserve">C</w:t>
            </w:r>
          </w:p>
        </w:tc>
        <w:tc>
          <w:tcPr>
            <w:vAlign w:val="center"/>
          </w:tcPr>
          <w:p w:rsidR="00000000" w:rsidDel="00000000" w:rsidP="00000000" w:rsidRDefault="00000000" w:rsidRPr="00000000" w14:paraId="00000774">
            <w:pPr>
              <w:rPr/>
            </w:pPr>
            <w:r w:rsidDel="00000000" w:rsidR="00000000" w:rsidRPr="00000000">
              <w:rPr>
                <w:rtl w:val="0"/>
              </w:rPr>
              <w:t xml:space="preserve">I</w:t>
            </w:r>
          </w:p>
        </w:tc>
        <w:tc>
          <w:tcPr>
            <w:vAlign w:val="center"/>
          </w:tcPr>
          <w:p w:rsidR="00000000" w:rsidDel="00000000" w:rsidP="00000000" w:rsidRDefault="00000000" w:rsidRPr="00000000" w14:paraId="00000775">
            <w:pPr>
              <w:rPr/>
            </w:pPr>
            <w:r w:rsidDel="00000000" w:rsidR="00000000" w:rsidRPr="00000000">
              <w:rPr>
                <w:rtl w:val="0"/>
              </w:rPr>
              <w:t xml:space="preserve">I</w:t>
            </w:r>
          </w:p>
        </w:tc>
        <w:tc>
          <w:tcPr>
            <w:vAlign w:val="center"/>
          </w:tcPr>
          <w:p w:rsidR="00000000" w:rsidDel="00000000" w:rsidP="00000000" w:rsidRDefault="00000000" w:rsidRPr="00000000" w14:paraId="00000776">
            <w:pPr>
              <w:rPr/>
            </w:pPr>
            <w:r w:rsidDel="00000000" w:rsidR="00000000" w:rsidRPr="00000000">
              <w:rPr>
                <w:rtl w:val="0"/>
              </w:rPr>
              <w:t xml:space="preserve">I</w:t>
            </w:r>
          </w:p>
        </w:tc>
      </w:tr>
      <w:tr>
        <w:trPr>
          <w:cantSplit w:val="0"/>
          <w:tblHeader w:val="0"/>
        </w:trPr>
        <w:tc>
          <w:tcPr>
            <w:vAlign w:val="center"/>
          </w:tcPr>
          <w:p w:rsidR="00000000" w:rsidDel="00000000" w:rsidP="00000000" w:rsidRDefault="00000000" w:rsidRPr="00000000" w14:paraId="00000777">
            <w:pPr>
              <w:rPr/>
            </w:pPr>
            <w:r w:rsidDel="00000000" w:rsidR="00000000" w:rsidRPr="00000000">
              <w:rPr>
                <w:rtl w:val="0"/>
              </w:rPr>
              <w:t xml:space="preserve">Publication</w:t>
            </w:r>
          </w:p>
        </w:tc>
        <w:tc>
          <w:tcPr>
            <w:vAlign w:val="center"/>
          </w:tcPr>
          <w:p w:rsidR="00000000" w:rsidDel="00000000" w:rsidP="00000000" w:rsidRDefault="00000000" w:rsidRPr="00000000" w14:paraId="00000778">
            <w:pPr>
              <w:rPr/>
            </w:pPr>
            <w:r w:rsidDel="00000000" w:rsidR="00000000" w:rsidRPr="00000000">
              <w:rPr>
                <w:rtl w:val="0"/>
              </w:rPr>
              <w:t xml:space="preserve">A</w:t>
            </w:r>
          </w:p>
        </w:tc>
        <w:tc>
          <w:tcPr>
            <w:vAlign w:val="center"/>
          </w:tcPr>
          <w:p w:rsidR="00000000" w:rsidDel="00000000" w:rsidP="00000000" w:rsidRDefault="00000000" w:rsidRPr="00000000" w14:paraId="00000779">
            <w:pPr>
              <w:rPr/>
            </w:pPr>
            <w:r w:rsidDel="00000000" w:rsidR="00000000" w:rsidRPr="00000000">
              <w:rPr>
                <w:rtl w:val="0"/>
              </w:rPr>
              <w:t xml:space="preserve">R</w:t>
            </w:r>
          </w:p>
        </w:tc>
        <w:tc>
          <w:tcPr>
            <w:vAlign w:val="center"/>
          </w:tcPr>
          <w:p w:rsidR="00000000" w:rsidDel="00000000" w:rsidP="00000000" w:rsidRDefault="00000000" w:rsidRPr="00000000" w14:paraId="0000077A">
            <w:pPr>
              <w:rPr/>
            </w:pPr>
            <w:r w:rsidDel="00000000" w:rsidR="00000000" w:rsidRPr="00000000">
              <w:rPr>
                <w:rtl w:val="0"/>
              </w:rPr>
              <w:t xml:space="preserve">I</w:t>
            </w:r>
          </w:p>
        </w:tc>
        <w:tc>
          <w:tcPr>
            <w:vAlign w:val="center"/>
          </w:tcPr>
          <w:p w:rsidR="00000000" w:rsidDel="00000000" w:rsidP="00000000" w:rsidRDefault="00000000" w:rsidRPr="00000000" w14:paraId="0000077B">
            <w:pPr>
              <w:rPr/>
            </w:pPr>
            <w:r w:rsidDel="00000000" w:rsidR="00000000" w:rsidRPr="00000000">
              <w:rPr>
                <w:rtl w:val="0"/>
              </w:rPr>
              <w:t xml:space="preserve">I</w:t>
            </w:r>
          </w:p>
        </w:tc>
        <w:tc>
          <w:tcPr>
            <w:vAlign w:val="center"/>
          </w:tcPr>
          <w:p w:rsidR="00000000" w:rsidDel="00000000" w:rsidP="00000000" w:rsidRDefault="00000000" w:rsidRPr="00000000" w14:paraId="0000077C">
            <w:pPr>
              <w:rPr/>
            </w:pPr>
            <w:r w:rsidDel="00000000" w:rsidR="00000000" w:rsidRPr="00000000">
              <w:rPr>
                <w:rtl w:val="0"/>
              </w:rPr>
              <w:t xml:space="preserve">I</w:t>
            </w:r>
          </w:p>
        </w:tc>
        <w:tc>
          <w:tcPr>
            <w:vAlign w:val="center"/>
          </w:tcPr>
          <w:p w:rsidR="00000000" w:rsidDel="00000000" w:rsidP="00000000" w:rsidRDefault="00000000" w:rsidRPr="00000000" w14:paraId="0000077D">
            <w:pPr>
              <w:rPr/>
            </w:pPr>
            <w:r w:rsidDel="00000000" w:rsidR="00000000" w:rsidRPr="00000000">
              <w:rPr>
                <w:rtl w:val="0"/>
              </w:rPr>
              <w:t xml:space="preserve">C</w:t>
            </w:r>
          </w:p>
        </w:tc>
        <w:tc>
          <w:tcPr>
            <w:vAlign w:val="center"/>
          </w:tcPr>
          <w:p w:rsidR="00000000" w:rsidDel="00000000" w:rsidP="00000000" w:rsidRDefault="00000000" w:rsidRPr="00000000" w14:paraId="0000077E">
            <w:pPr>
              <w:rPr/>
            </w:pPr>
            <w:r w:rsidDel="00000000" w:rsidR="00000000" w:rsidRPr="00000000">
              <w:rPr>
                <w:rtl w:val="0"/>
              </w:rPr>
              <w:t xml:space="preserve">C</w:t>
            </w:r>
          </w:p>
        </w:tc>
        <w:tc>
          <w:tcPr>
            <w:vAlign w:val="center"/>
          </w:tcPr>
          <w:p w:rsidR="00000000" w:rsidDel="00000000" w:rsidP="00000000" w:rsidRDefault="00000000" w:rsidRPr="00000000" w14:paraId="0000077F">
            <w:pPr>
              <w:rPr/>
            </w:pPr>
            <w:r w:rsidDel="00000000" w:rsidR="00000000" w:rsidRPr="00000000">
              <w:rPr>
                <w:rtl w:val="0"/>
              </w:rPr>
              <w:t xml:space="preserve">I</w:t>
            </w:r>
          </w:p>
        </w:tc>
        <w:tc>
          <w:tcPr>
            <w:vAlign w:val="center"/>
          </w:tcPr>
          <w:p w:rsidR="00000000" w:rsidDel="00000000" w:rsidP="00000000" w:rsidRDefault="00000000" w:rsidRPr="00000000" w14:paraId="00000780">
            <w:pPr>
              <w:rPr/>
            </w:pPr>
            <w:r w:rsidDel="00000000" w:rsidR="00000000" w:rsidRPr="00000000">
              <w:rPr>
                <w:rtl w:val="0"/>
              </w:rPr>
              <w:t xml:space="preserve">I</w:t>
            </w:r>
          </w:p>
        </w:tc>
      </w:tr>
    </w:tbl>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type de matrice permet de clarifier les rôles, en particulier lorsque des projets d’infrastructures financés par des bailleurs nécessitent des interactions étroites entre l’ANR, les CT et le ministère.[</w:t>
      </w:r>
      <w:hyperlink r:id="rId39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 annexes opérationnelles sont volontairement riches pour couvrir vos besoins institutionnels : vous pouvez les adapter en insérant les logos, numéros d’arrêtés, références au Journal officiel, etc., et en les traduisant en gabarits Word/Excel dans votre environnement de travail.</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propose ci-dessous deux exemples de normes complètes, structurées selon les Directives ISO/IEC Partie 2 et adaptées au contexte de la RDC :[</w:t>
      </w:r>
      <w:hyperlink r:id="rId39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Norme nationale « Blocs de béton pour maçonnerie – Spécifications » (élaborée nationalement).</w:t>
      </w:r>
    </w:p>
    <w:p w:rsidR="00000000" w:rsidDel="00000000" w:rsidP="00000000" w:rsidRDefault="00000000" w:rsidRPr="00000000" w14:paraId="000007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Norme nationale « Couches de chaussée – Spécifications des matériaux granulaires » (adoption modifiée d’une norme ISO + annexe nationale climat RDC).</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 textes sont des maquettes très avancées, que vous pourrez ensuite adapter, compléter ou « légaliser ».</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2"/>
        <w:rPr/>
      </w:pPr>
      <w:r w:rsidDel="00000000" w:rsidR="00000000" w:rsidRPr="00000000">
        <w:rPr>
          <w:rtl w:val="0"/>
        </w:rPr>
        <w:t xml:space="preserve">Exemple 1 – Norme nationale NC-RDC-BTP XXX:20YY</w:t>
      </w:r>
    </w:p>
    <w:p w:rsidR="00000000" w:rsidDel="00000000" w:rsidP="00000000" w:rsidRDefault="00000000" w:rsidRPr="00000000" w14:paraId="00000790">
      <w:pPr>
        <w:pStyle w:val="Heading2"/>
        <w:rPr/>
      </w:pPr>
      <w:r w:rsidDel="00000000" w:rsidR="00000000" w:rsidRPr="00000000">
        <w:rPr>
          <w:rtl w:val="0"/>
        </w:rPr>
        <w:t xml:space="preserve">« Blocs de béton pour maçonnerie – Spécifications »</w:t>
      </w:r>
    </w:p>
    <w:p w:rsidR="00000000" w:rsidDel="00000000" w:rsidP="00000000" w:rsidRDefault="00000000" w:rsidRPr="00000000" w14:paraId="00000791">
      <w:pPr>
        <w:pStyle w:val="Heading2"/>
        <w:rPr/>
      </w:pPr>
      <w:r w:rsidDel="00000000" w:rsidR="00000000" w:rsidRPr="00000000">
        <w:rPr>
          <w:rtl w:val="0"/>
        </w:rPr>
        <w:t xml:space="preserve">Page de titre (exemple)</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République Démocratique du Congo</w:t>
        <w:br w:type="textWrapping"/>
        <w:t xml:space="preserve">Ministère des Infrastructures et Travaux Publics</w:t>
        <w:br w:type="textWrapping"/>
        <w:t xml:space="preserve">Organisme national de normalisation</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XXX:20YY</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Blocs de béton pour maçonnerie — Spécifications</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rPr/>
      </w:pPr>
      <w:r w:rsidDel="00000000" w:rsidR="00000000" w:rsidRPr="00000000">
        <w:rPr>
          <w:rtl w:val="0"/>
        </w:rPr>
        <w:t xml:space="preserve">Préface nationale</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Norme congolaise a été élaborée par la Commission nationale d’élaboration des normes dans le secteur de la construction, des infrastructures, des travaux publics et du génie civil, sur proposition du Comité technique CT-B1 « Structures en béton et maçonnerie ».[</w:t>
      </w:r>
      <w:hyperlink r:id="rId39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vise à harmoniser les exigences relatives aux blocs de béton pour maçonnerie utilisés sur le territoire de la République Démocratique du Congo, en tenant compte des capacités de production locales, des exigences de sécurité structurale et des conditions climatiques et environnementales rencontrées dans le pays.[</w:t>
      </w:r>
      <w:hyperlink r:id="rId39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norme constitue un référentiel technique de base pour :</w:t>
      </w:r>
    </w:p>
    <w:p w:rsidR="00000000" w:rsidDel="00000000" w:rsidP="00000000" w:rsidRDefault="00000000" w:rsidRPr="00000000" w14:paraId="000007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fabrication industrielle des blocs de béton ;</w:t>
      </w:r>
    </w:p>
    <w:p w:rsidR="00000000" w:rsidDel="00000000" w:rsidP="00000000" w:rsidRDefault="00000000" w:rsidRPr="00000000" w14:paraId="000007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rédaction des cahiers des charges des marchés publics et privés ;</w:t>
      </w:r>
    </w:p>
    <w:p w:rsidR="00000000" w:rsidDel="00000000" w:rsidP="00000000" w:rsidRDefault="00000000" w:rsidRPr="00000000" w14:paraId="0000079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contrôles de conformité réalisés par les laboratoires et organismes d’inspection ;</w:t>
      </w:r>
    </w:p>
    <w:p w:rsidR="00000000" w:rsidDel="00000000" w:rsidP="00000000" w:rsidRDefault="00000000" w:rsidRPr="00000000" w14:paraId="0000079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formations des maîtres d’œuvre, entrepreneurs et artisans.[</w:t>
      </w:r>
      <w:hyperlink r:id="rId39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rPr/>
      </w:pPr>
      <w:r w:rsidDel="00000000" w:rsidR="00000000" w:rsidRPr="00000000">
        <w:rPr>
          <w:rtl w:val="0"/>
        </w:rPr>
        <w:t xml:space="preserve">1 Domaine d’application</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Norme congolaise spécifie les exigences relatives aux blocs de béton pour maçonnerie destinés à la construction de murs porteurs et non porteurs dans les bâtiments résidentiels et non résidentiels en République Démocratique du Congo.</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s’applique aux blocs de béton pleins ou creux, produits industriellement, dont les dimensions nominales et les caractéristiques mécaniques répondent aux exigences de la présente norme.</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ne s’applique pas :</w:t>
      </w:r>
    </w:p>
    <w:p w:rsidR="00000000" w:rsidDel="00000000" w:rsidP="00000000" w:rsidRDefault="00000000" w:rsidRPr="00000000" w14:paraId="000007A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blocs de béton de granulats légers ou cellulaires ;</w:t>
      </w:r>
    </w:p>
    <w:p w:rsidR="00000000" w:rsidDel="00000000" w:rsidP="00000000" w:rsidRDefault="00000000" w:rsidRPr="00000000" w14:paraId="000007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éléments préfabriqués structuraux spécifiques (dalles alvéolées, poutrelles) faisant l’objet de normes distinctes ;</w:t>
      </w:r>
    </w:p>
    <w:p w:rsidR="00000000" w:rsidDel="00000000" w:rsidP="00000000" w:rsidRDefault="00000000" w:rsidRPr="00000000" w14:paraId="000007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briques en terre cuite ou blocs en matériaux alternatifs (stabilisées, terre comprimée, etc.).</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rPr/>
      </w:pPr>
      <w:r w:rsidDel="00000000" w:rsidR="00000000" w:rsidRPr="00000000">
        <w:rPr>
          <w:rtl w:val="0"/>
        </w:rPr>
        <w:t xml:space="preserve">2 Références normatives</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documents suivants, en tout ou en partie, sont référencés de manière normative dans la présente norme et sont indispensables à son application.[</w:t>
      </w:r>
      <w:hyperlink r:id="rId39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0YY:20YY, Béton — Méthodes d’essai — Détermination de la résistance à la compression.</w:t>
      </w:r>
    </w:p>
    <w:p w:rsidR="00000000" w:rsidDel="00000000" w:rsidP="00000000" w:rsidRDefault="00000000" w:rsidRPr="00000000" w14:paraId="000007A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0YZ:20YY, Béton — Méthodes d’essai — Masse volumique et absorption d’eau.</w:t>
      </w:r>
    </w:p>
    <w:p w:rsidR="00000000" w:rsidDel="00000000" w:rsidP="00000000" w:rsidRDefault="00000000" w:rsidRPr="00000000" w14:paraId="000007A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0ZX:20YY, Essais sur granulats — Analyse granulométrique.</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rPr/>
      </w:pPr>
      <w:r w:rsidDel="00000000" w:rsidR="00000000" w:rsidRPr="00000000">
        <w:rPr>
          <w:rtl w:val="0"/>
        </w:rPr>
        <w:t xml:space="preserve">3 Termes et définitions</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fins de la présente norme, les termes et définitions suivants s’appliquent.[</w:t>
      </w:r>
      <w:hyperlink r:id="rId39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webdesk.jsa.or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br w:type="textWrapping"/>
        <w:t xml:space="preserve">bloc de béton</w:t>
        <w:br w:type="textWrapping"/>
        <w:t xml:space="preserve">élément préfabriqué en béton, de forme généralement parallélépipédique, destiné à la réalisation de maçonneries.</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br w:type="textWrapping"/>
        <w:t xml:space="preserve">bloc porteur</w:t>
        <w:br w:type="textWrapping"/>
        <w:t xml:space="preserve">bloc de béton destiné à la réalisation de maçonneries participant à la résistance mécanique de l’ouvrage.</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br w:type="textWrapping"/>
        <w:t xml:space="preserve">bloc non porteur</w:t>
        <w:br w:type="textWrapping"/>
        <w:t xml:space="preserve">bloc de béton destiné à la réalisation de maçonneries n’ayant pas de rôle porteur principal dans la structure.</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br w:type="textWrapping"/>
        <w:t xml:space="preserve">résistance à la compression</w:t>
        <w:br w:type="textWrapping"/>
        <w:t xml:space="preserve">valeur de la contrainte de compression maximale supportée par un bloc jusqu’à rupture, déterminée selon la méthode d’essai spécifiée.</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br w:type="textWrapping"/>
        <w:t xml:space="preserve">absorption d’eau</w:t>
        <w:br w:type="textWrapping"/>
        <w:t xml:space="preserve">augmentation de masse d’un bloc après immersion dans l’eau selon un régime défini, exprimée en pourcentage de la masse initiale sèche.</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rPr/>
      </w:pPr>
      <w:r w:rsidDel="00000000" w:rsidR="00000000" w:rsidRPr="00000000">
        <w:rPr>
          <w:rtl w:val="0"/>
        </w:rPr>
        <w:t xml:space="preserve">4 Symboles et abréviations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w:t>
        <w:br w:type="textWrapping"/>
        <w:t xml:space="preserve">bloc creux</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w:t>
        <w:br w:type="textWrapping"/>
        <w:t xml:space="preserve">bloc plein</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fb,kf_{b,k}fb,k​</w:t>
        <w:br w:type="textWrapping"/>
        <w:t xml:space="preserve">résistance caractéristique à la compression du bloc</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waw_awa​</w:t>
        <w:br w:type="textWrapping"/>
        <w:t xml:space="preserve">taux d’absorption d’eau</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rPr/>
      </w:pPr>
      <w:r w:rsidDel="00000000" w:rsidR="00000000" w:rsidRPr="00000000">
        <w:rPr>
          <w:rtl w:val="0"/>
        </w:rPr>
        <w:t xml:space="preserve">5 Exigences</w:t>
      </w:r>
    </w:p>
    <w:p w:rsidR="00000000" w:rsidDel="00000000" w:rsidP="00000000" w:rsidRDefault="00000000" w:rsidRPr="00000000" w14:paraId="000007BC">
      <w:pPr>
        <w:pStyle w:val="Heading2"/>
        <w:rPr/>
      </w:pPr>
      <w:r w:rsidDel="00000000" w:rsidR="00000000" w:rsidRPr="00000000">
        <w:rPr>
          <w:rtl w:val="0"/>
        </w:rPr>
        <w:t xml:space="preserve">5.1 Dimensions et tolérances</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Les dimensions nominales des blocs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choisies parmi les valeurs indiquées dans le Tableau 1.</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Les tolérances dimensionnelles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conformes au Tableau 2.</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 Les faces des blocs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sensiblement planes et perpendiculaires entre elles, les arrêtes et angles ne présentant pas de cassures susceptibles de compromettre la mise en œuvre.</w:t>
      </w:r>
    </w:p>
    <w:p w:rsidR="00000000" w:rsidDel="00000000" w:rsidP="00000000" w:rsidRDefault="00000000" w:rsidRPr="00000000" w14:paraId="000007C0">
      <w:pPr>
        <w:pStyle w:val="Heading2"/>
        <w:rPr/>
      </w:pPr>
      <w:r w:rsidDel="00000000" w:rsidR="00000000" w:rsidRPr="00000000">
        <w:rPr>
          <w:rtl w:val="0"/>
        </w:rPr>
        <w:t xml:space="preserve">5.2 Classes de blocs</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Les blocs porteurs sont classés en fonction de leur résistance caractéristique fb,kf_{b,k}fb,k​, selon le Tableau 3.</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Les blocs non porteurs sont classés selon des résistances minimales plus faibles, conformément au Tableau 4.</w:t>
      </w:r>
    </w:p>
    <w:p w:rsidR="00000000" w:rsidDel="00000000" w:rsidP="00000000" w:rsidRDefault="00000000" w:rsidRPr="00000000" w14:paraId="000007C3">
      <w:pPr>
        <w:pStyle w:val="Heading2"/>
        <w:rPr/>
      </w:pPr>
      <w:r w:rsidDel="00000000" w:rsidR="00000000" w:rsidRPr="00000000">
        <w:rPr>
          <w:rtl w:val="0"/>
        </w:rPr>
        <w:t xml:space="preserve">5.3 Résistance à la compression</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La résistance à la compression moyenne de chaque série d’éprouvettes issues d’un même lot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au moins égale à la valeur de la classe considérée, déterminée conformément à la clause 7.</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Aucun bloc d’un échantillon destiné à vérifier la conformité ne doit présenter une résistance individuelle inférieure à une valeur limite définie dans le Tableau 3.</w:t>
      </w:r>
    </w:p>
    <w:p w:rsidR="00000000" w:rsidDel="00000000" w:rsidP="00000000" w:rsidRDefault="00000000" w:rsidRPr="00000000" w14:paraId="000007C6">
      <w:pPr>
        <w:pStyle w:val="Heading2"/>
        <w:rPr/>
      </w:pPr>
      <w:r w:rsidDel="00000000" w:rsidR="00000000" w:rsidRPr="00000000">
        <w:rPr>
          <w:rtl w:val="0"/>
        </w:rPr>
        <w:t xml:space="preserve">5.4 Absorption d’eau</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Le taux d’absorption d’eau waw_awa​ des blocs destinés aux maçonneries extérieures exposées aux intempéries dans les régions à forte pluviométrie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inférieur ou égal à une valeur maximale wa,maxw_{a,max}wa,max​ spécifiée en Annexe A (dépendant des zones climatiques).[</w:t>
      </w:r>
      <w:hyperlink r:id="rId39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Pour les maçonneries intérieures non exposées aux intempéries, des valeurs moins sévères peuvent être admises, comme indiqué dans Annexe A.</w:t>
      </w:r>
    </w:p>
    <w:p w:rsidR="00000000" w:rsidDel="00000000" w:rsidP="00000000" w:rsidRDefault="00000000" w:rsidRPr="00000000" w14:paraId="000007C9">
      <w:pPr>
        <w:pStyle w:val="Heading2"/>
        <w:rPr/>
      </w:pPr>
      <w:r w:rsidDel="00000000" w:rsidR="00000000" w:rsidRPr="00000000">
        <w:rPr>
          <w:rtl w:val="0"/>
        </w:rPr>
        <w:t xml:space="preserve">5.5 Aspects et défauts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Les blocs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 doivent pas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présenter de fissures traversantes, ni de défauts de fabrication susceptibles de nuire à leur résistance ou à leur mise en œuvre.</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rPr/>
      </w:pPr>
      <w:r w:rsidDel="00000000" w:rsidR="00000000" w:rsidRPr="00000000">
        <w:rPr>
          <w:rtl w:val="0"/>
        </w:rPr>
        <w:t xml:space="preserve">6 Contrôle de production en usine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Le fabricant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établir et maintenir un système de contrôle de production couvrant au minimum :</w:t>
      </w:r>
    </w:p>
    <w:p w:rsidR="00000000" w:rsidDel="00000000" w:rsidP="00000000" w:rsidRDefault="00000000" w:rsidRPr="00000000" w14:paraId="000007C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vérification des matières premières (granulats, liants, eau) ;</w:t>
      </w:r>
    </w:p>
    <w:p w:rsidR="00000000" w:rsidDel="00000000" w:rsidP="00000000" w:rsidRDefault="00000000" w:rsidRPr="00000000" w14:paraId="000007C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surveillance des dosages et des conditions de fabrication ;</w:t>
      </w:r>
    </w:p>
    <w:p w:rsidR="00000000" w:rsidDel="00000000" w:rsidP="00000000" w:rsidRDefault="00000000" w:rsidRPr="00000000" w14:paraId="000007D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essais périodiques sur la résistance et l’absorption d’eau ;</w:t>
      </w:r>
    </w:p>
    <w:p w:rsidR="00000000" w:rsidDel="00000000" w:rsidP="00000000" w:rsidRDefault="00000000" w:rsidRPr="00000000" w14:paraId="000007D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l’enregistrement des résultats et des actions correctives.[</w:t>
      </w:r>
      <w:hyperlink r:id="rId39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La fréquence minimale des essais de conformité est définie dans le Tableau 5, en fonction du volume de production.</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rPr/>
      </w:pPr>
      <w:r w:rsidDel="00000000" w:rsidR="00000000" w:rsidRPr="00000000">
        <w:rPr>
          <w:rtl w:val="0"/>
        </w:rPr>
        <w:t xml:space="preserve">7 Méthodes d’essai</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Résistance à la compression</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L’essai de compression est réalisé conformément à NC-RDC-BTP 0YY:20YY, avec les adaptations suivantes :</w:t>
      </w:r>
    </w:p>
    <w:p w:rsidR="00000000" w:rsidDel="00000000" w:rsidP="00000000" w:rsidRDefault="00000000" w:rsidRPr="00000000" w14:paraId="000007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blocs sont stockés et conditionnés dans des conditions représentatives du climat local ;</w:t>
      </w:r>
    </w:p>
    <w:p w:rsidR="00000000" w:rsidDel="00000000" w:rsidP="00000000" w:rsidRDefault="00000000" w:rsidRPr="00000000" w14:paraId="000007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surface de chargement doit être plane et parallèlement ajustée.</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Le calcul de la résistance est effectué selon les formules définies dans NC-RDC-BTP 0YY:20YY.</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Absorption d’eau</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L’absorption est déterminée en immergeant les blocs dans l’eau pendant une durée spécifiée (par exemple 24 h), puis en déterminant la variation de masse selon NC-RDC-BTP 0YZ:20YY.</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rPr/>
      </w:pPr>
      <w:r w:rsidDel="00000000" w:rsidR="00000000" w:rsidRPr="00000000">
        <w:rPr>
          <w:rtl w:val="0"/>
        </w:rPr>
        <w:t xml:space="preserve">8 Critères d’acceptation</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Un lot de blocs est déclaré conforme si :</w:t>
      </w:r>
    </w:p>
    <w:p w:rsidR="00000000" w:rsidDel="00000000" w:rsidP="00000000" w:rsidRDefault="00000000" w:rsidRPr="00000000" w14:paraId="000007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résistance moyenne à la compression atteint au minimum la valeur de la classe ciblée ;</w:t>
      </w:r>
    </w:p>
    <w:p w:rsidR="00000000" w:rsidDel="00000000" w:rsidP="00000000" w:rsidRDefault="00000000" w:rsidRPr="00000000" w14:paraId="000007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aucun bloc n’est inférieur à la valeur individuelle minimale ;</w:t>
      </w:r>
    </w:p>
    <w:p w:rsidR="00000000" w:rsidDel="00000000" w:rsidP="00000000" w:rsidRDefault="00000000" w:rsidRPr="00000000" w14:paraId="000007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valeurs d’absorption respectent les limites fixées pour la zone climatique concernée.</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rPr/>
      </w:pPr>
      <w:r w:rsidDel="00000000" w:rsidR="00000000" w:rsidRPr="00000000">
        <w:rPr>
          <w:rtl w:val="0"/>
        </w:rPr>
        <w:t xml:space="preserve">9 Inspection et réception</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L’autorité contractante ou son représentant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 autorisé 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procéder à tout contrôle et prélèvement d’échantillons sur le site de production ou sur chantier.</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Les modalités d’échantillonnage et d’acceptation/rejet sont définies dans le cahier des charges du marché, en cohérence avec la présente norme.[</w:t>
      </w:r>
      <w:hyperlink r:id="rId39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fr.scribd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2"/>
        <w:rPr/>
      </w:pPr>
      <w:r w:rsidDel="00000000" w:rsidR="00000000" w:rsidRPr="00000000">
        <w:rPr>
          <w:rtl w:val="0"/>
        </w:rPr>
        <w:t xml:space="preserve">Annexe A (normative) – Paramètres climatiques pour l’absorption d’eau</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Définition des zones climatiques (A, B, C) en RDC et valeurs de wa,maxw_{a,max}wa,max​.[</w:t>
      </w:r>
      <w:hyperlink r:id="rId40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rPr/>
      </w:pPr>
      <w:r w:rsidDel="00000000" w:rsidR="00000000" w:rsidRPr="00000000">
        <w:rPr>
          <w:rtl w:val="0"/>
        </w:rPr>
        <w:t xml:space="preserve">Bibliographie</w:t>
      </w:r>
    </w:p>
    <w:p w:rsidR="00000000" w:rsidDel="00000000" w:rsidP="00000000" w:rsidRDefault="00000000" w:rsidRPr="00000000" w14:paraId="000007E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techniques de la Banque mondiale sur les matériaux de construction.[</w:t>
      </w:r>
      <w:hyperlink r:id="rId40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d’essais sur béton de laboratoires régionaux.</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rPr/>
      </w:pPr>
      <w:r w:rsidDel="00000000" w:rsidR="00000000" w:rsidRPr="00000000">
        <w:rPr>
          <w:rtl w:val="0"/>
        </w:rPr>
        <w:t xml:space="preserve">Exemple 2 – Norme nationale NC-RDC-BTP R1 001:20YY</w:t>
      </w:r>
    </w:p>
    <w:p w:rsidR="00000000" w:rsidDel="00000000" w:rsidP="00000000" w:rsidRDefault="00000000" w:rsidRPr="00000000" w14:paraId="000007EF">
      <w:pPr>
        <w:pStyle w:val="Heading2"/>
        <w:rPr/>
      </w:pPr>
      <w:r w:rsidDel="00000000" w:rsidR="00000000" w:rsidRPr="00000000">
        <w:rPr>
          <w:rtl w:val="0"/>
        </w:rPr>
        <w:t xml:space="preserve">« Routes — Couches de chaussée — Spécifications des matériaux granulaires »</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(Adoption modifiée d’une norme ISO/EN, avec Annexe nationale)</w:t>
      </w:r>
      <w:r w:rsidDel="00000000" w:rsidR="00000000" w:rsidRPr="00000000">
        <w:rPr>
          <w:rtl w:val="0"/>
        </w:rPr>
      </w:r>
    </w:p>
    <w:p w:rsidR="00000000" w:rsidDel="00000000" w:rsidP="00000000" w:rsidRDefault="00000000" w:rsidRPr="00000000" w14:paraId="000007F1">
      <w:pPr>
        <w:pStyle w:val="Heading2"/>
        <w:rPr/>
      </w:pPr>
      <w:r w:rsidDel="00000000" w:rsidR="00000000" w:rsidRPr="00000000">
        <w:rPr>
          <w:rtl w:val="0"/>
        </w:rPr>
        <w:t xml:space="preserve">Page de titre</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République Démocratique du Congo</w:t>
        <w:br w:type="textWrapping"/>
        <w:t xml:space="preserve">Ministère des Infrastructures et Travaux Publics</w:t>
        <w:br w:type="textWrapping"/>
        <w:t xml:space="preserve">Organisme national de normalisation</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R1 001:20YY</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Routes — Couches de chaussée — Spécifications des matériaux granulaires</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rPr/>
      </w:pPr>
      <w:r w:rsidDel="00000000" w:rsidR="00000000" w:rsidRPr="00000000">
        <w:rPr>
          <w:rtl w:val="0"/>
        </w:rPr>
        <w:t xml:space="preserve">Préface nationale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Norme congolaise NC-RDC-BTP R1 001:20YY est l’adoption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modifiée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d’une norme internationale relative aux matériaux granulaires pour couches de chaussée.[</w:t>
      </w:r>
      <w:hyperlink r:id="rId40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modifications tiennent compte :</w:t>
      </w:r>
    </w:p>
    <w:p w:rsidR="00000000" w:rsidDel="00000000" w:rsidP="00000000" w:rsidRDefault="00000000" w:rsidRPr="00000000" w14:paraId="000007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conditions géo-climatiques spécifiques de la RDC (zones à forte pluviométrie, sols de portance variable, risques d’érosion) ;[</w:t>
      </w:r>
      <w:hyperlink r:id="rId40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F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pratiques et capacités de production locales ;</w:t>
      </w:r>
    </w:p>
    <w:p w:rsidR="00000000" w:rsidDel="00000000" w:rsidP="00000000" w:rsidRDefault="00000000" w:rsidRPr="00000000" w14:paraId="000007F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exigences des bailleurs de fonds en matière de durabilité des routes.[</w:t>
      </w:r>
      <w:hyperlink r:id="rId40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écarts par rapport au texte international sont décrits en Annexe NA.</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rPr/>
      </w:pPr>
      <w:r w:rsidDel="00000000" w:rsidR="00000000" w:rsidRPr="00000000">
        <w:rPr>
          <w:rtl w:val="0"/>
        </w:rPr>
        <w:t xml:space="preserve">1 Domaine d’application</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norme spécifie les exigences relatives aux matériaux granulaires utilisés dans les couches de fondation et de base des chaussées routières en République Démocratique du Congo.</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s’applique :</w:t>
      </w:r>
    </w:p>
    <w:p w:rsidR="00000000" w:rsidDel="00000000" w:rsidP="00000000" w:rsidRDefault="00000000" w:rsidRPr="00000000" w14:paraId="0000080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matériaux granulaires naturels ou traités (stabilisés), utilisés dans les couches supérieures de la structure de chaussée ;</w:t>
      </w:r>
    </w:p>
    <w:p w:rsidR="00000000" w:rsidDel="00000000" w:rsidP="00000000" w:rsidRDefault="00000000" w:rsidRPr="00000000" w14:paraId="0000080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 routes nouvelles comme aux travaux de réhabilitation.</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Elle ne couvre pas :</w:t>
      </w:r>
    </w:p>
    <w:p w:rsidR="00000000" w:rsidDel="00000000" w:rsidP="00000000" w:rsidRDefault="00000000" w:rsidRPr="00000000" w14:paraId="0000080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couches de surface bitumineuses ou en béton ;</w:t>
      </w:r>
    </w:p>
    <w:p w:rsidR="00000000" w:rsidDel="00000000" w:rsidP="00000000" w:rsidRDefault="00000000" w:rsidRPr="00000000" w14:paraId="0000080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chaussées non conventionnelles (pavés, sols renforcés spécifiques).</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rPr/>
      </w:pPr>
      <w:r w:rsidDel="00000000" w:rsidR="00000000" w:rsidRPr="00000000">
        <w:rPr>
          <w:rtl w:val="0"/>
        </w:rPr>
        <w:t xml:space="preserve">2 Références normatives</w:t>
      </w:r>
    </w:p>
    <w:p w:rsidR="00000000" w:rsidDel="00000000" w:rsidP="00000000" w:rsidRDefault="00000000" w:rsidRPr="00000000" w14:paraId="000008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0XX:20YY, Routes — Essai CBR — Méthode de laboratoire.</w:t>
      </w:r>
    </w:p>
    <w:p w:rsidR="00000000" w:rsidDel="00000000" w:rsidP="00000000" w:rsidRDefault="00000000" w:rsidRPr="00000000" w14:paraId="000008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 17892-1:2014, Geotechnical investigation and testing — Laboratory testing of soil — Part 1: Determination of water content.[</w:t>
      </w:r>
      <w:hyperlink r:id="rId40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NC-RDC-BTP 0YY:20YY, Essais sur granulats — Los Angeles.</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rPr/>
      </w:pPr>
      <w:r w:rsidDel="00000000" w:rsidR="00000000" w:rsidRPr="00000000">
        <w:rPr>
          <w:rtl w:val="0"/>
        </w:rPr>
        <w:t xml:space="preserve">3 Termes et définitions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br w:type="textWrapping"/>
        <w:t xml:space="preserve">couche de fondation</w:t>
        <w:br w:type="textWrapping"/>
        <w:t xml:space="preserve">couche granulaire reposant sur le sol de fondation, destinée à répartir les charges sur le sol support.</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br w:type="textWrapping"/>
        <w:t xml:space="preserve">couche de base</w:t>
        <w:br w:type="textWrapping"/>
        <w:t xml:space="preserve">couche granulaire ou traitée située au-dessus de la couche de fondation, directement sous la couche de roulement ou de liaison.</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br w:type="textWrapping"/>
        <w:t xml:space="preserve">matériau granulaire</w:t>
        <w:br w:type="textWrapping"/>
        <w:t xml:space="preserve">matériau composé de particules minérales de différentes tailles (graviers, sables, fines) utilisé pour les couches de chaussée.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rPr/>
      </w:pPr>
      <w:r w:rsidDel="00000000" w:rsidR="00000000" w:rsidRPr="00000000">
        <w:rPr>
          <w:rtl w:val="0"/>
        </w:rPr>
        <w:t xml:space="preserve">4 Symboles et abréviations</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CBR indice portant de Californie</w:t>
        <w:br w:type="textWrapping"/>
        <w:t xml:space="preserve">LA valeur Los Angeles</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rPr/>
      </w:pPr>
      <w:r w:rsidDel="00000000" w:rsidR="00000000" w:rsidRPr="00000000">
        <w:rPr>
          <w:rtl w:val="0"/>
        </w:rPr>
        <w:t xml:space="preserve">5 Classification des matériaux granulaires</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Les matériaux granulaires sont classés en groupes G1 à G4 en fonction de leur performance (CBR, granulométrie, durabilité), comme indiqué dans le Tableau 1.[</w:t>
      </w:r>
      <w:hyperlink r:id="rId40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Les matériaux de classe G1 et G2 conviennent aux couches de base, tandis que les matériaux G3 et G4 sont réservés aux couches de fondation ou à des situations de trafic plus faible.</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rPr/>
      </w:pPr>
      <w:r w:rsidDel="00000000" w:rsidR="00000000" w:rsidRPr="00000000">
        <w:rPr>
          <w:rtl w:val="0"/>
        </w:rPr>
        <w:t xml:space="preserve">6 Exigences granulométriques et mécaniques</w:t>
      </w:r>
    </w:p>
    <w:p w:rsidR="00000000" w:rsidDel="00000000" w:rsidP="00000000" w:rsidRDefault="00000000" w:rsidRPr="00000000" w14:paraId="00000819">
      <w:pPr>
        <w:pStyle w:val="Heading2"/>
        <w:rPr/>
      </w:pPr>
      <w:r w:rsidDel="00000000" w:rsidR="00000000" w:rsidRPr="00000000">
        <w:rPr>
          <w:rtl w:val="0"/>
        </w:rPr>
        <w:t xml:space="preserve">6.1 Granulométrie</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La courbe granulométrique des matériaux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situer dans les limites définies au Tableau 2 pour chaque classe (G1 à G4).</w:t>
      </w:r>
    </w:p>
    <w:p w:rsidR="00000000" w:rsidDel="00000000" w:rsidP="00000000" w:rsidRDefault="00000000" w:rsidRPr="00000000" w14:paraId="0000081B">
      <w:pPr>
        <w:pStyle w:val="Heading2"/>
        <w:rPr/>
      </w:pPr>
      <w:r w:rsidDel="00000000" w:rsidR="00000000" w:rsidRPr="00000000">
        <w:rPr>
          <w:rtl w:val="0"/>
        </w:rPr>
        <w:t xml:space="preserve">6.2 Indice CBR</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6.2.1 L’indice CBR à 95% Proctor modifié des matériaux, déterminé conformément à NC-RDC-BTP 0XX:20YY,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au moins égal aux valeurs minimales du Tableau 3, en fonction de la classe de matériaux et de la zone climatique (voir Annexe NA).[</w:t>
      </w:r>
      <w:hyperlink r:id="rId40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1D">
      <w:pPr>
        <w:pStyle w:val="Heading2"/>
        <w:rPr/>
      </w:pPr>
      <w:r w:rsidDel="00000000" w:rsidR="00000000" w:rsidRPr="00000000">
        <w:rPr>
          <w:rtl w:val="0"/>
        </w:rPr>
        <w:t xml:space="preserve">6.3 Durabilité (Los Angeles)</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 La valeur Los Angeles des granulats grossiers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inférieure ou égale à LA_max indiquée dans le Tableau 4.</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rPr/>
      </w:pPr>
      <w:r w:rsidDel="00000000" w:rsidR="00000000" w:rsidRPr="00000000">
        <w:rPr>
          <w:rtl w:val="0"/>
        </w:rPr>
        <w:t xml:space="preserve">7 Méthodes d’essai</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Les essais CBR, de granulométrie et Los Angeles sont réalisés conformément aux méthodes nationales ou internationales référencées dans la clause 2.[</w:t>
      </w:r>
      <w:hyperlink r:id="rId40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Les conditions d’essai (compaction, teneur en eau, température)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représenter les conditions de service dans les zones climatiques définies (voir Annexe NA pour les paramètres spécifiques).[</w:t>
      </w:r>
      <w:hyperlink r:id="rId40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2"/>
        <w:rPr/>
      </w:pPr>
      <w:r w:rsidDel="00000000" w:rsidR="00000000" w:rsidRPr="00000000">
        <w:rPr>
          <w:rtl w:val="0"/>
        </w:rPr>
        <w:t xml:space="preserve">8 Critères d’acceptation</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Un lot de matériaux est accepté pour une couche donnée si :</w:t>
      </w:r>
    </w:p>
    <w:p w:rsidR="00000000" w:rsidDel="00000000" w:rsidP="00000000" w:rsidRDefault="00000000" w:rsidRPr="00000000" w14:paraId="000008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 granulométrie respecte la plage spécifiée ;</w:t>
      </w:r>
    </w:p>
    <w:p w:rsidR="00000000" w:rsidDel="00000000" w:rsidP="00000000" w:rsidRDefault="00000000" w:rsidRPr="00000000" w14:paraId="0000082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l’indice CBR mesuré est supérieur au minimum requis pour la zone climatique et la classe de trafic ;</w:t>
      </w:r>
    </w:p>
    <w:p w:rsidR="00000000" w:rsidDel="00000000" w:rsidP="00000000" w:rsidRDefault="00000000" w:rsidRPr="00000000" w14:paraId="0000082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valeur Los Angeles ne dépasse pas LA_max.</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rPr/>
      </w:pPr>
      <w:r w:rsidDel="00000000" w:rsidR="00000000" w:rsidRPr="00000000">
        <w:rPr>
          <w:rtl w:val="0"/>
        </w:rPr>
        <w:t xml:space="preserve">9 Contrôle qualité et inspection</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Les opérations de contrôle qualité sur chantier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respecter :</w:t>
      </w:r>
    </w:p>
    <w:p w:rsidR="00000000" w:rsidDel="00000000" w:rsidP="00000000" w:rsidRDefault="00000000" w:rsidRPr="00000000" w14:paraId="0000082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fréquence minimale d’essais fixée dans le cahier des charges ;</w:t>
      </w:r>
    </w:p>
    <w:p w:rsidR="00000000" w:rsidDel="00000000" w:rsidP="00000000" w:rsidRDefault="00000000" w:rsidRPr="00000000" w14:paraId="0000082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méthodes d’échantillonnage et de prélèvement précisées dans les documents contractuels.[</w:t>
      </w:r>
      <w:hyperlink r:id="rId4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congovirtuel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L’ingénieur de l’Administration ou son représentant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 autorisé 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rejeter tout lot de matériaux non conforme et à exiger des mesures correctives (remplacement, amélioration).</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rPr/>
      </w:pPr>
      <w:r w:rsidDel="00000000" w:rsidR="00000000" w:rsidRPr="00000000">
        <w:rPr>
          <w:rtl w:val="0"/>
        </w:rPr>
        <w:t xml:space="preserve">Annexe A (normative) – Exigences détaillées pour chaque classe de matériaux</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Tableaux A.1 à A.3 :</w:t>
      </w:r>
    </w:p>
    <w:p w:rsidR="00000000" w:rsidDel="00000000" w:rsidP="00000000" w:rsidRDefault="00000000" w:rsidRPr="00000000" w14:paraId="0000083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limites granulométriques ;</w:t>
      </w:r>
    </w:p>
    <w:p w:rsidR="00000000" w:rsidDel="00000000" w:rsidP="00000000" w:rsidRDefault="00000000" w:rsidRPr="00000000" w14:paraId="0000083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valeurs CBR minimales ;</w:t>
      </w:r>
    </w:p>
    <w:p w:rsidR="00000000" w:rsidDel="00000000" w:rsidP="00000000" w:rsidRDefault="00000000" w:rsidRPr="00000000" w14:paraId="0000083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valeurs LA_max ;</w:t>
        <w:br w:type="textWrapping"/>
        <w:t xml:space="preserve">par classe et type de couche.[</w:t>
      </w:r>
      <w:hyperlink r:id="rId4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2"/>
        <w:rPr/>
      </w:pPr>
      <w:r w:rsidDel="00000000" w:rsidR="00000000" w:rsidRPr="00000000">
        <w:rPr>
          <w:rtl w:val="0"/>
        </w:rPr>
        <w:t xml:space="preserve">Annexe NA (nationale, normative) – Paramètres géo-climatiques et ajustements RDC</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NA.1 Objet</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présente annexe fixe les paramètres nationaux relatifs aux zones climatiques et aux exigences associées en République Démocratique du Congo.[</w:t>
      </w:r>
      <w:hyperlink r:id="rId4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interamericancoalition-medtech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NA.2 Définition des zones climatiques routières</w:t>
      </w:r>
    </w:p>
    <w:p w:rsidR="00000000" w:rsidDel="00000000" w:rsidP="00000000" w:rsidRDefault="00000000" w:rsidRPr="00000000" w14:paraId="0000083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A : climat équatorial humide (pluviométrie annuelle &gt; 1 800 mm).</w:t>
      </w:r>
    </w:p>
    <w:p w:rsidR="00000000" w:rsidDel="00000000" w:rsidP="00000000" w:rsidRDefault="00000000" w:rsidRPr="00000000" w14:paraId="0000083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B : climat tropical de savane (1 200 à 1 800 mm).</w:t>
      </w:r>
    </w:p>
    <w:p w:rsidR="00000000" w:rsidDel="00000000" w:rsidP="00000000" w:rsidRDefault="00000000" w:rsidRPr="00000000" w14:paraId="0000083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Zone C : climat moins humide (pluviométrie &lt; 1 200 mm).[</w:t>
      </w:r>
      <w:hyperlink r:id="rId4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NA.3 Ajustement des exigences CBR en fonction des zones</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Tableau NA.1 précise les valeurs minimales d’indice CBR des matériaux selon :</w:t>
      </w:r>
    </w:p>
    <w:p w:rsidR="00000000" w:rsidDel="00000000" w:rsidP="00000000" w:rsidRDefault="00000000" w:rsidRPr="00000000" w14:paraId="0000083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zone climatique (A, B, C) ;</w:t>
      </w:r>
    </w:p>
    <w:p w:rsidR="00000000" w:rsidDel="00000000" w:rsidP="00000000" w:rsidRDefault="00000000" w:rsidRPr="00000000" w14:paraId="0000084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classe de trafic (faible, moyen, élevé).</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 Exigences supplémentaires pour le drainage</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NA.4.1 Dans la Zone A, les dispositifs de drainage longitudinal et transversal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doivent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être dimensionnés pour des intensités de pluie plus élevées, conformément à la réglementation nationale sur l’hydraulique routière.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NA.4.2 NOTE – Ces exigences ne figurent pas dans la norme internationale d’origine et constituent une adaptation nationale motivée par les fortes pluies observées en RDC.[</w:t>
      </w:r>
      <w:hyperlink r:id="rId4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cdn.standards.iteh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rPr/>
      </w:pPr>
      <w:r w:rsidDel="00000000" w:rsidR="00000000" w:rsidRPr="00000000">
        <w:rPr>
          <w:rtl w:val="0"/>
        </w:rPr>
        <w:t xml:space="preserve">Bibliographie</w:t>
      </w:r>
    </w:p>
    <w:p w:rsidR="00000000" w:rsidDel="00000000" w:rsidP="00000000" w:rsidRDefault="00000000" w:rsidRPr="00000000" w14:paraId="0000084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 de conception et de dimensionnement des routes – Banque mondiale.[</w:t>
      </w:r>
      <w:hyperlink r:id="rId4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Rapports nationaux sur l’hydrologie et le climat.[</w:t>
      </w:r>
      <w:hyperlink r:id="rId4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documents1.worldbank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 deux exemples montrent comment :</w:t>
      </w:r>
    </w:p>
    <w:p w:rsidR="00000000" w:rsidDel="00000000" w:rsidP="00000000" w:rsidRDefault="00000000" w:rsidRPr="00000000" w14:paraId="0000084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structurer une norme selon ISO/IEC Partie 2 ;[</w:t>
      </w:r>
      <w:hyperlink r:id="rId4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boss.cen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articuler exigences, essais, critères d’acceptation ;[</w:t>
      </w:r>
      <w:hyperlink r:id="rId4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utiliser les annexes nationales selon ISO/IEC Guide 21-1 pour intégrer les spécificités géo-climatiques et environnementales de la RDC (zones climatiques, pluviométrie, conditions d’essai, paramètres de durabilité).[</w:t>
      </w:r>
      <w:hyperlink r:id="rId41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iso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vous voulez aller encore plus loin, je peux vous préparer :</w:t>
      </w:r>
    </w:p>
    <w:p w:rsidR="00000000" w:rsidDel="00000000" w:rsidP="00000000" w:rsidRDefault="00000000" w:rsidRPr="00000000" w14:paraId="0000084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maquette Word/LaTeX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logique (structure, styles, numérotation) que vous pourrez transposer,</w:t>
      </w:r>
    </w:p>
    <w:p w:rsidR="00000000" w:rsidDel="00000000" w:rsidP="00000000" w:rsidRDefault="00000000" w:rsidRPr="00000000" w14:paraId="0000084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 décliner un troisième exemple, par exemple sur 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norme d’essai de sol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de bonnes pratiques pour drainage routier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50">
      <w:pPr>
        <w:rPr/>
      </w:pPr>
      <w:r w:rsidDel="00000000" w:rsidR="00000000" w:rsidRPr="00000000">
        <w:rPr>
          <w:rtl w:val="0"/>
        </w:rPr>
      </w:r>
    </w:p>
    <w:sectPr>
      <w:footerReference r:id="rId420" w:type="defaul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68300" cy="274320"/>
              <wp:effectExtent b="11430" l="9525" r="12700" t="9525"/>
              <wp:wrapNone/>
              <wp:docPr id="2" name=""/>
              <a:graphic>
                <a:graphicData uri="http://schemas.microsoft.com/office/word/2010/wordprocessingShape">
                  <wps:wsp>
                    <wps:cNvSpPr>
                      <a:spLocks noChangeArrowheads="1"/>
                    </wps:cNvSpPr>
                    <wps:spPr bwMode="auto">
                      <a:xfrm>
                        <a:off x="0" y="0"/>
                        <a:ext cx="368300" cy="274320"/>
                      </a:xfrm>
                      <a:prstGeom prst="foldedCorner">
                        <a:avLst>
                          <a:gd fmla="val 34560" name="adj"/>
                        </a:avLst>
                      </a:prstGeom>
                      <a:solidFill>
                        <a:srgbClr val="FFFFFF"/>
                      </a:solidFill>
                      <a:ln w="3175">
                        <a:solidFill>
                          <a:srgbClr val="808080"/>
                        </a:solidFill>
                        <a:round/>
                        <a:headEnd/>
                        <a:tailEnd/>
                      </a:ln>
                    </wps:spPr>
                    <wps:txbx>
                      <w:txbxContent>
                        <w:p w:rsidR="00831A65" w:rsidDel="00000000" w:rsidP="00000000" w:rsidRDefault="00831A65" w:rsidRPr="00000000" w14:paraId="5459B827" w14:textId="77777777">
                          <w:pPr>
                            <w:jc w:val="center"/>
                          </w:pPr>
                          <w:r w:rsidDel="00000000" w:rsidR="00000000" w:rsidRPr="00000000">
                            <w:fldChar w:fldCharType="begin"/>
                          </w:r>
                          <w:r w:rsidDel="00000000" w:rsidR="00000000" w:rsidRPr="00000000">
                            <w:instrText>PAGE    \* MERGEFORMAT</w:instrText>
                          </w:r>
                          <w:r w:rsidDel="00000000" w:rsidR="00000000" w:rsidRPr="00000000">
                            <w:fldChar w:fldCharType="separate"/>
                          </w:r>
                          <w:r w:rsidDel="00000000" w:rsidR="00000000" w:rsidRPr="00000000">
                            <w:rPr>
                              <w:sz w:val="16"/>
                              <w:szCs w:val="16"/>
                              <w:lang w:val="fr-FR"/>
                            </w:rPr>
                            <w:t>2</w:t>
                          </w:r>
                          <w:r w:rsidDel="00000000" w:rsidR="00000000" w:rsidRPr="00000000">
                            <w:rPr>
                              <w:sz w:val="16"/>
                              <w:szCs w:val="16"/>
                            </w:rPr>
                            <w:fldChar w:fldCharType="end"/>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90525" cy="2952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90525" cy="2952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3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4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5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5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2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3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icao.int/WACAF/Documents/Meetings/2019/AFI%20-%20AIG/4_%20Cotonou%20Legal%20texts%20hierarchy.pdf" TargetMode="External"/><Relationship Id="rId194" Type="http://schemas.openxmlformats.org/officeDocument/2006/relationships/hyperlink" Target="https://www.leganet.cd/Legislation/Droit%20economique/Reglementationproduits/AM.014.29.11.2007.htm" TargetMode="External"/><Relationship Id="rId193" Type="http://schemas.openxmlformats.org/officeDocument/2006/relationships/hyperlink" Target="https://www.leganet.cd/Legislation/Droit%20economique/Reglementationproduits/AM.014.29.11.2007.htm" TargetMode="External"/><Relationship Id="rId192" Type="http://schemas.openxmlformats.org/officeDocument/2006/relationships/hyperlink" Target="https://www.leganet.cd/Legislation/Droit%20economique/Reglementationproduits/AM.014.29.11.2007.htm" TargetMode="External"/><Relationship Id="rId191" Type="http://schemas.openxmlformats.org/officeDocument/2006/relationships/hyperlink" Target="https://www.leganet.cd/Legislation/Droit%20economique/Reglementationproduits/AM.014.29.11.2007.htm" TargetMode="External"/><Relationship Id="rId187" Type="http://schemas.openxmlformats.org/officeDocument/2006/relationships/hyperlink" Target="https://www.leganet.cd/Legislation/Droit%20economique/Reglementationproduits/AM.014.29.11.2007.htm" TargetMode="External"/><Relationship Id="rId186" Type="http://schemas.openxmlformats.org/officeDocument/2006/relationships/hyperlink" Target="https://www.leganet.cd/Legislation/Droit%20economique/Reglementationproduits/AM.014.29.11.2007.htm" TargetMode="External"/><Relationship Id="rId185" Type="http://schemas.openxmlformats.org/officeDocument/2006/relationships/hyperlink" Target="https://fr.scribd.com/document/846061752/RDC-Code-2010-Des-Marches-Publics" TargetMode="External"/><Relationship Id="rId184" Type="http://schemas.openxmlformats.org/officeDocument/2006/relationships/hyperlink" Target="https://fr.scribd.com/document/846061752/RDC-Code-2010-Des-Marches-Publics" TargetMode="External"/><Relationship Id="rId189" Type="http://schemas.openxmlformats.org/officeDocument/2006/relationships/hyperlink" Target="https://www.leganet.cd/Legislation/Droit%20economique/Reglementationproduits/AM.014.29.11.2007.htm" TargetMode="External"/><Relationship Id="rId188" Type="http://schemas.openxmlformats.org/officeDocument/2006/relationships/hyperlink" Target="https://www.icao.int/WACAF/Documents/Meetings/2019/AFI%20-%20AIG/4_%20Cotonou%20Legal%20texts%20hierarchy.pdf" TargetMode="External"/><Relationship Id="rId183" Type="http://schemas.openxmlformats.org/officeDocument/2006/relationships/hyperlink" Target="https://fr.scribd.com/document/846061752/RDC-Code-2010-Des-Marches-Publics" TargetMode="External"/><Relationship Id="rId182" Type="http://schemas.openxmlformats.org/officeDocument/2006/relationships/hyperlink" Target="https://www.icao.int/WACAF/Documents/Meetings/2019/AFI%20-%20AIG/4_%20Cotonou%20Legal%20texts%20hierarchy.pdf" TargetMode="External"/><Relationship Id="rId181" Type="http://schemas.openxmlformats.org/officeDocument/2006/relationships/hyperlink" Target="https://www.icao.int/WACAF/Documents/Meetings/2019/AFI%20-%20AIG/4_%20Cotonou%20Legal%20texts%20hierarchy.pdf" TargetMode="External"/><Relationship Id="rId180" Type="http://schemas.openxmlformats.org/officeDocument/2006/relationships/hyperlink" Target="https://www.icao.int/WACAF/Documents/Meetings/2019/AFI%20-%20AIG/4_%20Cotonou%20Legal%20texts%20hierarchy.pdf" TargetMode="External"/><Relationship Id="rId176" Type="http://schemas.openxmlformats.org/officeDocument/2006/relationships/hyperlink" Target="https://www.icao.int/WACAF/Documents/Meetings/2019/AFI%20-%20AIG/4_%20Cotonou%20Legal%20texts%20hierarchy.pdf" TargetMode="External"/><Relationship Id="rId297" Type="http://schemas.openxmlformats.org/officeDocument/2006/relationships/hyperlink" Target="https://standards.iteh.ai/catalog/standards/iso/6ffbfd23-5218-47a8-94ae-20e2bea7a12d/iso-6707-1-2017" TargetMode="External"/><Relationship Id="rId175" Type="http://schemas.openxmlformats.org/officeDocument/2006/relationships/hyperlink" Target="https://boss.cen.eu/media/yypjl3mn/iso_iec_directives_part2.pdf" TargetMode="External"/><Relationship Id="rId296" Type="http://schemas.openxmlformats.org/officeDocument/2006/relationships/hyperlink" Target="https://documents1.worldbank.org/curated/en/679571468027296620/pdf/E27480Revised00IC00ECA0EMF0P122219.pdf" TargetMode="External"/><Relationship Id="rId174" Type="http://schemas.openxmlformats.org/officeDocument/2006/relationships/hyperlink" Target="https://fr.scribd.com/document/846061752/RDC-Code-2010-Des-Marches-Publics" TargetMode="External"/><Relationship Id="rId295" Type="http://schemas.openxmlformats.org/officeDocument/2006/relationships/hyperlink" Target="https://www.iso.org/stages-and-resources-for-standards-development.html" TargetMode="External"/><Relationship Id="rId173" Type="http://schemas.openxmlformats.org/officeDocument/2006/relationships/hyperlink" Target="https://www.dcu.ie/sites/default/files/finance_editor/2022-07/2)%20Document%20Hierarchy%20-%20Final%20-%20V2_0.pdf" TargetMode="External"/><Relationship Id="rId294" Type="http://schemas.openxmlformats.org/officeDocument/2006/relationships/hyperlink" Target="https://documents.worldbank.org/pt/publication/documents-reports/documentdetail/129721468326428758" TargetMode="External"/><Relationship Id="rId179" Type="http://schemas.openxmlformats.org/officeDocument/2006/relationships/hyperlink" Target="https://7sur7.cd/senat-projet-loi-normalisation-metrologie-vote" TargetMode="External"/><Relationship Id="rId178" Type="http://schemas.openxmlformats.org/officeDocument/2006/relationships/hyperlink" Target="https://www.icao.int/WACAF/Documents/Meetings/2019/AFI%20-%20AIG/4_%20Cotonou%20Legal%20texts%20hierarchy.pdf" TargetMode="External"/><Relationship Id="rId299" Type="http://schemas.openxmlformats.org/officeDocument/2006/relationships/hyperlink" Target="https://cdn.standards.iteh.ai/samples/60034/8b0fe714b4e7447baff625e8f6dfb2fa/ISO-6707-1-2014.pdf" TargetMode="External"/><Relationship Id="rId177" Type="http://schemas.openxmlformats.org/officeDocument/2006/relationships/hyperlink" Target="https://www.icao.int/WACAF/Documents/Meetings/2019/AFI%20-%20AIG/4_%20Cotonou%20Legal%20texts%20hierarchy.pdf" TargetMode="External"/><Relationship Id="rId298" Type="http://schemas.openxmlformats.org/officeDocument/2006/relationships/hyperlink" Target="https://www.iso.org/standard/72244.html" TargetMode="External"/><Relationship Id="rId198" Type="http://schemas.openxmlformats.org/officeDocument/2006/relationships/hyperlink" Target="https://www.iso.org/directives-and-policies.html" TargetMode="External"/><Relationship Id="rId197" Type="http://schemas.openxmlformats.org/officeDocument/2006/relationships/hyperlink" Target="https://www.cencenelec.eu/european-standardization/european-standards/" TargetMode="External"/><Relationship Id="rId196" Type="http://schemas.openxmlformats.org/officeDocument/2006/relationships/hyperlink" Target="https://www.leganet.cd/Legislation/Droit%20economique/Reglementationproduits/AM.014.29.11.2007.htm" TargetMode="External"/><Relationship Id="rId195" Type="http://schemas.openxmlformats.org/officeDocument/2006/relationships/hyperlink" Target="https://www.icao.int/WACAF/Documents/Meetings/2019/AFI%20-%20AIG/4_%20Cotonou%20Legal%20texts%20hierarchy.pdf" TargetMode="External"/><Relationship Id="rId199" Type="http://schemas.openxmlformats.org/officeDocument/2006/relationships/hyperlink" Target="https://www.iso.org/sites/directives/current/consolidated/index.html" TargetMode="External"/><Relationship Id="rId150" Type="http://schemas.openxmlformats.org/officeDocument/2006/relationships/hyperlink" Target="https://www.iso.org/sites/directives/current/part2/index.xhtml" TargetMode="External"/><Relationship Id="rId271" Type="http://schemas.openxmlformats.org/officeDocument/2006/relationships/hyperlink" Target="https://www.iso.org/files/live/sites/isoorg/files/developing_standards/docs/en/how-to-write-standards.pdf" TargetMode="External"/><Relationship Id="rId392" Type="http://schemas.openxmlformats.org/officeDocument/2006/relationships/hyperlink" Target="https://www.iso.org/sites/directives/current/consolidated/index.html" TargetMode="External"/><Relationship Id="rId270" Type="http://schemas.openxmlformats.org/officeDocument/2006/relationships/hyperlink" Target="https://www.iso.org/sites/directives/current/part2/index.xhtml" TargetMode="External"/><Relationship Id="rId391" Type="http://schemas.openxmlformats.org/officeDocument/2006/relationships/hyperlink" Target="https://www.iso.org/sites/directives/current/part2/index.xhtml" TargetMode="External"/><Relationship Id="rId390" Type="http://schemas.openxmlformats.org/officeDocument/2006/relationships/hyperlink" Target="https://www.worldbank.org/ext/en/what-we-do/project-procurement/frame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boss.cen.eu/media/yypjl3mn/iso_iec_directives_part2.pdf" TargetMode="External"/><Relationship Id="rId4" Type="http://schemas.openxmlformats.org/officeDocument/2006/relationships/numbering" Target="numbering.xml"/><Relationship Id="rId148" Type="http://schemas.openxmlformats.org/officeDocument/2006/relationships/hyperlink" Target="https://www.iso.org/sites/directives/current/part2/index.xhtml" TargetMode="External"/><Relationship Id="rId269" Type="http://schemas.openxmlformats.org/officeDocument/2006/relationships/hyperlink" Target="https://www.scribd.com/presentation/879572970/Directives-Part-2-Changes-2018" TargetMode="External"/><Relationship Id="rId9" Type="http://schemas.openxmlformats.org/officeDocument/2006/relationships/hyperlink" Target="https://www.iso.org/files/live/sites/isoorg/files/store/en/PUB100269.pdf" TargetMode="External"/><Relationship Id="rId143" Type="http://schemas.openxmlformats.org/officeDocument/2006/relationships/hyperlink" Target="https://www.iso.org/iso/iso_iec_guide_21-2_2005.pdf" TargetMode="External"/><Relationship Id="rId264"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385" Type="http://schemas.openxmlformats.org/officeDocument/2006/relationships/hyperlink" Target="https://experts.cenelec.eu/media/Experts/Trainings/2024/2_cen_understanding-the-standardization-process.pdf" TargetMode="External"/><Relationship Id="rId142" Type="http://schemas.openxmlformats.org/officeDocument/2006/relationships/hyperlink" Target="https://boss.cen.eu/media/yypjl3mn/iso_iec_directives_part2.pdf" TargetMode="External"/><Relationship Id="rId263" Type="http://schemas.openxmlformats.org/officeDocument/2006/relationships/hyperlink" Target="https://www.iso.org/sites/directives/current/part2/index.xhtml" TargetMode="External"/><Relationship Id="rId384" Type="http://schemas.openxmlformats.org/officeDocument/2006/relationships/hyperlink" Target="https://www.iso.org/stages-and-resources-for-standards-development.html" TargetMode="External"/><Relationship Id="rId141" Type="http://schemas.openxmlformats.org/officeDocument/2006/relationships/hyperlink" Target="https://www.iso.org/sites/directives/current/part2/index.xhtml" TargetMode="External"/><Relationship Id="rId262" Type="http://schemas.openxmlformats.org/officeDocument/2006/relationships/hyperlink" Target="https://cdn.standards.iteh.ai/samples/39799/ae6a13e9f00b46e69fc2415bc5ce3f7e/ISO-IEC-Guide-21-1-2005.pdf" TargetMode="External"/><Relationship Id="rId383" Type="http://schemas.openxmlformats.org/officeDocument/2006/relationships/hyperlink" Target="https://www.iso.org/sites/directives/current/consolidated/index.html" TargetMode="External"/><Relationship Id="rId140" Type="http://schemas.openxmlformats.org/officeDocument/2006/relationships/hyperlink" Target="https://www.fidic.org/sites/default/files/FIDIC%20Global%20Conditions%20of%20Contract%20for%20the%20Construction%20Industry.pdf" TargetMode="External"/><Relationship Id="rId261" Type="http://schemas.openxmlformats.org/officeDocument/2006/relationships/hyperlink" Target="https://boss.cen.eu/media/yypjl3mn/iso_iec_directives_part2.pdf" TargetMode="External"/><Relationship Id="rId382" Type="http://schemas.openxmlformats.org/officeDocument/2006/relationships/hyperlink" Target="https://www.iso.org/publication/PUB100438.html" TargetMode="External"/><Relationship Id="rId5" Type="http://schemas.openxmlformats.org/officeDocument/2006/relationships/styles" Target="styles.xml"/><Relationship Id="rId147" Type="http://schemas.openxmlformats.org/officeDocument/2006/relationships/hyperlink" Target="https://standards.iteh.ai/catalog/standards/sist/e746fb19-fb5e-43ca-a69b-3b0d99b2e77b/sist-iso-iec-guide-21-1-2009" TargetMode="External"/><Relationship Id="rId268" Type="http://schemas.openxmlformats.org/officeDocument/2006/relationships/hyperlink" Target="https://www.scribd.com/document/899786412/Briefing-05-Template-Simplified-20200713" TargetMode="External"/><Relationship Id="rId389" Type="http://schemas.openxmlformats.org/officeDocument/2006/relationships/hyperlink" Target="https://www.iso.org/stages-and-resources-for-standards-development.html" TargetMode="External"/><Relationship Id="rId6" Type="http://schemas.openxmlformats.org/officeDocument/2006/relationships/image" Target="media/image1.png"/><Relationship Id="rId146" Type="http://schemas.openxmlformats.org/officeDocument/2006/relationships/hyperlink" Target="https://cdn.standards.iteh.ai/samples/39799/ae6a13e9f00b46e69fc2415bc5ce3f7e/ISO-IEC-Guide-21-1-2005.pdf" TargetMode="External"/><Relationship Id="rId267" Type="http://schemas.openxmlformats.org/officeDocument/2006/relationships/hyperlink" Target="https://www.iso.org/files/live/sites/isoorg/files/developing_standards/docs/en/how-to-write-standards.pdf" TargetMode="External"/><Relationship Id="rId388" Type="http://schemas.openxmlformats.org/officeDocument/2006/relationships/hyperlink" Target="https://documents1.worldbank.org/curated/en/323361581052752931/pdf/Standard-Bidding-Documents-Procurement-of-Works.pdf" TargetMode="External"/><Relationship Id="rId7" Type="http://schemas.openxmlformats.org/officeDocument/2006/relationships/image" Target="media/image3.png"/><Relationship Id="rId145" Type="http://schemas.openxmlformats.org/officeDocument/2006/relationships/hyperlink" Target="https://standards.iteh.ai/catalog/standards/iso/1d559cf2-fc6b-43be-a5d2-36b7c489ea7e/iso-iec-guide-21-1999" TargetMode="External"/><Relationship Id="rId266" Type="http://schemas.openxmlformats.org/officeDocument/2006/relationships/hyperlink" Target="https://boss.cen.eu/media/yypjl3mn/iso_iec_directives_part2.pdf" TargetMode="External"/><Relationship Id="rId387" Type="http://schemas.openxmlformats.org/officeDocument/2006/relationships/hyperlink" Target="https://boss.cen.eu/reference-material/guidancedoc/pages/jointcenclctcs/" TargetMode="External"/><Relationship Id="rId8" Type="http://schemas.openxmlformats.org/officeDocument/2006/relationships/image" Target="media/image4.png"/><Relationship Id="rId144" Type="http://schemas.openxmlformats.org/officeDocument/2006/relationships/hyperlink" Target="https://cdn.standards.iteh.ai/samples/39799/ae6a13e9f00b46e69fc2415bc5ce3f7e/ISO-IEC-Guide-21-1-2005.pdf" TargetMode="External"/><Relationship Id="rId265" Type="http://schemas.openxmlformats.org/officeDocument/2006/relationships/hyperlink" Target="https://www.iso.org/sites/directives/current/part2/index.xhtml" TargetMode="External"/><Relationship Id="rId386" Type="http://schemas.openxmlformats.org/officeDocument/2006/relationships/hyperlink" Target="https://www.iso.org/stages-and-resources-for-standards-development.html" TargetMode="External"/><Relationship Id="rId260" Type="http://schemas.openxmlformats.org/officeDocument/2006/relationships/hyperlink" Target="https://documents.worldbank.org/pt/publication/documents-reports/documentdetail/129721468326428758" TargetMode="External"/><Relationship Id="rId381" Type="http://schemas.openxmlformats.org/officeDocument/2006/relationships/hyperlink" Target="https://documents1.worldbank.org/curated/en/099710507092534067/pdf/IDU-2f5f55a5-f19b-41cb-bf5e-601fd69cce52.pdf" TargetMode="External"/><Relationship Id="rId380" Type="http://schemas.openxmlformats.org/officeDocument/2006/relationships/hyperlink" Target="https://www.iso.org/stages-and-resources-for-standards-development.html" TargetMode="External"/><Relationship Id="rId139" Type="http://schemas.openxmlformats.org/officeDocument/2006/relationships/hyperlink" Target="https://boss.cenelec.eu/fadel/pages/eniec/pages/" TargetMode="External"/><Relationship Id="rId138" Type="http://schemas.openxmlformats.org/officeDocument/2006/relationships/hyperlink" Target="https://boss.cenelec.eu/fadel/pages/eniec/pages/" TargetMode="External"/><Relationship Id="rId259" Type="http://schemas.openxmlformats.org/officeDocument/2006/relationships/hyperlink" Target="https://documents1.worldbank.org/curated/en/679571468027296620/pdf/E27480Revised00IC00ECA0EMF0P122219.pdf" TargetMode="External"/><Relationship Id="rId137" Type="http://schemas.openxmlformats.org/officeDocument/2006/relationships/hyperlink" Target="https://www.iso.org/stages-and-resources-for-standards-development.html" TargetMode="External"/><Relationship Id="rId258" Type="http://schemas.openxmlformats.org/officeDocument/2006/relationships/hyperlink" Target="https://documents1.worldbank.org/curated/en/577601492798440919/pdf/40967ocr.pdf" TargetMode="External"/><Relationship Id="rId379" Type="http://schemas.openxmlformats.org/officeDocument/2006/relationships/hyperlink" Target="https://experts.cenelec.eu/media/Experts/Trainings/2024/2_cen_understanding-the-standardization-process.pdf" TargetMode="External"/><Relationship Id="rId132" Type="http://schemas.openxmlformats.org/officeDocument/2006/relationships/hyperlink" Target="https://fr.scribd.com/document/846061752/RDC-Code-2010-Des-Marches-Publics" TargetMode="External"/><Relationship Id="rId253" Type="http://schemas.openxmlformats.org/officeDocument/2006/relationships/hyperlink" Target="https://boss.cenelec.eu/fadel/pages/eniec/pages/" TargetMode="External"/><Relationship Id="rId374" Type="http://schemas.openxmlformats.org/officeDocument/2006/relationships/hyperlink" Target="https://openknowledge.worldbank.org/entities/publication/88d95a53-3321-5866-997f-109cade2c523" TargetMode="External"/><Relationship Id="rId131" Type="http://schemas.openxmlformats.org/officeDocument/2006/relationships/hyperlink" Target="https://www.iso.org/files/live/sites/isoorg/files/store/en/PUB100440.pdf" TargetMode="External"/><Relationship Id="rId252" Type="http://schemas.openxmlformats.org/officeDocument/2006/relationships/hyperlink" Target="https://www.iso.org/obp/ui/" TargetMode="External"/><Relationship Id="rId373" Type="http://schemas.openxmlformats.org/officeDocument/2006/relationships/hyperlink" Target="https://helpdesk-docs.iso.org/article/331-gd-stakeholders-categories" TargetMode="External"/><Relationship Id="rId130" Type="http://schemas.openxmlformats.org/officeDocument/2006/relationships/hyperlink" Target="https://www.iso.org/directives-and-policies.html" TargetMode="External"/><Relationship Id="rId251" Type="http://schemas.openxmlformats.org/officeDocument/2006/relationships/hyperlink" Target="https://www.iso.org/sites/directives/current/part2/index.xhtml" TargetMode="External"/><Relationship Id="rId372" Type="http://schemas.openxmlformats.org/officeDocument/2006/relationships/hyperlink" Target="https://documents1.worldbank.org/curated/en/679571468027296620/pdf/E27480Revised00IC00ECA0EMF0P122219.pdf" TargetMode="External"/><Relationship Id="rId250" Type="http://schemas.openxmlformats.org/officeDocument/2006/relationships/hyperlink" Target="https://www.iso.org/obp/ui/" TargetMode="External"/><Relationship Id="rId371" Type="http://schemas.openxmlformats.org/officeDocument/2006/relationships/hyperlink" Target="https://documents.worldbank.org/pt/publication/documents-reports/documentdetail/129721468326428758" TargetMode="External"/><Relationship Id="rId136" Type="http://schemas.openxmlformats.org/officeDocument/2006/relationships/hyperlink" Target="https://experts.cenelec.eu/media/Experts/Trainings/2024/2_cen_understanding-the-standardization-process.pdf" TargetMode="External"/><Relationship Id="rId257" Type="http://schemas.openxmlformats.org/officeDocument/2006/relationships/hyperlink" Target="https://www.fidic.org/sites/default/files/FIDIC%20Global%20Conditions%20of%20Contract%20for%20the%20Construction%20Industry.pdf" TargetMode="External"/><Relationship Id="rId378" Type="http://schemas.openxmlformats.org/officeDocument/2006/relationships/hyperlink" Target="https://www.iso.org/ru/home.isoDocumentsDownload.do?t=aoP_4vavGMlNKKyN6nmhYgL1PUiJ1p-2i7iX-cUWc_WJnaGyHexOC8l1Df5f5cst&amp;CSRFTOKEN=DXWK-0NS7-T76Q-8OSE-9E3E-PXLT-O6A3-N8YO" TargetMode="External"/><Relationship Id="rId135" Type="http://schemas.openxmlformats.org/officeDocument/2006/relationships/hyperlink" Target="https://boss.cen.eu/media/BOSS%20CENELEC/ref/ir2_e.pdf" TargetMode="External"/><Relationship Id="rId256" Type="http://schemas.openxmlformats.org/officeDocument/2006/relationships/hyperlink" Target="https://documents.worldbank.org/pt/publication/documents-reports/documentdetail/129721468326428758" TargetMode="External"/><Relationship Id="rId377" Type="http://schemas.openxmlformats.org/officeDocument/2006/relationships/hyperlink" Target="https://sfs.fi/en/sfs-finnish-standards/terms-of-reference-for-national-standardization-groups/" TargetMode="External"/><Relationship Id="rId134" Type="http://schemas.openxmlformats.org/officeDocument/2006/relationships/hyperlink" Target="https://fr.scribd.com/document/846061752/RDC-Code-2010-Des-Marches-Publics" TargetMode="External"/><Relationship Id="rId255" Type="http://schemas.openxmlformats.org/officeDocument/2006/relationships/hyperlink" Target="https://documents1.worldbank.org/curated/en/679571468027296620/pdf/E27480Revised00IC00ECA0EMF0P122219.pdf" TargetMode="External"/><Relationship Id="rId376" Type="http://schemas.openxmlformats.org/officeDocument/2006/relationships/hyperlink" Target="https://boss.cenelec.eu/homegrowndeliverables/en/pages/enq/" TargetMode="External"/><Relationship Id="rId133" Type="http://schemas.openxmlformats.org/officeDocument/2006/relationships/hyperlink" Target="https://www.congovirtuel.com/page_rapport_travaux/article/article_primature1.pdf" TargetMode="External"/><Relationship Id="rId254"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375" Type="http://schemas.openxmlformats.org/officeDocument/2006/relationships/hyperlink" Target="https://www.iso.org/stages-and-resources-for-standards-development.html" TargetMode="External"/><Relationship Id="rId172" Type="http://schemas.openxmlformats.org/officeDocument/2006/relationships/hyperlink" Target="https://www.iso.org/sites/directives/current/consolidated/index.html" TargetMode="External"/><Relationship Id="rId293" Type="http://schemas.openxmlformats.org/officeDocument/2006/relationships/hyperlink" Target="https://www.iso.org/sites/directives/current/part2/index.xhtml" TargetMode="External"/><Relationship Id="rId171" Type="http://schemas.openxmlformats.org/officeDocument/2006/relationships/hyperlink" Target="https://www.icao.int/WACAF/Documents/Meetings/2019/AFI%20-%20AIG/4_%20Cotonou%20Legal%20texts%20hierarchy.pdf" TargetMode="External"/><Relationship Id="rId292" Type="http://schemas.openxmlformats.org/officeDocument/2006/relationships/hyperlink" Target="https://www.scribd.com/presentation/879572970/Directives-Part-2-Changes-2018" TargetMode="External"/><Relationship Id="rId170" Type="http://schemas.openxmlformats.org/officeDocument/2006/relationships/hyperlink" Target="https://www.iso.org/sites/directives/current/part2/index.xhtml" TargetMode="External"/><Relationship Id="rId291" Type="http://schemas.openxmlformats.org/officeDocument/2006/relationships/hyperlink" Target="https://documents.worldbank.org/pt/publication/documents-reports/documentdetail/129721468326428758" TargetMode="External"/><Relationship Id="rId290" Type="http://schemas.openxmlformats.org/officeDocument/2006/relationships/hyperlink" Target="https://boss.cen.eu/media/yypjl3mn/iso_iec_directives_part2.pdf" TargetMode="External"/><Relationship Id="rId165" Type="http://schemas.openxmlformats.org/officeDocument/2006/relationships/hyperlink" Target="https://boss.cenelec.eu/fadel/pages/eniec/pages/" TargetMode="External"/><Relationship Id="rId286" Type="http://schemas.openxmlformats.org/officeDocument/2006/relationships/hyperlink" Target="https://cdn.standards.iteh.ai/samples/39799/ae6a13e9f00b46e69fc2415bc5ce3f7e/ISO-IEC-Guide-21-1-2005.pdf" TargetMode="External"/><Relationship Id="rId164" Type="http://schemas.openxmlformats.org/officeDocument/2006/relationships/hyperlink" Target="https://boss.cenelec.eu/fadel/pages/eniec/pages/" TargetMode="External"/><Relationship Id="rId285" Type="http://schemas.openxmlformats.org/officeDocument/2006/relationships/hyperlink" Target="https://boss.cen.eu/media/yypjl3mn/iso_iec_directives_part2.pdf" TargetMode="External"/><Relationship Id="rId163" Type="http://schemas.openxmlformats.org/officeDocument/2006/relationships/hyperlink" Target="https://boss.cenelec.eu/fadel/pages/eniec/pages/" TargetMode="External"/><Relationship Id="rId284" Type="http://schemas.openxmlformats.org/officeDocument/2006/relationships/hyperlink" Target="https://documents1.worldbank.org/curated/en/679571468027296620/pdf/E27480Revised00IC00ECA0EMF0P122219.pdf" TargetMode="External"/><Relationship Id="rId162" Type="http://schemas.openxmlformats.org/officeDocument/2006/relationships/hyperlink" Target="https://www.fidic.org/sites/default/files/FIDIC%20Global%20Conditions%20of%20Contract%20for%20the%20Construction%20Industry.pdf" TargetMode="External"/><Relationship Id="rId283" Type="http://schemas.openxmlformats.org/officeDocument/2006/relationships/hyperlink" Target="https://www.iso.org/files/live/sites/isoorg/files/developing_standards/docs/en/how-to-write-standards.pdf" TargetMode="External"/><Relationship Id="rId169" Type="http://schemas.openxmlformats.org/officeDocument/2006/relationships/hyperlink" Target="https://www.fidic.org/sites/default/files/FIDIC%20Global%20Conditions%20of%20Contract%20for%20the%20Construction%20Industry.pdf" TargetMode="External"/><Relationship Id="rId168" Type="http://schemas.openxmlformats.org/officeDocument/2006/relationships/hyperlink" Target="https://standards.iteh.ai/catalog/standards/iso/1d559cf2-fc6b-43be-a5d2-36b7c489ea7e/iso-iec-guide-21-1999" TargetMode="External"/><Relationship Id="rId289" Type="http://schemas.openxmlformats.org/officeDocument/2006/relationships/hyperlink" Target="https://documents1.worldbank.org/curated/en/679571468027296620/pdf/E27480Revised00IC00ECA0EMF0P122219.pdf" TargetMode="External"/><Relationship Id="rId167" Type="http://schemas.openxmlformats.org/officeDocument/2006/relationships/hyperlink" Target="https://boss.cen.eu/media/yypjl3mn/iso_iec_directives_part2.pdf" TargetMode="External"/><Relationship Id="rId288" Type="http://schemas.openxmlformats.org/officeDocument/2006/relationships/hyperlink" Target="https://www.iso.org/files/live/sites/isoorg/files/store/en/PUB100440.pdf" TargetMode="External"/><Relationship Id="rId166" Type="http://schemas.openxmlformats.org/officeDocument/2006/relationships/hyperlink" Target="https://www.fidic.org/sites/default/files/FIDIC%20Global%20Conditions%20of%20Contract%20for%20the%20Construction%20Industry.pdf" TargetMode="External"/><Relationship Id="rId287" Type="http://schemas.openxmlformats.org/officeDocument/2006/relationships/hyperlink" Target="https://documents1.worldbank.org/curated/en/099710507092534067/pdf/IDU-2f5f55a5-f19b-41cb-bf5e-601fd69cce52.pdf" TargetMode="External"/><Relationship Id="rId161" Type="http://schemas.openxmlformats.org/officeDocument/2006/relationships/hyperlink" Target="https://boss.cenelec.eu/fadel/pages/eniec/pages/" TargetMode="External"/><Relationship Id="rId282" Type="http://schemas.openxmlformats.org/officeDocument/2006/relationships/hyperlink" Target="https://www.scribd.com/presentation/879572970/Directives-Part-2-Changes-2018" TargetMode="External"/><Relationship Id="rId160" Type="http://schemas.openxmlformats.org/officeDocument/2006/relationships/hyperlink" Target="https://standards.iteh.ai/catalog/standards/sist/e746fb19-fb5e-43ca-a69b-3b0d99b2e77b/sist-iso-iec-guide-21-1-2009" TargetMode="External"/><Relationship Id="rId281" Type="http://schemas.openxmlformats.org/officeDocument/2006/relationships/hyperlink" Target="https://www.scribd.com/document/899786412/Briefing-05-Template-Simplified-20200713" TargetMode="External"/><Relationship Id="rId280" Type="http://schemas.openxmlformats.org/officeDocument/2006/relationships/hyperlink" Target="https://www.iso.org/directives-and-policies.html" TargetMode="External"/><Relationship Id="rId159" Type="http://schemas.openxmlformats.org/officeDocument/2006/relationships/hyperlink" Target="https://www.iso.org/iso/iso_iec_guide_21-2_2005.pdf" TargetMode="External"/><Relationship Id="rId154" Type="http://schemas.openxmlformats.org/officeDocument/2006/relationships/hyperlink" Target="https://boss.cen.eu/media/yypjl3mn/iso_iec_directives_part2.pdf" TargetMode="External"/><Relationship Id="rId275" Type="http://schemas.openxmlformats.org/officeDocument/2006/relationships/hyperlink" Target="https://www.scribd.com/document/899786412/Briefing-05-Template-Simplified-20200713" TargetMode="External"/><Relationship Id="rId396" Type="http://schemas.openxmlformats.org/officeDocument/2006/relationships/hyperlink" Target="https://webdesk.jsa.or.jp/pdf/dev/md_1885.pdf" TargetMode="External"/><Relationship Id="rId153" Type="http://schemas.openxmlformats.org/officeDocument/2006/relationships/hyperlink" Target="https://www.iso.org/sites/directives/current/part2/index.xhtml" TargetMode="External"/><Relationship Id="rId274" Type="http://schemas.openxmlformats.org/officeDocument/2006/relationships/hyperlink" Target="https://documents.worldbank.org/pt/publication/documents-reports/documentdetail/129721468326428758" TargetMode="External"/><Relationship Id="rId395" Type="http://schemas.openxmlformats.org/officeDocument/2006/relationships/hyperlink" Target="https://www.iso.org/files/live/sites/isoorg/files/developing_standards/docs/en/how-to-write-standards.pdf" TargetMode="External"/><Relationship Id="rId152" Type="http://schemas.openxmlformats.org/officeDocument/2006/relationships/hyperlink" Target="https://boss.cen.eu/media/yypjl3mn/iso_iec_directives_part2.pdf" TargetMode="External"/><Relationship Id="rId273" Type="http://schemas.openxmlformats.org/officeDocument/2006/relationships/hyperlink" Target="https://www.iso.org/sites/directives/current/part2/index.xhtml" TargetMode="External"/><Relationship Id="rId394" Type="http://schemas.openxmlformats.org/officeDocument/2006/relationships/hyperlink" Target="https://documents1.worldbank.org/curated/en/099710507092534067/pdf/IDU-2f5f55a5-f19b-41cb-bf5e-601fd69cce52.pdf" TargetMode="External"/><Relationship Id="rId151" Type="http://schemas.openxmlformats.org/officeDocument/2006/relationships/hyperlink" Target="https://cdn.standards.iteh.ai/samples/39799/ae6a13e9f00b46e69fc2415bc5ce3f7e/ISO-IEC-Guide-21-1-2005.pdf" TargetMode="External"/><Relationship Id="rId272" Type="http://schemas.openxmlformats.org/officeDocument/2006/relationships/hyperlink" Target="https://cdn.standards.iteh.ai/samples/39799/ae6a13e9f00b46e69fc2415bc5ce3f7e/ISO-IEC-Guide-21-1-2005.pdf" TargetMode="External"/><Relationship Id="rId393" Type="http://schemas.openxmlformats.org/officeDocument/2006/relationships/hyperlink" Target="https://documents.worldbank.org/pt/publication/documents-reports/documentdetail/129721468326428758" TargetMode="External"/><Relationship Id="rId158" Type="http://schemas.openxmlformats.org/officeDocument/2006/relationships/hyperlink" Target="https://standards.iteh.ai/catalog/standards/iso/1d559cf2-fc6b-43be-a5d2-36b7c489ea7e/iso-iec-guide-21-1999" TargetMode="External"/><Relationship Id="rId279" Type="http://schemas.openxmlformats.org/officeDocument/2006/relationships/hyperlink" Target="https://webdesk.jsa.or.jp/pdf/dev/md_1885.pdf" TargetMode="External"/><Relationship Id="rId157" Type="http://schemas.openxmlformats.org/officeDocument/2006/relationships/hyperlink" Target="https://standards.iteh.ai/catalog/standards/sist/e746fb19-fb5e-43ca-a69b-3b0d99b2e77b/sist-iso-iec-guide-21-1-2009" TargetMode="External"/><Relationship Id="rId278" Type="http://schemas.openxmlformats.org/officeDocument/2006/relationships/hyperlink" Target="https://documents1.worldbank.org/curated/en/099710507092534067/pdf/IDU-2f5f55a5-f19b-41cb-bf5e-601fd69cce52.pdf" TargetMode="External"/><Relationship Id="rId399" Type="http://schemas.openxmlformats.org/officeDocument/2006/relationships/hyperlink" Target="https://fr.scribd.com/document/846061752/RDC-Code-2010-Des-Marches-Publics" TargetMode="External"/><Relationship Id="rId156" Type="http://schemas.openxmlformats.org/officeDocument/2006/relationships/hyperlink" Target="https://www.interamericancoalition-medtech.org/regulatory-convergence/wp-content/uploads/sites/4/2022/03/Regional-and-National-Adoptions-of-IS-COPANT-March-2022.pdf" TargetMode="External"/><Relationship Id="rId277"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398" Type="http://schemas.openxmlformats.org/officeDocument/2006/relationships/hyperlink" Target="https://www.iso.org/files/live/sites/isoorg/files/store/en/PUB100440.pdf" TargetMode="External"/><Relationship Id="rId155" Type="http://schemas.openxmlformats.org/officeDocument/2006/relationships/hyperlink" Target="https://www.iso.org/sites/directives/current/part2/index.xhtml" TargetMode="External"/><Relationship Id="rId276" Type="http://schemas.openxmlformats.org/officeDocument/2006/relationships/hyperlink" Target="https://www.iso.org/files/live/sites/isoorg/files/developing_standards/docs/en/how-to-write-standards.pdf" TargetMode="External"/><Relationship Id="rId397" Type="http://schemas.openxmlformats.org/officeDocument/2006/relationships/hyperlink" Target="https://documents1.worldbank.org/curated/en/679571468027296620/pdf/E27480Revised00IC00ECA0EMF0P122219.pdf" TargetMode="External"/><Relationship Id="rId40" Type="http://schemas.openxmlformats.org/officeDocument/2006/relationships/hyperlink" Target="https://boss.cen.eu/media/yypjl3mn/iso_iec_directives_part2.pdf" TargetMode="External"/><Relationship Id="rId42" Type="http://schemas.openxmlformats.org/officeDocument/2006/relationships/hyperlink" Target="https://documents1.worldbank.org/curated/en/099710507092534067/pdf/IDU-2f5f55a5-f19b-41cb-bf5e-601fd69cce52.pdf" TargetMode="External"/><Relationship Id="rId41" Type="http://schemas.openxmlformats.org/officeDocument/2006/relationships/hyperlink" Target="https://boss.cenelec.eu/technicalstructures/pages/tc/" TargetMode="External"/><Relationship Id="rId44" Type="http://schemas.openxmlformats.org/officeDocument/2006/relationships/hyperlink" Target="https://www.iso.org/files/live/sites/isoorg/files/store/en/PUB100440.pdf" TargetMode="External"/><Relationship Id="rId43" Type="http://schemas.openxmlformats.org/officeDocument/2006/relationships/hyperlink" Target="https://www.iso.org/sites/directives/current/consolidated/index.html" TargetMode="External"/><Relationship Id="rId46" Type="http://schemas.openxmlformats.org/officeDocument/2006/relationships/hyperlink" Target="https://www.gso.org.sa/tr/api/courses/201305/materials/28375" TargetMode="External"/><Relationship Id="rId45" Type="http://schemas.openxmlformats.org/officeDocument/2006/relationships/hyperlink" Target="https://experts.cen.eu/media/Experts/Trainings/2022/01_cen-cenelec_standardization_system.pdf" TargetMode="External"/><Relationship Id="rId48" Type="http://schemas.openxmlformats.org/officeDocument/2006/relationships/hyperlink" Target="https://documents.worldbank.org/pt/publication/documents-reports/documentdetail/129721468326428758" TargetMode="External"/><Relationship Id="rId47" Type="http://schemas.openxmlformats.org/officeDocument/2006/relationships/hyperlink" Target="https://boss.cen.eu/media/yypjl3mn/iso_iec_directives_part2.pdf" TargetMode="External"/><Relationship Id="rId49" Type="http://schemas.openxmlformats.org/officeDocument/2006/relationships/hyperlink" Target="https://www.iso.org/files/live/sites/isoorg/files/store/en/PUB100269.pdf" TargetMode="External"/><Relationship Id="rId31" Type="http://schemas.openxmlformats.org/officeDocument/2006/relationships/hyperlink" Target="https://www.iso.org/files/live/sites/isoorg/files/store/en/PUB100479.pdf" TargetMode="External"/><Relationship Id="rId30" Type="http://schemas.openxmlformats.org/officeDocument/2006/relationships/hyperlink" Target="https://www.iso.org/files/live/sites/isoorg/files/store/en/PUB100479.pdf" TargetMode="External"/><Relationship Id="rId33" Type="http://schemas.openxmlformats.org/officeDocument/2006/relationships/hyperlink" Target="https://openknowledge.worldbank.org/entities/publication/88d95a53-3321-5866-997f-109cade2c523" TargetMode="External"/><Relationship Id="rId32" Type="http://schemas.openxmlformats.org/officeDocument/2006/relationships/hyperlink" Target="https://share.ansi.org/Shared%20Documents/News%20and%20Publications/Links%20Within%20Stories/ISO%20IEC%20DGUIDE%2059.pdf" TargetMode="External"/><Relationship Id="rId35" Type="http://schemas.openxmlformats.org/officeDocument/2006/relationships/hyperlink" Target="https://www.iso.org/files/live/sites/isoorg/files/store/en/PUB100440.pdf" TargetMode="External"/><Relationship Id="rId34" Type="http://schemas.openxmlformats.org/officeDocument/2006/relationships/hyperlink" Target="https://thedocs.worldbank.org/en/doc/96550c14d62154355b6edc367d4d7f33-0080012021/original/Infrastructure-Governance-Assessment-Framework-December-2020.pdf" TargetMode="External"/><Relationship Id="rId37" Type="http://schemas.openxmlformats.org/officeDocument/2006/relationships/hyperlink" Target="https://www.gso.org.sa/tr/api/courses/201305/materials/28375" TargetMode="External"/><Relationship Id="rId36" Type="http://schemas.openxmlformats.org/officeDocument/2006/relationships/hyperlink" Target="https://boss.cenelec.eu/technicalstructures/pages/tc/" TargetMode="External"/><Relationship Id="rId39" Type="http://schemas.openxmlformats.org/officeDocument/2006/relationships/hyperlink" Target="https://www.iso.org/files/live/sites/isoorg/files/store/en/PUB100269.pdf" TargetMode="External"/><Relationship Id="rId38" Type="http://schemas.openxmlformats.org/officeDocument/2006/relationships/hyperlink" Target="https://www.leganet.cd/Legislation/Droit%20economique/Reglementationproduits/AM.014.29.11.2007.htm" TargetMode="External"/><Relationship Id="rId20" Type="http://schemas.openxmlformats.org/officeDocument/2006/relationships/hyperlink" Target="https://helpdesk-docs.iso.org/article/331-gd-stakeholders-categories" TargetMode="External"/><Relationship Id="rId22" Type="http://schemas.openxmlformats.org/officeDocument/2006/relationships/hyperlink" Target="https://helpdesk-docs.iso.org/article/331-gd-stakeholders-categories" TargetMode="External"/><Relationship Id="rId21" Type="http://schemas.openxmlformats.org/officeDocument/2006/relationships/hyperlink" Target="https://share.ansi.org/ISOT/Other%20ISOT%20Resources/ISO%20Stakeholder%20Category%20Definitions.pdf" TargetMode="External"/><Relationship Id="rId24" Type="http://schemas.openxmlformats.org/officeDocument/2006/relationships/hyperlink" Target="https://www.iso.org/files/live/sites/isoorg/files/store/en/PUB100440.pdf" TargetMode="External"/><Relationship Id="rId23" Type="http://schemas.openxmlformats.org/officeDocument/2006/relationships/hyperlink" Target="https://www.iso.org/sites/ConsumersStandards/1_standards.html" TargetMode="External"/><Relationship Id="rId409" Type="http://schemas.openxmlformats.org/officeDocument/2006/relationships/hyperlink" Target="https://documents.worldbank.org/pt/publication/documents-reports/documentdetail/129721468326428758" TargetMode="External"/><Relationship Id="rId404" Type="http://schemas.openxmlformats.org/officeDocument/2006/relationships/hyperlink" Target="https://documents1.worldbank.org/curated/en/099710507092534067/pdf/IDU-2f5f55a5-f19b-41cb-bf5e-601fd69cce52.pdf" TargetMode="External"/><Relationship Id="rId403" Type="http://schemas.openxmlformats.org/officeDocument/2006/relationships/hyperlink" Target="https://documents.worldbank.org/pt/publication/documents-reports/documentdetail/129721468326428758" TargetMode="External"/><Relationship Id="rId402" Type="http://schemas.openxmlformats.org/officeDocument/2006/relationships/hyperlink" Target="https://cdn.standards.iteh.ai/samples/39799/ae6a13e9f00b46e69fc2415bc5ce3f7e/ISO-IEC-Guide-21-1-2005.pdf" TargetMode="External"/><Relationship Id="rId401" Type="http://schemas.openxmlformats.org/officeDocument/2006/relationships/hyperlink" Target="https://documents1.worldbank.org/curated/en/679571468027296620/pdf/E27480Revised00IC00ECA0EMF0P122219.pdf" TargetMode="External"/><Relationship Id="rId408" Type="http://schemas.openxmlformats.org/officeDocument/2006/relationships/hyperlink" Target="https://documents1.worldbank.org/curated/en/099710507092534067/pdf/IDU-2f5f55a5-f19b-41cb-bf5e-601fd69cce52.pdf" TargetMode="External"/><Relationship Id="rId407" Type="http://schemas.openxmlformats.org/officeDocument/2006/relationships/hyperlink" Target="https://documents1.worldbank.org/curated/en/679571468027296620/pdf/E27480Revised00IC00ECA0EMF0P122219.pdf" TargetMode="External"/><Relationship Id="rId406" Type="http://schemas.openxmlformats.org/officeDocument/2006/relationships/hyperlink" Target="https://documents1.worldbank.org/curated/en/577601492798440919/pdf/40967ocr.pdf" TargetMode="External"/><Relationship Id="rId405" Type="http://schemas.openxmlformats.org/officeDocument/2006/relationships/hyperlink" Target="https://www.iso.org/sites/directives/current/part2/index.xhtml" TargetMode="External"/><Relationship Id="rId26" Type="http://schemas.openxmlformats.org/officeDocument/2006/relationships/hyperlink" Target="https://www.iso.org/files/live/sites/isoorg/files/store/en/PUB100269.pdf" TargetMode="External"/><Relationship Id="rId25" Type="http://schemas.openxmlformats.org/officeDocument/2006/relationships/hyperlink" Target="https://fr.scribd.com/document/846061752/RDC-Code-2010-Des-Marches-Publics" TargetMode="External"/><Relationship Id="rId28" Type="http://schemas.openxmlformats.org/officeDocument/2006/relationships/hyperlink" Target="https://www.gso.org.sa/tr/api/courses/201305/materials/28375" TargetMode="External"/><Relationship Id="rId27" Type="http://schemas.openxmlformats.org/officeDocument/2006/relationships/hyperlink" Target="https://boss.cenelec.eu/technicalstructures/pages/tc/" TargetMode="External"/><Relationship Id="rId400" Type="http://schemas.openxmlformats.org/officeDocument/2006/relationships/hyperlink" Target="https://documents.worldbank.org/pt/publication/documents-reports/documentdetail/129721468326428758" TargetMode="External"/><Relationship Id="rId29" Type="http://schemas.openxmlformats.org/officeDocument/2006/relationships/hyperlink" Target="https://www.iso.org/sites/directives/current/consolidated/index.html" TargetMode="External"/><Relationship Id="rId11" Type="http://schemas.openxmlformats.org/officeDocument/2006/relationships/hyperlink" Target="https://boss.cenelec.eu/technicalstructures/pages/tc/" TargetMode="External"/><Relationship Id="rId10" Type="http://schemas.openxmlformats.org/officeDocument/2006/relationships/hyperlink" Target="https://experts.cen.eu/media/Experts/Trainings/2022/01_cen-cenelec_standardization_system.pdf" TargetMode="External"/><Relationship Id="rId13" Type="http://schemas.openxmlformats.org/officeDocument/2006/relationships/hyperlink" Target="https://www.iso.org/sites/directives/current/consolidated/index.html" TargetMode="External"/><Relationship Id="rId12" Type="http://schemas.openxmlformats.org/officeDocument/2006/relationships/hyperlink" Target="https://www.gso.org.sa/tr/api/courses/201305/materials/28375" TargetMode="External"/><Relationship Id="rId15" Type="http://schemas.openxmlformats.org/officeDocument/2006/relationships/hyperlink" Target="https://experts.cen.eu/media/Experts/Trainings/2022/01_cen-cenelec_standardization_system.pdf" TargetMode="External"/><Relationship Id="rId14" Type="http://schemas.openxmlformats.org/officeDocument/2006/relationships/hyperlink" Target="https://documents.worldbank.org/pt/publication/documents-reports/documentdetail/129721468326428758" TargetMode="External"/><Relationship Id="rId17" Type="http://schemas.openxmlformats.org/officeDocument/2006/relationships/hyperlink" Target="https://www.arso-oran.org/wp-content/uploads/2024/11/African-Standards-Harmonisation-Procedures.pdf" TargetMode="External"/><Relationship Id="rId16" Type="http://schemas.openxmlformats.org/officeDocument/2006/relationships/hyperlink" Target="https://www.iso.org/directives-and-policies.html" TargetMode="External"/><Relationship Id="rId19" Type="http://schemas.openxmlformats.org/officeDocument/2006/relationships/hyperlink" Target="https://share.ansi.org/ISOT/Other%20ISOT%20Resources/ISO%20Stakeholder%20Category%20Definitions.pdf" TargetMode="External"/><Relationship Id="rId18" Type="http://schemas.openxmlformats.org/officeDocument/2006/relationships/hyperlink" Target="https://helpdesk-docs.iso.org/article/331-gd-stakeholders-categories" TargetMode="External"/><Relationship Id="rId84" Type="http://schemas.openxmlformats.org/officeDocument/2006/relationships/hyperlink" Target="https://experts.cen.eu/media/Experts/Trainings/2022/01_cen-cenelec_standardization_system.pdf" TargetMode="External"/><Relationship Id="rId83" Type="http://schemas.openxmlformats.org/officeDocument/2006/relationships/hyperlink" Target="https://www.iso.org/sites/directives/current/consolidated/index.html" TargetMode="External"/><Relationship Id="rId86" Type="http://schemas.openxmlformats.org/officeDocument/2006/relationships/hyperlink" Target="https://boss.cen.eu/media/yypjl3mn/iso_iec_directives_part2.pdf" TargetMode="External"/><Relationship Id="rId85" Type="http://schemas.openxmlformats.org/officeDocument/2006/relationships/hyperlink" Target="https://www.iso.org/sites/directives/current/consolidated/index.html" TargetMode="External"/><Relationship Id="rId88" Type="http://schemas.openxmlformats.org/officeDocument/2006/relationships/hyperlink" Target="https://www.iso.org/sites/directives/current/part2/index.xhtml" TargetMode="External"/><Relationship Id="rId87" Type="http://schemas.openxmlformats.org/officeDocument/2006/relationships/hyperlink" Target="https://www.iso.org/sites/directives/current/part2/index.xhtml" TargetMode="External"/><Relationship Id="rId89" Type="http://schemas.openxmlformats.org/officeDocument/2006/relationships/hyperlink" Target="https://boss.cen.eu/media/yypjl3mn/iso_iec_directives_part2.pdf" TargetMode="External"/><Relationship Id="rId80" Type="http://schemas.openxmlformats.org/officeDocument/2006/relationships/hyperlink" Target="https://documents1.worldbank.org/curated/en/099710507092534067/pdf/IDU-2f5f55a5-f19b-41cb-bf5e-601fd69cce52.pdf" TargetMode="External"/><Relationship Id="rId82" Type="http://schemas.openxmlformats.org/officeDocument/2006/relationships/hyperlink" Target="https://documents1.worldbank.org/curated/en/577601492798440919/pdf/40967ocr.pdf" TargetMode="External"/><Relationship Id="rId81" Type="http://schemas.openxmlformats.org/officeDocument/2006/relationships/hyperlink" Target="https://documents.worldbank.org/pt/publication/documents-reports/documentdetail/129721468326428758" TargetMode="External"/><Relationship Id="rId73" Type="http://schemas.openxmlformats.org/officeDocument/2006/relationships/hyperlink" Target="https://www.gso.org.sa/tr/api/courses/201305/materials/28375" TargetMode="External"/><Relationship Id="rId72" Type="http://schemas.openxmlformats.org/officeDocument/2006/relationships/hyperlink" Target="https://boss.cenelec.eu/technicalstructures/pages/tc/" TargetMode="External"/><Relationship Id="rId75" Type="http://schemas.openxmlformats.org/officeDocument/2006/relationships/hyperlink" Target="https://share.ansi.org/ISOT/Other%20ISOT%20Resources/ISO%20Stakeholder%20Category%20Definitions.pdf" TargetMode="External"/><Relationship Id="rId74" Type="http://schemas.openxmlformats.org/officeDocument/2006/relationships/hyperlink" Target="https://boss.cen.eu/media/BOSS%20CENELEC/ref/ir2_e.pdf" TargetMode="External"/><Relationship Id="rId77" Type="http://schemas.openxmlformats.org/officeDocument/2006/relationships/hyperlink" Target="https://sfs.fi/en/sfs-finnish-standards/terms-of-reference-for-national-standardization-groups/" TargetMode="External"/><Relationship Id="rId76" Type="http://schemas.openxmlformats.org/officeDocument/2006/relationships/hyperlink" Target="https://www.iso.org/files/live/sites/isoorg/files/store/en/PUB100479.pdf" TargetMode="External"/><Relationship Id="rId79" Type="http://schemas.openxmlformats.org/officeDocument/2006/relationships/hyperlink" Target="https://experts.cenelec.eu/media/Experts/Trainings/2024/2_cenelec_understanding_standardization_process.pdf" TargetMode="External"/><Relationship Id="rId78" Type="http://schemas.openxmlformats.org/officeDocument/2006/relationships/hyperlink" Target="https://iso26000.info/iso-standardization/" TargetMode="External"/><Relationship Id="rId71" Type="http://schemas.openxmlformats.org/officeDocument/2006/relationships/hyperlink" Target="https://boss.cenelec.eu/technicalstructures/pages/tc/" TargetMode="External"/><Relationship Id="rId70" Type="http://schemas.openxmlformats.org/officeDocument/2006/relationships/hyperlink" Target="https://www.fidic.org/sites/default/files/FIDIC%20Global%20Conditions%20of%20Contract%20for%20the%20Construction%20Industry.pdf" TargetMode="External"/><Relationship Id="rId62" Type="http://schemas.openxmlformats.org/officeDocument/2006/relationships/hyperlink" Target="https://sfs.fi/en/sfs-finnish-standards/terms-of-reference-for-national-standardization-groups/" TargetMode="External"/><Relationship Id="rId61" Type="http://schemas.openxmlformats.org/officeDocument/2006/relationships/hyperlink" Target="https://fr.scribd.com/document/846061752/RDC-Code-2010-Des-Marches-Publics" TargetMode="External"/><Relationship Id="rId64" Type="http://schemas.openxmlformats.org/officeDocument/2006/relationships/hyperlink" Target="https://sfs.fi/en/sfs-finnish-standards/terms-of-reference-for-national-standardization-groups/" TargetMode="External"/><Relationship Id="rId63" Type="http://schemas.openxmlformats.org/officeDocument/2006/relationships/hyperlink" Target="https://www.iso.org/files/live/sites/isoorg/files/store/en/PUB100269.pdf" TargetMode="External"/><Relationship Id="rId66" Type="http://schemas.openxmlformats.org/officeDocument/2006/relationships/hyperlink" Target="https://www.gso.org.sa/tr/api/courses/201305/materials/28375" TargetMode="External"/><Relationship Id="rId65" Type="http://schemas.openxmlformats.org/officeDocument/2006/relationships/hyperlink" Target="https://experts.cen.eu/media/Experts/Trainings/2022/01_cen-cenelec_standardization_system.pdf" TargetMode="External"/><Relationship Id="rId68" Type="http://schemas.openxmlformats.org/officeDocument/2006/relationships/hyperlink" Target="https://documents.worldbank.org/pt/publication/documents-reports/documentdetail/129721468326428758" TargetMode="External"/><Relationship Id="rId67" Type="http://schemas.openxmlformats.org/officeDocument/2006/relationships/hyperlink" Target="https://helpdesk-docs.iso.org/article/331-gd-stakeholders-categories" TargetMode="External"/><Relationship Id="rId60" Type="http://schemas.openxmlformats.org/officeDocument/2006/relationships/hyperlink" Target="https://www.iso.org/files/live/sites/isoorg/files/store/en/PUB100269.pdf" TargetMode="External"/><Relationship Id="rId69" Type="http://schemas.openxmlformats.org/officeDocument/2006/relationships/hyperlink" Target="https://www.iso.org/sites/directives/current/consolidated/index.html" TargetMode="External"/><Relationship Id="rId51" Type="http://schemas.openxmlformats.org/officeDocument/2006/relationships/hyperlink" Target="https://experts.cen.eu/media/Experts/Trainings/2022/01_cen-cenelec_standardization_system.pdf" TargetMode="External"/><Relationship Id="rId50" Type="http://schemas.openxmlformats.org/officeDocument/2006/relationships/hyperlink" Target="https://www.fidic.org/sites/default/files/FIDIC%20Global%20Conditions%20of%20Contract%20for%20the%20Construction%20Industry.pdf" TargetMode="External"/><Relationship Id="rId53" Type="http://schemas.openxmlformats.org/officeDocument/2006/relationships/hyperlink" Target="https://documents1.worldbank.org/curated/en/679571468027296620/pdf/E27480Revised00IC00ECA0EMF0P122219.pdf" TargetMode="External"/><Relationship Id="rId52" Type="http://schemas.openxmlformats.org/officeDocument/2006/relationships/hyperlink" Target="https://www.iso.org/files/live/sites/isoorg/files/store/en/PUB100269.pdf" TargetMode="External"/><Relationship Id="rId55" Type="http://schemas.openxmlformats.org/officeDocument/2006/relationships/hyperlink" Target="https://www.iso.org/sites/directives/current/consolidated/index.html" TargetMode="External"/><Relationship Id="rId54" Type="http://schemas.openxmlformats.org/officeDocument/2006/relationships/hyperlink" Target="https://www.fidic.org/sites/default/files/FIDIC%20Global%20Conditions%20of%20Contract%20for%20the%20Construction%20Industry.pdf" TargetMode="External"/><Relationship Id="rId57" Type="http://schemas.openxmlformats.org/officeDocument/2006/relationships/hyperlink" Target="https://www.iso.org/sites/directives/current/part2/index.xhtml" TargetMode="External"/><Relationship Id="rId56" Type="http://schemas.openxmlformats.org/officeDocument/2006/relationships/hyperlink" Target="https://boss.cen.eu/media/yypjl3mn/iso_iec_directives_part2.pdf" TargetMode="External"/><Relationship Id="rId59" Type="http://schemas.openxmlformats.org/officeDocument/2006/relationships/hyperlink" Target="https://www.iso.org/sites/directives/current/consolidated/index.html" TargetMode="External"/><Relationship Id="rId58" Type="http://schemas.openxmlformats.org/officeDocument/2006/relationships/hyperlink" Target="https://www.iso.org/sites/directives/current/part2/index.xhtml" TargetMode="External"/><Relationship Id="rId107" Type="http://schemas.openxmlformats.org/officeDocument/2006/relationships/hyperlink" Target="https://boss.cen.eu/reference-material/guidancedoc/pages/jointcenclctcs/" TargetMode="External"/><Relationship Id="rId228" Type="http://schemas.openxmlformats.org/officeDocument/2006/relationships/hyperlink" Target="https://documents.worldbank.org/pt/publication/documents-reports/documentdetail/129721468326428758" TargetMode="External"/><Relationship Id="rId349" Type="http://schemas.openxmlformats.org/officeDocument/2006/relationships/hyperlink" Target="https://www.worldbank.org/ext/en/what-we-do/project-procurement/framework" TargetMode="External"/><Relationship Id="rId106" Type="http://schemas.openxmlformats.org/officeDocument/2006/relationships/hyperlink" Target="https://www.iso.org/stages-and-resources-for-standards-development.html" TargetMode="External"/><Relationship Id="rId227" Type="http://schemas.openxmlformats.org/officeDocument/2006/relationships/hyperlink" Target="https://documents1.worldbank.org/curated/en/099710507092534067/pdf/IDU-2f5f55a5-f19b-41cb-bf5e-601fd69cce52.pdf" TargetMode="External"/><Relationship Id="rId348" Type="http://schemas.openxmlformats.org/officeDocument/2006/relationships/hyperlink" Target="https://www.worldbank.org/ext/en/what-we-do/project-procurement/framework" TargetMode="External"/><Relationship Id="rId105" Type="http://schemas.openxmlformats.org/officeDocument/2006/relationships/hyperlink" Target="https://boss.cen.eu/reference-material/guidancedoc/pages/jointcenclctcs/" TargetMode="External"/><Relationship Id="rId226" Type="http://schemas.openxmlformats.org/officeDocument/2006/relationships/hyperlink" Target="https://documents1.worldbank.org/curated/en/099710507092534067/pdf/IDU-2f5f55a5-f19b-41cb-bf5e-601fd69cce52.pdf" TargetMode="External"/><Relationship Id="rId347" Type="http://schemas.openxmlformats.org/officeDocument/2006/relationships/hyperlink" Target="https://documents1.worldbank.org/curated/en/323361581052752931/pdf/Standard-Bidding-Documents-Procurement-of-Works.pdf" TargetMode="External"/><Relationship Id="rId104" Type="http://schemas.openxmlformats.org/officeDocument/2006/relationships/hyperlink" Target="https://www.iso.org/sites/directives/current/consolidated/index.html" TargetMode="External"/><Relationship Id="rId225" Type="http://schemas.openxmlformats.org/officeDocument/2006/relationships/hyperlink" Target="https://documents.worldbank.org/pt/publication/documents-reports/documentdetail/129721468326428758" TargetMode="External"/><Relationship Id="rId346" Type="http://schemas.openxmlformats.org/officeDocument/2006/relationships/hyperlink" Target="https://thedocs.worldbank.org/en/doc/698051509461951457-0290022017/original/DraftESFGuidanceNotesForBorrowersForPublicCommentAcronymsAbbreviationsGlossaryNov12017.docx" TargetMode="External"/><Relationship Id="rId109" Type="http://schemas.openxmlformats.org/officeDocument/2006/relationships/hyperlink" Target="https://www.iso.org/files/live/sites/isoorg/files/store/en/PUB100269.pdf" TargetMode="External"/><Relationship Id="rId108" Type="http://schemas.openxmlformats.org/officeDocument/2006/relationships/hyperlink" Target="https://boss.cenelec.eu/technicalstructures/pages/tc/" TargetMode="External"/><Relationship Id="rId229" Type="http://schemas.openxmlformats.org/officeDocument/2006/relationships/hyperlink" Target="https://www.fidic.org/sites/default/files/FIDIC%20Global%20Conditions%20of%20Contract%20for%20the%20Construction%20Industry.pdf" TargetMode="External"/><Relationship Id="rId220" Type="http://schemas.openxmlformats.org/officeDocument/2006/relationships/hyperlink" Target="https://www.iso.org/stages-and-resources-for-standards-development.html" TargetMode="External"/><Relationship Id="rId341" Type="http://schemas.openxmlformats.org/officeDocument/2006/relationships/hyperlink" Target="https://www.iso.org/standard/75300.html" TargetMode="External"/><Relationship Id="rId340" Type="http://schemas.openxmlformats.org/officeDocument/2006/relationships/hyperlink" Target="https://img.antpedia.com/standard/files/pdfs_ora/20230612/iso/10001-15000/ISO%2014050-2020.pdf" TargetMode="External"/><Relationship Id="rId103" Type="http://schemas.openxmlformats.org/officeDocument/2006/relationships/hyperlink" Target="https://boss.cen.eu/reference-material/guidancedoc/pages/jointcenclctcs/" TargetMode="External"/><Relationship Id="rId224" Type="http://schemas.openxmlformats.org/officeDocument/2006/relationships/hyperlink" Target="https://www.iso.org/stages-and-resources-for-standards-development.html" TargetMode="External"/><Relationship Id="rId345" Type="http://schemas.openxmlformats.org/officeDocument/2006/relationships/hyperlink" Target="https://thedocs.worldbank.org/en/doc/698051509461951457-0290022017/original/DraftESFGuidanceNotesForBorrowersForPublicCommentAcronymsAbbreviationsGlossaryNov12017.docx" TargetMode="External"/><Relationship Id="rId102" Type="http://schemas.openxmlformats.org/officeDocument/2006/relationships/hyperlink" Target="https://documents1.worldbank.org/curated/en/679571468027296620/pdf/E27480Revised00IC00ECA0EMF0P122219.pdf" TargetMode="External"/><Relationship Id="rId223" Type="http://schemas.openxmlformats.org/officeDocument/2006/relationships/hyperlink" Target="https://fr.scribd.com/document/846061752/RDC-Code-2010-Des-Marches-Publics" TargetMode="External"/><Relationship Id="rId344" Type="http://schemas.openxmlformats.org/officeDocument/2006/relationships/hyperlink" Target="https://standards.iteh.ai/catalog/standards/iso/63b7b5e3-318b-403d-8eb9-0af6b0e18e45/iso-6707-3-2022" TargetMode="External"/><Relationship Id="rId101" Type="http://schemas.openxmlformats.org/officeDocument/2006/relationships/hyperlink" Target="https://agenturacas.gov.cz/wp-content/uploads/ISO-IEC-Directives-Part-1-with-ISO-Supplement-2024-PDF.pdf" TargetMode="External"/><Relationship Id="rId222" Type="http://schemas.openxmlformats.org/officeDocument/2006/relationships/hyperlink" Target="https://www.congovirtuel.com/page_rapport_travaux/article/article_primature1.pdf" TargetMode="External"/><Relationship Id="rId343" Type="http://schemas.openxmlformats.org/officeDocument/2006/relationships/hyperlink" Target="https://www.iso.org/standard/75300.html" TargetMode="External"/><Relationship Id="rId100" Type="http://schemas.openxmlformats.org/officeDocument/2006/relationships/hyperlink" Target="https://www.iso.org/stages-and-resources-for-standards-development.html" TargetMode="External"/><Relationship Id="rId221" Type="http://schemas.openxmlformats.org/officeDocument/2006/relationships/hyperlink" Target="https://thedocs.worldbank.org/en/doc/96550c14d62154355b6edc367d4d7f33-0080012021/original/Infrastructure-Governance-Assessment-Framework-December-2020.pdf" TargetMode="External"/><Relationship Id="rId342" Type="http://schemas.openxmlformats.org/officeDocument/2006/relationships/hyperlink" Target="https://img.antpedia.com/standard/files/pdfs_ora/20230612/iso/10001-15000/ISO%2014050-2020.pdf" TargetMode="External"/><Relationship Id="rId217" Type="http://schemas.openxmlformats.org/officeDocument/2006/relationships/hyperlink" Target="https://www.iso.org/files/live/sites/isoorg/files/store/en/PUB100440.pdf" TargetMode="External"/><Relationship Id="rId338" Type="http://schemas.openxmlformats.org/officeDocument/2006/relationships/hyperlink" Target="https://committee.iso.org/files/live/sites/tc176/files/documents/Product%20support%20documents/Glossary%20of%20Words%20used%20in%20ISO%209000-2015%20and%20ISO%209001-2015%202019-06-01.pdf" TargetMode="External"/><Relationship Id="rId216" Type="http://schemas.openxmlformats.org/officeDocument/2006/relationships/hyperlink" Target="https://www.dcu.ie/sites/default/files/finance_editor/2022-07/2)%20Document%20Hierarchy%20-%20Final%20-%20V2_0.pdf" TargetMode="External"/><Relationship Id="rId337" Type="http://schemas.openxmlformats.org/officeDocument/2006/relationships/hyperlink" Target="https://committee.iso.org/files/live/sites/tc176/files/documents/Product%20support%20documents/Glossary%20of%20Words%20used%20in%20ISO%209000-2015%20and%20ISO%209001-2015%202019-06-01.pdf" TargetMode="External"/><Relationship Id="rId215" Type="http://schemas.openxmlformats.org/officeDocument/2006/relationships/hyperlink" Target="https://www.iso.org/files/live/sites/isoorg/files/store/en/PUB100440.pdf" TargetMode="External"/><Relationship Id="rId336" Type="http://schemas.openxmlformats.org/officeDocument/2006/relationships/hyperlink" Target="https://committee.iso.org/files/live/sites/tc176/files/documents/Product%20support%20documents/Glossary%20of%20Words%20used%20in%20ISO%209000-2015%20and%20ISO%209001-2015%202019-06-01.pdf" TargetMode="External"/><Relationship Id="rId214" Type="http://schemas.openxmlformats.org/officeDocument/2006/relationships/hyperlink" Target="https://documents1.worldbank.org/curated/en/099710507092534067/pdf/IDU-2f5f55a5-f19b-41cb-bf5e-601fd69cce52.pdf" TargetMode="External"/><Relationship Id="rId335" Type="http://schemas.openxmlformats.org/officeDocument/2006/relationships/hyperlink" Target="https://committee.iso.org/files/live/sites/tc176/files/documents/Product%20support%20documents/Glossary%20of%20Words%20used%20in%20ISO%209000-2015%20and%20ISO%209001-2015%202019-06-01.pdf" TargetMode="External"/><Relationship Id="rId219" Type="http://schemas.openxmlformats.org/officeDocument/2006/relationships/hyperlink" Target="https://documents1.worldbank.org/curated/en/099710507092534067/pdf/IDU-2f5f55a5-f19b-41cb-bf5e-601fd69cce52.pdf" TargetMode="External"/><Relationship Id="rId218" Type="http://schemas.openxmlformats.org/officeDocument/2006/relationships/hyperlink" Target="https://thedocs.worldbank.org/en/doc/96550c14d62154355b6edc367d4d7f33-0080012021/original/Infrastructure-Governance-Assessment-Framework-December-2020.pdf" TargetMode="External"/><Relationship Id="rId339" Type="http://schemas.openxmlformats.org/officeDocument/2006/relationships/hyperlink" Target="https://committee.iso.org/files/live/sites/tc176/files/documents/Product%20support%20documents/Glossary%20of%20Words%20used%20in%20ISO%209000-2015%20and%20ISO%209001-2015%202019-06-01.pdf" TargetMode="External"/><Relationship Id="rId330" Type="http://schemas.openxmlformats.org/officeDocument/2006/relationships/hyperlink" Target="https://www.qse-academy.com/iso-45001-glossary-plain-english-terms/" TargetMode="External"/><Relationship Id="rId213" Type="http://schemas.openxmlformats.org/officeDocument/2006/relationships/hyperlink" Target="https://fr.scribd.com/document/846061752/RDC-Code-2010-Des-Marches-Publics" TargetMode="External"/><Relationship Id="rId334" Type="http://schemas.openxmlformats.org/officeDocument/2006/relationships/hyperlink" Target="https://committee.iso.org/files/live/sites/tc176/files/documents/Product%20support%20documents/Glossary%20of%20Words%20used%20in%20ISO%209000-2015%20and%20ISO%209001-2015%202019-06-01.pdf" TargetMode="External"/><Relationship Id="rId212" Type="http://schemas.openxmlformats.org/officeDocument/2006/relationships/hyperlink" Target="https://fr.scribd.com/document/846061752/RDC-Code-2010-Des-Marches-Publics" TargetMode="External"/><Relationship Id="rId333" Type="http://schemas.openxmlformats.org/officeDocument/2006/relationships/hyperlink" Target="https://thedocs.worldbank.org/en/doc/698051509461951457-0290022017/original/DraftESFGuidanceNotesForBorrowersForPublicCommentAcronymsAbbreviationsGlossaryNov12017.docx" TargetMode="External"/><Relationship Id="rId211" Type="http://schemas.openxmlformats.org/officeDocument/2006/relationships/hyperlink" Target="https://documents1.worldbank.org/curated/en/099710507092534067/pdf/IDU-2f5f55a5-f19b-41cb-bf5e-601fd69cce52.pdf" TargetMode="External"/><Relationship Id="rId332" Type="http://schemas.openxmlformats.org/officeDocument/2006/relationships/hyperlink" Target="https://www.qse-academy.com/iso-45001-glossary-plain-english-terms/" TargetMode="External"/><Relationship Id="rId210" Type="http://schemas.openxmlformats.org/officeDocument/2006/relationships/hyperlink" Target="https://documents1.worldbank.org/curated/en/099710507092534067/pdf/IDU-2f5f55a5-f19b-41cb-bf5e-601fd69cce52.pdf" TargetMode="External"/><Relationship Id="rId331" Type="http://schemas.openxmlformats.org/officeDocument/2006/relationships/hyperlink" Target="https://www.qse-academy.com/iso-45001-glossary-plain-english-terms/" TargetMode="External"/><Relationship Id="rId370" Type="http://schemas.openxmlformats.org/officeDocument/2006/relationships/hyperlink" Target="https://www.congovirtuel.com/page_rapport_travaux/article/article_primature1.pdf" TargetMode="External"/><Relationship Id="rId129" Type="http://schemas.openxmlformats.org/officeDocument/2006/relationships/hyperlink" Target="https://documents.worldbank.org/pt/publication/documents-reports/documentdetail/129721468326428758" TargetMode="External"/><Relationship Id="rId128" Type="http://schemas.openxmlformats.org/officeDocument/2006/relationships/hyperlink" Target="https://boss.cenelec.eu/fadel/pages/eniec/pages/" TargetMode="External"/><Relationship Id="rId249"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127" Type="http://schemas.openxmlformats.org/officeDocument/2006/relationships/hyperlink" Target="https://agenturacas.gov.cz/wp-content/uploads/ISO-IEC-Directives-Part-1-with-ISO-Supplement-2024-PDF.pdf" TargetMode="External"/><Relationship Id="rId248" Type="http://schemas.openxmlformats.org/officeDocument/2006/relationships/hyperlink" Target="https://www.fidic.org/sites/default/files/FIDIC%20Global%20Conditions%20of%20Contract%20for%20the%20Construction%20Industry.pdf" TargetMode="External"/><Relationship Id="rId369" Type="http://schemas.openxmlformats.org/officeDocument/2006/relationships/hyperlink" Target="https://cdn.standards.iteh.ai/samples/39799/ae6a13e9f00b46e69fc2415bc5ce3f7e/ISO-IEC-Guide-21-1-2005.pdf" TargetMode="External"/><Relationship Id="rId126" Type="http://schemas.openxmlformats.org/officeDocument/2006/relationships/hyperlink" Target="https://share.ansi.org/Shared%20Documents/News%20and%20Publications/Links%20Within%20Stories/ISO%20IEC%20DGUIDE%2059.pdf" TargetMode="External"/><Relationship Id="rId247" Type="http://schemas.openxmlformats.org/officeDocument/2006/relationships/hyperlink" Target="https://boss.cen.eu/media/yypjl3mn/iso_iec_directives_part2.pdf" TargetMode="External"/><Relationship Id="rId368" Type="http://schemas.openxmlformats.org/officeDocument/2006/relationships/hyperlink" Target="https://documents1.worldbank.org/curated/en/099710507092534067/pdf/IDU-2f5f55a5-f19b-41cb-bf5e-601fd69cce52.pdf" TargetMode="External"/><Relationship Id="rId121" Type="http://schemas.openxmlformats.org/officeDocument/2006/relationships/hyperlink" Target="https://boss.cen.eu/media/yypjl3mn/iso_iec_directives_part2.pdf" TargetMode="External"/><Relationship Id="rId242" Type="http://schemas.openxmlformats.org/officeDocument/2006/relationships/hyperlink" Target="https://www.iso.org/sites/directives/current/part2/index.xhtml" TargetMode="External"/><Relationship Id="rId363" Type="http://schemas.openxmlformats.org/officeDocument/2006/relationships/hyperlink" Target="https://www.iso.org/files/live/sites/isoorg/files/store/en/PUB100438.pdf" TargetMode="External"/><Relationship Id="rId120" Type="http://schemas.openxmlformats.org/officeDocument/2006/relationships/hyperlink" Target="https://boss.cenelec.eu/homegrowndeliverables/en/pages/enq/" TargetMode="External"/><Relationship Id="rId241" Type="http://schemas.openxmlformats.org/officeDocument/2006/relationships/hyperlink" Target="https://boss.cen.eu/media/yypjl3mn/iso_iec_directives_part2.pdf" TargetMode="External"/><Relationship Id="rId362" Type="http://schemas.openxmlformats.org/officeDocument/2006/relationships/hyperlink" Target="https://www.iso.org/publication/PUB100438.html" TargetMode="External"/><Relationship Id="rId240" Type="http://schemas.openxmlformats.org/officeDocument/2006/relationships/hyperlink" Target="https://scc-ccn.ca/system/files/2025-04/sirb_rg_adoptions_v2_2021-03-04_0.pdf" TargetMode="External"/><Relationship Id="rId361" Type="http://schemas.openxmlformats.org/officeDocument/2006/relationships/hyperlink" Target="https://documents.worldbank.org/en/publication/documents-reports/documentdetail/099744410282527002" TargetMode="External"/><Relationship Id="rId360" Type="http://schemas.openxmlformats.org/officeDocument/2006/relationships/hyperlink" Target="https://www.iso.org/files/live/sites/isoorg/files/store/en/PUB100438.pdf" TargetMode="External"/><Relationship Id="rId125" Type="http://schemas.openxmlformats.org/officeDocument/2006/relationships/hyperlink" Target="https://boss.cenelec.eu/fadel/pages/eniec/pages/" TargetMode="External"/><Relationship Id="rId246" Type="http://schemas.openxmlformats.org/officeDocument/2006/relationships/hyperlink" Target="https://www.iso.org/obp/ui/" TargetMode="External"/><Relationship Id="rId367" Type="http://schemas.openxmlformats.org/officeDocument/2006/relationships/hyperlink" Target="https://fr.scribd.com/document/846061752/RDC-Code-2010-Des-Marches-Publics" TargetMode="External"/><Relationship Id="rId124" Type="http://schemas.openxmlformats.org/officeDocument/2006/relationships/hyperlink" Target="https://boss.cenelec.eu/fadel/pages/eniec/pages/" TargetMode="External"/><Relationship Id="rId245" Type="http://schemas.openxmlformats.org/officeDocument/2006/relationships/hyperlink" Target="https://scc-ccn.ca/system/files/2025-04/sirb_rg_adoptions_v2_2021-03-04_0.pdf" TargetMode="External"/><Relationship Id="rId366" Type="http://schemas.openxmlformats.org/officeDocument/2006/relationships/hyperlink" Target="https://documents.worldbank.org/pt/publication/documents-reports/documentdetail/129721468326428758" TargetMode="External"/><Relationship Id="rId123" Type="http://schemas.openxmlformats.org/officeDocument/2006/relationships/hyperlink" Target="https://documents.worldbank.org/pt/publication/documents-reports/documentdetail/129721468326428758" TargetMode="External"/><Relationship Id="rId244"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365" Type="http://schemas.openxmlformats.org/officeDocument/2006/relationships/hyperlink" Target="https://www.iso.org/files/live/sites/isoorg/files/store/en/PUB100438.pdf" TargetMode="External"/><Relationship Id="rId122" Type="http://schemas.openxmlformats.org/officeDocument/2006/relationships/hyperlink" Target="https://www.iso.org/stages-and-resources-for-standards-development.html" TargetMode="External"/><Relationship Id="rId243" Type="http://schemas.openxmlformats.org/officeDocument/2006/relationships/hyperlink" Target="https://cdn.standards.iteh.ai/samples/39799/ae6a13e9f00b46e69fc2415bc5ce3f7e/ISO-IEC-Guide-21-1-2005.pdf" TargetMode="External"/><Relationship Id="rId364" Type="http://schemas.openxmlformats.org/officeDocument/2006/relationships/hyperlink" Target="https://www.iso.org/publication/PUB100438.html" TargetMode="External"/><Relationship Id="rId95" Type="http://schemas.openxmlformats.org/officeDocument/2006/relationships/hyperlink" Target="https://www.iso.org/stages-and-resources-for-standards-development.html" TargetMode="External"/><Relationship Id="rId94" Type="http://schemas.openxmlformats.org/officeDocument/2006/relationships/hyperlink" Target="https://sfs.fi/en/sfs-finnish-standards/terms-of-reference-for-national-standardization-groups/" TargetMode="External"/><Relationship Id="rId97" Type="http://schemas.openxmlformats.org/officeDocument/2006/relationships/hyperlink" Target="https://experts.cenelec.eu/media/Experts/Trainings/2024/2_cen_understanding-the-standardization-process.pdf" TargetMode="External"/><Relationship Id="rId96" Type="http://schemas.openxmlformats.org/officeDocument/2006/relationships/hyperlink" Target="https://agenturacas.gov.cz/wp-content/uploads/ISO-IEC-Directives-Part-1-with-ISO-Supplement-2024-PDF.pdf" TargetMode="External"/><Relationship Id="rId99" Type="http://schemas.openxmlformats.org/officeDocument/2006/relationships/hyperlink" Target="https://documents.worldbank.org/pt/publication/documents-reports/documentdetail/129721468326428758" TargetMode="External"/><Relationship Id="rId98" Type="http://schemas.openxmlformats.org/officeDocument/2006/relationships/hyperlink" Target="https://documents1.worldbank.org/curated/en/099710507092534067/pdf/IDU-2f5f55a5-f19b-41cb-bf5e-601fd69cce52.pdf" TargetMode="External"/><Relationship Id="rId91" Type="http://schemas.openxmlformats.org/officeDocument/2006/relationships/hyperlink" Target="https://www.iso.org/files/live/sites/isoorg/files/store/en/PUB100440.pdf" TargetMode="External"/><Relationship Id="rId90" Type="http://schemas.openxmlformats.org/officeDocument/2006/relationships/hyperlink" Target="https://www.iso.org/files/live/sites/isoorg/files/store/en/PUB100269.pdf" TargetMode="External"/><Relationship Id="rId93" Type="http://schemas.openxmlformats.org/officeDocument/2006/relationships/hyperlink" Target="https://openknowledge.worldbank.org/entities/publication/88d95a53-3321-5866-997f-109cade2c523" TargetMode="External"/><Relationship Id="rId92" Type="http://schemas.openxmlformats.org/officeDocument/2006/relationships/hyperlink" Target="https://www.iso.org/files/live/sites/isoorg/files/store/en/PUB100269.pdf" TargetMode="External"/><Relationship Id="rId118" Type="http://schemas.openxmlformats.org/officeDocument/2006/relationships/hyperlink" Target="https://boss.cenelec.eu/homegrowndeliverables/en/pages/enq/" TargetMode="External"/><Relationship Id="rId239" Type="http://schemas.openxmlformats.org/officeDocument/2006/relationships/hyperlink" Target="https://standards.iteh.ai/catalog/standards/sist/e746fb19-fb5e-43ca-a69b-3b0d99b2e77b/sist-iso-iec-guide-21-1-2009" TargetMode="External"/><Relationship Id="rId117" Type="http://schemas.openxmlformats.org/officeDocument/2006/relationships/hyperlink" Target="https://www.iso.org/ru/home.isoDocumentsDownload.do?t=aoP_4vavGMlNKKyN6nmhYgL1PUiJ1p-2i7iX-cUWc_WJnaGyHexOC8l1Df5f5cst&amp;CSRFTOKEN=DXWK-0NS7-T76Q-8OSE-9E3E-PXLT-O6A3-N8YO" TargetMode="External"/><Relationship Id="rId238" Type="http://schemas.openxmlformats.org/officeDocument/2006/relationships/hyperlink" Target="https://www.iso.org/sites/directives/current/part2/index.xhtml" TargetMode="External"/><Relationship Id="rId359" Type="http://schemas.openxmlformats.org/officeDocument/2006/relationships/hyperlink" Target="https://www.worldbank.org/ext/en/what-we-do/project-procurement/framework" TargetMode="External"/><Relationship Id="rId116" Type="http://schemas.openxmlformats.org/officeDocument/2006/relationships/hyperlink" Target="https://www.iso.org/files/live/sites/isoorg/files/store/en/PUB100479.pdf" TargetMode="External"/><Relationship Id="rId237" Type="http://schemas.openxmlformats.org/officeDocument/2006/relationships/hyperlink" Target="https://cdn.standards.iteh.ai/samples/39799/ae6a13e9f00b46e69fc2415bc5ce3f7e/ISO-IEC-Guide-21-1-2005.pdf" TargetMode="External"/><Relationship Id="rId358" Type="http://schemas.openxmlformats.org/officeDocument/2006/relationships/hyperlink" Target="https://standards.iteh.ai/catalog/standards/iso/6ffbfd23-5218-47a8-94ae-20e2bea7a12d/iso-6707-1-2017" TargetMode="External"/><Relationship Id="rId115" Type="http://schemas.openxmlformats.org/officeDocument/2006/relationships/hyperlink" Target="https://boss.cenelec.eu/homegrowndeliverables/en/pages/enq/" TargetMode="External"/><Relationship Id="rId236" Type="http://schemas.openxmlformats.org/officeDocument/2006/relationships/hyperlink" Target="https://boss.cen.eu/media/yypjl3mn/iso_iec_directives_part2.pdf" TargetMode="External"/><Relationship Id="rId357" Type="http://schemas.openxmlformats.org/officeDocument/2006/relationships/hyperlink" Target="https://cdn.standards.iteh.ai/samples/39799/ae6a13e9f00b46e69fc2415bc5ce3f7e/ISO-IEC-Guide-21-1-2005.pdf" TargetMode="External"/><Relationship Id="rId119" Type="http://schemas.openxmlformats.org/officeDocument/2006/relationships/hyperlink" Target="https://experts.cenelec.eu/media/Experts/Trainings/2024/2_cen_understanding-the-standardization-process.pdf" TargetMode="External"/><Relationship Id="rId110" Type="http://schemas.openxmlformats.org/officeDocument/2006/relationships/hyperlink" Target="https://experts.cenelec.eu/media/Experts/Trainings/2024/2_cen_understanding-the-standardization-process.pdf" TargetMode="External"/><Relationship Id="rId231"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352" Type="http://schemas.openxmlformats.org/officeDocument/2006/relationships/hyperlink" Target="https://thedocs.worldbank.org/en/doc/698051509461951457-0290022017/original/DraftESFGuidanceNotesForBorrowersForPublicCommentAcronymsAbbreviationsGlossaryNov12017.docx" TargetMode="External"/><Relationship Id="rId230" Type="http://schemas.openxmlformats.org/officeDocument/2006/relationships/hyperlink" Target="https://boss.cenelec.eu/fadel/pages/eniec/pages/" TargetMode="External"/><Relationship Id="rId351" Type="http://schemas.openxmlformats.org/officeDocument/2006/relationships/hyperlink" Target="https://thedocs.worldbank.org/en/doc/698051509461951457-0290022017/original/DraftESFGuidanceNotesForBorrowersForPublicCommentAcronymsAbbreviationsGlossaryNov12017.docx" TargetMode="External"/><Relationship Id="rId350" Type="http://schemas.openxmlformats.org/officeDocument/2006/relationships/hyperlink" Target="https://thedocs.worldbank.org/en/doc/698051509461951457-0290022017/original/DraftESFGuidanceNotesForBorrowersForPublicCommentAcronymsAbbreviationsGlossaryNov12017.docx" TargetMode="External"/><Relationship Id="rId114" Type="http://schemas.openxmlformats.org/officeDocument/2006/relationships/hyperlink" Target="https://agenturacas.gov.cz/wp-content/uploads/ISO-IEC-Directives-Part-1-with-ISO-Supplement-2024-PDF.pdf" TargetMode="External"/><Relationship Id="rId235" Type="http://schemas.openxmlformats.org/officeDocument/2006/relationships/hyperlink" Target="https://documents.worldbank.org/pt/publication/documents-reports/documentdetail/129721468326428758" TargetMode="External"/><Relationship Id="rId356" Type="http://schemas.openxmlformats.org/officeDocument/2006/relationships/hyperlink" Target="https://www.sis.se/en/produkter/standardization/vocabularies/construction-materials-and-building-vocabularies/ss-iso-6707-22018/" TargetMode="External"/><Relationship Id="rId113" Type="http://schemas.openxmlformats.org/officeDocument/2006/relationships/hyperlink" Target="https://documents1.worldbank.org/curated/en/099710507092534067/pdf/IDU-2f5f55a5-f19b-41cb-bf5e-601fd69cce52.pdf" TargetMode="External"/><Relationship Id="rId234" Type="http://schemas.openxmlformats.org/officeDocument/2006/relationships/hyperlink" Target="https://www.iso.org/sites/directives/current/part2/index.xhtml" TargetMode="External"/><Relationship Id="rId355" Type="http://schemas.openxmlformats.org/officeDocument/2006/relationships/hyperlink" Target="https://documents1.worldbank.org/curated/en/323361581052752931/pdf/Standard-Bidding-Documents-Procurement-of-Works.pdf" TargetMode="External"/><Relationship Id="rId112" Type="http://schemas.openxmlformats.org/officeDocument/2006/relationships/hyperlink" Target="https://www.iso.org/sites/directives/current/part2/index.xhtml" TargetMode="External"/><Relationship Id="rId233" Type="http://schemas.openxmlformats.org/officeDocument/2006/relationships/hyperlink" Target="https://cdn.standards.iteh.ai/samples/39799/ae6a13e9f00b46e69fc2415bc5ce3f7e/ISO-IEC-Guide-21-1-2005.pdf" TargetMode="External"/><Relationship Id="rId354" Type="http://schemas.openxmlformats.org/officeDocument/2006/relationships/hyperlink" Target="https://thedocs.worldbank.org/en/doc/698051509461951457-0290022017/original/DraftESFGuidanceNotesForBorrowersForPublicCommentAcronymsAbbreviationsGlossaryNov12017.docx" TargetMode="External"/><Relationship Id="rId111" Type="http://schemas.openxmlformats.org/officeDocument/2006/relationships/hyperlink" Target="https://boss.cen.eu/media/yypjl3mn/iso_iec_directives_part2.pdf" TargetMode="External"/><Relationship Id="rId232" Type="http://schemas.openxmlformats.org/officeDocument/2006/relationships/hyperlink" Target="https://boss.cen.eu/media/yypjl3mn/iso_iec_directives_part2.pdf" TargetMode="External"/><Relationship Id="rId353" Type="http://schemas.openxmlformats.org/officeDocument/2006/relationships/hyperlink" Target="https://thedocs.worldbank.org/en/doc/698051509461951457-0290022017/original/DraftESFGuidanceNotesForBorrowersForPublicCommentAcronymsAbbreviationsGlossaryNov12017.docx" TargetMode="External"/><Relationship Id="rId305" Type="http://schemas.openxmlformats.org/officeDocument/2006/relationships/hyperlink" Target="https://documents1.worldbank.org/curated/en/323361581052752931/pdf/Standard-Bidding-Documents-Procurement-of-Works.pdf" TargetMode="External"/><Relationship Id="rId304" Type="http://schemas.openxmlformats.org/officeDocument/2006/relationships/hyperlink" Target="https://www.sis.se/en/produkter/standardization/vocabularies/construction-materials-and-building-vocabularies/ss-iso-6707-22018/" TargetMode="External"/><Relationship Id="rId303" Type="http://schemas.openxmlformats.org/officeDocument/2006/relationships/hyperlink" Target="https://standards.iteh.ai/catalog/standards/iso/6ffbfd23-5218-47a8-94ae-20e2bea7a12d/iso-6707-1-2017" TargetMode="External"/><Relationship Id="rId302" Type="http://schemas.openxmlformats.org/officeDocument/2006/relationships/hyperlink" Target="https://www.scribd.com/presentation/879572970/Directives-Part-2-Changes-2018" TargetMode="External"/><Relationship Id="rId309" Type="http://schemas.openxmlformats.org/officeDocument/2006/relationships/hyperlink" Target="https://standards.iteh.ai/catalog/standards/iso/6ffbfd23-5218-47a8-94ae-20e2bea7a12d/iso-6707-1-2017" TargetMode="External"/><Relationship Id="rId308" Type="http://schemas.openxmlformats.org/officeDocument/2006/relationships/hyperlink" Target="https://cdn.standards.iteh.ai/samples/60034/8b0fe714b4e7447baff625e8f6dfb2fa/ISO-6707-1-2014.pdf" TargetMode="External"/><Relationship Id="rId307" Type="http://schemas.openxmlformats.org/officeDocument/2006/relationships/hyperlink" Target="https://standards.iteh.ai/catalog/standards/iso/63b7b5e3-318b-403d-8eb9-0af6b0e18e45/iso-6707-3-2022" TargetMode="External"/><Relationship Id="rId306" Type="http://schemas.openxmlformats.org/officeDocument/2006/relationships/hyperlink" Target="https://www.iso.org/standard/72244.html" TargetMode="External"/><Relationship Id="rId301" Type="http://schemas.openxmlformats.org/officeDocument/2006/relationships/hyperlink" Target="https://standards.iteh.ai/catalog/standards/iso/63b7b5e3-318b-403d-8eb9-0af6b0e18e45/iso-6707-3-2022" TargetMode="External"/><Relationship Id="rId300" Type="http://schemas.openxmlformats.org/officeDocument/2006/relationships/hyperlink" Target="https://www.sis.se/en/produkter/standardization/vocabularies/construction-materials-and-building-vocabularies/ss-iso-6707-22018/" TargetMode="External"/><Relationship Id="rId420" Type="http://schemas.openxmlformats.org/officeDocument/2006/relationships/footer" Target="footer1.xml"/><Relationship Id="rId415" Type="http://schemas.openxmlformats.org/officeDocument/2006/relationships/hyperlink" Target="https://documents1.worldbank.org/curated/en/099710507092534067/pdf/IDU-2f5f55a5-f19b-41cb-bf5e-601fd69cce52.pdf" TargetMode="External"/><Relationship Id="rId414" Type="http://schemas.openxmlformats.org/officeDocument/2006/relationships/hyperlink" Target="https://cdn.standards.iteh.ai/samples/39799/ae6a13e9f00b46e69fc2415bc5ce3f7e/ISO-IEC-Guide-21-1-2005.pdf" TargetMode="External"/><Relationship Id="rId413" Type="http://schemas.openxmlformats.org/officeDocument/2006/relationships/hyperlink" Target="https://documents1.worldbank.org/curated/en/679571468027296620/pdf/E27480Revised00IC00ECA0EMF0P122219.pdf" TargetMode="External"/><Relationship Id="rId412" Type="http://schemas.openxmlformats.org/officeDocument/2006/relationships/hyperlink" Target="https://interamericancoalition-medtech.org/wp-content/uploads/2020/08/ISO_IEC_Guide_21-1_2005E_-_Regional_or_national_adoption_of_International_Standards_and_other_International_Deliverables_-_Part_1_Adoption_of_International_Standards.pdf" TargetMode="External"/><Relationship Id="rId419" Type="http://schemas.openxmlformats.org/officeDocument/2006/relationships/hyperlink" Target="https://www.iso.org/obp/ui/" TargetMode="External"/><Relationship Id="rId418" Type="http://schemas.openxmlformats.org/officeDocument/2006/relationships/hyperlink" Target="https://www.iso.org/stages-and-resources-for-standards-development.html" TargetMode="External"/><Relationship Id="rId417" Type="http://schemas.openxmlformats.org/officeDocument/2006/relationships/hyperlink" Target="https://boss.cen.eu/media/yypjl3mn/iso_iec_directives_part2.pdf" TargetMode="External"/><Relationship Id="rId416" Type="http://schemas.openxmlformats.org/officeDocument/2006/relationships/hyperlink" Target="https://documents1.worldbank.org/curated/en/679571468027296620/pdf/E27480Revised00IC00ECA0EMF0P122219.pdf" TargetMode="External"/><Relationship Id="rId411" Type="http://schemas.openxmlformats.org/officeDocument/2006/relationships/hyperlink" Target="https://documents1.worldbank.org/curated/en/577601492798440919/pdf/40967ocr.pdf" TargetMode="External"/><Relationship Id="rId410" Type="http://schemas.openxmlformats.org/officeDocument/2006/relationships/hyperlink" Target="https://www.congovirtuel.com/page_rapport_travaux/article/article_primature1.pdf" TargetMode="External"/><Relationship Id="rId206" Type="http://schemas.openxmlformats.org/officeDocument/2006/relationships/hyperlink" Target="https://www.iso.org/sites/directives/current/part2/index.xhtml" TargetMode="External"/><Relationship Id="rId327" Type="http://schemas.openxmlformats.org/officeDocument/2006/relationships/hyperlink" Target="https://standards.iteh.ai/catalog/standards/iso/6ffbfd23-5218-47a8-94ae-20e2bea7a12d/iso-6707-1-2017" TargetMode="External"/><Relationship Id="rId205" Type="http://schemas.openxmlformats.org/officeDocument/2006/relationships/hyperlink" Target="https://fr.scribd.com/document/846061752/RDC-Code-2010-Des-Marches-Publics" TargetMode="External"/><Relationship Id="rId326" Type="http://schemas.openxmlformats.org/officeDocument/2006/relationships/hyperlink" Target="https://thedocs.worldbank.org/en/doc/698051509461951457-0290022017/original/DraftESFGuidanceNotesForBorrowersForPublicCommentAcronymsAbbreviationsGlossaryNov12017.docx" TargetMode="External"/><Relationship Id="rId204" Type="http://schemas.openxmlformats.org/officeDocument/2006/relationships/hyperlink" Target="https://documents1.worldbank.org/curated/en/099710507092534067/pdf/IDU-2f5f55a5-f19b-41cb-bf5e-601fd69cce52.pdf" TargetMode="External"/><Relationship Id="rId325" Type="http://schemas.openxmlformats.org/officeDocument/2006/relationships/hyperlink" Target="https://documents1.worldbank.org/curated/en/323361581052752931/pdf/Standard-Bidding-Documents-Procurement-of-Works.pdf" TargetMode="External"/><Relationship Id="rId203" Type="http://schemas.openxmlformats.org/officeDocument/2006/relationships/hyperlink" Target="https://www.iso.org/sites/directives/current/part2/index.xhtml" TargetMode="External"/><Relationship Id="rId324" Type="http://schemas.openxmlformats.org/officeDocument/2006/relationships/hyperlink" Target="https://www.iso.org/standard/72244.html" TargetMode="External"/><Relationship Id="rId209" Type="http://schemas.openxmlformats.org/officeDocument/2006/relationships/hyperlink" Target="https://www.iso.org/stages-and-resources-for-standards-development.html" TargetMode="External"/><Relationship Id="rId208" Type="http://schemas.openxmlformats.org/officeDocument/2006/relationships/hyperlink" Target="https://www.iso.org/sites/directives/current/part2/index.xhtml" TargetMode="External"/><Relationship Id="rId329" Type="http://schemas.openxmlformats.org/officeDocument/2006/relationships/hyperlink" Target="https://documents1.worldbank.org/curated/en/679571468027296620/pdf/E27480Revised00IC00ECA0EMF0P122219.pdf" TargetMode="External"/><Relationship Id="rId207" Type="http://schemas.openxmlformats.org/officeDocument/2006/relationships/hyperlink" Target="https://documents.worldbank.org/pt/publication/documents-reports/documentdetail/129721468326428758" TargetMode="External"/><Relationship Id="rId328" Type="http://schemas.openxmlformats.org/officeDocument/2006/relationships/hyperlink" Target="https://documents.worldbank.org/pt/publication/documents-reports/documentdetail/129721468326428758" TargetMode="External"/><Relationship Id="rId202" Type="http://schemas.openxmlformats.org/officeDocument/2006/relationships/hyperlink" Target="https://www.iso.org/stages-and-resources-for-standards-development.html" TargetMode="External"/><Relationship Id="rId323" Type="http://schemas.openxmlformats.org/officeDocument/2006/relationships/hyperlink" Target="https://documents.worldbank.org/pt/publication/documents-reports/documentdetail/129721468326428758" TargetMode="External"/><Relationship Id="rId201" Type="http://schemas.openxmlformats.org/officeDocument/2006/relationships/hyperlink" Target="https://www.iso.org/stages-and-resources-for-standards-development.html" TargetMode="External"/><Relationship Id="rId322" Type="http://schemas.openxmlformats.org/officeDocument/2006/relationships/hyperlink" Target="https://documents1.worldbank.org/curated/en/679571468027296620/pdf/E27480Revised00IC00ECA0EMF0P122219.pdf" TargetMode="External"/><Relationship Id="rId200" Type="http://schemas.openxmlformats.org/officeDocument/2006/relationships/hyperlink" Target="https://www.iso.org/sites/directives/current/part2/index.xhtml" TargetMode="External"/><Relationship Id="rId321" Type="http://schemas.openxmlformats.org/officeDocument/2006/relationships/hyperlink" Target="https://standards.iteh.ai/catalog/standards/iso/63b7b5e3-318b-403d-8eb9-0af6b0e18e45/iso-6707-3-2022" TargetMode="External"/><Relationship Id="rId320" Type="http://schemas.openxmlformats.org/officeDocument/2006/relationships/hyperlink" Target="https://standards.iteh.ai/catalog/standards/iso/63b7b5e3-318b-403d-8eb9-0af6b0e18e45/iso-6707-3-2022" TargetMode="External"/><Relationship Id="rId316" Type="http://schemas.openxmlformats.org/officeDocument/2006/relationships/hyperlink" Target="https://documents.worldbank.org/pt/publication/documents-reports/documentdetail/129721468326428758" TargetMode="External"/><Relationship Id="rId315" Type="http://schemas.openxmlformats.org/officeDocument/2006/relationships/hyperlink" Target="https://documents1.worldbank.org/curated/en/099710507092534067/pdf/IDU-2f5f55a5-f19b-41cb-bf5e-601fd69cce52.pdf" TargetMode="External"/><Relationship Id="rId314" Type="http://schemas.openxmlformats.org/officeDocument/2006/relationships/hyperlink" Target="https://www.sis.se/en/produkter/standardization/vocabularies/construction-materials-and-building-vocabularies/ss-iso-6707-22018/" TargetMode="External"/><Relationship Id="rId313" Type="http://schemas.openxmlformats.org/officeDocument/2006/relationships/hyperlink" Target="https://documents1.worldbank.org/curated/en/323361581052752931/pdf/Standard-Bidding-Documents-Procurement-of-Works.pdf" TargetMode="External"/><Relationship Id="rId319" Type="http://schemas.openxmlformats.org/officeDocument/2006/relationships/hyperlink" Target="https://standards.iteh.ai/catalog/standards/iso/63b7b5e3-318b-403d-8eb9-0af6b0e18e45/iso-6707-3-2022" TargetMode="External"/><Relationship Id="rId318" Type="http://schemas.openxmlformats.org/officeDocument/2006/relationships/hyperlink" Target="https://standards.iteh.ai/catalog/standards/iso/63b7b5e3-318b-403d-8eb9-0af6b0e18e45/iso-6707-3-2022" TargetMode="External"/><Relationship Id="rId317" Type="http://schemas.openxmlformats.org/officeDocument/2006/relationships/hyperlink" Target="https://documents1.worldbank.org/curated/en/099710507092534067/pdf/IDU-2f5f55a5-f19b-41cb-bf5e-601fd69cce52.pdf" TargetMode="External"/><Relationship Id="rId312" Type="http://schemas.openxmlformats.org/officeDocument/2006/relationships/hyperlink" Target="https://documents1.worldbank.org/curated/en/323361581052752931/pdf/Standard-Bidding-Documents-Procurement-of-Works.pdf" TargetMode="External"/><Relationship Id="rId311" Type="http://schemas.openxmlformats.org/officeDocument/2006/relationships/hyperlink" Target="https://www.sis.se/en/produkter/standardization/vocabularies/construction-materials-and-building-vocabularies/ss-iso-6707-22018/" TargetMode="External"/><Relationship Id="rId310" Type="http://schemas.openxmlformats.org/officeDocument/2006/relationships/hyperlink" Target="https://standards.iteh.ai/catalog/standards/iso/2ed6818f-e82a-48bd-bd33-6d0296427f77/iso-6707-1-198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