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Norme fictive complète — Essai de compression du béton pour ouvrages d’infrastructure</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Numéro</w:t>
      </w:r>
      <w:r w:rsidDel="00000000" w:rsidR="00000000" w:rsidRPr="00000000">
        <w:rPr>
          <w:rFonts w:ascii="Times New Roman" w:cs="Times New Roman" w:eastAsia="Times New Roman" w:hAnsi="Times New Roman"/>
          <w:sz w:val="24"/>
          <w:szCs w:val="24"/>
          <w:rtl w:val="0"/>
        </w:rPr>
        <w:t xml:space="preserve"> : NN-BTP-001-2026 </w:t>
      </w:r>
      <w:r w:rsidDel="00000000" w:rsidR="00000000" w:rsidRPr="00000000">
        <w:rPr>
          <w:rFonts w:ascii="Times New Roman" w:cs="Times New Roman" w:eastAsia="Times New Roman" w:hAnsi="Times New Roman"/>
          <w:b w:val="1"/>
          <w:bCs w:val="1"/>
          <w:sz w:val="24"/>
          <w:szCs w:val="24"/>
          <w:rtl w:val="0"/>
        </w:rPr>
        <w:t xml:space="preserve">Statut</w:t>
      </w:r>
      <w:r w:rsidDel="00000000" w:rsidR="00000000" w:rsidRPr="00000000">
        <w:rPr>
          <w:rFonts w:ascii="Times New Roman" w:cs="Times New Roman" w:eastAsia="Times New Roman" w:hAnsi="Times New Roman"/>
          <w:sz w:val="24"/>
          <w:szCs w:val="24"/>
          <w:rtl w:val="0"/>
        </w:rPr>
        <w:t xml:space="preserve"> : Norme nationale — Volontaire </w:t>
      </w:r>
      <w:r w:rsidDel="00000000" w:rsidR="00000000" w:rsidRPr="00000000">
        <w:rPr>
          <w:rFonts w:ascii="Times New Roman" w:cs="Times New Roman" w:eastAsia="Times New Roman" w:hAnsi="Times New Roman"/>
          <w:b w:val="1"/>
          <w:bCs w:val="1"/>
          <w:sz w:val="24"/>
          <w:szCs w:val="24"/>
          <w:rtl w:val="0"/>
        </w:rPr>
        <w:t xml:space="preserve">Comité auteur</w:t>
      </w:r>
      <w:r w:rsidDel="00000000" w:rsidR="00000000" w:rsidRPr="00000000">
        <w:rPr>
          <w:rFonts w:ascii="Times New Roman" w:cs="Times New Roman" w:eastAsia="Times New Roman" w:hAnsi="Times New Roman"/>
          <w:sz w:val="24"/>
          <w:szCs w:val="24"/>
          <w:rtl w:val="0"/>
        </w:rPr>
        <w:t xml:space="preserve"> : Comité Matériaux et Contrôles — Commission nationale des normes </w:t>
      </w:r>
      <w:r w:rsidDel="00000000" w:rsidR="00000000" w:rsidRPr="00000000">
        <w:rPr>
          <w:rFonts w:ascii="Times New Roman" w:cs="Times New Roman" w:eastAsia="Times New Roman" w:hAnsi="Times New Roman"/>
          <w:b w:val="1"/>
          <w:bCs w:val="1"/>
          <w:sz w:val="24"/>
          <w:szCs w:val="24"/>
          <w:rtl w:val="0"/>
        </w:rPr>
        <w:t xml:space="preserve">Organisme éditeur</w:t>
      </w:r>
      <w:r w:rsidDel="00000000" w:rsidR="00000000" w:rsidRPr="00000000">
        <w:rPr>
          <w:rFonts w:ascii="Times New Roman" w:cs="Times New Roman" w:eastAsia="Times New Roman" w:hAnsi="Times New Roman"/>
          <w:sz w:val="24"/>
          <w:szCs w:val="24"/>
          <w:rtl w:val="0"/>
        </w:rPr>
        <w:t xml:space="preserve"> : Commission nationale des normes du secteur Construction Infrastructures Travaux Publics </w:t>
      </w:r>
      <w:r w:rsidDel="00000000" w:rsidR="00000000" w:rsidRPr="00000000">
        <w:rPr>
          <w:rFonts w:ascii="Times New Roman" w:cs="Times New Roman" w:eastAsia="Times New Roman" w:hAnsi="Times New Roman"/>
          <w:b w:val="1"/>
          <w:bCs w:val="1"/>
          <w:sz w:val="24"/>
          <w:szCs w:val="24"/>
          <w:rtl w:val="0"/>
        </w:rPr>
        <w:t xml:space="preserve">Date d’adoption</w:t>
      </w:r>
      <w:r w:rsidDel="00000000" w:rsidR="00000000" w:rsidRPr="00000000">
        <w:rPr>
          <w:rFonts w:ascii="Times New Roman" w:cs="Times New Roman" w:eastAsia="Times New Roman" w:hAnsi="Times New Roman"/>
          <w:sz w:val="24"/>
          <w:szCs w:val="24"/>
          <w:rtl w:val="0"/>
        </w:rPr>
        <w:t xml:space="preserve"> : 15/03/2026 </w:t>
      </w:r>
      <w:r w:rsidDel="00000000" w:rsidR="00000000" w:rsidRPr="00000000">
        <w:rPr>
          <w:rFonts w:ascii="Times New Roman" w:cs="Times New Roman" w:eastAsia="Times New Roman" w:hAnsi="Times New Roman"/>
          <w:b w:val="1"/>
          <w:bCs w:val="1"/>
          <w:sz w:val="24"/>
          <w:szCs w:val="24"/>
          <w:rtl w:val="0"/>
        </w:rPr>
        <w:t xml:space="preserve">Date d’entrée en vigueur</w:t>
      </w:r>
      <w:r w:rsidDel="00000000" w:rsidR="00000000" w:rsidRPr="00000000">
        <w:rPr>
          <w:rFonts w:ascii="Times New Roman" w:cs="Times New Roman" w:eastAsia="Times New Roman" w:hAnsi="Times New Roman"/>
          <w:sz w:val="24"/>
          <w:szCs w:val="24"/>
          <w:rtl w:val="0"/>
        </w:rPr>
        <w:t xml:space="preserve"> : 01/07/2026</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Préambule</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présente norme définit la méthode d’essai de compression des éprouvettes cylindriques de béton destinées aux ouvrages d’infrastructure (chaussées, ouvrages d’art, ouvrages hydrauliques). Elle vise à garantir la comparabilité des résultats entre laboratoires, la traçabilité des essais et la sécurité des ouvrages. Cette norme s’aligne sur les pratiques internationales et inclut des adaptations locales justifiées dans l’Annexe H.</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w:t>
      </w:r>
      <w:r w:rsidDel="00000000" w:rsidR="00000000" w:rsidRPr="00000000">
        <w:rPr>
          <w:rFonts w:ascii="Times New Roman" w:cs="Times New Roman" w:eastAsia="Times New Roman" w:hAnsi="Times New Roman"/>
          <w:sz w:val="24"/>
          <w:szCs w:val="24"/>
          <w:rtl w:val="0"/>
        </w:rPr>
        <w:t xml:space="preserve"> Définir la méthode d’essai, les conditions de préparation et de conservation des éprouvettes, la procédure de compression, les calculs de résistance et le contenu minimal du rapport d’essai.</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Champ d’application</w:t>
      </w:r>
      <w:r w:rsidDel="00000000" w:rsidR="00000000" w:rsidRPr="00000000">
        <w:rPr>
          <w:rFonts w:ascii="Times New Roman" w:cs="Times New Roman" w:eastAsia="Times New Roman" w:hAnsi="Times New Roman"/>
          <w:sz w:val="24"/>
          <w:szCs w:val="24"/>
          <w:rtl w:val="0"/>
        </w:rPr>
        <w:t xml:space="preserve"> S’applique aux éprouvettes cylindriques de béton de diamètre 150 mm et hauteur 300 mm moulées et conservées conformément aux prescriptions de la présente norme. Ne couvre pas les bétons précontraints ni les essais sur éléments structurels entiers.</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Références normatives</w:t>
      </w:r>
      <w:r w:rsidDel="00000000" w:rsidR="00000000" w:rsidRPr="00000000">
        <w:rPr>
          <w:rFonts w:ascii="Times New Roman" w:cs="Times New Roman" w:eastAsia="Times New Roman" w:hAnsi="Times New Roman"/>
          <w:sz w:val="24"/>
          <w:szCs w:val="24"/>
          <w:rtl w:val="0"/>
        </w:rPr>
        <w:t xml:space="preserve"> Les documents cités sont indispensables à l’application de la présente norme. Lorsqu’une référence est datée, seule l’édition citée s’applique. Lorsqu’une référence n’est pas datée, la dernière édition de la référence s’applique.</w:t>
      </w:r>
    </w:p>
    <w:p w:rsidR="00000000" w:rsidDel="00000000" w:rsidP="00000000" w:rsidRDefault="00000000" w:rsidRPr="00000000" w14:paraId="00000009">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ISO 1920-4 Méthodes d’essai du béton Essais de compression des éprouvettes.</w:t>
      </w:r>
    </w:p>
    <w:p w:rsidR="00000000" w:rsidDel="00000000" w:rsidP="00000000" w:rsidRDefault="00000000" w:rsidRPr="00000000" w14:paraId="0000000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ISO 6784 Préparation et conservation des éprouvettes de béton.</w:t>
      </w:r>
    </w:p>
    <w:p w:rsidR="00000000" w:rsidDel="00000000" w:rsidP="00000000" w:rsidRDefault="00000000" w:rsidRPr="00000000" w14:paraId="0000000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ISO/IEC 17025 Exigences générales concernant la compétence des laboratoires d’essais.</w:t>
      </w:r>
    </w:p>
    <w:p w:rsidR="00000000" w:rsidDel="00000000" w:rsidP="00000000" w:rsidRDefault="00000000" w:rsidRPr="00000000" w14:paraId="0000000C">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NN-ESSAI-001 Méthode générale d’essai du béton (document national d’application).</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Termes et définitions</w:t>
      </w:r>
    </w:p>
    <w:p w:rsidR="00000000" w:rsidDel="00000000" w:rsidP="00000000" w:rsidRDefault="00000000" w:rsidRPr="00000000" w14:paraId="0000000E">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Éprouvette</w:t>
      </w:r>
      <w:r w:rsidDel="00000000" w:rsidR="00000000" w:rsidRPr="00000000">
        <w:rPr>
          <w:rFonts w:ascii="Times New Roman" w:cs="Times New Roman" w:eastAsia="Times New Roman" w:hAnsi="Times New Roman"/>
          <w:sz w:val="24"/>
          <w:szCs w:val="24"/>
          <w:rtl w:val="0"/>
        </w:rPr>
        <w:t xml:space="preserve"> : échantillon de béton moulé en forme cylindrique destiné à l’essai de compression.</w:t>
      </w:r>
    </w:p>
    <w:p w:rsidR="00000000" w:rsidDel="00000000" w:rsidP="00000000" w:rsidRDefault="00000000" w:rsidRPr="00000000" w14:paraId="0000000F">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Résistance à la compression</w:t>
      </w:r>
      <w:r w:rsidDel="00000000" w:rsidR="00000000" w:rsidRPr="00000000">
        <w:rPr>
          <w:rFonts w:ascii="Times New Roman" w:cs="Times New Roman" w:eastAsia="Times New Roman" w:hAnsi="Times New Roman"/>
          <w:sz w:val="24"/>
          <w:szCs w:val="24"/>
          <w:rtl w:val="0"/>
        </w:rPr>
        <w:t xml:space="preserve"> : quotient de la charge maximale appliquée à l’éprouvette par la section transversale nette, exprimé en MPa.</w:t>
      </w:r>
    </w:p>
    <w:p w:rsidR="00000000" w:rsidDel="00000000" w:rsidP="00000000" w:rsidRDefault="00000000" w:rsidRPr="00000000" w14:paraId="00000010">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Résistance caractéristique</w:t>
      </w:r>
      <w:r w:rsidDel="00000000" w:rsidR="00000000" w:rsidRPr="00000000">
        <w:rPr>
          <w:rFonts w:ascii="Times New Roman" w:cs="Times New Roman" w:eastAsia="Times New Roman" w:hAnsi="Times New Roman"/>
          <w:sz w:val="24"/>
          <w:szCs w:val="24"/>
          <w:rtl w:val="0"/>
        </w:rPr>
        <w:t xml:space="preserve"> : valeur statistique de résistance correspondant au 5e centile de la distribution des résistances d’un lot.</w:t>
      </w:r>
    </w:p>
    <w:p w:rsidR="00000000" w:rsidDel="00000000" w:rsidP="00000000" w:rsidRDefault="00000000" w:rsidRPr="00000000" w14:paraId="00000011">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Lot</w:t>
      </w:r>
      <w:r w:rsidDel="00000000" w:rsidR="00000000" w:rsidRPr="00000000">
        <w:rPr>
          <w:rFonts w:ascii="Times New Roman" w:cs="Times New Roman" w:eastAsia="Times New Roman" w:hAnsi="Times New Roman"/>
          <w:sz w:val="24"/>
          <w:szCs w:val="24"/>
          <w:rtl w:val="0"/>
        </w:rPr>
        <w:t xml:space="preserve"> : ensemble d’éléments produits sous des conditions similaires et soumis à un même plan d’essai.</w:t>
      </w:r>
    </w:p>
    <w:p w:rsidR="00000000" w:rsidDel="00000000" w:rsidP="00000000" w:rsidRDefault="00000000" w:rsidRPr="00000000" w14:paraId="00000012">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Critère d’acceptation</w:t>
      </w:r>
      <w:r w:rsidDel="00000000" w:rsidR="00000000" w:rsidRPr="00000000">
        <w:rPr>
          <w:rFonts w:ascii="Times New Roman" w:cs="Times New Roman" w:eastAsia="Times New Roman" w:hAnsi="Times New Roman"/>
          <w:sz w:val="24"/>
          <w:szCs w:val="24"/>
          <w:rtl w:val="0"/>
        </w:rPr>
        <w:t xml:space="preserve"> : condition chiffrée définissant la conformité d’un lot.</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Principes généraux</w:t>
      </w:r>
    </w:p>
    <w:p w:rsidR="00000000" w:rsidDel="00000000" w:rsidP="00000000" w:rsidRDefault="00000000" w:rsidRPr="00000000" w14:paraId="00000014">
      <w:pPr>
        <w:numPr>
          <w:ilvl w:val="0"/>
          <w:numId w:val="1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Les essais doivent être réalisés par des laboratoires accrédités selon ISO/IEC 17025 ou sous contrôle d’un laboratoire accrédité.</w:t>
      </w:r>
    </w:p>
    <w:p w:rsidR="00000000" w:rsidDel="00000000" w:rsidP="00000000" w:rsidRDefault="00000000" w:rsidRPr="00000000" w14:paraId="00000015">
      <w:pPr>
        <w:numPr>
          <w:ilvl w:val="0"/>
          <w:numId w:val="1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Toute exigence chiffrée est exprimée en unités SI.</w:t>
      </w:r>
    </w:p>
    <w:p w:rsidR="00000000" w:rsidDel="00000000" w:rsidP="00000000" w:rsidRDefault="00000000" w:rsidRPr="00000000" w14:paraId="00000016">
      <w:pPr>
        <w:numPr>
          <w:ilvl w:val="0"/>
          <w:numId w:val="1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tolérances et critères d’acceptation sont définis pour assurer la sécurité et la durabilité des ouvrages.</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Exigences</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Préparation des éprouvettes</w:t>
      </w:r>
    </w:p>
    <w:p w:rsidR="00000000" w:rsidDel="00000000" w:rsidP="00000000" w:rsidRDefault="00000000" w:rsidRPr="00000000" w14:paraId="00000019">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Moulage</w:t>
      </w:r>
      <w:r w:rsidDel="00000000" w:rsidR="00000000" w:rsidRPr="00000000">
        <w:rPr>
          <w:rtl w:val="0"/>
        </w:rPr>
      </w:r>
    </w:p>
    <w:p w:rsidR="00000000" w:rsidDel="00000000" w:rsidP="00000000" w:rsidRDefault="00000000" w:rsidRPr="00000000" w14:paraId="0000001A">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Les éprouvettes doivent être moulées dans des moules cylindriques conformes aux dimensions 150 mm × 300 mm.</w:t>
      </w:r>
    </w:p>
    <w:p w:rsidR="00000000" w:rsidDel="00000000" w:rsidP="00000000" w:rsidRDefault="00000000" w:rsidRPr="00000000" w14:paraId="0000001B">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Le compactage doit être réalisé selon la méthode prescrite dans NN-ESSAI-001.</w:t>
      </w:r>
    </w:p>
    <w:p w:rsidR="00000000" w:rsidDel="00000000" w:rsidP="00000000" w:rsidRDefault="00000000" w:rsidRPr="00000000" w14:paraId="0000001C">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Cure</w:t>
      </w:r>
      <w:r w:rsidDel="00000000" w:rsidR="00000000" w:rsidRPr="00000000">
        <w:rPr>
          <w:rtl w:val="0"/>
        </w:rPr>
      </w:r>
    </w:p>
    <w:p w:rsidR="00000000" w:rsidDel="00000000" w:rsidP="00000000" w:rsidRDefault="00000000" w:rsidRPr="00000000" w14:paraId="0000001D">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Les éprouvettes doivent être conservées en cure humide à 20 ± 2 °C pendant 28 jours sauf indication contraire justifiée et documentée.</w:t>
      </w:r>
    </w:p>
    <w:p w:rsidR="00000000" w:rsidDel="00000000" w:rsidP="00000000" w:rsidRDefault="00000000" w:rsidRPr="00000000" w14:paraId="0000001E">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En cas de conditions climatiques extrêmes, appliquer les adaptations décrites en Annexe H.</w:t>
      </w:r>
    </w:p>
    <w:p w:rsidR="00000000" w:rsidDel="00000000" w:rsidP="00000000" w:rsidRDefault="00000000" w:rsidRPr="00000000" w14:paraId="0000001F">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d’éprouvettes par lot</w:t>
      </w:r>
      <w:r w:rsidDel="00000000" w:rsidR="00000000" w:rsidRPr="00000000">
        <w:rPr>
          <w:rtl w:val="0"/>
        </w:rPr>
      </w:r>
    </w:p>
    <w:p w:rsidR="00000000" w:rsidDel="00000000" w:rsidP="00000000" w:rsidRDefault="00000000" w:rsidRPr="00000000" w14:paraId="00000020">
      <w:pPr>
        <w:numPr>
          <w:ilvl w:val="1"/>
          <w:numId w:val="18"/>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Pour chaque lot, au minimum trois éprouvettes doivent être soumises à l’essai à 28 jours.</w:t>
      </w:r>
    </w:p>
    <w:p w:rsidR="00000000" w:rsidDel="00000000" w:rsidP="00000000" w:rsidRDefault="00000000" w:rsidRPr="00000000" w14:paraId="00000021">
      <w:pPr>
        <w:numPr>
          <w:ilvl w:val="1"/>
          <w:numId w:val="18"/>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Pour contrôles statistiques, un plan d’échantillonnage étendu peut être requis (voir clause Méthodes d’essai).</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Conditions d’essai</w:t>
      </w:r>
    </w:p>
    <w:p w:rsidR="00000000" w:rsidDel="00000000" w:rsidP="00000000" w:rsidRDefault="00000000" w:rsidRPr="00000000" w14:paraId="00000023">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Conditionnement avant essai</w:t>
      </w:r>
      <w:r w:rsidDel="00000000" w:rsidR="00000000" w:rsidRPr="00000000">
        <w:rPr>
          <w:rtl w:val="0"/>
        </w:rPr>
      </w:r>
    </w:p>
    <w:p w:rsidR="00000000" w:rsidDel="00000000" w:rsidP="00000000" w:rsidRDefault="00000000" w:rsidRPr="00000000" w14:paraId="00000024">
      <w:pPr>
        <w:numPr>
          <w:ilvl w:val="1"/>
          <w:numId w:val="1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Avant l’essai, les éprouvettes doivent être essuyées superficiellement et testées à température ambiante 20 ± 5 °C.</w:t>
      </w:r>
    </w:p>
    <w:p w:rsidR="00000000" w:rsidDel="00000000" w:rsidP="00000000" w:rsidRDefault="00000000" w:rsidRPr="00000000" w14:paraId="00000025">
      <w:pPr>
        <w:numPr>
          <w:ilvl w:val="1"/>
          <w:numId w:val="1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Les dimensions (diamètre et hauteur) doivent être mesurées et enregistrées.</w:t>
      </w:r>
    </w:p>
    <w:p w:rsidR="00000000" w:rsidDel="00000000" w:rsidP="00000000" w:rsidRDefault="00000000" w:rsidRPr="00000000" w14:paraId="00000026">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Appareil d’essai</w:t>
      </w:r>
      <w:r w:rsidDel="00000000" w:rsidR="00000000" w:rsidRPr="00000000">
        <w:rPr>
          <w:rtl w:val="0"/>
        </w:rPr>
      </w:r>
    </w:p>
    <w:p w:rsidR="00000000" w:rsidDel="00000000" w:rsidP="00000000" w:rsidRDefault="00000000" w:rsidRPr="00000000" w14:paraId="00000027">
      <w:pPr>
        <w:numPr>
          <w:ilvl w:val="1"/>
          <w:numId w:val="1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La presse doit être calibrée et capable d’appliquer une charge avec une vitesse de chargement contrôlée.</w:t>
      </w:r>
    </w:p>
    <w:p w:rsidR="00000000" w:rsidDel="00000000" w:rsidP="00000000" w:rsidRDefault="00000000" w:rsidRPr="00000000" w14:paraId="00000028">
      <w:pPr>
        <w:numPr>
          <w:ilvl w:val="1"/>
          <w:numId w:val="19"/>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La calibration doit être traçable à un étalon national.</w:t>
      </w:r>
    </w:p>
    <w:p w:rsidR="00000000" w:rsidDel="00000000" w:rsidP="00000000" w:rsidRDefault="00000000" w:rsidRPr="00000000" w14:paraId="00000029">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Vitesse de chargement</w:t>
      </w:r>
      <w:r w:rsidDel="00000000" w:rsidR="00000000" w:rsidRPr="00000000">
        <w:rPr>
          <w:rtl w:val="0"/>
        </w:rPr>
      </w:r>
    </w:p>
    <w:p w:rsidR="00000000" w:rsidDel="00000000" w:rsidP="00000000" w:rsidRDefault="00000000" w:rsidRPr="00000000" w14:paraId="0000002A">
      <w:pPr>
        <w:numPr>
          <w:ilvl w:val="1"/>
          <w:numId w:val="19"/>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La vitesse de chargement doit être 0,25 ± 0,05 MPa/s exprimée en contrainte appliquée sur la section transversale.</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Calculs et critères d’acceptation</w:t>
      </w:r>
    </w:p>
    <w:p w:rsidR="00000000" w:rsidDel="00000000" w:rsidP="00000000" w:rsidRDefault="00000000" w:rsidRPr="00000000" w14:paraId="0000002C">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 de la résistance</w:t>
      </w:r>
      <w:r w:rsidDel="00000000" w:rsidR="00000000" w:rsidRPr="00000000">
        <w:rPr>
          <w:rtl w:val="0"/>
        </w:rPr>
      </w:r>
    </w:p>
    <w:p w:rsidR="00000000" w:rsidDel="00000000" w:rsidP="00000000" w:rsidRDefault="00000000" w:rsidRPr="00000000" w14:paraId="0000002D">
      <w:pPr>
        <w:numPr>
          <w:ilvl w:val="1"/>
          <w:numId w:val="20"/>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La résistance à la compression fc est calculée par la formule :</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fc=FmaxA</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où Fmax est la charge maximale en N et A la section transversale en mm2.</w:t>
      </w:r>
    </w:p>
    <w:p w:rsidR="00000000" w:rsidDel="00000000" w:rsidP="00000000" w:rsidRDefault="00000000" w:rsidRPr="00000000" w14:paraId="00000030">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Arrondi</w:t>
      </w:r>
      <w:r w:rsidDel="00000000" w:rsidR="00000000" w:rsidRPr="00000000">
        <w:rPr>
          <w:rtl w:val="0"/>
        </w:rPr>
      </w:r>
    </w:p>
    <w:p w:rsidR="00000000" w:rsidDel="00000000" w:rsidP="00000000" w:rsidRDefault="00000000" w:rsidRPr="00000000" w14:paraId="00000031">
      <w:pPr>
        <w:numPr>
          <w:ilvl w:val="1"/>
          <w:numId w:val="2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Les résultats doivent être arrondis à deux décimales en MPa.</w:t>
      </w:r>
    </w:p>
    <w:p w:rsidR="00000000" w:rsidDel="00000000" w:rsidP="00000000" w:rsidRDefault="00000000" w:rsidRPr="00000000" w14:paraId="00000032">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Critères d’acceptation de lot</w:t>
      </w:r>
      <w:r w:rsidDel="00000000" w:rsidR="00000000" w:rsidRPr="00000000">
        <w:rPr>
          <w:rtl w:val="0"/>
        </w:rPr>
      </w:r>
    </w:p>
    <w:p w:rsidR="00000000" w:rsidDel="00000000" w:rsidP="00000000" w:rsidRDefault="00000000" w:rsidRPr="00000000" w14:paraId="00000033">
      <w:pPr>
        <w:numPr>
          <w:ilvl w:val="1"/>
          <w:numId w:val="21"/>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Un lot est accepté si la moyenne des trois éprouvettes est ≥ 32 MPa et si aucune éprouvette n’est &lt; 27 MPa.</w:t>
      </w:r>
    </w:p>
    <w:p w:rsidR="00000000" w:rsidDel="00000000" w:rsidP="00000000" w:rsidRDefault="00000000" w:rsidRPr="00000000" w14:paraId="00000034">
      <w:pPr>
        <w:numPr>
          <w:ilvl w:val="1"/>
          <w:numId w:val="21"/>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La résistance caractéristique minimale exigée est 30 MPa à 28 jours.</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Méthodes d’essai détaillées</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Équipement et préparation</w:t>
      </w:r>
    </w:p>
    <w:p w:rsidR="00000000" w:rsidDel="00000000" w:rsidP="00000000" w:rsidRDefault="00000000" w:rsidRPr="00000000" w14:paraId="00000037">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Moules</w:t>
      </w:r>
      <w:r w:rsidDel="00000000" w:rsidR="00000000" w:rsidRPr="00000000">
        <w:rPr>
          <w:rFonts w:ascii="Times New Roman" w:cs="Times New Roman" w:eastAsia="Times New Roman" w:hAnsi="Times New Roman"/>
          <w:sz w:val="24"/>
          <w:szCs w:val="24"/>
          <w:rtl w:val="0"/>
        </w:rPr>
        <w:t xml:space="preserve"> : cylindres métalliques conformes aux dimensions et tolérances.</w:t>
      </w:r>
    </w:p>
    <w:p w:rsidR="00000000" w:rsidDel="00000000" w:rsidP="00000000" w:rsidRDefault="00000000" w:rsidRPr="00000000" w14:paraId="00000038">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Machine de compression</w:t>
      </w:r>
      <w:r w:rsidDel="00000000" w:rsidR="00000000" w:rsidRPr="00000000">
        <w:rPr>
          <w:rFonts w:ascii="Times New Roman" w:cs="Times New Roman" w:eastAsia="Times New Roman" w:hAnsi="Times New Roman"/>
          <w:sz w:val="24"/>
          <w:szCs w:val="24"/>
          <w:rtl w:val="0"/>
        </w:rPr>
        <w:t xml:space="preserve"> : capacité adaptée, dispositif d’alignement et de centrage.</w:t>
      </w:r>
    </w:p>
    <w:p w:rsidR="00000000" w:rsidDel="00000000" w:rsidP="00000000" w:rsidRDefault="00000000" w:rsidRPr="00000000" w14:paraId="00000039">
      <w:pPr>
        <w:numPr>
          <w:ilvl w:val="0"/>
          <w:numId w:val="22"/>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Calibrage</w:t>
      </w:r>
      <w:r w:rsidDel="00000000" w:rsidR="00000000" w:rsidRPr="00000000">
        <w:rPr>
          <w:rFonts w:ascii="Times New Roman" w:cs="Times New Roman" w:eastAsia="Times New Roman" w:hAnsi="Times New Roman"/>
          <w:sz w:val="24"/>
          <w:szCs w:val="24"/>
          <w:rtl w:val="0"/>
        </w:rPr>
        <w:t xml:space="preserve"> : certificat de calibration valide et traçable.</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Procédure d’essai</w:t>
      </w:r>
    </w:p>
    <w:p w:rsidR="00000000" w:rsidDel="00000000" w:rsidP="00000000" w:rsidRDefault="00000000" w:rsidRPr="00000000" w14:paraId="0000003B">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w:t>
      </w:r>
      <w:r w:rsidDel="00000000" w:rsidR="00000000" w:rsidRPr="00000000">
        <w:rPr>
          <w:rtl w:val="0"/>
        </w:rPr>
      </w:r>
    </w:p>
    <w:p w:rsidR="00000000" w:rsidDel="00000000" w:rsidP="00000000" w:rsidRDefault="00000000" w:rsidRPr="00000000" w14:paraId="0000003C">
      <w:pPr>
        <w:numPr>
          <w:ilvl w:val="1"/>
          <w:numId w:val="2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Identifier chaque éprouvette avec un code unique lié au lot et à la date de prélèvement.</w:t>
      </w:r>
    </w:p>
    <w:p w:rsidR="00000000" w:rsidDel="00000000" w:rsidP="00000000" w:rsidRDefault="00000000" w:rsidRPr="00000000" w14:paraId="0000003D">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Mesures préalables</w:t>
      </w:r>
      <w:r w:rsidDel="00000000" w:rsidR="00000000" w:rsidRPr="00000000">
        <w:rPr>
          <w:rtl w:val="0"/>
        </w:rPr>
      </w:r>
    </w:p>
    <w:p w:rsidR="00000000" w:rsidDel="00000000" w:rsidP="00000000" w:rsidRDefault="00000000" w:rsidRPr="00000000" w14:paraId="0000003E">
      <w:pPr>
        <w:numPr>
          <w:ilvl w:val="1"/>
          <w:numId w:val="2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Mesurer diamètre moyen et hauteur de chaque éprouvette. Noter toute anomalie visible.</w:t>
      </w:r>
    </w:p>
    <w:p w:rsidR="00000000" w:rsidDel="00000000" w:rsidP="00000000" w:rsidRDefault="00000000" w:rsidRPr="00000000" w14:paraId="0000003F">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Positionnement</w:t>
      </w:r>
      <w:r w:rsidDel="00000000" w:rsidR="00000000" w:rsidRPr="00000000">
        <w:rPr>
          <w:rtl w:val="0"/>
        </w:rPr>
      </w:r>
    </w:p>
    <w:p w:rsidR="00000000" w:rsidDel="00000000" w:rsidP="00000000" w:rsidRDefault="00000000" w:rsidRPr="00000000" w14:paraId="00000040">
      <w:pPr>
        <w:numPr>
          <w:ilvl w:val="1"/>
          <w:numId w:val="2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Placer l’éprouvette sur la platine inférieure, centrer et aligner l’axe vertical.</w:t>
      </w:r>
    </w:p>
    <w:p w:rsidR="00000000" w:rsidDel="00000000" w:rsidP="00000000" w:rsidRDefault="00000000" w:rsidRPr="00000000" w14:paraId="00000041">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de la charge</w:t>
      </w:r>
      <w:r w:rsidDel="00000000" w:rsidR="00000000" w:rsidRPr="00000000">
        <w:rPr>
          <w:rtl w:val="0"/>
        </w:rPr>
      </w:r>
    </w:p>
    <w:p w:rsidR="00000000" w:rsidDel="00000000" w:rsidP="00000000" w:rsidRDefault="00000000" w:rsidRPr="00000000" w14:paraId="00000042">
      <w:pPr>
        <w:numPr>
          <w:ilvl w:val="1"/>
          <w:numId w:val="2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Appliquer la charge progressivement à la vitesse prescrite jusqu’à rupture.</w:t>
      </w:r>
    </w:p>
    <w:p w:rsidR="00000000" w:rsidDel="00000000" w:rsidP="00000000" w:rsidRDefault="00000000" w:rsidRPr="00000000" w14:paraId="00000043">
      <w:pPr>
        <w:numPr>
          <w:ilvl w:val="1"/>
          <w:numId w:val="23"/>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Enregistrer la charge maximale et observer le mode de rupture.</w:t>
      </w:r>
    </w:p>
    <w:p w:rsidR="00000000" w:rsidDel="00000000" w:rsidP="00000000" w:rsidRDefault="00000000" w:rsidRPr="00000000" w14:paraId="00000044">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Calculs</w:t>
      </w:r>
      <w:r w:rsidDel="00000000" w:rsidR="00000000" w:rsidRPr="00000000">
        <w:rPr>
          <w:rtl w:val="0"/>
        </w:rPr>
      </w:r>
    </w:p>
    <w:p w:rsidR="00000000" w:rsidDel="00000000" w:rsidP="00000000" w:rsidRDefault="00000000" w:rsidRPr="00000000" w14:paraId="00000045">
      <w:pPr>
        <w:numPr>
          <w:ilvl w:val="1"/>
          <w:numId w:val="23"/>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Calculer la résistance pour chaque éprouvette et la moyenne du lot.</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Méthodes alternatives et essais complémentaires</w:t>
      </w:r>
    </w:p>
    <w:p w:rsidR="00000000" w:rsidDel="00000000" w:rsidP="00000000" w:rsidRDefault="00000000" w:rsidRPr="00000000" w14:paraId="00000047">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Pour essais sur éprouvettes cubiques ou autres dimensions, fournir la conversion et la méthode dans une annexe normative spécifique.</w:t>
      </w:r>
    </w:p>
    <w:p w:rsidR="00000000" w:rsidDel="00000000" w:rsidP="00000000" w:rsidRDefault="00000000" w:rsidRPr="00000000" w14:paraId="00000048">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Pour essais non destructifs complémentaires (sonicité, ultrasons), indiquer la méthode et la corrélation avec la résistance en annexe informative.</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Échantillonnage et plan statistique</w:t>
      </w:r>
    </w:p>
    <w:p w:rsidR="00000000" w:rsidDel="00000000" w:rsidP="00000000" w:rsidRDefault="00000000" w:rsidRPr="00000000" w14:paraId="0000004A">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Définition du lot</w:t>
      </w:r>
      <w:r w:rsidDel="00000000" w:rsidR="00000000" w:rsidRPr="00000000">
        <w:rPr>
          <w:rFonts w:ascii="Times New Roman" w:cs="Times New Roman" w:eastAsia="Times New Roman" w:hAnsi="Times New Roman"/>
          <w:sz w:val="24"/>
          <w:szCs w:val="24"/>
          <w:rtl w:val="0"/>
        </w:rPr>
        <w:t xml:space="preserve"> : préciser la quantité, la période de production et l’unité contractuelle.</w:t>
      </w:r>
    </w:p>
    <w:p w:rsidR="00000000" w:rsidDel="00000000" w:rsidP="00000000" w:rsidRDefault="00000000" w:rsidRPr="00000000" w14:paraId="0000004B">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Taille d’échantillon</w:t>
      </w:r>
      <w:r w:rsidDel="00000000" w:rsidR="00000000" w:rsidRPr="00000000">
        <w:rPr>
          <w:rFonts w:ascii="Times New Roman" w:cs="Times New Roman" w:eastAsia="Times New Roman" w:hAnsi="Times New Roman"/>
          <w:sz w:val="24"/>
          <w:szCs w:val="24"/>
          <w:rtl w:val="0"/>
        </w:rPr>
        <w:t xml:space="preserve"> : minimum 3 éprouvettes par lot ; pour lots importants, appliquer un plan statistique (ex. 5 à 10 éprouvettes) et calculer moyenne et écart-type.</w:t>
      </w:r>
    </w:p>
    <w:p w:rsidR="00000000" w:rsidDel="00000000" w:rsidP="00000000" w:rsidRDefault="00000000" w:rsidRPr="00000000" w14:paraId="0000004C">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Critères statistiques</w:t>
      </w:r>
      <w:r w:rsidDel="00000000" w:rsidR="00000000" w:rsidRPr="00000000">
        <w:rPr>
          <w:rFonts w:ascii="Times New Roman" w:cs="Times New Roman" w:eastAsia="Times New Roman" w:hAnsi="Times New Roman"/>
          <w:sz w:val="24"/>
          <w:szCs w:val="24"/>
          <w:rtl w:val="0"/>
        </w:rPr>
        <w:t xml:space="preserve"> : utiliser la moyenne et l’écart-type pour estimer la résistance caractéristique selon la méthode recommandée par ISO 1920.</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Gestion des non conformités</w:t>
      </w:r>
    </w:p>
    <w:p w:rsidR="00000000" w:rsidDel="00000000" w:rsidP="00000000" w:rsidRDefault="00000000" w:rsidRPr="00000000" w14:paraId="0000004E">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Détection</w:t>
      </w:r>
      <w:r w:rsidDel="00000000" w:rsidR="00000000" w:rsidRPr="00000000">
        <w:rPr>
          <w:rtl w:val="0"/>
        </w:rPr>
      </w:r>
    </w:p>
    <w:p w:rsidR="00000000" w:rsidDel="00000000" w:rsidP="00000000" w:rsidRDefault="00000000" w:rsidRPr="00000000" w14:paraId="0000004F">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Si un lot est non conforme, notifier immédiatement le maître d’ouvrage et l’entrepreneur.</w:t>
      </w:r>
    </w:p>
    <w:p w:rsidR="00000000" w:rsidDel="00000000" w:rsidP="00000000" w:rsidRDefault="00000000" w:rsidRPr="00000000" w14:paraId="00000050">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Analyse des causes</w:t>
      </w:r>
      <w:r w:rsidDel="00000000" w:rsidR="00000000" w:rsidRPr="00000000">
        <w:rPr>
          <w:rtl w:val="0"/>
        </w:rPr>
      </w:r>
    </w:p>
    <w:p w:rsidR="00000000" w:rsidDel="00000000" w:rsidP="00000000" w:rsidRDefault="00000000" w:rsidRPr="00000000" w14:paraId="00000051">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Réaliser une enquête technique : contrôle des matériaux, conditions de cure, procédures de mise en œuvre.</w:t>
      </w:r>
    </w:p>
    <w:p w:rsidR="00000000" w:rsidDel="00000000" w:rsidP="00000000" w:rsidRDefault="00000000" w:rsidRPr="00000000" w14:paraId="0000005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Mesures correctives</w:t>
      </w:r>
      <w:r w:rsidDel="00000000" w:rsidR="00000000" w:rsidRPr="00000000">
        <w:rPr>
          <w:rtl w:val="0"/>
        </w:rPr>
      </w:r>
    </w:p>
    <w:p w:rsidR="00000000" w:rsidDel="00000000" w:rsidP="00000000" w:rsidRDefault="00000000" w:rsidRPr="00000000" w14:paraId="00000053">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Proposer actions correctives : reprise, renforcement, remplacement ou acceptation conditionnelle avec surveillance renforcée.</w:t>
      </w:r>
    </w:p>
    <w:p w:rsidR="00000000" w:rsidDel="00000000" w:rsidP="00000000" w:rsidRDefault="00000000" w:rsidRPr="00000000" w14:paraId="00000054">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Réessais</w:t>
      </w:r>
      <w:r w:rsidDel="00000000" w:rsidR="00000000" w:rsidRPr="00000000">
        <w:rPr>
          <w:rtl w:val="0"/>
        </w:rPr>
      </w:r>
    </w:p>
    <w:p w:rsidR="00000000" w:rsidDel="00000000" w:rsidP="00000000" w:rsidRDefault="00000000" w:rsidRPr="00000000" w14:paraId="00000055">
      <w:pPr>
        <w:numPr>
          <w:ilvl w:val="1"/>
          <w:numId w:val="4"/>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Autoriser réessais sur éprouvettes supplémentaires selon plan approuvé par le comité technique.</w:t>
      </w:r>
    </w:p>
    <w:p w:rsidR="00000000" w:rsidDel="00000000" w:rsidP="00000000" w:rsidRDefault="00000000" w:rsidRPr="00000000" w14:paraId="0000005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Registre</w:t>
      </w:r>
      <w:r w:rsidDel="00000000" w:rsidR="00000000" w:rsidRPr="00000000">
        <w:rPr>
          <w:rtl w:val="0"/>
        </w:rPr>
      </w:r>
    </w:p>
    <w:p w:rsidR="00000000" w:rsidDel="00000000" w:rsidP="00000000" w:rsidRDefault="00000000" w:rsidRPr="00000000" w14:paraId="00000057">
      <w:pPr>
        <w:numPr>
          <w:ilvl w:val="1"/>
          <w:numId w:val="4"/>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Tenir un registre des non conformités avec actions et résultats des mesures correctives.</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Rapport d’essai minimal</w:t>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rapport d’essai doit inclure au minimum les éléments suivants :</w:t>
      </w:r>
    </w:p>
    <w:p w:rsidR="00000000" w:rsidDel="00000000" w:rsidP="00000000" w:rsidRDefault="00000000" w:rsidRPr="00000000" w14:paraId="0000005A">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 nom du laboratoire, numéro d’accréditation, référence du lot.</w:t>
      </w:r>
    </w:p>
    <w:p w:rsidR="00000000" w:rsidDel="00000000" w:rsidP="00000000" w:rsidRDefault="00000000" w:rsidRPr="00000000" w14:paraId="0000005B">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Description de l’échantillon</w:t>
      </w:r>
      <w:r w:rsidDel="00000000" w:rsidR="00000000" w:rsidRPr="00000000">
        <w:rPr>
          <w:rFonts w:ascii="Times New Roman" w:cs="Times New Roman" w:eastAsia="Times New Roman" w:hAnsi="Times New Roman"/>
          <w:sz w:val="24"/>
          <w:szCs w:val="24"/>
          <w:rtl w:val="0"/>
        </w:rPr>
        <w:t xml:space="preserve"> : composition du béton, dosage, origine des matériaux.</w:t>
      </w:r>
    </w:p>
    <w:p w:rsidR="00000000" w:rsidDel="00000000" w:rsidP="00000000" w:rsidRDefault="00000000" w:rsidRPr="00000000" w14:paraId="0000005C">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Conditions de moulage et de cure</w:t>
      </w:r>
      <w:r w:rsidDel="00000000" w:rsidR="00000000" w:rsidRPr="00000000">
        <w:rPr>
          <w:rFonts w:ascii="Times New Roman" w:cs="Times New Roman" w:eastAsia="Times New Roman" w:hAnsi="Times New Roman"/>
          <w:sz w:val="24"/>
          <w:szCs w:val="24"/>
          <w:rtl w:val="0"/>
        </w:rPr>
        <w:t xml:space="preserve"> : dates, températures, humidité.</w:t>
      </w:r>
    </w:p>
    <w:p w:rsidR="00000000" w:rsidDel="00000000" w:rsidP="00000000" w:rsidRDefault="00000000" w:rsidRPr="00000000" w14:paraId="0000005D">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Dimensions des éprouvettes</w:t>
      </w:r>
      <w:r w:rsidDel="00000000" w:rsidR="00000000" w:rsidRPr="00000000">
        <w:rPr>
          <w:rFonts w:ascii="Times New Roman" w:cs="Times New Roman" w:eastAsia="Times New Roman" w:hAnsi="Times New Roman"/>
          <w:sz w:val="24"/>
          <w:szCs w:val="24"/>
          <w:rtl w:val="0"/>
        </w:rPr>
        <w:t xml:space="preserve"> : diamètre et hauteur mesurés.</w:t>
      </w:r>
    </w:p>
    <w:p w:rsidR="00000000" w:rsidDel="00000000" w:rsidP="00000000" w:rsidRDefault="00000000" w:rsidRPr="00000000" w14:paraId="0000005E">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Résultats</w:t>
      </w:r>
      <w:r w:rsidDel="00000000" w:rsidR="00000000" w:rsidRPr="00000000">
        <w:rPr>
          <w:rFonts w:ascii="Times New Roman" w:cs="Times New Roman" w:eastAsia="Times New Roman" w:hAnsi="Times New Roman"/>
          <w:sz w:val="24"/>
          <w:szCs w:val="24"/>
          <w:rtl w:val="0"/>
        </w:rPr>
        <w:t xml:space="preserve"> : charge maximale, résistance calculée pour chaque éprouvette, moyenne, écart-type.</w:t>
      </w:r>
    </w:p>
    <w:p w:rsidR="00000000" w:rsidDel="00000000" w:rsidP="00000000" w:rsidRDefault="00000000" w:rsidRPr="00000000" w14:paraId="0000005F">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Mode de rupture</w:t>
      </w:r>
      <w:r w:rsidDel="00000000" w:rsidR="00000000" w:rsidRPr="00000000">
        <w:rPr>
          <w:rFonts w:ascii="Times New Roman" w:cs="Times New Roman" w:eastAsia="Times New Roman" w:hAnsi="Times New Roman"/>
          <w:sz w:val="24"/>
          <w:szCs w:val="24"/>
          <w:rtl w:val="0"/>
        </w:rPr>
        <w:t xml:space="preserve"> : description et photos si pertinentes.</w:t>
      </w:r>
    </w:p>
    <w:p w:rsidR="00000000" w:rsidDel="00000000" w:rsidP="00000000" w:rsidRDefault="00000000" w:rsidRPr="00000000" w14:paraId="00000060">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Commentaires</w:t>
      </w:r>
      <w:r w:rsidDel="00000000" w:rsidR="00000000" w:rsidRPr="00000000">
        <w:rPr>
          <w:rFonts w:ascii="Times New Roman" w:cs="Times New Roman" w:eastAsia="Times New Roman" w:hAnsi="Times New Roman"/>
          <w:sz w:val="24"/>
          <w:szCs w:val="24"/>
          <w:rtl w:val="0"/>
        </w:rPr>
        <w:t xml:space="preserve"> : anomalies, observations, conformité au critère.</w:t>
      </w:r>
    </w:p>
    <w:p w:rsidR="00000000" w:rsidDel="00000000" w:rsidP="00000000" w:rsidRDefault="00000000" w:rsidRPr="00000000" w14:paraId="00000061">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 technicien responsable et responsable qualité du laboratoire.</w:t>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Marquage, traçabilité et conservation des échantillons</w:t>
      </w:r>
    </w:p>
    <w:p w:rsidR="00000000" w:rsidDel="00000000" w:rsidP="00000000" w:rsidRDefault="00000000" w:rsidRPr="00000000" w14:paraId="00000063">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Chaque éprouvette doit être marquée de façon indélébile avec le code lot et la date.</w:t>
      </w:r>
    </w:p>
    <w:p w:rsidR="00000000" w:rsidDel="00000000" w:rsidP="00000000" w:rsidRDefault="00000000" w:rsidRPr="00000000" w14:paraId="00000064">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rapports et certificats doivent être conservés pendant au moins 10 ans.</w:t>
      </w:r>
    </w:p>
    <w:p w:rsidR="00000000" w:rsidDel="00000000" w:rsidP="00000000" w:rsidRDefault="00000000" w:rsidRPr="00000000" w14:paraId="00000065">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éprouvettes rompues doivent être conservées 30 jours après l’essai pour vérification éventuelle.</w:t>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Annexes normatives</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Annexe A Méthode d’échantillonnage normative</w:t>
      </w:r>
    </w:p>
    <w:p w:rsidR="00000000" w:rsidDel="00000000" w:rsidP="00000000" w:rsidRDefault="00000000" w:rsidRPr="00000000" w14:paraId="00000068">
      <w:pPr>
        <w:numPr>
          <w:ilvl w:val="0"/>
          <w:numId w:val="7"/>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Définition des procédures de prélèvement sur chantier, nombre d’échantillons par tranche de production, conditions de transport vers le laboratoire.</w:t>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Annexe B Calcul statistique normative</w:t>
      </w:r>
    </w:p>
    <w:p w:rsidR="00000000" w:rsidDel="00000000" w:rsidP="00000000" w:rsidRDefault="00000000" w:rsidRPr="00000000" w14:paraId="0000006A">
      <w:pPr>
        <w:numPr>
          <w:ilvl w:val="0"/>
          <w:numId w:val="8"/>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Méthode de calcul de la résistance caractéristique à partir d’un échantillon et procédure d’estimation de l’écart-type.</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Annexes informatives</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Annexe C Exemple de fiche d’essai</w:t>
      </w:r>
    </w:p>
    <w:p w:rsidR="00000000" w:rsidDel="00000000" w:rsidP="00000000" w:rsidRDefault="00000000" w:rsidRPr="00000000" w14:paraId="0000006D">
      <w:pPr>
        <w:numPr>
          <w:ilvl w:val="0"/>
          <w:numId w:val="9"/>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Modèle de fiche avec champs préremplis pour faciliter la saisie des données.</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Annexe D Bonnes pratiques de moulage et cure</w:t>
      </w:r>
    </w:p>
    <w:p w:rsidR="00000000" w:rsidDel="00000000" w:rsidP="00000000" w:rsidRDefault="00000000" w:rsidRPr="00000000" w14:paraId="0000006F">
      <w:pPr>
        <w:numPr>
          <w:ilvl w:val="0"/>
          <w:numId w:val="10"/>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Recommandations pratiques pour le compactage, le démoulage et la cure en conditions tropicales.</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Annexe E Exemples de rapports d’essai</w:t>
      </w:r>
    </w:p>
    <w:p w:rsidR="00000000" w:rsidDel="00000000" w:rsidP="00000000" w:rsidRDefault="00000000" w:rsidRPr="00000000" w14:paraId="00000071">
      <w:pPr>
        <w:numPr>
          <w:ilvl w:val="0"/>
          <w:numId w:val="11"/>
        </w:numPr>
        <w:spacing w:after="28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Rapport type rempli pour un lot conforme et un lot non conforme.</w:t>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Annexe H Annexe justificative des exigences locales</w:t>
      </w:r>
    </w:p>
    <w:p w:rsidR="00000000" w:rsidDel="00000000" w:rsidP="00000000" w:rsidRDefault="00000000" w:rsidRPr="00000000" w14:paraId="00000073">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Climat</w:t>
      </w:r>
      <w:r w:rsidDel="00000000" w:rsidR="00000000" w:rsidRPr="00000000">
        <w:rPr>
          <w:rFonts w:ascii="Times New Roman" w:cs="Times New Roman" w:eastAsia="Times New Roman" w:hAnsi="Times New Roman"/>
          <w:sz w:val="24"/>
          <w:szCs w:val="24"/>
          <w:rtl w:val="0"/>
        </w:rPr>
        <w:t xml:space="preserve"> : en saison des pluies, la cure humide prolongée est difficile ; recommander protections et contrôles supplémentaires.</w:t>
      </w:r>
    </w:p>
    <w:p w:rsidR="00000000" w:rsidDel="00000000" w:rsidP="00000000" w:rsidRDefault="00000000" w:rsidRPr="00000000" w14:paraId="00000074">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Matériaux</w:t>
      </w:r>
      <w:r w:rsidDel="00000000" w:rsidR="00000000" w:rsidRPr="00000000">
        <w:rPr>
          <w:rFonts w:ascii="Times New Roman" w:cs="Times New Roman" w:eastAsia="Times New Roman" w:hAnsi="Times New Roman"/>
          <w:sz w:val="24"/>
          <w:szCs w:val="24"/>
          <w:rtl w:val="0"/>
        </w:rPr>
        <w:t xml:space="preserve"> : variabilité des granulats locaux ; imposer essais préalables et limites de substitution.</w:t>
      </w:r>
    </w:p>
    <w:p w:rsidR="00000000" w:rsidDel="00000000" w:rsidP="00000000" w:rsidRDefault="00000000" w:rsidRPr="00000000" w14:paraId="00000075">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Capacités</w:t>
      </w:r>
      <w:r w:rsidDel="00000000" w:rsidR="00000000" w:rsidRPr="00000000">
        <w:rPr>
          <w:rFonts w:ascii="Times New Roman" w:cs="Times New Roman" w:eastAsia="Times New Roman" w:hAnsi="Times New Roman"/>
          <w:sz w:val="24"/>
          <w:szCs w:val="24"/>
          <w:rtl w:val="0"/>
        </w:rPr>
        <w:t xml:space="preserve"> : plan d’accompagnement pour accréditation des laboratoires locaux selon ISO/IEC 17025.</w:t>
      </w:r>
    </w:p>
    <w:p w:rsidR="00000000" w:rsidDel="00000000" w:rsidP="00000000" w:rsidRDefault="00000000" w:rsidRPr="00000000" w14:paraId="00000076">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Sécurité</w:t>
      </w:r>
      <w:r w:rsidDel="00000000" w:rsidR="00000000" w:rsidRPr="00000000">
        <w:rPr>
          <w:rFonts w:ascii="Times New Roman" w:cs="Times New Roman" w:eastAsia="Times New Roman" w:hAnsi="Times New Roman"/>
          <w:sz w:val="24"/>
          <w:szCs w:val="24"/>
          <w:rtl w:val="0"/>
        </w:rPr>
        <w:t xml:space="preserve"> : prescriptions renforcées pour ouvrages publics dans zones sismiques et inondables.</w:t>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Historique des révisions</w:t>
      </w:r>
    </w:p>
    <w:p w:rsidR="00000000" w:rsidDel="00000000" w:rsidP="00000000" w:rsidRDefault="00000000" w:rsidRPr="00000000" w14:paraId="00000078">
      <w:pPr>
        <w:numPr>
          <w:ilvl w:val="0"/>
          <w:numId w:val="14"/>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Version 1.0</w:t>
      </w:r>
      <w:r w:rsidDel="00000000" w:rsidR="00000000" w:rsidRPr="00000000">
        <w:rPr>
          <w:rFonts w:ascii="Times New Roman" w:cs="Times New Roman" w:eastAsia="Times New Roman" w:hAnsi="Times New Roman"/>
          <w:sz w:val="24"/>
          <w:szCs w:val="24"/>
          <w:rtl w:val="0"/>
        </w:rPr>
        <w:t xml:space="preserve"> : 15/03/2026 — Première édition.</w:t>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Checklists et formulaires prêts à imprimer</w:t>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Checklist du rédacteur avant soumission</w:t>
      </w:r>
    </w:p>
    <w:tbl>
      <w:tblPr>
        <w:tblStyle w:val="Table1"/>
        <w:tblW w:w="6410.0" w:type="dxa"/>
        <w:jc w:val="left"/>
        <w:tblLayout w:type="fixed"/>
        <w:tblLook w:val="0400"/>
      </w:tblPr>
      <w:tblGrid>
        <w:gridCol w:w="5708"/>
        <w:gridCol w:w="702"/>
        <w:tblGridChange w:id="0">
          <w:tblGrid>
            <w:gridCol w:w="5708"/>
            <w:gridCol w:w="702"/>
          </w:tblGrid>
        </w:tblGridChange>
      </w:tblGrid>
      <w:tr>
        <w:trPr>
          <w:cantSplit w:val="0"/>
          <w:tblHeader w:val="1"/>
        </w:trPr>
        <w:tc>
          <w:tcP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Élément</w:t>
            </w:r>
          </w:p>
        </w:tc>
        <w:tc>
          <w:tcP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Statut</w:t>
            </w:r>
          </w:p>
        </w:tc>
      </w:tr>
      <w:tr>
        <w:trPr>
          <w:cantSplit w:val="0"/>
          <w:tblHeader w:val="0"/>
        </w:trPr>
        <w:tc>
          <w:tcP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de garde complète</w:t>
            </w:r>
          </w:p>
        </w:tc>
        <w:tc>
          <w:tcP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 d’application clair</w:t>
            </w:r>
          </w:p>
        </w:tc>
        <w:tc>
          <w:tcP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Références normatives citées avec édition</w:t>
            </w:r>
          </w:p>
        </w:tc>
        <w:tc>
          <w:tcP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Termes techniques définis ou renvoyés au lexique</w:t>
            </w:r>
          </w:p>
        </w:tc>
        <w:tc>
          <w:tcP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Exigences mesurables et testables</w:t>
            </w:r>
          </w:p>
        </w:tc>
        <w:tc>
          <w:tcP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Méthodes d’essai décrites ou renvoyées</w:t>
            </w:r>
          </w:p>
        </w:tc>
        <w:tc>
          <w:tcP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Annexes identifiées comme normatives ou informatives</w:t>
            </w:r>
          </w:p>
        </w:tc>
        <w:tc>
          <w:tcP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Numérotation cohérente</w:t>
            </w:r>
          </w:p>
        </w:tc>
        <w:tc>
          <w:tcP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Vérification orthographique et technique</w:t>
            </w:r>
          </w:p>
        </w:tc>
        <w:tc>
          <w:tcP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Checklist du comité technique pour revue</w:t>
      </w:r>
    </w:p>
    <w:tbl>
      <w:tblPr>
        <w:tblStyle w:val="Table2"/>
        <w:tblW w:w="6463.000000000001" w:type="dxa"/>
        <w:jc w:val="left"/>
        <w:tblLayout w:type="fixed"/>
        <w:tblLook w:val="0400"/>
      </w:tblPr>
      <w:tblGrid>
        <w:gridCol w:w="5761"/>
        <w:gridCol w:w="702"/>
        <w:tblGridChange w:id="0">
          <w:tblGrid>
            <w:gridCol w:w="5761"/>
            <w:gridCol w:w="702"/>
          </w:tblGrid>
        </w:tblGridChange>
      </w:tblGrid>
      <w:tr>
        <w:trPr>
          <w:cantSplit w:val="0"/>
          <w:tblHeader w:val="1"/>
        </w:trPr>
        <w:tc>
          <w:tcP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Élément</w:t>
            </w:r>
          </w:p>
        </w:tc>
        <w:tc>
          <w:tcP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Statut</w:t>
            </w:r>
          </w:p>
        </w:tc>
      </w:tr>
      <w:tr>
        <w:trPr>
          <w:cantSplit w:val="0"/>
          <w:tblHeader w:val="0"/>
        </w:trPr>
        <w:tc>
          <w:tcP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Conformité au lexique central</w:t>
            </w:r>
          </w:p>
        </w:tc>
        <w:tc>
          <w:tcP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Statut juridique précisé</w:t>
            </w:r>
          </w:p>
        </w:tc>
        <w:tc>
          <w:tcP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Évaluation des risques sécurité et environnement</w:t>
            </w:r>
          </w:p>
        </w:tc>
        <w:tc>
          <w:tcP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Compatibilité avec normes internationales et régionales</w:t>
            </w:r>
          </w:p>
        </w:tc>
        <w:tc>
          <w:tcP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transition si révision</w:t>
            </w:r>
          </w:p>
        </w:tc>
        <w:tc>
          <w:tcP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des écarts locaux documentée</w:t>
            </w:r>
          </w:p>
        </w:tc>
        <w:tc>
          <w:tcP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Checklist de publication</w:t>
      </w:r>
    </w:p>
    <w:tbl>
      <w:tblPr>
        <w:tblStyle w:val="Table3"/>
        <w:tblW w:w="5137.0" w:type="dxa"/>
        <w:jc w:val="left"/>
        <w:tblLayout w:type="fixed"/>
        <w:tblLook w:val="0400"/>
      </w:tblPr>
      <w:tblGrid>
        <w:gridCol w:w="4435"/>
        <w:gridCol w:w="702"/>
        <w:tblGridChange w:id="0">
          <w:tblGrid>
            <w:gridCol w:w="4435"/>
            <w:gridCol w:w="702"/>
          </w:tblGrid>
        </w:tblGridChange>
      </w:tblGrid>
      <w:tr>
        <w:trPr>
          <w:cantSplit w:val="0"/>
          <w:tblHeader w:val="1"/>
        </w:trPr>
        <w:tc>
          <w:tcP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Élément</w:t>
            </w:r>
          </w:p>
        </w:tc>
        <w:tc>
          <w:tcP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Statut</w:t>
            </w:r>
          </w:p>
        </w:tc>
      </w:tr>
      <w:tr>
        <w:trPr>
          <w:cantSplit w:val="0"/>
          <w:tblHeader w:val="0"/>
        </w:trPr>
        <w:tc>
          <w:tcP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Numéro et métadonnées enregistrés</w:t>
            </w:r>
          </w:p>
        </w:tc>
        <w:tc>
          <w:tcP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Fichier final validé</w:t>
            </w:r>
          </w:p>
        </w:tc>
        <w:tc>
          <w:tcP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aux parties prenantes envoyée</w:t>
            </w:r>
          </w:p>
        </w:tc>
        <w:tc>
          <w:tcP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Registre des normes mis à jour</w:t>
            </w:r>
          </w:p>
        </w:tc>
        <w:tc>
          <w:tcP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formation diffusé</w:t>
            </w:r>
          </w:p>
        </w:tc>
        <w:tc>
          <w:tcP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Formulaires prêts à imprimer</w:t>
      </w:r>
    </w:p>
    <w:p w:rsidR="00000000" w:rsidDel="00000000" w:rsidP="00000000" w:rsidRDefault="00000000" w:rsidRPr="00000000" w14:paraId="000000A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Fiche d’essai béton (tableau imprimable)</w:t>
      </w:r>
    </w:p>
    <w:tbl>
      <w:tblPr>
        <w:tblStyle w:val="Table4"/>
        <w:tblW w:w="3657.0" w:type="dxa"/>
        <w:jc w:val="left"/>
        <w:tblLayout w:type="fixed"/>
        <w:tblLook w:val="0400"/>
      </w:tblPr>
      <w:tblGrid>
        <w:gridCol w:w="2875"/>
        <w:gridCol w:w="782"/>
        <w:tblGridChange w:id="0">
          <w:tblGrid>
            <w:gridCol w:w="2875"/>
            <w:gridCol w:w="782"/>
          </w:tblGrid>
        </w:tblGridChange>
      </w:tblGrid>
      <w:tr>
        <w:trPr>
          <w:cantSplit w:val="0"/>
          <w:tblHeader w:val="1"/>
        </w:trPr>
        <w:tc>
          <w:tcP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w:t>
            </w:r>
          </w:p>
        </w:tc>
        <w:tc>
          <w:tcP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Valeur</w:t>
            </w:r>
          </w:p>
        </w:tc>
      </w:tr>
      <w:tr>
        <w:trPr>
          <w:cantSplit w:val="0"/>
          <w:tblHeader w:val="0"/>
        </w:trPr>
        <w:tc>
          <w:tcP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w:t>
            </w:r>
          </w:p>
        </w:tc>
        <w:tc>
          <w:tcP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Référence échantillon</w:t>
            </w:r>
          </w:p>
        </w:tc>
        <w:tc>
          <w:tcP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prélèvement</w:t>
            </w:r>
          </w:p>
        </w:tc>
        <w:tc>
          <w:tcPr>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Lieu prélèvement</w:t>
            </w:r>
          </w:p>
        </w:tc>
        <w:tc>
          <w:tcP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moulage</w:t>
            </w:r>
          </w:p>
        </w:tc>
        <w:tc>
          <w:tcP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Conditions de cure</w:t>
            </w:r>
          </w:p>
        </w:tc>
        <w:tc>
          <w:tcPr>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Dimensions éprouvette mm</w:t>
            </w:r>
          </w:p>
        </w:tc>
        <w:tc>
          <w:tcP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Charge maximale kN</w:t>
            </w:r>
          </w:p>
        </w:tc>
        <w:tc>
          <w:tcP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Résistance MPa</w:t>
            </w:r>
          </w:p>
        </w:tc>
        <w:tc>
          <w:tcP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p>
        </w:tc>
        <w:tc>
          <w:tcP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Laboratoire</w:t>
            </w:r>
          </w:p>
        </w:tc>
        <w:tc>
          <w:tcPr>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Numéro d’accréditation</w:t>
            </w:r>
          </w:p>
        </w:tc>
        <w:tc>
          <w:tcP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Technicien responsable</w:t>
            </w:r>
          </w:p>
        </w:tc>
        <w:tc>
          <w:tcP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Certificat de conformité modèle (tableau imprimable)</w:t>
      </w:r>
    </w:p>
    <w:tbl>
      <w:tblPr>
        <w:tblStyle w:val="Table5"/>
        <w:tblW w:w="6769.0" w:type="dxa"/>
        <w:jc w:val="left"/>
        <w:tblLayout w:type="fixed"/>
        <w:tblLook w:val="0400"/>
      </w:tblPr>
      <w:tblGrid>
        <w:gridCol w:w="2535"/>
        <w:gridCol w:w="4234"/>
        <w:tblGridChange w:id="0">
          <w:tblGrid>
            <w:gridCol w:w="2535"/>
            <w:gridCol w:w="4234"/>
          </w:tblGrid>
        </w:tblGridChange>
      </w:tblGrid>
      <w:tr>
        <w:trPr>
          <w:cantSplit w:val="0"/>
          <w:tblHeader w:val="1"/>
        </w:trPr>
        <w:tc>
          <w:tcP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w:t>
            </w:r>
          </w:p>
        </w:tc>
        <w:tc>
          <w:tcP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Valeur</w:t>
            </w:r>
          </w:p>
        </w:tc>
      </w:tr>
      <w:tr>
        <w:trPr>
          <w:cantSplit w:val="0"/>
          <w:tblHeader w:val="0"/>
        </w:trPr>
        <w:tc>
          <w:tcP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Référence norme</w:t>
            </w:r>
          </w:p>
        </w:tc>
        <w:tc>
          <w:tcP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NN-BTP-001-2026</w:t>
            </w:r>
          </w:p>
        </w:tc>
      </w:tr>
      <w:tr>
        <w:trPr>
          <w:cantSplit w:val="0"/>
          <w:tblHeader w:val="0"/>
        </w:trPr>
        <w:tc>
          <w:tcPr>
            <w:vAlign w:val="center"/>
          </w:tcPr>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Produit Lot</w:t>
            </w:r>
          </w:p>
        </w:tc>
        <w:tc>
          <w:tcP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Résultats clés</w:t>
            </w:r>
          </w:p>
        </w:tc>
        <w:tc>
          <w:tcPr>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produit/lot est conforme / non conforme</w:t>
            </w:r>
          </w:p>
        </w:tc>
      </w:tr>
      <w:tr>
        <w:trPr>
          <w:cantSplit w:val="0"/>
          <w:tblHeader w:val="0"/>
        </w:trPr>
        <w:tc>
          <w:tcP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Organisme certificateur</w:t>
            </w:r>
          </w:p>
        </w:tc>
        <w:tc>
          <w:tcP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Numéro d’accréditation</w:t>
            </w:r>
          </w:p>
        </w:tc>
        <w:tc>
          <w:tcPr>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p>
        </w:tc>
        <w:tc>
          <w:tcP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D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Procès verbal réunion comité technique (tableau imprimable)</w:t>
      </w:r>
    </w:p>
    <w:tbl>
      <w:tblPr>
        <w:tblStyle w:val="Table6"/>
        <w:tblW w:w="2524.0" w:type="dxa"/>
        <w:jc w:val="left"/>
        <w:tblLayout w:type="fixed"/>
        <w:tblLook w:val="0400"/>
      </w:tblPr>
      <w:tblGrid>
        <w:gridCol w:w="1742"/>
        <w:gridCol w:w="782"/>
        <w:tblGridChange w:id="0">
          <w:tblGrid>
            <w:gridCol w:w="1742"/>
            <w:gridCol w:w="782"/>
          </w:tblGrid>
        </w:tblGridChange>
      </w:tblGrid>
      <w:tr>
        <w:trPr>
          <w:cantSplit w:val="0"/>
          <w:tblHeader w:val="1"/>
        </w:trPr>
        <w:tc>
          <w:tcP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w:t>
            </w:r>
          </w:p>
        </w:tc>
        <w:tc>
          <w:tcP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Valeur</w:t>
            </w:r>
          </w:p>
        </w:tc>
      </w:tr>
      <w:tr>
        <w:trPr>
          <w:cantSplit w:val="0"/>
          <w:tblHeader w:val="0"/>
        </w:trPr>
        <w:tc>
          <w:tcP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Lieu</w:t>
            </w:r>
          </w:p>
        </w:tc>
        <w:tc>
          <w:tcP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p>
        </w:tc>
        <w:tc>
          <w:tcP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Ordre du jour</w:t>
            </w:r>
          </w:p>
        </w:tc>
        <w:tc>
          <w:tcP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Décisions prises</w:t>
            </w:r>
          </w:p>
        </w:tc>
        <w:tc>
          <w:tcP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à mener</w:t>
            </w:r>
          </w:p>
        </w:tc>
        <w:tc>
          <w:tcP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w:t>
            </w:r>
          </w:p>
        </w:tc>
        <w:tc>
          <w:tcP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Échéances</w:t>
            </w:r>
          </w:p>
        </w:tc>
        <w:tc>
          <w:tcP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Signatures</w:t>
            </w:r>
          </w:p>
        </w:tc>
        <w:tc>
          <w:tcP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F1">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 de concordance exemple entre norme internationale et version nationale</w:t>
      </w:r>
    </w:p>
    <w:tbl>
      <w:tblPr>
        <w:tblStyle w:val="Table7"/>
        <w:tblW w:w="9072.0" w:type="dxa"/>
        <w:jc w:val="left"/>
        <w:tblLayout w:type="fixed"/>
        <w:tblLook w:val="0400"/>
      </w:tblPr>
      <w:tblGrid>
        <w:gridCol w:w="1665"/>
        <w:gridCol w:w="1955"/>
        <w:gridCol w:w="2318"/>
        <w:gridCol w:w="1600"/>
        <w:gridCol w:w="1534"/>
        <w:tblGridChange w:id="0">
          <w:tblGrid>
            <w:gridCol w:w="1665"/>
            <w:gridCol w:w="1955"/>
            <w:gridCol w:w="2318"/>
            <w:gridCol w:w="1600"/>
            <w:gridCol w:w="1534"/>
          </w:tblGrid>
        </w:tblGridChange>
      </w:tblGrid>
      <w:tr>
        <w:trPr>
          <w:cantSplit w:val="0"/>
          <w:tblHeader w:val="1"/>
        </w:trPr>
        <w:tc>
          <w:tcP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Référence internationale</w:t>
            </w:r>
          </w:p>
        </w:tc>
        <w:tc>
          <w:tcP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Clause internationale</w:t>
            </w:r>
          </w:p>
        </w:tc>
        <w:tc>
          <w:tcP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Texte national adopté</w:t>
            </w:r>
          </w:p>
        </w:tc>
        <w:tc>
          <w:tcP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Écart technique</w:t>
            </w:r>
          </w:p>
        </w:tc>
        <w:tc>
          <w:tcPr>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Référence annexe justificative</w:t>
            </w:r>
          </w:p>
        </w:tc>
      </w:tr>
      <w:tr>
        <w:trPr>
          <w:cantSplit w:val="0"/>
          <w:tblHeader w:val="0"/>
        </w:trPr>
        <w:tc>
          <w:tcP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1920-4:20XX</w:t>
            </w:r>
          </w:p>
        </w:tc>
        <w:tc>
          <w:tcP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5 Méthode de compression</w:t>
            </w:r>
          </w:p>
        </w:tc>
        <w:tc>
          <w:tcP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5 Méthode d’essai de NN-BTP-001-2026</w:t>
            </w:r>
          </w:p>
        </w:tc>
        <w:tc>
          <w:tcP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adoption identique</w:t>
            </w:r>
          </w:p>
        </w:tc>
        <w:tc>
          <w:tcP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H.2</w:t>
            </w:r>
          </w:p>
        </w:tc>
      </w:tr>
      <w:tr>
        <w:trPr>
          <w:cantSplit w:val="0"/>
          <w:tblHeader w:val="0"/>
        </w:trPr>
        <w:tc>
          <w:tcP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6784:20XX</w:t>
            </w:r>
          </w:p>
        </w:tc>
        <w:tc>
          <w:tcP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4 Cure 28 jours</w:t>
            </w:r>
          </w:p>
        </w:tc>
        <w:tc>
          <w:tcP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5.1 Cure 28 jours à 20 ± 2 °C</w:t>
            </w:r>
          </w:p>
        </w:tc>
        <w:tc>
          <w:tcP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précision sur adaptation saisonnière</w:t>
            </w:r>
          </w:p>
        </w:tc>
        <w:tc>
          <w:tcP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H.1</w:t>
            </w:r>
          </w:p>
        </w:tc>
      </w:tr>
      <w:tr>
        <w:trPr>
          <w:cantSplit w:val="0"/>
          <w:tblHeader w:val="0"/>
        </w:trPr>
        <w:tc>
          <w:tcP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1920-4:20XX</w:t>
            </w:r>
          </w:p>
        </w:tc>
        <w:tc>
          <w:tcP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7 Vitesse de chargement 0,25 MPa/s</w:t>
            </w:r>
          </w:p>
        </w:tc>
        <w:tc>
          <w:tcP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5.3 Vitesse 0,25 ± 0,05 MPa/s</w:t>
            </w:r>
          </w:p>
        </w:tc>
        <w:tc>
          <w:tcP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adoption identique</w:t>
            </w:r>
          </w:p>
        </w:tc>
        <w:tc>
          <w:tcP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H.2</w:t>
            </w:r>
          </w:p>
        </w:tc>
      </w:tr>
      <w:tr>
        <w:trPr>
          <w:cantSplit w:val="0"/>
          <w:tblHeader w:val="0"/>
        </w:trPr>
        <w:tc>
          <w:tcPr>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1920-4:20XX</w:t>
            </w:r>
          </w:p>
        </w:tc>
        <w:tc>
          <w:tcP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9 Rapport d’essai</w:t>
            </w:r>
          </w:p>
        </w:tc>
        <w:tc>
          <w:tcP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Rapport d’essai minimal</w:t>
            </w:r>
          </w:p>
        </w:tc>
        <w:tc>
          <w:tcP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adoption identique</w:t>
            </w:r>
          </w:p>
        </w:tc>
        <w:tc>
          <w:tcP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H.3</w:t>
            </w:r>
          </w:p>
        </w:tc>
      </w:tr>
      <w:tr>
        <w:trPr>
          <w:cantSplit w:val="0"/>
          <w:tblHeader w:val="0"/>
        </w:trPr>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 1920-4:20XX</w:t>
            </w:r>
          </w:p>
        </w:tc>
        <w:tc>
          <w:tcP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échantillonnage</w:t>
            </w:r>
          </w:p>
        </w:tc>
        <w:tc>
          <w:tcP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 Échantillonnage et plan statistique</w:t>
            </w:r>
          </w:p>
        </w:tc>
        <w:tc>
          <w:tcP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plan statistique renforcé pour lots locaux</w:t>
            </w:r>
          </w:p>
        </w:tc>
        <w:tc>
          <w:tcP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 H.2</w:t>
            </w:r>
          </w:p>
        </w:tc>
      </w:tr>
    </w:tbl>
    <w:p w:rsidR="00000000" w:rsidDel="00000000" w:rsidP="00000000" w:rsidRDefault="00000000" w:rsidRPr="00000000" w14:paraId="0000011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Mode d’emploi pour utiliser la table de concordance</w:t>
      </w:r>
    </w:p>
    <w:p w:rsidR="00000000" w:rsidDel="00000000" w:rsidP="00000000" w:rsidRDefault="00000000" w:rsidRPr="00000000" w14:paraId="00000111">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Identifier la norme internationale de référence</w:t>
      </w:r>
      <w:r w:rsidDel="00000000" w:rsidR="00000000" w:rsidRPr="00000000">
        <w:rPr>
          <w:rFonts w:ascii="Times New Roman" w:cs="Times New Roman" w:eastAsia="Times New Roman" w:hAnsi="Times New Roman"/>
          <w:sz w:val="24"/>
          <w:szCs w:val="24"/>
          <w:rtl w:val="0"/>
        </w:rPr>
        <w:t xml:space="preserve"> et noter l’édition.</w:t>
      </w:r>
    </w:p>
    <w:p w:rsidR="00000000" w:rsidDel="00000000" w:rsidP="00000000" w:rsidRDefault="00000000" w:rsidRPr="00000000" w14:paraId="00000112">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Comparer clause par clause</w:t>
      </w:r>
      <w:r w:rsidDel="00000000" w:rsidR="00000000" w:rsidRPr="00000000">
        <w:rPr>
          <w:rFonts w:ascii="Times New Roman" w:cs="Times New Roman" w:eastAsia="Times New Roman" w:hAnsi="Times New Roman"/>
          <w:sz w:val="24"/>
          <w:szCs w:val="24"/>
          <w:rtl w:val="0"/>
        </w:rPr>
        <w:t xml:space="preserve"> et reporter le texte national proposé.</w:t>
      </w:r>
    </w:p>
    <w:p w:rsidR="00000000" w:rsidDel="00000000" w:rsidP="00000000" w:rsidRDefault="00000000" w:rsidRPr="00000000" w14:paraId="00000113">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Indiquer si l’écart est technique</w:t>
      </w:r>
      <w:r w:rsidDel="00000000" w:rsidR="00000000" w:rsidRPr="00000000">
        <w:rPr>
          <w:rFonts w:ascii="Times New Roman" w:cs="Times New Roman" w:eastAsia="Times New Roman" w:hAnsi="Times New Roman"/>
          <w:sz w:val="24"/>
          <w:szCs w:val="24"/>
          <w:rtl w:val="0"/>
        </w:rPr>
        <w:t xml:space="preserve"> et motiver la décision.</w:t>
      </w:r>
    </w:p>
    <w:p w:rsidR="00000000" w:rsidDel="00000000" w:rsidP="00000000" w:rsidRDefault="00000000" w:rsidRPr="00000000" w14:paraId="00000114">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Référencer l’Annexe justificative locale</w:t>
      </w:r>
      <w:r w:rsidDel="00000000" w:rsidR="00000000" w:rsidRPr="00000000">
        <w:rPr>
          <w:rFonts w:ascii="Times New Roman" w:cs="Times New Roman" w:eastAsia="Times New Roman" w:hAnsi="Times New Roman"/>
          <w:sz w:val="24"/>
          <w:szCs w:val="24"/>
          <w:rtl w:val="0"/>
        </w:rPr>
        <w:t xml:space="preserve"> qui contient les preuves et mesures d’accompagnement.</w:t>
      </w:r>
    </w:p>
    <w:p w:rsidR="00000000" w:rsidDel="00000000" w:rsidP="00000000" w:rsidRDefault="00000000" w:rsidRPr="00000000" w14:paraId="0000011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Remarques finales et mise à disposition</w:t>
      </w:r>
    </w:p>
    <w:p w:rsidR="00000000" w:rsidDel="00000000" w:rsidP="00000000" w:rsidRDefault="00000000" w:rsidRPr="00000000" w14:paraId="00000116">
      <w:pPr>
        <w:numPr>
          <w:ilvl w:val="0"/>
          <w:numId w:val="1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 texte ci-dessus est prêt à être copié dans un document Word ou PDF.</w:t>
      </w:r>
    </w:p>
    <w:p w:rsidR="00000000" w:rsidDel="00000000" w:rsidP="00000000" w:rsidRDefault="00000000" w:rsidRPr="00000000" w14:paraId="00000117">
      <w:pPr>
        <w:numPr>
          <w:ilvl w:val="0"/>
          <w:numId w:val="1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tableaux de checklists et formulaires sont conçus pour impression directe.</w:t>
      </w:r>
    </w:p>
    <w:p w:rsidR="00000000" w:rsidDel="00000000" w:rsidP="00000000" w:rsidRDefault="00000000" w:rsidRPr="00000000" w14:paraId="00000118">
      <w:pPr>
        <w:numPr>
          <w:ilvl w:val="0"/>
          <w:numId w:val="1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Si vous souhaitez, je peux fournir la </w:t>
      </w:r>
      <w:r w:rsidDel="00000000" w:rsidR="00000000" w:rsidRPr="00000000">
        <w:rPr>
          <w:rFonts w:ascii="Times New Roman" w:cs="Times New Roman" w:eastAsia="Times New Roman" w:hAnsi="Times New Roman"/>
          <w:b w:val="1"/>
          <w:bCs w:val="1"/>
          <w:sz w:val="24"/>
          <w:szCs w:val="24"/>
          <w:rtl w:val="0"/>
        </w:rPr>
        <w:t xml:space="preserve">version Word</w:t>
      </w:r>
      <w:r w:rsidDel="00000000" w:rsidR="00000000" w:rsidRPr="00000000">
        <w:rPr>
          <w:rFonts w:ascii="Times New Roman" w:cs="Times New Roman" w:eastAsia="Times New Roman" w:hAnsi="Times New Roman"/>
          <w:sz w:val="24"/>
          <w:szCs w:val="24"/>
          <w:rtl w:val="0"/>
        </w:rPr>
        <w:t xml:space="preserve"> du texte formatée (page de garde, styles, sommaire) en texte copiable pour insertion dans votre traitement de texte.</w:t>
      </w:r>
    </w:p>
    <w:p w:rsidR="00000000" w:rsidDel="00000000" w:rsidP="00000000" w:rsidRDefault="00000000" w:rsidRPr="00000000" w14:paraId="00000119">
      <w:pPr>
        <w:numPr>
          <w:ilvl w:val="0"/>
          <w:numId w:val="1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Je peux aussi remplir la </w:t>
      </w:r>
      <w:r w:rsidDel="00000000" w:rsidR="00000000" w:rsidRPr="00000000">
        <w:rPr>
          <w:rFonts w:ascii="Times New Roman" w:cs="Times New Roman" w:eastAsia="Times New Roman" w:hAnsi="Times New Roman"/>
          <w:b w:val="1"/>
          <w:bCs w:val="1"/>
          <w:sz w:val="24"/>
          <w:szCs w:val="24"/>
          <w:rtl w:val="0"/>
        </w:rPr>
        <w:t xml:space="preserve">table de concordance</w:t>
      </w:r>
      <w:r w:rsidDel="00000000" w:rsidR="00000000" w:rsidRPr="00000000">
        <w:rPr>
          <w:rFonts w:ascii="Times New Roman" w:cs="Times New Roman" w:eastAsia="Times New Roman" w:hAnsi="Times New Roman"/>
          <w:sz w:val="24"/>
          <w:szCs w:val="24"/>
          <w:rtl w:val="0"/>
        </w:rPr>
        <w:t xml:space="preserve"> pour une norme internationale précise que vous indiquerez, en complétant l’Annexe justificative locale avec données et essais locaux si vous fournissez les résultats.</w:t>
      </w:r>
    </w:p>
    <w:p w:rsidR="00000000" w:rsidDel="00000000" w:rsidP="00000000" w:rsidRDefault="00000000" w:rsidRPr="00000000" w14:paraId="0000011A">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4"/>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8"/>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