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RÉPUBLIQUE DÉMOCRATIQUE DU CONGO</w:t>
      </w:r>
    </w:p>
    <w:p>
      <w:pPr>
        <w:pStyle w:val="Subtitle"/>
        <w:jc w:val="center"/>
      </w:pPr>
      <w:r>
        <w:t>MINISTÈRE DES INFRASTRUCTURES ET TRAVAUX PUBLICS</w:t>
      </w:r>
    </w:p>
    <w:p>
      <w:pPr>
        <w:pStyle w:val="Small"/>
        <w:jc w:val="center"/>
      </w:pPr>
      <w:r>
        <w:t>COMMISSION NATIONALE D’ÉLABORATION DES NORMES DE CONSTRUCTION DES INFRASTRUCTURES ET DES TRAVAUX PUBLICS</w:t>
      </w:r>
    </w:p>
    <w:p>
      <w:r>
        <w:br/>
      </w:r>
    </w:p>
    <w:p>
      <w:pPr>
        <w:pStyle w:val="Title"/>
        <w:jc w:val="center"/>
      </w:pPr>
      <w:r>
        <w:t>NOTE COMPARATIVE ET PROPOSITION DE MIGRATION</w:t>
      </w:r>
    </w:p>
    <w:p>
      <w:pPr>
        <w:pStyle w:val="Subtitle"/>
        <w:jc w:val="center"/>
      </w:pPr>
      <w:r>
        <w:t>De l’architecture CTM / WG (mai 2026) vers l’organisation COPIL / ST / SC / GT (octobre 2026)</w:t>
      </w:r>
    </w:p>
    <w:p>
      <w:r>
        <w:br/>
      </w:r>
    </w:p>
    <w:tbl>
      <w:tblPr>
        <w:tblStyle w:val="LightShading-Accent1"/>
        <w:tblW w:type="auto" w:w="0"/>
        <w:jc w:val="center"/>
        <w:tblLayout w:type="autofit"/>
        <w:tblLook w:firstColumn="1" w:firstRow="1" w:lastColumn="0" w:lastRow="0" w:noHBand="0" w:noVBand="1" w:val="04A0"/>
      </w:tblPr>
      <w:tblGrid>
        <w:gridCol w:w="4961"/>
        <w:gridCol w:w="4961"/>
      </w:tblGrid>
      <w:tr>
        <w:trPr>
          <w:tblHeader/>
        </w:trPr>
        <w:tc>
          <w:tcPr>
            <w:tcW w:type="dxa" w:w="4961"/>
            <w:vAlign w:val="center"/>
          </w:tcPr>
          <w:p>
            <w:pPr>
              <w:spacing w:after="40"/>
            </w:pPr>
            <w:r>
              <w:rPr>
                <w:b/>
                <w:color w:val="122F4D"/>
                <w:sz w:val="15"/>
              </w:rPr>
              <w:t>Objet</w:t>
            </w:r>
          </w:p>
        </w:tc>
        <w:tc>
          <w:tcPr>
            <w:tcW w:type="dxa" w:w="4961"/>
            <w:vAlign w:val="center"/>
          </w:tcPr>
          <w:p>
            <w:pPr>
              <w:spacing w:after="40"/>
            </w:pPr>
            <w:r>
              <w:rPr>
                <w:b/>
                <w:color w:val="122F4D"/>
                <w:sz w:val="15"/>
              </w:rPr>
              <w:t>Destinataire / statut</w:t>
            </w:r>
          </w:p>
        </w:tc>
      </w:tr>
      <w:tr>
        <w:tc>
          <w:tcPr>
            <w:tcW w:type="dxa" w:w="4961"/>
            <w:vAlign w:val="center"/>
          </w:tcPr>
          <w:p>
            <w:pPr>
              <w:spacing w:after="40"/>
            </w:pPr>
            <w:r>
              <w:rPr>
                <w:sz w:val="15"/>
              </w:rPr>
              <w:t>Objet</w:t>
            </w:r>
          </w:p>
        </w:tc>
        <w:tc>
          <w:tcPr>
            <w:tcW w:type="dxa" w:w="4961"/>
            <w:vAlign w:val="center"/>
          </w:tcPr>
          <w:p>
            <w:pPr>
              <w:spacing w:after="40"/>
            </w:pPr>
            <w:r>
              <w:rPr>
                <w:sz w:val="15"/>
              </w:rPr>
              <w:t>Évaluer les convergences, divergences et changements de rattachement afin d’adapter la plateforme web existante sans rupture de service ni perte d’historique.</w:t>
            </w:r>
          </w:p>
        </w:tc>
      </w:tr>
      <w:tr>
        <w:tc>
          <w:tcPr>
            <w:tcW w:type="dxa" w:w="4961"/>
            <w:vAlign w:val="center"/>
          </w:tcPr>
          <w:p>
            <w:pPr>
              <w:spacing w:after="40"/>
            </w:pPr>
            <w:r>
              <w:rPr>
                <w:sz w:val="15"/>
              </w:rPr>
              <w:t>Destinataire</w:t>
            </w:r>
          </w:p>
        </w:tc>
        <w:tc>
          <w:tcPr>
            <w:tcW w:type="dxa" w:w="4961"/>
            <w:vAlign w:val="center"/>
          </w:tcPr>
          <w:p>
            <w:pPr>
              <w:spacing w:after="40"/>
            </w:pPr>
            <w:r>
              <w:rPr>
                <w:sz w:val="15"/>
              </w:rPr>
              <w:t>À l’attention de la hiérarchie / direction de projet</w:t>
            </w:r>
          </w:p>
        </w:tc>
      </w:tr>
      <w:tr>
        <w:tc>
          <w:tcPr>
            <w:tcW w:type="dxa" w:w="4961"/>
            <w:vAlign w:val="center"/>
          </w:tcPr>
          <w:p>
            <w:pPr>
              <w:spacing w:after="40"/>
            </w:pPr>
            <w:r>
              <w:rPr>
                <w:sz w:val="15"/>
              </w:rPr>
              <w:t>Nature</w:t>
            </w:r>
          </w:p>
        </w:tc>
        <w:tc>
          <w:tcPr>
            <w:tcW w:type="dxa" w:w="4961"/>
            <w:vAlign w:val="center"/>
          </w:tcPr>
          <w:p>
            <w:pPr>
              <w:spacing w:after="40"/>
            </w:pPr>
            <w:r>
              <w:rPr>
                <w:sz w:val="15"/>
              </w:rPr>
              <w:t>Note technique d’aide à la décision. Les correspondances proposées ne valent pas approbation institutionnelle.</w:t>
            </w:r>
          </w:p>
        </w:tc>
      </w:tr>
      <w:tr>
        <w:tc>
          <w:tcPr>
            <w:tcW w:type="dxa" w:w="4961"/>
            <w:vAlign w:val="center"/>
          </w:tcPr>
          <w:p>
            <w:pPr>
              <w:spacing w:after="40"/>
            </w:pPr>
            <w:r>
              <w:rPr>
                <w:sz w:val="15"/>
              </w:rPr>
              <w:t>Date</w:t>
            </w:r>
          </w:p>
        </w:tc>
        <w:tc>
          <w:tcPr>
            <w:tcW w:type="dxa" w:w="4961"/>
            <w:vAlign w:val="center"/>
          </w:tcPr>
          <w:p>
            <w:pPr>
              <w:spacing w:after="40"/>
            </w:pPr>
            <w:r>
              <w:rPr>
                <w:sz w:val="15"/>
              </w:rPr>
              <w:t>11 octobre 2026</w:t>
            </w:r>
          </w:p>
        </w:tc>
      </w:tr>
    </w:tbl>
    <w:p>
      <w:pPr>
        <w:spacing w:after="20"/>
      </w:pPr>
    </w:p>
    <w:p>
      <w:pPr>
        <w:pStyle w:val="Heading1"/>
      </w:pPr>
      <w:r>
        <w:t>Décision proposée</w:t>
      </w:r>
    </w:p>
    <w:p>
      <w:r>
        <w:rPr>
          <w:b/>
        </w:rPr>
        <w:t>PRÉSERVER</w:t>
      </w:r>
      <w:r>
        <w:t xml:space="preserve"> la plateforme et ses données ; INTRODUIRE une correspondance entre anciennes et nouvelles entités ; MIGRER progressivement les rattachements et le circuit de validation ; SOUMETTRE les points ambigus au Comité de pilotage avant toute suppression ou activation définitive.</w:t>
      </w:r>
    </w:p>
    <w:p>
      <w:pPr>
        <w:pStyle w:val="Small"/>
      </w:pPr>
      <w:r>
        <w:t>Point de vigilance : le manuel consolidé d’octobre propose sept sous-commissions, avec une huitième « Infrastructure qualité » encore à décider. Les six niveaux d’activité cités dans ce manuel ne sont pas six sous-commissions.</w:t>
      </w:r>
    </w:p>
    <w:p>
      <w:pPr>
        <w:pStyle w:val="Small"/>
      </w:pPr>
      <w:r>
        <w:t>Sources : (A) Manuel d’organisation structurelle et fonctionnelle, édition mai 2026, 11 p. ; (B) Manuel d’organisation et de fonctionnement de la CNE-ITP, version consolidée du 7 octobre 2026, 9 p.</w:t>
      </w:r>
    </w:p>
    <w:p>
      <w:r>
        <w:br w:type="page"/>
      </w:r>
    </w:p>
    <w:p>
      <w:pPr>
        <w:pStyle w:val="Heading1"/>
      </w:pPr>
      <w:r>
        <w:t>1. Synthèse exécutive</w:t>
      </w:r>
    </w:p>
    <w:p>
      <w:r>
        <w:t>La comparaison met en évidence une continuité du dispositif de pilotage, de coordination et de production normative, mais aussi une refonte du découpage technique et du processus d’approbation. Il s’agit d’une migration fonctionnelle, non d’une simple substitution de libellés.</w:t>
      </w:r>
    </w:p>
    <w:p>
      <w:pPr>
        <w:pStyle w:val="ListBullet"/>
      </w:pPr>
      <w:r>
        <w:t>Ancien manuel : 8 comités techniques miroirs (CTM), 23 WG explicitement listés, cellule technique de coordination (CTC) de 20 membres et comité de pilotage stratégique de 24 postes (A, p. 3 et 5 à 8).</w:t>
      </w:r>
    </w:p>
    <w:p>
      <w:pPr>
        <w:pStyle w:val="ListBullet"/>
      </w:pPr>
      <w:r>
        <w:t>Nouveau manuel : 7 sous-commissions (SC) proposées, 38 GT de production répartis entre elles (10 + 19 + 2 + 2 + 3 + 1 + 1), 3 groupes de veille dans la SC-IT, et 5 GT supplémentaires si une SC « Infrastructure qualité » est créée ; total potentiel de 43 GT de production (B, p. 3 à 4 et 9).</w:t>
      </w:r>
    </w:p>
    <w:p>
      <w:pPr>
        <w:pStyle w:val="ListBullet"/>
      </w:pPr>
      <w:r>
        <w:t>Le nouveau manuel prévoit un secrétariat technique (ST) de 8 à 12 personnes, des SC de 10 à 15 membres et des GT de 5 à 7 membres. La clé ancienne des 200 experts est conservée comme document de travail à réexaminer (B, p. 3 et 7).</w:t>
      </w:r>
    </w:p>
    <w:p>
      <w:pPr>
        <w:pStyle w:val="ListBullet"/>
      </w:pPr>
      <w:r>
        <w:t>Les sept SC et la répartition détaillée de l’annexe A restent des propositions soumises à confirmation ; les actes en vigueur prévalent jusqu’à adoption (B, p. 1, 3 et 9).</w:t>
      </w:r>
    </w:p>
    <w:p>
      <w:pPr>
        <w:pStyle w:val="Heading1"/>
      </w:pPr>
      <w:r>
        <w:t>2. Matrice de correspondance des huit CTM</w:t>
      </w:r>
    </w:p>
    <w:tbl>
      <w:tblPr>
        <w:tblStyle w:val="LightShading-Accent1"/>
        <w:tblW w:type="auto" w:w="0"/>
        <w:jc w:val="center"/>
        <w:tblLayout w:type="autofit"/>
        <w:tblLook w:firstColumn="1" w:firstRow="1" w:lastColumn="0" w:lastRow="0" w:noHBand="0" w:noVBand="1" w:val="04A0"/>
      </w:tblPr>
      <w:tblGrid>
        <w:gridCol w:w="3307"/>
        <w:gridCol w:w="3307"/>
        <w:gridCol w:w="3307"/>
      </w:tblGrid>
      <w:tr>
        <w:trPr>
          <w:tblHeader/>
        </w:trPr>
        <w:tc>
          <w:tcPr>
            <w:tcW w:type="dxa" w:w="3307"/>
            <w:vAlign w:val="center"/>
          </w:tcPr>
          <w:p>
            <w:pPr>
              <w:spacing w:after="40"/>
            </w:pPr>
            <w:r>
              <w:rPr>
                <w:b/>
                <w:color w:val="122F4D"/>
                <w:sz w:val="15"/>
              </w:rPr>
              <w:t>CTM existant</w:t>
            </w:r>
          </w:p>
        </w:tc>
        <w:tc>
          <w:tcPr>
            <w:tcW w:type="dxa" w:w="3307"/>
            <w:vAlign w:val="center"/>
          </w:tcPr>
          <w:p>
            <w:pPr>
              <w:spacing w:after="40"/>
            </w:pPr>
            <w:r>
              <w:rPr>
                <w:b/>
                <w:color w:val="122F4D"/>
                <w:sz w:val="15"/>
              </w:rPr>
              <w:t>Cible principale proposée</w:t>
            </w:r>
          </w:p>
        </w:tc>
        <w:tc>
          <w:tcPr>
            <w:tcW w:type="dxa" w:w="3307"/>
            <w:vAlign w:val="center"/>
          </w:tcPr>
          <w:p>
            <w:pPr>
              <w:spacing w:after="40"/>
            </w:pPr>
            <w:r>
              <w:rPr>
                <w:b/>
                <w:color w:val="122F4D"/>
                <w:sz w:val="15"/>
              </w:rPr>
              <w:t>Nature / action plateforme</w:t>
            </w:r>
          </w:p>
        </w:tc>
      </w:tr>
      <w:tr>
        <w:tc>
          <w:tcPr>
            <w:tcW w:type="dxa" w:w="3307"/>
            <w:vAlign w:val="center"/>
          </w:tcPr>
          <w:p>
            <w:pPr>
              <w:spacing w:after="40"/>
            </w:pPr>
            <w:r>
              <w:rPr>
                <w:sz w:val="15"/>
              </w:rPr>
              <w:t>CTM 1 – Géotechnique et risques naturels</w:t>
            </w:r>
          </w:p>
        </w:tc>
        <w:tc>
          <w:tcPr>
            <w:tcW w:type="dxa" w:w="3307"/>
            <w:vAlign w:val="center"/>
          </w:tcPr>
          <w:p>
            <w:pPr>
              <w:spacing w:after="40"/>
            </w:pPr>
            <w:r>
              <w:rPr>
                <w:sz w:val="15"/>
              </w:rPr>
              <w:t>SC-GF ; interfaces SOCLE et ESS</w:t>
            </w:r>
          </w:p>
        </w:tc>
        <w:tc>
          <w:tcPr>
            <w:tcW w:type="dxa" w:w="3307"/>
            <w:vAlign w:val="center"/>
          </w:tcPr>
          <w:p>
            <w:pPr>
              <w:spacing w:after="40"/>
            </w:pPr>
            <w:r>
              <w:rPr>
                <w:sz w:val="15"/>
              </w:rPr>
              <w:t>Correspondance forte : renommage du noyau, ventilation des risques/essais.</w:t>
            </w:r>
          </w:p>
        </w:tc>
      </w:tr>
      <w:tr>
        <w:tc>
          <w:tcPr>
            <w:tcW w:type="dxa" w:w="3307"/>
            <w:vAlign w:val="center"/>
          </w:tcPr>
          <w:p>
            <w:pPr>
              <w:spacing w:after="40"/>
            </w:pPr>
            <w:r>
              <w:rPr>
                <w:sz w:val="15"/>
              </w:rPr>
              <w:t>CTM 2 – Structures et ouvrages d’art</w:t>
            </w:r>
          </w:p>
        </w:tc>
        <w:tc>
          <w:tcPr>
            <w:tcW w:type="dxa" w:w="3307"/>
            <w:vAlign w:val="center"/>
          </w:tcPr>
          <w:p>
            <w:pPr>
              <w:spacing w:after="40"/>
            </w:pPr>
            <w:r>
              <w:rPr>
                <w:sz w:val="15"/>
              </w:rPr>
              <w:t>SC-IT, SOCLE, BAT et OH</w:t>
            </w:r>
          </w:p>
        </w:tc>
        <w:tc>
          <w:tcPr>
            <w:tcW w:type="dxa" w:w="3307"/>
            <w:vAlign w:val="center"/>
          </w:tcPr>
          <w:p>
            <w:pPr>
              <w:spacing w:after="40"/>
            </w:pPr>
            <w:r>
              <w:rPr>
                <w:sz w:val="15"/>
              </w:rPr>
              <w:t>Scission fonctionnelle : migrer les WG et leurs dossiers séparément.</w:t>
            </w:r>
          </w:p>
        </w:tc>
      </w:tr>
      <w:tr>
        <w:tc>
          <w:tcPr>
            <w:tcW w:type="dxa" w:w="3307"/>
            <w:vAlign w:val="center"/>
          </w:tcPr>
          <w:p>
            <w:pPr>
              <w:spacing w:after="40"/>
            </w:pPr>
            <w:r>
              <w:rPr>
                <w:sz w:val="15"/>
              </w:rPr>
              <w:t>CTM 3 – Bâtiment, urbanisme et transition numérique</w:t>
            </w:r>
          </w:p>
        </w:tc>
        <w:tc>
          <w:tcPr>
            <w:tcW w:type="dxa" w:w="3307"/>
            <w:vAlign w:val="center"/>
          </w:tcPr>
          <w:p>
            <w:pPr>
              <w:spacing w:after="40"/>
            </w:pPr>
            <w:r>
              <w:rPr>
                <w:sz w:val="15"/>
              </w:rPr>
              <w:t>SC-BAT ; BIM vers SOCLE ; interfaces ESS</w:t>
            </w:r>
          </w:p>
        </w:tc>
        <w:tc>
          <w:tcPr>
            <w:tcW w:type="dxa" w:w="3307"/>
            <w:vAlign w:val="center"/>
          </w:tcPr>
          <w:p>
            <w:pPr>
              <w:spacing w:after="40"/>
            </w:pPr>
            <w:r>
              <w:rPr>
                <w:sz w:val="15"/>
              </w:rPr>
              <w:t>Correspondance partielle : urbanisme à clarifier.</w:t>
            </w:r>
          </w:p>
        </w:tc>
      </w:tr>
      <w:tr>
        <w:tc>
          <w:tcPr>
            <w:tcW w:type="dxa" w:w="3307"/>
            <w:vAlign w:val="center"/>
          </w:tcPr>
          <w:p>
            <w:pPr>
              <w:spacing w:after="40"/>
            </w:pPr>
            <w:r>
              <w:rPr>
                <w:sz w:val="15"/>
              </w:rPr>
              <w:t>CTM 4 – Infrastructures aéroportuaires</w:t>
            </w:r>
          </w:p>
        </w:tc>
        <w:tc>
          <w:tcPr>
            <w:tcW w:type="dxa" w:w="3307"/>
            <w:vAlign w:val="center"/>
          </w:tcPr>
          <w:p>
            <w:pPr>
              <w:spacing w:after="40"/>
            </w:pPr>
            <w:r>
              <w:rPr>
                <w:sz w:val="15"/>
              </w:rPr>
              <w:t>SC-IT / Aéroports</w:t>
            </w:r>
          </w:p>
        </w:tc>
        <w:tc>
          <w:tcPr>
            <w:tcW w:type="dxa" w:w="3307"/>
            <w:vAlign w:val="center"/>
          </w:tcPr>
          <w:p>
            <w:pPr>
              <w:spacing w:after="40"/>
            </w:pPr>
            <w:r>
              <w:rPr>
                <w:sz w:val="15"/>
              </w:rPr>
              <w:t>Intégration au transport ; activité initiale de veille.</w:t>
            </w:r>
          </w:p>
        </w:tc>
      </w:tr>
      <w:tr>
        <w:tc>
          <w:tcPr>
            <w:tcW w:type="dxa" w:w="3307"/>
            <w:vAlign w:val="center"/>
          </w:tcPr>
          <w:p>
            <w:pPr>
              <w:spacing w:after="40"/>
            </w:pPr>
            <w:r>
              <w:rPr>
                <w:sz w:val="15"/>
              </w:rPr>
              <w:t>CTM 5 – Transports linéaires et maritimes</w:t>
            </w:r>
          </w:p>
        </w:tc>
        <w:tc>
          <w:tcPr>
            <w:tcW w:type="dxa" w:w="3307"/>
            <w:vAlign w:val="center"/>
          </w:tcPr>
          <w:p>
            <w:pPr>
              <w:spacing w:after="40"/>
            </w:pPr>
            <w:r>
              <w:rPr>
                <w:sz w:val="15"/>
              </w:rPr>
              <w:t>SC-IT</w:t>
            </w:r>
          </w:p>
        </w:tc>
        <w:tc>
          <w:tcPr>
            <w:tcW w:type="dxa" w:w="3307"/>
            <w:vAlign w:val="center"/>
          </w:tcPr>
          <w:p>
            <w:pPr>
              <w:spacing w:after="40"/>
            </w:pPr>
            <w:r>
              <w:rPr>
                <w:sz w:val="15"/>
              </w:rPr>
              <w:t>Noyau principal de SC-IT ; accueil ponts et aéroports.</w:t>
            </w:r>
          </w:p>
        </w:tc>
      </w:tr>
      <w:tr>
        <w:tc>
          <w:tcPr>
            <w:tcW w:type="dxa" w:w="3307"/>
            <w:vAlign w:val="center"/>
          </w:tcPr>
          <w:p>
            <w:pPr>
              <w:spacing w:after="40"/>
            </w:pPr>
            <w:r>
              <w:rPr>
                <w:sz w:val="15"/>
              </w:rPr>
              <w:t>CTM 6 – Ingénierie hydraulique et distribution</w:t>
            </w:r>
          </w:p>
        </w:tc>
        <w:tc>
          <w:tcPr>
            <w:tcW w:type="dxa" w:w="3307"/>
            <w:vAlign w:val="center"/>
          </w:tcPr>
          <w:p>
            <w:pPr>
              <w:spacing w:after="40"/>
            </w:pPr>
            <w:r>
              <w:rPr>
                <w:sz w:val="15"/>
              </w:rPr>
              <w:t>SC-OH</w:t>
            </w:r>
          </w:p>
        </w:tc>
        <w:tc>
          <w:tcPr>
            <w:tcW w:type="dxa" w:w="3307"/>
            <w:vAlign w:val="center"/>
          </w:tcPr>
          <w:p>
            <w:pPr>
              <w:spacing w:after="40"/>
            </w:pPr>
            <w:r>
              <w:rPr>
                <w:sz w:val="15"/>
              </w:rPr>
              <w:t>Noyau principal de SC-OH ; certains sous-domaines à préciser.</w:t>
            </w:r>
          </w:p>
        </w:tc>
      </w:tr>
      <w:tr>
        <w:tc>
          <w:tcPr>
            <w:tcW w:type="dxa" w:w="3307"/>
            <w:vAlign w:val="center"/>
          </w:tcPr>
          <w:p>
            <w:pPr>
              <w:spacing w:after="40"/>
            </w:pPr>
            <w:r>
              <w:rPr>
                <w:sz w:val="15"/>
              </w:rPr>
              <w:t>CTM 7 – Génie sanitaire et assainissement</w:t>
            </w:r>
          </w:p>
        </w:tc>
        <w:tc>
          <w:tcPr>
            <w:tcW w:type="dxa" w:w="3307"/>
            <w:vAlign w:val="center"/>
          </w:tcPr>
          <w:p>
            <w:pPr>
              <w:spacing w:after="40"/>
            </w:pPr>
            <w:r>
              <w:rPr>
                <w:sz w:val="15"/>
              </w:rPr>
              <w:t>SC-OH ; interface ESS</w:t>
            </w:r>
          </w:p>
        </w:tc>
        <w:tc>
          <w:tcPr>
            <w:tcW w:type="dxa" w:w="3307"/>
            <w:vAlign w:val="center"/>
          </w:tcPr>
          <w:p>
            <w:pPr>
              <w:spacing w:after="40"/>
            </w:pPr>
            <w:r>
              <w:rPr>
                <w:sz w:val="15"/>
              </w:rPr>
              <w:t>Fusion partielle ; déchets solides sans successeur explicite.</w:t>
            </w:r>
          </w:p>
        </w:tc>
      </w:tr>
      <w:tr>
        <w:tc>
          <w:tcPr>
            <w:tcW w:type="dxa" w:w="3307"/>
            <w:vAlign w:val="center"/>
          </w:tcPr>
          <w:p>
            <w:pPr>
              <w:spacing w:after="40"/>
            </w:pPr>
            <w:r>
              <w:rPr>
                <w:sz w:val="15"/>
              </w:rPr>
              <w:t>CTM 8 – Matériaux, métrologie et valorisation locale</w:t>
            </w:r>
          </w:p>
        </w:tc>
        <w:tc>
          <w:tcPr>
            <w:tcW w:type="dxa" w:w="3307"/>
            <w:vAlign w:val="center"/>
          </w:tcPr>
          <w:p>
            <w:pPr>
              <w:spacing w:after="40"/>
            </w:pPr>
            <w:r>
              <w:rPr>
                <w:sz w:val="15"/>
              </w:rPr>
              <w:t>SC-SOCLE ; Infrastructure qualité éventuelle</w:t>
            </w:r>
          </w:p>
        </w:tc>
        <w:tc>
          <w:tcPr>
            <w:tcW w:type="dxa" w:w="3307"/>
            <w:vAlign w:val="center"/>
          </w:tcPr>
          <w:p>
            <w:pPr>
              <w:spacing w:after="40"/>
            </w:pPr>
            <w:r>
              <w:rPr>
                <w:sz w:val="15"/>
              </w:rPr>
              <w:t>Noyau du SOCLE ; certification à arbitrer.</w:t>
            </w:r>
          </w:p>
        </w:tc>
      </w:tr>
    </w:tbl>
    <w:p>
      <w:pPr>
        <w:spacing w:after="20"/>
      </w:pPr>
    </w:p>
    <w:p>
      <w:pPr>
        <w:pStyle w:val="Small"/>
      </w:pPr>
      <w:r>
        <w:t>Lecture : « cible principale » indique une correspondance analytique de compétences, et non une décision de transfert déjà actée. A, p. 6 à 8 ; B, p. 4 et 9.</w:t>
      </w:r>
    </w:p>
    <w:p>
      <w:r>
        <w:br w:type="page"/>
      </w:r>
    </w:p>
    <w:p>
      <w:pPr>
        <w:pStyle w:val="Heading1"/>
      </w:pPr>
      <w:r>
        <w:t>3. Correspondance détaillée des 23 WG existants</w:t>
      </w:r>
    </w:p>
    <w:p>
      <w:r>
        <w:t>Cette table constitue le registre de migration recommandé. Un groupe historique peut contribuer à plusieurs nouveaux GT ; le rattachement principal et les interfaces doivent être confirmés au cas par cas.</w:t>
      </w:r>
    </w:p>
    <w:tbl>
      <w:tblPr>
        <w:tblStyle w:val="LightShading-Accent1"/>
        <w:tblW w:type="auto" w:w="0"/>
        <w:jc w:val="center"/>
        <w:tblLayout w:type="autofit"/>
        <w:tblLook w:firstColumn="1" w:firstRow="1" w:lastColumn="0" w:lastRow="0" w:noHBand="0" w:noVBand="1" w:val="04A0"/>
      </w:tblPr>
      <w:tblGrid>
        <w:gridCol w:w="2480"/>
        <w:gridCol w:w="2480"/>
        <w:gridCol w:w="2480"/>
        <w:gridCol w:w="2480"/>
      </w:tblGrid>
      <w:tr>
        <w:trPr>
          <w:tblHeader/>
        </w:trPr>
        <w:tc>
          <w:tcPr>
            <w:tcW w:type="dxa" w:w="2480"/>
            <w:vAlign w:val="center"/>
          </w:tcPr>
          <w:p>
            <w:pPr>
              <w:spacing w:after="40"/>
            </w:pPr>
            <w:r>
              <w:rPr>
                <w:b/>
                <w:color w:val="122F4D"/>
                <w:sz w:val="15"/>
              </w:rPr>
              <w:t>Ancien WG</w:t>
            </w:r>
          </w:p>
        </w:tc>
        <w:tc>
          <w:tcPr>
            <w:tcW w:type="dxa" w:w="2480"/>
            <w:vAlign w:val="center"/>
          </w:tcPr>
          <w:p>
            <w:pPr>
              <w:spacing w:after="40"/>
            </w:pPr>
            <w:r>
              <w:rPr>
                <w:b/>
                <w:color w:val="122F4D"/>
                <w:sz w:val="15"/>
              </w:rPr>
              <w:t>Intitulé historique</w:t>
            </w:r>
          </w:p>
        </w:tc>
        <w:tc>
          <w:tcPr>
            <w:tcW w:type="dxa" w:w="2480"/>
            <w:vAlign w:val="center"/>
          </w:tcPr>
          <w:p>
            <w:pPr>
              <w:spacing w:after="40"/>
            </w:pPr>
            <w:r>
              <w:rPr>
                <w:b/>
                <w:color w:val="122F4D"/>
                <w:sz w:val="15"/>
              </w:rPr>
              <w:t>Destination fonctionnelle proposée</w:t>
            </w:r>
          </w:p>
        </w:tc>
        <w:tc>
          <w:tcPr>
            <w:tcW w:type="dxa" w:w="2480"/>
            <w:vAlign w:val="center"/>
          </w:tcPr>
          <w:p>
            <w:pPr>
              <w:spacing w:after="40"/>
            </w:pPr>
            <w:r>
              <w:rPr>
                <w:b/>
                <w:color w:val="122F4D"/>
                <w:sz w:val="15"/>
              </w:rPr>
              <w:t>Qualification</w:t>
            </w:r>
          </w:p>
        </w:tc>
      </w:tr>
      <w:tr>
        <w:tc>
          <w:tcPr>
            <w:tcW w:type="dxa" w:w="2480"/>
            <w:vAlign w:val="center"/>
          </w:tcPr>
          <w:p>
            <w:pPr>
              <w:spacing w:after="40"/>
            </w:pPr>
            <w:r>
              <w:rPr>
                <w:sz w:val="15"/>
              </w:rPr>
              <w:t>1.1</w:t>
            </w:r>
          </w:p>
        </w:tc>
        <w:tc>
          <w:tcPr>
            <w:tcW w:type="dxa" w:w="2480"/>
            <w:vAlign w:val="center"/>
          </w:tcPr>
          <w:p>
            <w:pPr>
              <w:spacing w:after="40"/>
            </w:pPr>
            <w:r>
              <w:rPr>
                <w:sz w:val="15"/>
              </w:rPr>
              <w:t>Reconnaissance et essais</w:t>
            </w:r>
          </w:p>
        </w:tc>
        <w:tc>
          <w:tcPr>
            <w:tcW w:type="dxa" w:w="2480"/>
            <w:vAlign w:val="center"/>
          </w:tcPr>
          <w:p>
            <w:pPr>
              <w:spacing w:after="40"/>
            </w:pPr>
            <w:r>
              <w:rPr>
                <w:sz w:val="15"/>
              </w:rPr>
              <w:t>GF : sols/roches ; SOCLE : essais</w:t>
            </w:r>
          </w:p>
        </w:tc>
        <w:tc>
          <w:tcPr>
            <w:tcW w:type="dxa" w:w="2480"/>
            <w:vAlign w:val="center"/>
          </w:tcPr>
          <w:p>
            <w:pPr>
              <w:spacing w:after="40"/>
            </w:pPr>
            <w:r>
              <w:rPr>
                <w:sz w:val="15"/>
              </w:rPr>
              <w:t>Partage de compétences</w:t>
            </w:r>
          </w:p>
        </w:tc>
      </w:tr>
      <w:tr>
        <w:tc>
          <w:tcPr>
            <w:tcW w:type="dxa" w:w="2480"/>
            <w:vAlign w:val="center"/>
          </w:tcPr>
          <w:p>
            <w:pPr>
              <w:spacing w:after="40"/>
            </w:pPr>
            <w:r>
              <w:rPr>
                <w:sz w:val="15"/>
              </w:rPr>
              <w:t>1.2</w:t>
            </w:r>
          </w:p>
        </w:tc>
        <w:tc>
          <w:tcPr>
            <w:tcW w:type="dxa" w:w="2480"/>
            <w:vAlign w:val="center"/>
          </w:tcPr>
          <w:p>
            <w:pPr>
              <w:spacing w:after="40"/>
            </w:pPr>
            <w:r>
              <w:rPr>
                <w:sz w:val="15"/>
              </w:rPr>
              <w:t>Sols tropicaux et ferrallitiques</w:t>
            </w:r>
          </w:p>
        </w:tc>
        <w:tc>
          <w:tcPr>
            <w:tcW w:type="dxa" w:w="2480"/>
            <w:vAlign w:val="center"/>
          </w:tcPr>
          <w:p>
            <w:pPr>
              <w:spacing w:after="40"/>
            </w:pPr>
            <w:r>
              <w:rPr>
                <w:sz w:val="15"/>
              </w:rPr>
              <w:t>GF : sols/roches ; SOCLE : matériaux locaux</w:t>
            </w:r>
          </w:p>
        </w:tc>
        <w:tc>
          <w:tcPr>
            <w:tcW w:type="dxa" w:w="2480"/>
            <w:vAlign w:val="center"/>
          </w:tcPr>
          <w:p>
            <w:pPr>
              <w:spacing w:after="40"/>
            </w:pPr>
            <w:r>
              <w:rPr>
                <w:sz w:val="15"/>
              </w:rPr>
              <w:t>Correspondance forte</w:t>
            </w:r>
          </w:p>
        </w:tc>
      </w:tr>
      <w:tr>
        <w:tc>
          <w:tcPr>
            <w:tcW w:type="dxa" w:w="2480"/>
            <w:vAlign w:val="center"/>
          </w:tcPr>
          <w:p>
            <w:pPr>
              <w:spacing w:after="40"/>
            </w:pPr>
            <w:r>
              <w:rPr>
                <w:sz w:val="15"/>
              </w:rPr>
              <w:t>1.3</w:t>
            </w:r>
          </w:p>
        </w:tc>
        <w:tc>
          <w:tcPr>
            <w:tcW w:type="dxa" w:w="2480"/>
            <w:vAlign w:val="center"/>
          </w:tcPr>
          <w:p>
            <w:pPr>
              <w:spacing w:after="40"/>
            </w:pPr>
            <w:r>
              <w:rPr>
                <w:sz w:val="15"/>
              </w:rPr>
              <w:t>Stabilité et érosions</w:t>
            </w:r>
          </w:p>
        </w:tc>
        <w:tc>
          <w:tcPr>
            <w:tcW w:type="dxa" w:w="2480"/>
            <w:vAlign w:val="center"/>
          </w:tcPr>
          <w:p>
            <w:pPr>
              <w:spacing w:after="40"/>
            </w:pPr>
            <w:r>
              <w:rPr>
                <w:sz w:val="15"/>
              </w:rPr>
              <w:t>GF : fondations/soutènements ; SOCLE : risques</w:t>
            </w:r>
          </w:p>
        </w:tc>
        <w:tc>
          <w:tcPr>
            <w:tcW w:type="dxa" w:w="2480"/>
            <w:vAlign w:val="center"/>
          </w:tcPr>
          <w:p>
            <w:pPr>
              <w:spacing w:after="40"/>
            </w:pPr>
            <w:r>
              <w:rPr>
                <w:sz w:val="15"/>
              </w:rPr>
              <w:t>Rattachement mixte</w:t>
            </w:r>
          </w:p>
        </w:tc>
      </w:tr>
      <w:tr>
        <w:tc>
          <w:tcPr>
            <w:tcW w:type="dxa" w:w="2480"/>
            <w:vAlign w:val="center"/>
          </w:tcPr>
          <w:p>
            <w:pPr>
              <w:spacing w:after="40"/>
            </w:pPr>
            <w:r>
              <w:rPr>
                <w:sz w:val="15"/>
              </w:rPr>
              <w:t>2.1</w:t>
            </w:r>
          </w:p>
        </w:tc>
        <w:tc>
          <w:tcPr>
            <w:tcW w:type="dxa" w:w="2480"/>
            <w:vAlign w:val="center"/>
          </w:tcPr>
          <w:p>
            <w:pPr>
              <w:spacing w:after="40"/>
            </w:pPr>
            <w:r>
              <w:rPr>
                <w:sz w:val="15"/>
              </w:rPr>
              <w:t>Calcul structural / Eurocodes</w:t>
            </w:r>
          </w:p>
        </w:tc>
        <w:tc>
          <w:tcPr>
            <w:tcW w:type="dxa" w:w="2480"/>
            <w:vAlign w:val="center"/>
          </w:tcPr>
          <w:p>
            <w:pPr>
              <w:spacing w:after="40"/>
            </w:pPr>
            <w:r>
              <w:rPr>
                <w:sz w:val="15"/>
              </w:rPr>
              <w:t>SOCLE : bases de calcul ; IT/BAT : applications</w:t>
            </w:r>
          </w:p>
        </w:tc>
        <w:tc>
          <w:tcPr>
            <w:tcW w:type="dxa" w:w="2480"/>
            <w:vAlign w:val="center"/>
          </w:tcPr>
          <w:p>
            <w:pPr>
              <w:spacing w:after="40"/>
            </w:pPr>
            <w:r>
              <w:rPr>
                <w:sz w:val="15"/>
              </w:rPr>
              <w:t>Répartition</w:t>
            </w:r>
          </w:p>
        </w:tc>
      </w:tr>
      <w:tr>
        <w:tc>
          <w:tcPr>
            <w:tcW w:type="dxa" w:w="2480"/>
            <w:vAlign w:val="center"/>
          </w:tcPr>
          <w:p>
            <w:pPr>
              <w:spacing w:after="40"/>
            </w:pPr>
            <w:r>
              <w:rPr>
                <w:sz w:val="15"/>
              </w:rPr>
              <w:t>2.2</w:t>
            </w:r>
          </w:p>
        </w:tc>
        <w:tc>
          <w:tcPr>
            <w:tcW w:type="dxa" w:w="2480"/>
            <w:vAlign w:val="center"/>
          </w:tcPr>
          <w:p>
            <w:pPr>
              <w:spacing w:after="40"/>
            </w:pPr>
            <w:r>
              <w:rPr>
                <w:sz w:val="15"/>
              </w:rPr>
              <w:t>Génie parasismique et dynamique</w:t>
            </w:r>
          </w:p>
        </w:tc>
        <w:tc>
          <w:tcPr>
            <w:tcW w:type="dxa" w:w="2480"/>
            <w:vAlign w:val="center"/>
          </w:tcPr>
          <w:p>
            <w:pPr>
              <w:spacing w:after="40"/>
            </w:pPr>
            <w:r>
              <w:rPr>
                <w:sz w:val="15"/>
              </w:rPr>
              <w:t>SOCLE : risques naturels et sismicité ; IT/BAT</w:t>
            </w:r>
          </w:p>
        </w:tc>
        <w:tc>
          <w:tcPr>
            <w:tcW w:type="dxa" w:w="2480"/>
            <w:vAlign w:val="center"/>
          </w:tcPr>
          <w:p>
            <w:pPr>
              <w:spacing w:after="40"/>
            </w:pPr>
            <w:r>
              <w:rPr>
                <w:sz w:val="15"/>
              </w:rPr>
              <w:t>Répartition</w:t>
            </w:r>
          </w:p>
        </w:tc>
      </w:tr>
      <w:tr>
        <w:tc>
          <w:tcPr>
            <w:tcW w:type="dxa" w:w="2480"/>
            <w:vAlign w:val="center"/>
          </w:tcPr>
          <w:p>
            <w:pPr>
              <w:spacing w:after="40"/>
            </w:pPr>
            <w:r>
              <w:rPr>
                <w:sz w:val="15"/>
              </w:rPr>
              <w:t>2.3</w:t>
            </w:r>
          </w:p>
        </w:tc>
        <w:tc>
          <w:tcPr>
            <w:tcW w:type="dxa" w:w="2480"/>
            <w:vAlign w:val="center"/>
          </w:tcPr>
          <w:p>
            <w:pPr>
              <w:spacing w:after="40"/>
            </w:pPr>
            <w:r>
              <w:rPr>
                <w:sz w:val="15"/>
              </w:rPr>
              <w:t>Infrastructures hydrauliques lourdes</w:t>
            </w:r>
          </w:p>
        </w:tc>
        <w:tc>
          <w:tcPr>
            <w:tcW w:type="dxa" w:w="2480"/>
            <w:vAlign w:val="center"/>
          </w:tcPr>
          <w:p>
            <w:pPr>
              <w:spacing w:after="40"/>
            </w:pPr>
            <w:r>
              <w:rPr>
                <w:sz w:val="15"/>
              </w:rPr>
              <w:t>OH : ouvrages hydrauliques et barrages</w:t>
            </w:r>
          </w:p>
        </w:tc>
        <w:tc>
          <w:tcPr>
            <w:tcW w:type="dxa" w:w="2480"/>
            <w:vAlign w:val="center"/>
          </w:tcPr>
          <w:p>
            <w:pPr>
              <w:spacing w:after="40"/>
            </w:pPr>
            <w:r>
              <w:rPr>
                <w:sz w:val="15"/>
              </w:rPr>
              <w:t>Transfert</w:t>
            </w:r>
          </w:p>
        </w:tc>
      </w:tr>
      <w:tr>
        <w:tc>
          <w:tcPr>
            <w:tcW w:type="dxa" w:w="2480"/>
            <w:vAlign w:val="center"/>
          </w:tcPr>
          <w:p>
            <w:pPr>
              <w:spacing w:after="40"/>
            </w:pPr>
            <w:r>
              <w:rPr>
                <w:sz w:val="15"/>
              </w:rPr>
              <w:t>3.1</w:t>
            </w:r>
          </w:p>
        </w:tc>
        <w:tc>
          <w:tcPr>
            <w:tcW w:type="dxa" w:w="2480"/>
            <w:vAlign w:val="center"/>
          </w:tcPr>
          <w:p>
            <w:pPr>
              <w:spacing w:after="40"/>
            </w:pPr>
            <w:r>
              <w:rPr>
                <w:sz w:val="15"/>
              </w:rPr>
              <w:t>Sécurité et habitabilité</w:t>
            </w:r>
          </w:p>
        </w:tc>
        <w:tc>
          <w:tcPr>
            <w:tcW w:type="dxa" w:w="2480"/>
            <w:vAlign w:val="center"/>
          </w:tcPr>
          <w:p>
            <w:pPr>
              <w:spacing w:after="40"/>
            </w:pPr>
            <w:r>
              <w:rPr>
                <w:sz w:val="15"/>
              </w:rPr>
              <w:t>BAT : bâtiments ; ESS : sécurité</w:t>
            </w:r>
          </w:p>
        </w:tc>
        <w:tc>
          <w:tcPr>
            <w:tcW w:type="dxa" w:w="2480"/>
            <w:vAlign w:val="center"/>
          </w:tcPr>
          <w:p>
            <w:pPr>
              <w:spacing w:after="40"/>
            </w:pPr>
            <w:r>
              <w:rPr>
                <w:sz w:val="15"/>
              </w:rPr>
              <w:t>Correspondance partielle</w:t>
            </w:r>
          </w:p>
        </w:tc>
      </w:tr>
      <w:tr>
        <w:tc>
          <w:tcPr>
            <w:tcW w:type="dxa" w:w="2480"/>
            <w:vAlign w:val="center"/>
          </w:tcPr>
          <w:p>
            <w:pPr>
              <w:spacing w:after="40"/>
            </w:pPr>
            <w:r>
              <w:rPr>
                <w:sz w:val="15"/>
              </w:rPr>
              <w:t>3.2</w:t>
            </w:r>
          </w:p>
        </w:tc>
        <w:tc>
          <w:tcPr>
            <w:tcW w:type="dxa" w:w="2480"/>
            <w:vAlign w:val="center"/>
          </w:tcPr>
          <w:p>
            <w:pPr>
              <w:spacing w:after="40"/>
            </w:pPr>
            <w:r>
              <w:rPr>
                <w:sz w:val="15"/>
              </w:rPr>
              <w:t>BIM et numérisation</w:t>
            </w:r>
          </w:p>
        </w:tc>
        <w:tc>
          <w:tcPr>
            <w:tcW w:type="dxa" w:w="2480"/>
            <w:vAlign w:val="center"/>
          </w:tcPr>
          <w:p>
            <w:pPr>
              <w:spacing w:after="40"/>
            </w:pPr>
            <w:r>
              <w:rPr>
                <w:sz w:val="15"/>
              </w:rPr>
              <w:t>SOCLE : BIM et SIG</w:t>
            </w:r>
          </w:p>
        </w:tc>
        <w:tc>
          <w:tcPr>
            <w:tcW w:type="dxa" w:w="2480"/>
            <w:vAlign w:val="center"/>
          </w:tcPr>
          <w:p>
            <w:pPr>
              <w:spacing w:after="40"/>
            </w:pPr>
            <w:r>
              <w:rPr>
                <w:sz w:val="15"/>
              </w:rPr>
              <w:t>Transfert</w:t>
            </w:r>
          </w:p>
        </w:tc>
      </w:tr>
      <w:tr>
        <w:tc>
          <w:tcPr>
            <w:tcW w:type="dxa" w:w="2480"/>
            <w:vAlign w:val="center"/>
          </w:tcPr>
          <w:p>
            <w:pPr>
              <w:spacing w:after="40"/>
            </w:pPr>
            <w:r>
              <w:rPr>
                <w:sz w:val="15"/>
              </w:rPr>
              <w:t>3.3</w:t>
            </w:r>
          </w:p>
        </w:tc>
        <w:tc>
          <w:tcPr>
            <w:tcW w:type="dxa" w:w="2480"/>
            <w:vAlign w:val="center"/>
          </w:tcPr>
          <w:p>
            <w:pPr>
              <w:spacing w:after="40"/>
            </w:pPr>
            <w:r>
              <w:rPr>
                <w:sz w:val="15"/>
              </w:rPr>
              <w:t>Performance énergétique</w:t>
            </w:r>
          </w:p>
        </w:tc>
        <w:tc>
          <w:tcPr>
            <w:tcW w:type="dxa" w:w="2480"/>
            <w:vAlign w:val="center"/>
          </w:tcPr>
          <w:p>
            <w:pPr>
              <w:spacing w:after="40"/>
            </w:pPr>
            <w:r>
              <w:rPr>
                <w:sz w:val="15"/>
              </w:rPr>
              <w:t>BAT : bâtiments ; ESS : climat</w:t>
            </w:r>
          </w:p>
        </w:tc>
        <w:tc>
          <w:tcPr>
            <w:tcW w:type="dxa" w:w="2480"/>
            <w:vAlign w:val="center"/>
          </w:tcPr>
          <w:p>
            <w:pPr>
              <w:spacing w:after="40"/>
            </w:pPr>
            <w:r>
              <w:rPr>
                <w:sz w:val="15"/>
              </w:rPr>
              <w:t>À préciser</w:t>
            </w:r>
          </w:p>
        </w:tc>
      </w:tr>
      <w:tr>
        <w:tc>
          <w:tcPr>
            <w:tcW w:type="dxa" w:w="2480"/>
            <w:vAlign w:val="center"/>
          </w:tcPr>
          <w:p>
            <w:pPr>
              <w:spacing w:after="40"/>
            </w:pPr>
            <w:r>
              <w:rPr>
                <w:sz w:val="15"/>
              </w:rPr>
              <w:t>4.1</w:t>
            </w:r>
          </w:p>
        </w:tc>
        <w:tc>
          <w:tcPr>
            <w:tcW w:type="dxa" w:w="2480"/>
            <w:vAlign w:val="center"/>
          </w:tcPr>
          <w:p>
            <w:pPr>
              <w:spacing w:after="40"/>
            </w:pPr>
            <w:r>
              <w:rPr>
                <w:sz w:val="15"/>
              </w:rPr>
              <w:t>Génie civil aéroportuaire</w:t>
            </w:r>
          </w:p>
        </w:tc>
        <w:tc>
          <w:tcPr>
            <w:tcW w:type="dxa" w:w="2480"/>
            <w:vAlign w:val="center"/>
          </w:tcPr>
          <w:p>
            <w:pPr>
              <w:spacing w:after="40"/>
            </w:pPr>
            <w:r>
              <w:rPr>
                <w:sz w:val="15"/>
              </w:rPr>
              <w:t>IT : Aéroports (veille)</w:t>
            </w:r>
          </w:p>
        </w:tc>
        <w:tc>
          <w:tcPr>
            <w:tcW w:type="dxa" w:w="2480"/>
            <w:vAlign w:val="center"/>
          </w:tcPr>
          <w:p>
            <w:pPr>
              <w:spacing w:after="40"/>
            </w:pPr>
            <w:r>
              <w:rPr>
                <w:sz w:val="15"/>
              </w:rPr>
              <w:t>Intégration/veille</w:t>
            </w:r>
          </w:p>
        </w:tc>
      </w:tr>
      <w:tr>
        <w:tc>
          <w:tcPr>
            <w:tcW w:type="dxa" w:w="2480"/>
            <w:vAlign w:val="center"/>
          </w:tcPr>
          <w:p>
            <w:pPr>
              <w:spacing w:after="40"/>
            </w:pPr>
            <w:r>
              <w:rPr>
                <w:sz w:val="15"/>
              </w:rPr>
              <w:t>4.2</w:t>
            </w:r>
          </w:p>
        </w:tc>
        <w:tc>
          <w:tcPr>
            <w:tcW w:type="dxa" w:w="2480"/>
            <w:vAlign w:val="center"/>
          </w:tcPr>
          <w:p>
            <w:pPr>
              <w:spacing w:after="40"/>
            </w:pPr>
            <w:r>
              <w:rPr>
                <w:sz w:val="15"/>
              </w:rPr>
              <w:t>Sécurité et éco-infrastructures</w:t>
            </w:r>
          </w:p>
        </w:tc>
        <w:tc>
          <w:tcPr>
            <w:tcW w:type="dxa" w:w="2480"/>
            <w:vAlign w:val="center"/>
          </w:tcPr>
          <w:p>
            <w:pPr>
              <w:spacing w:after="40"/>
            </w:pPr>
            <w:r>
              <w:rPr>
                <w:sz w:val="15"/>
              </w:rPr>
              <w:t>IT : Aéroports ; ESS ; équipements</w:t>
            </w:r>
          </w:p>
        </w:tc>
        <w:tc>
          <w:tcPr>
            <w:tcW w:type="dxa" w:w="2480"/>
            <w:vAlign w:val="center"/>
          </w:tcPr>
          <w:p>
            <w:pPr>
              <w:spacing w:after="40"/>
            </w:pPr>
            <w:r>
              <w:rPr>
                <w:sz w:val="15"/>
              </w:rPr>
              <w:t>Intégration/veille</w:t>
            </w:r>
          </w:p>
        </w:tc>
      </w:tr>
      <w:tr>
        <w:tc>
          <w:tcPr>
            <w:tcW w:type="dxa" w:w="2480"/>
            <w:vAlign w:val="center"/>
          </w:tcPr>
          <w:p>
            <w:pPr>
              <w:spacing w:after="40"/>
            </w:pPr>
            <w:r>
              <w:rPr>
                <w:sz w:val="15"/>
              </w:rPr>
              <w:t>5.1</w:t>
            </w:r>
          </w:p>
        </w:tc>
        <w:tc>
          <w:tcPr>
            <w:tcW w:type="dxa" w:w="2480"/>
            <w:vAlign w:val="center"/>
          </w:tcPr>
          <w:p>
            <w:pPr>
              <w:spacing w:after="40"/>
            </w:pPr>
            <w:r>
              <w:rPr>
                <w:sz w:val="15"/>
              </w:rPr>
              <w:t>Ingénierie routière</w:t>
            </w:r>
          </w:p>
        </w:tc>
        <w:tc>
          <w:tcPr>
            <w:tcW w:type="dxa" w:w="2480"/>
            <w:vAlign w:val="center"/>
          </w:tcPr>
          <w:p>
            <w:pPr>
              <w:spacing w:after="40"/>
            </w:pPr>
            <w:r>
              <w:rPr>
                <w:sz w:val="15"/>
              </w:rPr>
              <w:t>IT : routes et chaussées</w:t>
            </w:r>
          </w:p>
        </w:tc>
        <w:tc>
          <w:tcPr>
            <w:tcW w:type="dxa" w:w="2480"/>
            <w:vAlign w:val="center"/>
          </w:tcPr>
          <w:p>
            <w:pPr>
              <w:spacing w:after="40"/>
            </w:pPr>
            <w:r>
              <w:rPr>
                <w:sz w:val="15"/>
              </w:rPr>
              <w:t>Correspondance directe</w:t>
            </w:r>
          </w:p>
        </w:tc>
      </w:tr>
      <w:tr>
        <w:tc>
          <w:tcPr>
            <w:tcW w:type="dxa" w:w="2480"/>
            <w:vAlign w:val="center"/>
          </w:tcPr>
          <w:p>
            <w:pPr>
              <w:spacing w:after="40"/>
            </w:pPr>
            <w:r>
              <w:rPr>
                <w:sz w:val="15"/>
              </w:rPr>
              <w:t>5.2</w:t>
            </w:r>
          </w:p>
        </w:tc>
        <w:tc>
          <w:tcPr>
            <w:tcW w:type="dxa" w:w="2480"/>
            <w:vAlign w:val="center"/>
          </w:tcPr>
          <w:p>
            <w:pPr>
              <w:spacing w:after="40"/>
            </w:pPr>
            <w:r>
              <w:rPr>
                <w:sz w:val="15"/>
              </w:rPr>
              <w:t>Superstructures ferroviaires</w:t>
            </w:r>
          </w:p>
        </w:tc>
        <w:tc>
          <w:tcPr>
            <w:tcW w:type="dxa" w:w="2480"/>
            <w:vAlign w:val="center"/>
          </w:tcPr>
          <w:p>
            <w:pPr>
              <w:spacing w:after="40"/>
            </w:pPr>
            <w:r>
              <w:rPr>
                <w:sz w:val="15"/>
              </w:rPr>
              <w:t>IT : chemins de fer (veille)</w:t>
            </w:r>
          </w:p>
        </w:tc>
        <w:tc>
          <w:tcPr>
            <w:tcW w:type="dxa" w:w="2480"/>
            <w:vAlign w:val="center"/>
          </w:tcPr>
          <w:p>
            <w:pPr>
              <w:spacing w:after="40"/>
            </w:pPr>
            <w:r>
              <w:rPr>
                <w:sz w:val="15"/>
              </w:rPr>
              <w:t>Intégration/veille</w:t>
            </w:r>
          </w:p>
        </w:tc>
      </w:tr>
      <w:tr>
        <w:tc>
          <w:tcPr>
            <w:tcW w:type="dxa" w:w="2480"/>
            <w:vAlign w:val="center"/>
          </w:tcPr>
          <w:p>
            <w:pPr>
              <w:spacing w:after="40"/>
            </w:pPr>
            <w:r>
              <w:rPr>
                <w:sz w:val="15"/>
              </w:rPr>
              <w:t>5.3</w:t>
            </w:r>
          </w:p>
        </w:tc>
        <w:tc>
          <w:tcPr>
            <w:tcW w:type="dxa" w:w="2480"/>
            <w:vAlign w:val="center"/>
          </w:tcPr>
          <w:p>
            <w:pPr>
              <w:spacing w:after="40"/>
            </w:pPr>
            <w:r>
              <w:rPr>
                <w:sz w:val="15"/>
              </w:rPr>
              <w:t>Génie maritime et portuaire</w:t>
            </w:r>
          </w:p>
        </w:tc>
        <w:tc>
          <w:tcPr>
            <w:tcW w:type="dxa" w:w="2480"/>
            <w:vAlign w:val="center"/>
          </w:tcPr>
          <w:p>
            <w:pPr>
              <w:spacing w:after="40"/>
            </w:pPr>
            <w:r>
              <w:rPr>
                <w:sz w:val="15"/>
              </w:rPr>
              <w:t>IT : ports (veille)</w:t>
            </w:r>
          </w:p>
        </w:tc>
        <w:tc>
          <w:tcPr>
            <w:tcW w:type="dxa" w:w="2480"/>
            <w:vAlign w:val="center"/>
          </w:tcPr>
          <w:p>
            <w:pPr>
              <w:spacing w:after="40"/>
            </w:pPr>
            <w:r>
              <w:rPr>
                <w:sz w:val="15"/>
              </w:rPr>
              <w:t>Intégration/veille</w:t>
            </w:r>
          </w:p>
        </w:tc>
      </w:tr>
      <w:tr>
        <w:tc>
          <w:tcPr>
            <w:tcW w:type="dxa" w:w="2480"/>
            <w:vAlign w:val="center"/>
          </w:tcPr>
          <w:p>
            <w:pPr>
              <w:spacing w:after="40"/>
            </w:pPr>
            <w:r>
              <w:rPr>
                <w:sz w:val="15"/>
              </w:rPr>
              <w:t>6.1</w:t>
            </w:r>
          </w:p>
        </w:tc>
        <w:tc>
          <w:tcPr>
            <w:tcW w:type="dxa" w:w="2480"/>
            <w:vAlign w:val="center"/>
          </w:tcPr>
          <w:p>
            <w:pPr>
              <w:spacing w:after="40"/>
            </w:pPr>
            <w:r>
              <w:rPr>
                <w:sz w:val="15"/>
              </w:rPr>
              <w:t>Adduction urbaine et matériaux</w:t>
            </w:r>
          </w:p>
        </w:tc>
        <w:tc>
          <w:tcPr>
            <w:tcW w:type="dxa" w:w="2480"/>
            <w:vAlign w:val="center"/>
          </w:tcPr>
          <w:p>
            <w:pPr>
              <w:spacing w:after="40"/>
            </w:pPr>
            <w:r>
              <w:rPr>
                <w:sz w:val="15"/>
              </w:rPr>
              <w:t>OH : réseaux hydrauliques ; SOCLE : matériaux</w:t>
            </w:r>
          </w:p>
        </w:tc>
        <w:tc>
          <w:tcPr>
            <w:tcW w:type="dxa" w:w="2480"/>
            <w:vAlign w:val="center"/>
          </w:tcPr>
          <w:p>
            <w:pPr>
              <w:spacing w:after="40"/>
            </w:pPr>
            <w:r>
              <w:rPr>
                <w:sz w:val="15"/>
              </w:rPr>
              <w:t>Correspondance forte</w:t>
            </w:r>
          </w:p>
        </w:tc>
      </w:tr>
      <w:tr>
        <w:tc>
          <w:tcPr>
            <w:tcW w:type="dxa" w:w="2480"/>
            <w:vAlign w:val="center"/>
          </w:tcPr>
          <w:p>
            <w:pPr>
              <w:spacing w:after="40"/>
            </w:pPr>
            <w:r>
              <w:rPr>
                <w:sz w:val="15"/>
              </w:rPr>
              <w:t>6.2</w:t>
            </w:r>
          </w:p>
        </w:tc>
        <w:tc>
          <w:tcPr>
            <w:tcW w:type="dxa" w:w="2480"/>
            <w:vAlign w:val="center"/>
          </w:tcPr>
          <w:p>
            <w:pPr>
              <w:spacing w:after="40"/>
            </w:pPr>
            <w:r>
              <w:rPr>
                <w:sz w:val="15"/>
              </w:rPr>
              <w:t>Hydraulique rurale et forages</w:t>
            </w:r>
          </w:p>
        </w:tc>
        <w:tc>
          <w:tcPr>
            <w:tcW w:type="dxa" w:w="2480"/>
            <w:vAlign w:val="center"/>
          </w:tcPr>
          <w:p>
            <w:pPr>
              <w:spacing w:after="40"/>
            </w:pPr>
            <w:r>
              <w:rPr>
                <w:sz w:val="15"/>
              </w:rPr>
              <w:t>OH : réseaux hydrauliques</w:t>
            </w:r>
          </w:p>
        </w:tc>
        <w:tc>
          <w:tcPr>
            <w:tcW w:type="dxa" w:w="2480"/>
            <w:vAlign w:val="center"/>
          </w:tcPr>
          <w:p>
            <w:pPr>
              <w:spacing w:after="40"/>
            </w:pPr>
            <w:r>
              <w:rPr>
                <w:sz w:val="15"/>
              </w:rPr>
              <w:t>Périmètre à préciser</w:t>
            </w:r>
          </w:p>
        </w:tc>
      </w:tr>
      <w:tr>
        <w:tc>
          <w:tcPr>
            <w:tcW w:type="dxa" w:w="2480"/>
            <w:vAlign w:val="center"/>
          </w:tcPr>
          <w:p>
            <w:pPr>
              <w:spacing w:after="40"/>
            </w:pPr>
            <w:r>
              <w:rPr>
                <w:sz w:val="15"/>
              </w:rPr>
              <w:t>6.3</w:t>
            </w:r>
          </w:p>
        </w:tc>
        <w:tc>
          <w:tcPr>
            <w:tcW w:type="dxa" w:w="2480"/>
            <w:vAlign w:val="center"/>
          </w:tcPr>
          <w:p>
            <w:pPr>
              <w:spacing w:after="40"/>
            </w:pPr>
            <w:r>
              <w:rPr>
                <w:sz w:val="15"/>
              </w:rPr>
              <w:t>Hydraulique agricole</w:t>
            </w:r>
          </w:p>
        </w:tc>
        <w:tc>
          <w:tcPr>
            <w:tcW w:type="dxa" w:w="2480"/>
            <w:vAlign w:val="center"/>
          </w:tcPr>
          <w:p>
            <w:pPr>
              <w:spacing w:after="40"/>
            </w:pPr>
            <w:r>
              <w:rPr>
                <w:sz w:val="15"/>
              </w:rPr>
              <w:t>OH : rattachement proposé</w:t>
            </w:r>
          </w:p>
        </w:tc>
        <w:tc>
          <w:tcPr>
            <w:tcW w:type="dxa" w:w="2480"/>
            <w:vAlign w:val="center"/>
          </w:tcPr>
          <w:p>
            <w:pPr>
              <w:spacing w:after="40"/>
            </w:pPr>
            <w:r>
              <w:rPr>
                <w:sz w:val="15"/>
              </w:rPr>
              <w:t>Non explicite</w:t>
            </w:r>
          </w:p>
        </w:tc>
      </w:tr>
      <w:tr>
        <w:tc>
          <w:tcPr>
            <w:tcW w:type="dxa" w:w="2480"/>
            <w:vAlign w:val="center"/>
          </w:tcPr>
          <w:p>
            <w:pPr>
              <w:spacing w:after="40"/>
            </w:pPr>
            <w:r>
              <w:rPr>
                <w:sz w:val="15"/>
              </w:rPr>
              <w:t>7.1</w:t>
            </w:r>
          </w:p>
        </w:tc>
        <w:tc>
          <w:tcPr>
            <w:tcW w:type="dxa" w:w="2480"/>
            <w:vAlign w:val="center"/>
          </w:tcPr>
          <w:p>
            <w:pPr>
              <w:spacing w:after="40"/>
            </w:pPr>
            <w:r>
              <w:rPr>
                <w:sz w:val="15"/>
              </w:rPr>
              <w:t>Hydrologie urbaine / pluvial</w:t>
            </w:r>
          </w:p>
        </w:tc>
        <w:tc>
          <w:tcPr>
            <w:tcW w:type="dxa" w:w="2480"/>
            <w:vAlign w:val="center"/>
          </w:tcPr>
          <w:p>
            <w:pPr>
              <w:spacing w:after="40"/>
            </w:pPr>
            <w:r>
              <w:rPr>
                <w:sz w:val="15"/>
              </w:rPr>
              <w:t>OH : assainissement et drainage</w:t>
            </w:r>
          </w:p>
        </w:tc>
        <w:tc>
          <w:tcPr>
            <w:tcW w:type="dxa" w:w="2480"/>
            <w:vAlign w:val="center"/>
          </w:tcPr>
          <w:p>
            <w:pPr>
              <w:spacing w:after="40"/>
            </w:pPr>
            <w:r>
              <w:rPr>
                <w:sz w:val="15"/>
              </w:rPr>
              <w:t>Correspondance directe</w:t>
            </w:r>
          </w:p>
        </w:tc>
      </w:tr>
      <w:tr>
        <w:tc>
          <w:tcPr>
            <w:tcW w:type="dxa" w:w="2480"/>
            <w:vAlign w:val="center"/>
          </w:tcPr>
          <w:p>
            <w:pPr>
              <w:spacing w:after="40"/>
            </w:pPr>
            <w:r>
              <w:rPr>
                <w:sz w:val="15"/>
              </w:rPr>
              <w:t>7.2</w:t>
            </w:r>
          </w:p>
        </w:tc>
        <w:tc>
          <w:tcPr>
            <w:tcW w:type="dxa" w:w="2480"/>
            <w:vAlign w:val="center"/>
          </w:tcPr>
          <w:p>
            <w:pPr>
              <w:spacing w:after="40"/>
            </w:pPr>
            <w:r>
              <w:rPr>
                <w:sz w:val="15"/>
              </w:rPr>
              <w:t>Eaux usées et épuration</w:t>
            </w:r>
          </w:p>
        </w:tc>
        <w:tc>
          <w:tcPr>
            <w:tcW w:type="dxa" w:w="2480"/>
            <w:vAlign w:val="center"/>
          </w:tcPr>
          <w:p>
            <w:pPr>
              <w:spacing w:after="40"/>
            </w:pPr>
            <w:r>
              <w:rPr>
                <w:sz w:val="15"/>
              </w:rPr>
              <w:t>OH : assainissement et drainage</w:t>
            </w:r>
          </w:p>
        </w:tc>
        <w:tc>
          <w:tcPr>
            <w:tcW w:type="dxa" w:w="2480"/>
            <w:vAlign w:val="center"/>
          </w:tcPr>
          <w:p>
            <w:pPr>
              <w:spacing w:after="40"/>
            </w:pPr>
            <w:r>
              <w:rPr>
                <w:sz w:val="15"/>
              </w:rPr>
              <w:t>Correspondance forte</w:t>
            </w:r>
          </w:p>
        </w:tc>
      </w:tr>
      <w:tr>
        <w:tc>
          <w:tcPr>
            <w:tcW w:type="dxa" w:w="2480"/>
            <w:vAlign w:val="center"/>
          </w:tcPr>
          <w:p>
            <w:pPr>
              <w:spacing w:after="40"/>
            </w:pPr>
            <w:r>
              <w:rPr>
                <w:sz w:val="15"/>
              </w:rPr>
              <w:t>7.3</w:t>
            </w:r>
          </w:p>
        </w:tc>
        <w:tc>
          <w:tcPr>
            <w:tcW w:type="dxa" w:w="2480"/>
            <w:vAlign w:val="center"/>
          </w:tcPr>
          <w:p>
            <w:pPr>
              <w:spacing w:after="40"/>
            </w:pPr>
            <w:r>
              <w:rPr>
                <w:sz w:val="15"/>
              </w:rPr>
              <w:t>Déchets solides et valorisation</w:t>
            </w:r>
          </w:p>
        </w:tc>
        <w:tc>
          <w:tcPr>
            <w:tcW w:type="dxa" w:w="2480"/>
            <w:vAlign w:val="center"/>
          </w:tcPr>
          <w:p>
            <w:pPr>
              <w:spacing w:after="40"/>
            </w:pPr>
            <w:r>
              <w:rPr>
                <w:sz w:val="15"/>
              </w:rPr>
              <w:t>À arbitrer ; interface ESS possible</w:t>
            </w:r>
          </w:p>
        </w:tc>
        <w:tc>
          <w:tcPr>
            <w:tcW w:type="dxa" w:w="2480"/>
            <w:vAlign w:val="center"/>
          </w:tcPr>
          <w:p>
            <w:pPr>
              <w:spacing w:after="40"/>
            </w:pPr>
            <w:r>
              <w:rPr>
                <w:sz w:val="15"/>
              </w:rPr>
              <w:t>Sans successeur explicite</w:t>
            </w:r>
          </w:p>
        </w:tc>
      </w:tr>
      <w:tr>
        <w:tc>
          <w:tcPr>
            <w:tcW w:type="dxa" w:w="2480"/>
            <w:vAlign w:val="center"/>
          </w:tcPr>
          <w:p>
            <w:pPr>
              <w:spacing w:after="40"/>
            </w:pPr>
            <w:r>
              <w:rPr>
                <w:sz w:val="15"/>
              </w:rPr>
              <w:t>8.1</w:t>
            </w:r>
          </w:p>
        </w:tc>
        <w:tc>
          <w:tcPr>
            <w:tcW w:type="dxa" w:w="2480"/>
            <w:vAlign w:val="center"/>
          </w:tcPr>
          <w:p>
            <w:pPr>
              <w:spacing w:after="40"/>
            </w:pPr>
            <w:r>
              <w:rPr>
                <w:sz w:val="15"/>
              </w:rPr>
              <w:t>Matériaux locaux biosourcés</w:t>
            </w:r>
          </w:p>
        </w:tc>
        <w:tc>
          <w:tcPr>
            <w:tcW w:type="dxa" w:w="2480"/>
            <w:vAlign w:val="center"/>
          </w:tcPr>
          <w:p>
            <w:pPr>
              <w:spacing w:after="40"/>
            </w:pPr>
            <w:r>
              <w:rPr>
                <w:sz w:val="15"/>
              </w:rPr>
              <w:t>SOCLE : matériaux locaux</w:t>
            </w:r>
          </w:p>
        </w:tc>
        <w:tc>
          <w:tcPr>
            <w:tcW w:type="dxa" w:w="2480"/>
            <w:vAlign w:val="center"/>
          </w:tcPr>
          <w:p>
            <w:pPr>
              <w:spacing w:after="40"/>
            </w:pPr>
            <w:r>
              <w:rPr>
                <w:sz w:val="15"/>
              </w:rPr>
              <w:t>Correspondance directe</w:t>
            </w:r>
          </w:p>
        </w:tc>
      </w:tr>
      <w:tr>
        <w:tc>
          <w:tcPr>
            <w:tcW w:type="dxa" w:w="2480"/>
            <w:vAlign w:val="center"/>
          </w:tcPr>
          <w:p>
            <w:pPr>
              <w:spacing w:after="40"/>
            </w:pPr>
            <w:r>
              <w:rPr>
                <w:sz w:val="15"/>
              </w:rPr>
              <w:t>8.2</w:t>
            </w:r>
          </w:p>
        </w:tc>
        <w:tc>
          <w:tcPr>
            <w:tcW w:type="dxa" w:w="2480"/>
            <w:vAlign w:val="center"/>
          </w:tcPr>
          <w:p>
            <w:pPr>
              <w:spacing w:after="40"/>
            </w:pPr>
            <w:r>
              <w:rPr>
                <w:sz w:val="15"/>
              </w:rPr>
              <w:t>Métrologie et protocoles d’essais</w:t>
            </w:r>
          </w:p>
        </w:tc>
        <w:tc>
          <w:tcPr>
            <w:tcW w:type="dxa" w:w="2480"/>
            <w:vAlign w:val="center"/>
          </w:tcPr>
          <w:p>
            <w:pPr>
              <w:spacing w:after="40"/>
            </w:pPr>
            <w:r>
              <w:rPr>
                <w:sz w:val="15"/>
              </w:rPr>
              <w:t>SOCLE : essais, métrologie, laboratoires</w:t>
            </w:r>
          </w:p>
        </w:tc>
        <w:tc>
          <w:tcPr>
            <w:tcW w:type="dxa" w:w="2480"/>
            <w:vAlign w:val="center"/>
          </w:tcPr>
          <w:p>
            <w:pPr>
              <w:spacing w:after="40"/>
            </w:pPr>
            <w:r>
              <w:rPr>
                <w:sz w:val="15"/>
              </w:rPr>
              <w:t>Correspondance directe</w:t>
            </w:r>
          </w:p>
        </w:tc>
      </w:tr>
      <w:tr>
        <w:tc>
          <w:tcPr>
            <w:tcW w:type="dxa" w:w="2480"/>
            <w:vAlign w:val="center"/>
          </w:tcPr>
          <w:p>
            <w:pPr>
              <w:spacing w:after="40"/>
            </w:pPr>
            <w:r>
              <w:rPr>
                <w:sz w:val="15"/>
              </w:rPr>
              <w:t>8.3</w:t>
            </w:r>
          </w:p>
        </w:tc>
        <w:tc>
          <w:tcPr>
            <w:tcW w:type="dxa" w:w="2480"/>
            <w:vAlign w:val="center"/>
          </w:tcPr>
          <w:p>
            <w:pPr>
              <w:spacing w:after="40"/>
            </w:pPr>
            <w:r>
              <w:rPr>
                <w:sz w:val="15"/>
              </w:rPr>
              <w:t>Procédures de certification</w:t>
            </w:r>
          </w:p>
        </w:tc>
        <w:tc>
          <w:tcPr>
            <w:tcW w:type="dxa" w:w="2480"/>
            <w:vAlign w:val="center"/>
          </w:tcPr>
          <w:p>
            <w:pPr>
              <w:spacing w:after="40"/>
            </w:pPr>
            <w:r>
              <w:rPr>
                <w:sz w:val="15"/>
              </w:rPr>
              <w:t>Infrastructure qualité éventuelle</w:t>
            </w:r>
          </w:p>
        </w:tc>
        <w:tc>
          <w:tcPr>
            <w:tcW w:type="dxa" w:w="2480"/>
            <w:vAlign w:val="center"/>
          </w:tcPr>
          <w:p>
            <w:pPr>
              <w:spacing w:after="40"/>
            </w:pPr>
            <w:r>
              <w:rPr>
                <w:sz w:val="15"/>
              </w:rPr>
              <w:t>Non décidé</w:t>
            </w:r>
          </w:p>
        </w:tc>
      </w:tr>
    </w:tbl>
    <w:p>
      <w:pPr>
        <w:spacing w:after="20"/>
      </w:pPr>
    </w:p>
    <w:p>
      <w:pPr>
        <w:pStyle w:val="Small"/>
      </w:pPr>
      <w:r>
        <w:t>Références : A, chap. IV, p. 6 à 8 ; B, annexe A, p. 9. Les mentions « à arbitrer » ne doivent pas être interprétées comme des suppressions.</w:t>
      </w:r>
    </w:p>
    <w:p>
      <w:r>
        <w:br w:type="page"/>
      </w:r>
    </w:p>
    <w:p>
      <w:pPr>
        <w:pStyle w:val="Heading1"/>
      </w:pPr>
      <w:r>
        <w:t>4. Convergences et divergences structurelles</w:t>
      </w:r>
    </w:p>
    <w:tbl>
      <w:tblPr>
        <w:tblStyle w:val="LightShading-Accent1"/>
        <w:tblW w:type="auto" w:w="0"/>
        <w:jc w:val="center"/>
        <w:tblLayout w:type="autofit"/>
        <w:tblLook w:firstColumn="1" w:firstRow="1" w:lastColumn="0" w:lastRow="0" w:noHBand="0" w:noVBand="1" w:val="04A0"/>
      </w:tblPr>
      <w:tblGrid>
        <w:gridCol w:w="2480"/>
        <w:gridCol w:w="2480"/>
        <w:gridCol w:w="2480"/>
        <w:gridCol w:w="2480"/>
      </w:tblGrid>
      <w:tr>
        <w:trPr>
          <w:tblHeader/>
        </w:trPr>
        <w:tc>
          <w:tcPr>
            <w:tcW w:type="dxa" w:w="2480"/>
            <w:vAlign w:val="center"/>
          </w:tcPr>
          <w:p>
            <w:pPr>
              <w:spacing w:after="40"/>
            </w:pPr>
            <w:r>
              <w:rPr>
                <w:b/>
                <w:color w:val="122F4D"/>
                <w:sz w:val="15"/>
              </w:rPr>
              <w:t>Aspect</w:t>
            </w:r>
          </w:p>
        </w:tc>
        <w:tc>
          <w:tcPr>
            <w:tcW w:type="dxa" w:w="2480"/>
            <w:vAlign w:val="center"/>
          </w:tcPr>
          <w:p>
            <w:pPr>
              <w:spacing w:after="40"/>
            </w:pPr>
            <w:r>
              <w:rPr>
                <w:b/>
                <w:color w:val="122F4D"/>
                <w:sz w:val="15"/>
              </w:rPr>
              <w:t>Mai 2026</w:t>
            </w:r>
          </w:p>
        </w:tc>
        <w:tc>
          <w:tcPr>
            <w:tcW w:type="dxa" w:w="2480"/>
            <w:vAlign w:val="center"/>
          </w:tcPr>
          <w:p>
            <w:pPr>
              <w:spacing w:after="40"/>
            </w:pPr>
            <w:r>
              <w:rPr>
                <w:b/>
                <w:color w:val="122F4D"/>
                <w:sz w:val="15"/>
              </w:rPr>
              <w:t>Octobre 2026</w:t>
            </w:r>
          </w:p>
        </w:tc>
        <w:tc>
          <w:tcPr>
            <w:tcW w:type="dxa" w:w="2480"/>
            <w:vAlign w:val="center"/>
          </w:tcPr>
          <w:p>
            <w:pPr>
              <w:spacing w:after="40"/>
            </w:pPr>
            <w:r>
              <w:rPr>
                <w:b/>
                <w:color w:val="122F4D"/>
                <w:sz w:val="15"/>
              </w:rPr>
              <w:t>Impact informatique</w:t>
            </w:r>
          </w:p>
        </w:tc>
      </w:tr>
      <w:tr>
        <w:tc>
          <w:tcPr>
            <w:tcW w:type="dxa" w:w="2480"/>
            <w:vAlign w:val="center"/>
          </w:tcPr>
          <w:p>
            <w:pPr>
              <w:spacing w:after="40"/>
            </w:pPr>
            <w:r>
              <w:rPr>
                <w:sz w:val="15"/>
              </w:rPr>
              <w:t>Sommet</w:t>
            </w:r>
          </w:p>
        </w:tc>
        <w:tc>
          <w:tcPr>
            <w:tcW w:type="dxa" w:w="2480"/>
            <w:vAlign w:val="center"/>
          </w:tcPr>
          <w:p>
            <w:pPr>
              <w:spacing w:after="40"/>
            </w:pPr>
            <w:r>
              <w:rPr>
                <w:sz w:val="15"/>
              </w:rPr>
              <w:t>Pilotage stratégique : 24 postes</w:t>
            </w:r>
          </w:p>
        </w:tc>
        <w:tc>
          <w:tcPr>
            <w:tcW w:type="dxa" w:w="2480"/>
            <w:vAlign w:val="center"/>
          </w:tcPr>
          <w:p>
            <w:pPr>
              <w:spacing w:after="40"/>
            </w:pPr>
            <w:r>
              <w:rPr>
                <w:sz w:val="15"/>
              </w:rPr>
              <w:t>COPIL présidé par le Ministre ; composition selon acte approuvé</w:t>
            </w:r>
          </w:p>
        </w:tc>
        <w:tc>
          <w:tcPr>
            <w:tcW w:type="dxa" w:w="2480"/>
            <w:vAlign w:val="center"/>
          </w:tcPr>
          <w:p>
            <w:pPr>
              <w:spacing w:after="40"/>
            </w:pPr>
            <w:r>
              <w:rPr>
                <w:sz w:val="15"/>
              </w:rPr>
              <w:t>Conserver l’objet ; réviser composition et habilitations.</w:t>
            </w:r>
          </w:p>
        </w:tc>
      </w:tr>
      <w:tr>
        <w:tc>
          <w:tcPr>
            <w:tcW w:type="dxa" w:w="2480"/>
            <w:vAlign w:val="center"/>
          </w:tcPr>
          <w:p>
            <w:pPr>
              <w:spacing w:after="40"/>
            </w:pPr>
            <w:r>
              <w:rPr>
                <w:sz w:val="15"/>
              </w:rPr>
              <w:t>Coordination</w:t>
            </w:r>
          </w:p>
        </w:tc>
        <w:tc>
          <w:tcPr>
            <w:tcW w:type="dxa" w:w="2480"/>
            <w:vAlign w:val="center"/>
          </w:tcPr>
          <w:p>
            <w:pPr>
              <w:spacing w:after="40"/>
            </w:pPr>
            <w:r>
              <w:rPr>
                <w:sz w:val="15"/>
              </w:rPr>
              <w:t>CTC / hub numérique : 20 postes</w:t>
            </w:r>
          </w:p>
        </w:tc>
        <w:tc>
          <w:tcPr>
            <w:tcW w:type="dxa" w:w="2480"/>
            <w:vAlign w:val="center"/>
          </w:tcPr>
          <w:p>
            <w:pPr>
              <w:spacing w:after="40"/>
            </w:pPr>
            <w:r>
              <w:rPr>
                <w:sz w:val="15"/>
              </w:rPr>
              <w:t>ST : 8 à 12 personnes</w:t>
            </w:r>
          </w:p>
        </w:tc>
        <w:tc>
          <w:tcPr>
            <w:tcW w:type="dxa" w:w="2480"/>
            <w:vAlign w:val="center"/>
          </w:tcPr>
          <w:p>
            <w:pPr>
              <w:spacing w:after="40"/>
            </w:pPr>
            <w:r>
              <w:rPr>
                <w:sz w:val="15"/>
              </w:rPr>
              <w:t>Renommer avec mise à jour des fonctions, effectifs et droits.</w:t>
            </w:r>
          </w:p>
        </w:tc>
      </w:tr>
      <w:tr>
        <w:tc>
          <w:tcPr>
            <w:tcW w:type="dxa" w:w="2480"/>
            <w:vAlign w:val="center"/>
          </w:tcPr>
          <w:p>
            <w:pPr>
              <w:spacing w:after="40"/>
            </w:pPr>
            <w:r>
              <w:rPr>
                <w:sz w:val="15"/>
              </w:rPr>
              <w:t>Production</w:t>
            </w:r>
          </w:p>
        </w:tc>
        <w:tc>
          <w:tcPr>
            <w:tcW w:type="dxa" w:w="2480"/>
            <w:vAlign w:val="center"/>
          </w:tcPr>
          <w:p>
            <w:pPr>
              <w:spacing w:after="40"/>
            </w:pPr>
            <w:r>
              <w:rPr>
                <w:sz w:val="15"/>
              </w:rPr>
              <w:t>8 CTM de 19 à 20 experts</w:t>
            </w:r>
          </w:p>
        </w:tc>
        <w:tc>
          <w:tcPr>
            <w:tcW w:type="dxa" w:w="2480"/>
            <w:vAlign w:val="center"/>
          </w:tcPr>
          <w:p>
            <w:pPr>
              <w:spacing w:after="40"/>
            </w:pPr>
            <w:r>
              <w:rPr>
                <w:sz w:val="15"/>
              </w:rPr>
              <w:t>7 SC proposées, 10 à 15 membres chacune</w:t>
            </w:r>
          </w:p>
        </w:tc>
        <w:tc>
          <w:tcPr>
            <w:tcW w:type="dxa" w:w="2480"/>
            <w:vAlign w:val="center"/>
          </w:tcPr>
          <w:p>
            <w:pPr>
              <w:spacing w:after="40"/>
            </w:pPr>
            <w:r>
              <w:rPr>
                <w:sz w:val="15"/>
              </w:rPr>
              <w:t>Recomposer les rattachements sans supprimer les CTM historiques.</w:t>
            </w:r>
          </w:p>
        </w:tc>
      </w:tr>
      <w:tr>
        <w:tc>
          <w:tcPr>
            <w:tcW w:type="dxa" w:w="2480"/>
            <w:vAlign w:val="center"/>
          </w:tcPr>
          <w:p>
            <w:pPr>
              <w:spacing w:after="40"/>
            </w:pPr>
            <w:r>
              <w:rPr>
                <w:sz w:val="15"/>
              </w:rPr>
              <w:t>Groupes</w:t>
            </w:r>
          </w:p>
        </w:tc>
        <w:tc>
          <w:tcPr>
            <w:tcW w:type="dxa" w:w="2480"/>
            <w:vAlign w:val="center"/>
          </w:tcPr>
          <w:p>
            <w:pPr>
              <w:spacing w:after="40"/>
            </w:pPr>
            <w:r>
              <w:rPr>
                <w:sz w:val="15"/>
              </w:rPr>
              <w:t>23 WG de 4 à 5 spécialistes</w:t>
            </w:r>
          </w:p>
        </w:tc>
        <w:tc>
          <w:tcPr>
            <w:tcW w:type="dxa" w:w="2480"/>
            <w:vAlign w:val="center"/>
          </w:tcPr>
          <w:p>
            <w:pPr>
              <w:spacing w:after="40"/>
            </w:pPr>
            <w:r>
              <w:rPr>
                <w:sz w:val="15"/>
              </w:rPr>
              <w:t>38 GT proposés + 3 veilles ; 5 GT qualité éventuels</w:t>
            </w:r>
          </w:p>
        </w:tc>
        <w:tc>
          <w:tcPr>
            <w:tcW w:type="dxa" w:w="2480"/>
            <w:vAlign w:val="center"/>
          </w:tcPr>
          <w:p>
            <w:pPr>
              <w:spacing w:after="40"/>
            </w:pPr>
            <w:r>
              <w:rPr>
                <w:sz w:val="15"/>
              </w:rPr>
              <w:t>Créer une relation de succession plusieurs-à-plusieurs.</w:t>
            </w:r>
          </w:p>
        </w:tc>
      </w:tr>
      <w:tr>
        <w:tc>
          <w:tcPr>
            <w:tcW w:type="dxa" w:w="2480"/>
            <w:vAlign w:val="center"/>
          </w:tcPr>
          <w:p>
            <w:pPr>
              <w:spacing w:after="40"/>
            </w:pPr>
            <w:r>
              <w:rPr>
                <w:sz w:val="15"/>
              </w:rPr>
              <w:t>Validation</w:t>
            </w:r>
          </w:p>
        </w:tc>
        <w:tc>
          <w:tcPr>
            <w:tcW w:type="dxa" w:w="2480"/>
            <w:vAlign w:val="center"/>
          </w:tcPr>
          <w:p>
            <w:pPr>
              <w:spacing w:after="40"/>
            </w:pPr>
            <w:r>
              <w:rPr>
                <w:sz w:val="15"/>
              </w:rPr>
              <w:t>WG → CTM → CTC / enquête → plénière 200 → Ministre</w:t>
            </w:r>
          </w:p>
        </w:tc>
        <w:tc>
          <w:tcPr>
            <w:tcW w:type="dxa" w:w="2480"/>
            <w:vAlign w:val="center"/>
          </w:tcPr>
          <w:p>
            <w:pPr>
              <w:spacing w:after="40"/>
            </w:pPr>
            <w:r>
              <w:rPr>
                <w:sz w:val="15"/>
              </w:rPr>
              <w:t>GT → SC → ST → COPIL → Ministre</w:t>
            </w:r>
          </w:p>
        </w:tc>
        <w:tc>
          <w:tcPr>
            <w:tcW w:type="dxa" w:w="2480"/>
            <w:vAlign w:val="center"/>
          </w:tcPr>
          <w:p>
            <w:pPr>
              <w:spacing w:after="40"/>
            </w:pPr>
            <w:r>
              <w:rPr>
                <w:sz w:val="15"/>
              </w:rPr>
              <w:t>Refondre le moteur de workflow ; ne pas réutiliser les anciens états sans correspondance.</w:t>
            </w:r>
          </w:p>
        </w:tc>
      </w:tr>
      <w:tr>
        <w:tc>
          <w:tcPr>
            <w:tcW w:type="dxa" w:w="2480"/>
            <w:vAlign w:val="center"/>
          </w:tcPr>
          <w:p>
            <w:pPr>
              <w:spacing w:after="40"/>
            </w:pPr>
            <w:r>
              <w:rPr>
                <w:sz w:val="15"/>
              </w:rPr>
              <w:t>Expertise</w:t>
            </w:r>
          </w:p>
        </w:tc>
        <w:tc>
          <w:tcPr>
            <w:tcW w:type="dxa" w:w="2480"/>
            <w:vAlign w:val="center"/>
          </w:tcPr>
          <w:p>
            <w:pPr>
              <w:spacing w:after="40"/>
            </w:pPr>
            <w:r>
              <w:rPr>
                <w:sz w:val="15"/>
              </w:rPr>
              <w:t>Bureaux CTM avec présidence académique et rapporteur</w:t>
            </w:r>
          </w:p>
        </w:tc>
        <w:tc>
          <w:tcPr>
            <w:tcW w:type="dxa" w:w="2480"/>
            <w:vAlign w:val="center"/>
          </w:tcPr>
          <w:p>
            <w:pPr>
              <w:spacing w:after="40"/>
            </w:pPr>
            <w:r>
              <w:rPr>
                <w:sz w:val="15"/>
              </w:rPr>
              <w:t>Avis indépendant ponctuel ; pas de comité scientifique permanent</w:t>
            </w:r>
          </w:p>
        </w:tc>
        <w:tc>
          <w:tcPr>
            <w:tcW w:type="dxa" w:w="2480"/>
            <w:vAlign w:val="center"/>
          </w:tcPr>
          <w:p>
            <w:pPr>
              <w:spacing w:after="40"/>
            </w:pPr>
            <w:r>
              <w:rPr>
                <w:sz w:val="15"/>
              </w:rPr>
              <w:t>Revoir rôles et règles de signature ; conserver historique.</w:t>
            </w:r>
          </w:p>
        </w:tc>
      </w:tr>
      <w:tr>
        <w:tc>
          <w:tcPr>
            <w:tcW w:type="dxa" w:w="2480"/>
            <w:vAlign w:val="center"/>
          </w:tcPr>
          <w:p>
            <w:pPr>
              <w:spacing w:after="40"/>
            </w:pPr>
            <w:r>
              <w:rPr>
                <w:sz w:val="15"/>
              </w:rPr>
              <w:t>200 experts</w:t>
            </w:r>
          </w:p>
        </w:tc>
        <w:tc>
          <w:tcPr>
            <w:tcW w:type="dxa" w:w="2480"/>
            <w:vAlign w:val="center"/>
          </w:tcPr>
          <w:p>
            <w:pPr>
              <w:spacing w:after="40"/>
            </w:pPr>
            <w:r>
              <w:rPr>
                <w:sz w:val="15"/>
              </w:rPr>
              <w:t>Clé de postes et répartition par organismes</w:t>
            </w:r>
          </w:p>
        </w:tc>
        <w:tc>
          <w:tcPr>
            <w:tcW w:type="dxa" w:w="2480"/>
            <w:vAlign w:val="center"/>
          </w:tcPr>
          <w:p>
            <w:pPr>
              <w:spacing w:after="40"/>
            </w:pPr>
            <w:r>
              <w:rPr>
                <w:sz w:val="15"/>
              </w:rPr>
              <w:t>Clé V2 conservée comme document de travail à réexaminer</w:t>
            </w:r>
          </w:p>
        </w:tc>
        <w:tc>
          <w:tcPr>
            <w:tcW w:type="dxa" w:w="2480"/>
            <w:vAlign w:val="center"/>
          </w:tcPr>
          <w:p>
            <w:pPr>
              <w:spacing w:after="40"/>
            </w:pPr>
            <w:r>
              <w:rPr>
                <w:sz w:val="15"/>
              </w:rPr>
              <w:t>Ne pas désactiver les comptes par simple application de quotas.</w:t>
            </w:r>
          </w:p>
        </w:tc>
      </w:tr>
      <w:tr>
        <w:tc>
          <w:tcPr>
            <w:tcW w:type="dxa" w:w="2480"/>
            <w:vAlign w:val="center"/>
          </w:tcPr>
          <w:p>
            <w:pPr>
              <w:spacing w:after="40"/>
            </w:pPr>
            <w:r>
              <w:rPr>
                <w:sz w:val="15"/>
              </w:rPr>
              <w:t>Documents</w:t>
            </w:r>
          </w:p>
        </w:tc>
        <w:tc>
          <w:tcPr>
            <w:tcW w:type="dxa" w:w="2480"/>
            <w:vAlign w:val="center"/>
          </w:tcPr>
          <w:p>
            <w:pPr>
              <w:spacing w:after="40"/>
            </w:pPr>
            <w:r>
              <w:rPr>
                <w:sz w:val="15"/>
              </w:rPr>
              <w:t>Flux ISO/ARSO et enquête numérique</w:t>
            </w:r>
          </w:p>
        </w:tc>
        <w:tc>
          <w:tcPr>
            <w:tcW w:type="dxa" w:w="2480"/>
            <w:vAlign w:val="center"/>
          </w:tcPr>
          <w:p>
            <w:pPr>
              <w:spacing w:after="40"/>
            </w:pPr>
            <w:r>
              <w:rPr>
                <w:sz w:val="15"/>
              </w:rPr>
              <w:t>Codes, PTN, version, stade, diffusion, portée ; circuit en cinq étapes</w:t>
            </w:r>
          </w:p>
        </w:tc>
        <w:tc>
          <w:tcPr>
            <w:tcW w:type="dxa" w:w="2480"/>
            <w:vAlign w:val="center"/>
          </w:tcPr>
          <w:p>
            <w:pPr>
              <w:spacing w:after="40"/>
            </w:pPr>
            <w:r>
              <w:rPr>
                <w:sz w:val="15"/>
              </w:rPr>
              <w:t>Étendre le modèle documentaire et les contrôles.</w:t>
            </w:r>
          </w:p>
        </w:tc>
      </w:tr>
    </w:tbl>
    <w:p>
      <w:pPr>
        <w:spacing w:after="20"/>
      </w:pPr>
    </w:p>
    <w:p>
      <w:pPr>
        <w:pStyle w:val="Heading1"/>
      </w:pPr>
      <w:r>
        <w:t>5. Points de divergence nécessitant un arbitrage</w:t>
      </w:r>
    </w:p>
    <w:p>
      <w:pPr>
        <w:pStyle w:val="ListBullet"/>
      </w:pPr>
      <w:r>
        <w:t>Nombre cible : sept SC proposées dans le texte, ou six SC selon une orientation de projet distincte ? Aucun découpage officiel à six SC n’est fourni par les deux manuels.</w:t>
      </w:r>
    </w:p>
    <w:p>
      <w:pPr>
        <w:pStyle w:val="ListBullet"/>
      </w:pPr>
      <w:r>
        <w:t>Périmètres incomplets : urbanisme, hydraulique agricole, déchets solides, certification et certaines spécialités aéroportuaires doivent recevoir un statut et un responsable explicites.</w:t>
      </w:r>
    </w:p>
    <w:p>
      <w:pPr>
        <w:pStyle w:val="ListBullet"/>
      </w:pPr>
      <w:r>
        <w:t>Infrastructure qualité : cinq GT figurent dans l’annexe A, mais la création de la SC est expressément laissée à décider.</w:t>
      </w:r>
    </w:p>
    <w:p>
      <w:pPr>
        <w:pStyle w:val="ListBullet"/>
      </w:pPr>
      <w:r>
        <w:t>Effectifs et représentation : l’ancienne répartition de 200 experts ne peut pas être transposée automatiquement aux nouveaux quotas.</w:t>
      </w:r>
    </w:p>
    <w:p>
      <w:pPr>
        <w:pStyle w:val="ListBullet"/>
      </w:pPr>
      <w:r>
        <w:t>Transition du processus de validation : préciser le traitement des projets déjà engagés dans l’ancien circuit, en particulier ceux ayant atteint la plénière ou l’enquête.</w:t>
      </w:r>
    </w:p>
    <w:p>
      <w:pPr>
        <w:pStyle w:val="Small"/>
      </w:pPr>
      <w:r>
        <w:t>Précision : les intitulés des CTM/SC ne sont pas tous de simples synonymes. Le passage à un classement par domaines modifie les responsabilités, notamment pour les ouvrages d’art, la sismicité, le numérique et les essais.</w:t>
      </w:r>
    </w:p>
    <w:p>
      <w:r>
        <w:br w:type="page"/>
      </w:r>
    </w:p>
    <w:p>
      <w:pPr>
        <w:pStyle w:val="Heading1"/>
      </w:pPr>
      <w:r>
        <w:t>6. Architecture de migration recommandée pour la plateforme web</w:t>
      </w:r>
    </w:p>
    <w:p>
      <w:pPr>
        <w:pStyle w:val="Heading2"/>
      </w:pPr>
      <w:r>
        <w:t>6.1 Principe : préserver l’historique et faire évoluer l’affichage</w:t>
      </w:r>
    </w:p>
    <w:p>
      <w:r>
        <w:t>Conserver les identifiants techniques, comptes utilisateurs, dossiers, versions, avis et décisions. Ajouter une couche de correspondance et des dates d’effet, plutôt que renommer massivement les identifiants de base de données ou supprimer les entités anciennes.</w:t>
      </w:r>
    </w:p>
    <w:tbl>
      <w:tblPr>
        <w:tblStyle w:val="LightShading-Accent1"/>
        <w:tblW w:type="auto" w:w="0"/>
        <w:jc w:val="center"/>
        <w:tblLayout w:type="autofit"/>
        <w:tblLook w:firstColumn="1" w:firstRow="1" w:lastColumn="0" w:lastRow="0" w:noHBand="0" w:noVBand="1" w:val="04A0"/>
      </w:tblPr>
      <w:tblGrid>
        <w:gridCol w:w="4961"/>
        <w:gridCol w:w="4961"/>
      </w:tblGrid>
      <w:tr>
        <w:trPr>
          <w:tblHeader/>
        </w:trPr>
        <w:tc>
          <w:tcPr>
            <w:tcW w:type="dxa" w:w="4961"/>
            <w:vAlign w:val="center"/>
          </w:tcPr>
          <w:p>
            <w:pPr>
              <w:spacing w:after="40"/>
            </w:pPr>
            <w:r>
              <w:rPr>
                <w:b/>
                <w:color w:val="122F4D"/>
                <w:sz w:val="15"/>
              </w:rPr>
              <w:t>Objet de données</w:t>
            </w:r>
          </w:p>
        </w:tc>
        <w:tc>
          <w:tcPr>
            <w:tcW w:type="dxa" w:w="4961"/>
            <w:vAlign w:val="center"/>
          </w:tcPr>
          <w:p>
            <w:pPr>
              <w:spacing w:after="40"/>
            </w:pPr>
            <w:r>
              <w:rPr>
                <w:b/>
                <w:color w:val="122F4D"/>
                <w:sz w:val="15"/>
              </w:rPr>
              <w:t>Modification recommandée</w:t>
            </w:r>
          </w:p>
        </w:tc>
      </w:tr>
      <w:tr>
        <w:tc>
          <w:tcPr>
            <w:tcW w:type="dxa" w:w="4961"/>
            <w:vAlign w:val="center"/>
          </w:tcPr>
          <w:p>
            <w:pPr>
              <w:spacing w:after="40"/>
            </w:pPr>
            <w:r>
              <w:rPr>
                <w:sz w:val="15"/>
              </w:rPr>
              <w:t>organisations / committees</w:t>
            </w:r>
          </w:p>
        </w:tc>
        <w:tc>
          <w:tcPr>
            <w:tcW w:type="dxa" w:w="4961"/>
            <w:vAlign w:val="center"/>
          </w:tcPr>
          <w:p>
            <w:pPr>
              <w:spacing w:after="40"/>
            </w:pPr>
            <w:r>
              <w:rPr>
                <w:sz w:val="15"/>
              </w:rPr>
              <w:t>Conserver l’ID historique ; ajouter code, libellé courant, type (CTM/SC), version d’organisation, statut et période de validité.</w:t>
            </w:r>
          </w:p>
        </w:tc>
      </w:tr>
      <w:tr>
        <w:tc>
          <w:tcPr>
            <w:tcW w:type="dxa" w:w="4961"/>
            <w:vAlign w:val="center"/>
          </w:tcPr>
          <w:p>
            <w:pPr>
              <w:spacing w:after="40"/>
            </w:pPr>
            <w:r>
              <w:rPr>
                <w:sz w:val="15"/>
              </w:rPr>
              <w:t>groups</w:t>
            </w:r>
          </w:p>
        </w:tc>
        <w:tc>
          <w:tcPr>
            <w:tcW w:type="dxa" w:w="4961"/>
            <w:vAlign w:val="center"/>
          </w:tcPr>
          <w:p>
            <w:pPr>
              <w:spacing w:after="40"/>
            </w:pPr>
            <w:r>
              <w:rPr>
                <w:sz w:val="15"/>
              </w:rPr>
              <w:t>Conserver les WG historiques ; créer les GT cibles ; gérer les liens ancien WG → nouveau GT, avec relation n:n.</w:t>
            </w:r>
          </w:p>
        </w:tc>
      </w:tr>
      <w:tr>
        <w:tc>
          <w:tcPr>
            <w:tcW w:type="dxa" w:w="4961"/>
            <w:vAlign w:val="center"/>
          </w:tcPr>
          <w:p>
            <w:pPr>
              <w:spacing w:after="40"/>
            </w:pPr>
            <w:r>
              <w:rPr>
                <w:sz w:val="15"/>
              </w:rPr>
              <w:t>memberships</w:t>
            </w:r>
          </w:p>
        </w:tc>
        <w:tc>
          <w:tcPr>
            <w:tcW w:type="dxa" w:w="4961"/>
            <w:vAlign w:val="center"/>
          </w:tcPr>
          <w:p>
            <w:pPr>
              <w:spacing w:after="40"/>
            </w:pPr>
            <w:r>
              <w:rPr>
                <w:sz w:val="15"/>
              </w:rPr>
              <w:t>Historiser institution, rôle, groupe, date de début/fin et acte de nomination ; aucune suppression automatique.</w:t>
            </w:r>
          </w:p>
        </w:tc>
      </w:tr>
      <w:tr>
        <w:tc>
          <w:tcPr>
            <w:tcW w:type="dxa" w:w="4961"/>
            <w:vAlign w:val="center"/>
          </w:tcPr>
          <w:p>
            <w:pPr>
              <w:spacing w:after="40"/>
            </w:pPr>
            <w:r>
              <w:rPr>
                <w:sz w:val="15"/>
              </w:rPr>
              <w:t>documents</w:t>
            </w:r>
          </w:p>
        </w:tc>
        <w:tc>
          <w:tcPr>
            <w:tcW w:type="dxa" w:w="4961"/>
            <w:vAlign w:val="center"/>
          </w:tcPr>
          <w:p>
            <w:pPr>
              <w:spacing w:after="40"/>
            </w:pPr>
            <w:r>
              <w:rPr>
                <w:sz w:val="15"/>
              </w:rPr>
              <w:t>Conserver l’origine historique, les versions et les pièces ; distinguer propriétaire courant et auteur/origine.</w:t>
            </w:r>
          </w:p>
        </w:tc>
      </w:tr>
      <w:tr>
        <w:tc>
          <w:tcPr>
            <w:tcW w:type="dxa" w:w="4961"/>
            <w:vAlign w:val="center"/>
          </w:tcPr>
          <w:p>
            <w:pPr>
              <w:spacing w:after="40"/>
            </w:pPr>
            <w:r>
              <w:rPr>
                <w:sz w:val="15"/>
              </w:rPr>
              <w:t>workflow</w:t>
            </w:r>
          </w:p>
        </w:tc>
        <w:tc>
          <w:tcPr>
            <w:tcW w:type="dxa" w:w="4961"/>
            <w:vAlign w:val="center"/>
          </w:tcPr>
          <w:p>
            <w:pPr>
              <w:spacing w:after="40"/>
            </w:pPr>
            <w:r>
              <w:rPr>
                <w:sz w:val="15"/>
              </w:rPr>
              <w:t>Versionner les circuits ancien/nouveau ; garder l’étape réelle des dossiers en cours et appliquer une règle de bascule approuvée.</w:t>
            </w:r>
          </w:p>
        </w:tc>
      </w:tr>
      <w:tr>
        <w:tc>
          <w:tcPr>
            <w:tcW w:type="dxa" w:w="4961"/>
            <w:vAlign w:val="center"/>
          </w:tcPr>
          <w:p>
            <w:pPr>
              <w:spacing w:after="40"/>
            </w:pPr>
            <w:r>
              <w:rPr>
                <w:sz w:val="15"/>
              </w:rPr>
              <w:t>permissions</w:t>
            </w:r>
          </w:p>
        </w:tc>
        <w:tc>
          <w:tcPr>
            <w:tcW w:type="dxa" w:w="4961"/>
            <w:vAlign w:val="center"/>
          </w:tcPr>
          <w:p>
            <w:pPr>
              <w:spacing w:after="40"/>
            </w:pPr>
            <w:r>
              <w:rPr>
                <w:sz w:val="15"/>
              </w:rPr>
              <w:t>Mettre à jour les rôles COPIL/ST/SC/GT et les délégations, après validation des actes.</w:t>
            </w:r>
          </w:p>
        </w:tc>
      </w:tr>
      <w:tr>
        <w:tc>
          <w:tcPr>
            <w:tcW w:type="dxa" w:w="4961"/>
            <w:vAlign w:val="center"/>
          </w:tcPr>
          <w:p>
            <w:pPr>
              <w:spacing w:after="40"/>
            </w:pPr>
            <w:r>
              <w:rPr>
                <w:sz w:val="15"/>
              </w:rPr>
              <w:t>audit log</w:t>
            </w:r>
          </w:p>
        </w:tc>
        <w:tc>
          <w:tcPr>
            <w:tcW w:type="dxa" w:w="4961"/>
            <w:vAlign w:val="center"/>
          </w:tcPr>
          <w:p>
            <w:pPr>
              <w:spacing w:after="40"/>
            </w:pPr>
            <w:r>
              <w:rPr>
                <w:sz w:val="15"/>
              </w:rPr>
              <w:t>Journaliser changements de rattachement, responsable, date, motif et décision d’approbation.</w:t>
            </w:r>
          </w:p>
        </w:tc>
      </w:tr>
    </w:tbl>
    <w:p>
      <w:pPr>
        <w:spacing w:after="20"/>
      </w:pPr>
    </w:p>
    <w:p>
      <w:pPr>
        <w:pStyle w:val="Heading2"/>
      </w:pPr>
      <w:r>
        <w:t>6.2 Typologie des opérations</w:t>
      </w:r>
    </w:p>
    <w:p>
      <w:pPr>
        <w:pStyle w:val="ListBullet"/>
      </w:pPr>
      <w:r>
        <w:t>RENOMMER : lorsque le périmètre reste proche, par exemple noyau CTM 1 → SC-GF ; CTM 5 → SC-IT ; CTM 6 → SC-OH ; CTM 8 → SC-SOCLE.</w:t>
      </w:r>
    </w:p>
    <w:p>
      <w:pPr>
        <w:pStyle w:val="ListBullet"/>
      </w:pPr>
      <w:r>
        <w:t>FUSIONNER LOGIQUEMENT : CTM 4 dans SC-IT avec CTM 5 ; parties CTM 7 dans SC-OH avec CTM 6. Conserver les anciens comités comme archives consultables.</w:t>
      </w:r>
    </w:p>
    <w:p>
      <w:pPr>
        <w:pStyle w:val="ListBullet"/>
      </w:pPr>
      <w:r>
        <w:t>SCINDER / TRANSFÉRER : CTM 2 et CTM 3 vers plusieurs SC selon les WG et les livrables.</w:t>
      </w:r>
    </w:p>
    <w:p>
      <w:pPr>
        <w:pStyle w:val="ListBullet"/>
      </w:pPr>
      <w:r>
        <w:t>CRÉER : GT nouveaux prévus par le manuel, seulement selon mandat, financement et calendrier d’ouverture.</w:t>
      </w:r>
    </w:p>
    <w:p>
      <w:pPr>
        <w:pStyle w:val="ListBullet"/>
      </w:pPr>
      <w:r>
        <w:t>SUSPENDRE L’ARBITRAGE : garder les groupes sans successeur explicite dans un état « à rattacher », sans perte de données.</w:t>
      </w:r>
    </w:p>
    <w:p>
      <w:pPr>
        <w:pStyle w:val="Heading2"/>
      </w:pPr>
      <w:r>
        <w:t>6.3 Écrans à faire évoluer</w:t>
      </w:r>
    </w:p>
    <w:p>
      <w:r>
        <w:t>Organigramme courant ; répertoire historique ; fiche comité/sous-commission ; fiche groupe ; membres et mandats ; registre des documents ; tableau des validations ; rapports ; paramètres et référentiels ; journal des migrations.</w:t>
      </w:r>
    </w:p>
    <w:p>
      <w:r>
        <w:br w:type="page"/>
      </w:r>
    </w:p>
    <w:p>
      <w:pPr>
        <w:pStyle w:val="Heading1"/>
      </w:pPr>
      <w:r>
        <w:t>7. Plan d’exécution proposé</w:t>
      </w:r>
    </w:p>
    <w:tbl>
      <w:tblPr>
        <w:tblStyle w:val="LightShading-Accent1"/>
        <w:tblW w:type="auto" w:w="0"/>
        <w:jc w:val="center"/>
        <w:tblLayout w:type="autofit"/>
        <w:tblLook w:firstColumn="1" w:firstRow="1" w:lastColumn="0" w:lastRow="0" w:noHBand="0" w:noVBand="1" w:val="04A0"/>
      </w:tblPr>
      <w:tblGrid>
        <w:gridCol w:w="3307"/>
        <w:gridCol w:w="3307"/>
        <w:gridCol w:w="3307"/>
      </w:tblGrid>
      <w:tr>
        <w:trPr>
          <w:tblHeader/>
        </w:trPr>
        <w:tc>
          <w:tcPr>
            <w:tcW w:type="dxa" w:w="3307"/>
            <w:vAlign w:val="center"/>
          </w:tcPr>
          <w:p>
            <w:pPr>
              <w:spacing w:after="40"/>
            </w:pPr>
            <w:r>
              <w:rPr>
                <w:b/>
                <w:color w:val="122F4D"/>
                <w:sz w:val="15"/>
              </w:rPr>
              <w:t>Étape</w:t>
            </w:r>
          </w:p>
        </w:tc>
        <w:tc>
          <w:tcPr>
            <w:tcW w:type="dxa" w:w="3307"/>
            <w:vAlign w:val="center"/>
          </w:tcPr>
          <w:p>
            <w:pPr>
              <w:spacing w:after="40"/>
            </w:pPr>
            <w:r>
              <w:rPr>
                <w:b/>
                <w:color w:val="122F4D"/>
                <w:sz w:val="15"/>
              </w:rPr>
              <w:t>Travaux</w:t>
            </w:r>
          </w:p>
        </w:tc>
        <w:tc>
          <w:tcPr>
            <w:tcW w:type="dxa" w:w="3307"/>
            <w:vAlign w:val="center"/>
          </w:tcPr>
          <w:p>
            <w:pPr>
              <w:spacing w:after="40"/>
            </w:pPr>
            <w:r>
              <w:rPr>
                <w:b/>
                <w:color w:val="122F4D"/>
                <w:sz w:val="15"/>
              </w:rPr>
              <w:t>Condition de sortie</w:t>
            </w:r>
          </w:p>
        </w:tc>
      </w:tr>
      <w:tr>
        <w:tc>
          <w:tcPr>
            <w:tcW w:type="dxa" w:w="3307"/>
            <w:vAlign w:val="center"/>
          </w:tcPr>
          <w:p>
            <w:pPr>
              <w:spacing w:after="40"/>
            </w:pPr>
            <w:r>
              <w:rPr>
                <w:sz w:val="15"/>
              </w:rPr>
              <w:t>1. Inventaire / sauvegarde</w:t>
            </w:r>
          </w:p>
        </w:tc>
        <w:tc>
          <w:tcPr>
            <w:tcW w:type="dxa" w:w="3307"/>
            <w:vAlign w:val="center"/>
          </w:tcPr>
          <w:p>
            <w:pPr>
              <w:spacing w:after="40"/>
            </w:pPr>
            <w:r>
              <w:rPr>
                <w:sz w:val="15"/>
              </w:rPr>
              <w:t>Exporter la base et recenser CTM, WG, membres, documents, rôles, workflows et liens existants.</w:t>
            </w:r>
          </w:p>
        </w:tc>
        <w:tc>
          <w:tcPr>
            <w:tcW w:type="dxa" w:w="3307"/>
            <w:vAlign w:val="center"/>
          </w:tcPr>
          <w:p>
            <w:pPr>
              <w:spacing w:after="40"/>
            </w:pPr>
            <w:r>
              <w:rPr>
                <w:sz w:val="15"/>
              </w:rPr>
              <w:t>Sauvegarde testée ; inventaire signé.</w:t>
            </w:r>
          </w:p>
        </w:tc>
      </w:tr>
      <w:tr>
        <w:tc>
          <w:tcPr>
            <w:tcW w:type="dxa" w:w="3307"/>
            <w:vAlign w:val="center"/>
          </w:tcPr>
          <w:p>
            <w:pPr>
              <w:spacing w:after="40"/>
            </w:pPr>
            <w:r>
              <w:rPr>
                <w:sz w:val="15"/>
              </w:rPr>
              <w:t>2. Table de correspondance</w:t>
            </w:r>
          </w:p>
        </w:tc>
        <w:tc>
          <w:tcPr>
            <w:tcW w:type="dxa" w:w="3307"/>
            <w:vAlign w:val="center"/>
          </w:tcPr>
          <w:p>
            <w:pPr>
              <w:spacing w:after="40"/>
            </w:pPr>
            <w:r>
              <w:rPr>
                <w:sz w:val="15"/>
              </w:rPr>
              <w:t>Valider pour chaque ancien CTM/WG : cible, interface, statut, responsable et date d’effet.</w:t>
            </w:r>
          </w:p>
        </w:tc>
        <w:tc>
          <w:tcPr>
            <w:tcW w:type="dxa" w:w="3307"/>
            <w:vAlign w:val="center"/>
          </w:tcPr>
          <w:p>
            <w:pPr>
              <w:spacing w:after="40"/>
            </w:pPr>
            <w:r>
              <w:rPr>
                <w:sz w:val="15"/>
              </w:rPr>
              <w:t>Matrice approuvée ; cas ambigus consignés.</w:t>
            </w:r>
          </w:p>
        </w:tc>
      </w:tr>
      <w:tr>
        <w:tc>
          <w:tcPr>
            <w:tcW w:type="dxa" w:w="3307"/>
            <w:vAlign w:val="center"/>
          </w:tcPr>
          <w:p>
            <w:pPr>
              <w:spacing w:after="40"/>
            </w:pPr>
            <w:r>
              <w:rPr>
                <w:sz w:val="15"/>
              </w:rPr>
              <w:t>3. Prototype de migration</w:t>
            </w:r>
          </w:p>
        </w:tc>
        <w:tc>
          <w:tcPr>
            <w:tcW w:type="dxa" w:w="3307"/>
            <w:vAlign w:val="center"/>
          </w:tcPr>
          <w:p>
            <w:pPr>
              <w:spacing w:after="40"/>
            </w:pPr>
            <w:r>
              <w:rPr>
                <w:sz w:val="15"/>
              </w:rPr>
              <w:t>Créer les nouvelles entités sans suppression ; tester l’affichage et les autorisations sur environnement de préproduction.</w:t>
            </w:r>
          </w:p>
        </w:tc>
        <w:tc>
          <w:tcPr>
            <w:tcW w:type="dxa" w:w="3307"/>
            <w:vAlign w:val="center"/>
          </w:tcPr>
          <w:p>
            <w:pPr>
              <w:spacing w:after="40"/>
            </w:pPr>
            <w:r>
              <w:rPr>
                <w:sz w:val="15"/>
              </w:rPr>
              <w:t>Tests fonctionnels et sécurité satisfaisants.</w:t>
            </w:r>
          </w:p>
        </w:tc>
      </w:tr>
      <w:tr>
        <w:tc>
          <w:tcPr>
            <w:tcW w:type="dxa" w:w="3307"/>
            <w:vAlign w:val="center"/>
          </w:tcPr>
          <w:p>
            <w:pPr>
              <w:spacing w:after="40"/>
            </w:pPr>
            <w:r>
              <w:rPr>
                <w:sz w:val="15"/>
              </w:rPr>
              <w:t>4. Migration documentaire</w:t>
            </w:r>
          </w:p>
        </w:tc>
        <w:tc>
          <w:tcPr>
            <w:tcW w:type="dxa" w:w="3307"/>
            <w:vAlign w:val="center"/>
          </w:tcPr>
          <w:p>
            <w:pPr>
              <w:spacing w:after="40"/>
            </w:pPr>
            <w:r>
              <w:rPr>
                <w:sz w:val="15"/>
              </w:rPr>
              <w:t>Réaffecter les propriétaires courants en préservant origine, pièces, versions et commentaires.</w:t>
            </w:r>
          </w:p>
        </w:tc>
        <w:tc>
          <w:tcPr>
            <w:tcW w:type="dxa" w:w="3307"/>
            <w:vAlign w:val="center"/>
          </w:tcPr>
          <w:p>
            <w:pPr>
              <w:spacing w:after="40"/>
            </w:pPr>
            <w:r>
              <w:rPr>
                <w:sz w:val="15"/>
              </w:rPr>
              <w:t>Contrôles d’intégrité et rapprochement des volumes.</w:t>
            </w:r>
          </w:p>
        </w:tc>
      </w:tr>
      <w:tr>
        <w:tc>
          <w:tcPr>
            <w:tcW w:type="dxa" w:w="3307"/>
            <w:vAlign w:val="center"/>
          </w:tcPr>
          <w:p>
            <w:pPr>
              <w:spacing w:after="40"/>
            </w:pPr>
            <w:r>
              <w:rPr>
                <w:sz w:val="15"/>
              </w:rPr>
              <w:t>5. Nouveau workflow</w:t>
            </w:r>
          </w:p>
        </w:tc>
        <w:tc>
          <w:tcPr>
            <w:tcW w:type="dxa" w:w="3307"/>
            <w:vAlign w:val="center"/>
          </w:tcPr>
          <w:p>
            <w:pPr>
              <w:spacing w:after="40"/>
            </w:pPr>
            <w:r>
              <w:rPr>
                <w:sz w:val="15"/>
              </w:rPr>
              <w:t>Paramétrer les cinq étapes, les états et la traçabilité ; décider le sort des dossiers déjà engagés.</w:t>
            </w:r>
          </w:p>
        </w:tc>
        <w:tc>
          <w:tcPr>
            <w:tcW w:type="dxa" w:w="3307"/>
            <w:vAlign w:val="center"/>
          </w:tcPr>
          <w:p>
            <w:pPr>
              <w:spacing w:after="40"/>
            </w:pPr>
            <w:r>
              <w:rPr>
                <w:sz w:val="15"/>
              </w:rPr>
              <w:t>Scénarios anciens/nouveaux validés.</w:t>
            </w:r>
          </w:p>
        </w:tc>
      </w:tr>
      <w:tr>
        <w:tc>
          <w:tcPr>
            <w:tcW w:type="dxa" w:w="3307"/>
            <w:vAlign w:val="center"/>
          </w:tcPr>
          <w:p>
            <w:pPr>
              <w:spacing w:after="40"/>
            </w:pPr>
            <w:r>
              <w:rPr>
                <w:sz w:val="15"/>
              </w:rPr>
              <w:t>6. Mise en production</w:t>
            </w:r>
          </w:p>
        </w:tc>
        <w:tc>
          <w:tcPr>
            <w:tcW w:type="dxa" w:w="3307"/>
            <w:vAlign w:val="center"/>
          </w:tcPr>
          <w:p>
            <w:pPr>
              <w:spacing w:after="40"/>
            </w:pPr>
            <w:r>
              <w:rPr>
                <w:sz w:val="15"/>
              </w:rPr>
              <w:t>Basculer l’affichage et les circuits autorisés, avec retour arrière documenté.</w:t>
            </w:r>
          </w:p>
        </w:tc>
        <w:tc>
          <w:tcPr>
            <w:tcW w:type="dxa" w:w="3307"/>
            <w:vAlign w:val="center"/>
          </w:tcPr>
          <w:p>
            <w:pPr>
              <w:spacing w:after="40"/>
            </w:pPr>
            <w:r>
              <w:rPr>
                <w:sz w:val="15"/>
              </w:rPr>
              <w:t>PV de recette et décision de mise en service.</w:t>
            </w:r>
          </w:p>
        </w:tc>
      </w:tr>
    </w:tbl>
    <w:p>
      <w:pPr>
        <w:spacing w:after="20"/>
      </w:pPr>
    </w:p>
    <w:p>
      <w:pPr>
        <w:pStyle w:val="Heading1"/>
      </w:pPr>
      <w:r>
        <w:t>8. Décisions demandées à la hiérarchie</w:t>
      </w:r>
    </w:p>
    <w:p>
      <w:pPr>
        <w:pStyle w:val="ListBullet"/>
      </w:pPr>
      <w:r>
        <w:t>Confirmer le nombre de SC cible et le statut de la sous-commission « Infrastructure qualité ».</w:t>
      </w:r>
    </w:p>
    <w:p>
      <w:pPr>
        <w:pStyle w:val="ListBullet"/>
      </w:pPr>
      <w:r>
        <w:t>Approuver une matrice officielle de correspondance des huit CTM et des 23 WG.</w:t>
      </w:r>
    </w:p>
    <w:p>
      <w:pPr>
        <w:pStyle w:val="ListBullet"/>
      </w:pPr>
      <w:r>
        <w:t>Désigner les responsables des périmètres sans successeur explicite (déchets, urbanisme, irrigation, certification).</w:t>
      </w:r>
    </w:p>
    <w:p>
      <w:pPr>
        <w:pStyle w:val="ListBullet"/>
      </w:pPr>
      <w:r>
        <w:t>Fixer les règles de transition des membres, des postes et des droits de validation.</w:t>
      </w:r>
    </w:p>
    <w:p>
      <w:pPr>
        <w:pStyle w:val="ListBullet"/>
      </w:pPr>
      <w:r>
        <w:t>Autoriser une migration technique sans suppression de données, sous réserve de tests et d’une sauvegarde restaurable.</w:t>
      </w:r>
    </w:p>
    <w:p>
      <w:pPr>
        <w:pStyle w:val="Heading1"/>
      </w:pPr>
      <w:r>
        <w:t>9. Avis de synthèse</w:t>
      </w:r>
    </w:p>
    <w:p>
      <w:r>
        <w:t>Il est déconseillé de reconstruire intégralement la plateforme. L’option la plus sûre consiste à maintenir les données historiques et à faire évoluer la nomenclature, les rattachements et les procédures. Quatre anciens CTM constituent des noyaux naturels de nouvelles SC ; les autres doivent être redistribués par compétences. La bascule définitive dépend de la validation institutionnelle du nouveau dispositif.</w:t>
      </w:r>
    </w:p>
    <w:p>
      <w:pPr>
        <w:pStyle w:val="Heading1"/>
      </w:pPr>
      <w:r>
        <w:t>Références documentaires</w:t>
      </w:r>
    </w:p>
    <w:p>
      <w:r>
        <w:t>A. Ministère des Infrastructures et Travaux Publics, « Manuel d’organisation structurelle et fonctionnelle », édition mai 2026, chapitres II à IV et VI, p. 3–8 et 11.</w:t>
      </w:r>
    </w:p>
    <w:p>
      <w:r>
        <w:t>B. Ministère des Infrastructures et Travaux Publics, « Manuel d’organisation et de fonctionnement de la CNE-ITP », version consolidée et abrégée du 7 octobre 2026, art. 2.1–2.8, 3.1–3.5, 4.2, 5.4, annexe A, p. 1, 3–5, 7 et 9.</w:t>
      </w:r>
    </w:p>
    <w:p>
      <w:pPr>
        <w:pStyle w:val="Small"/>
      </w:pPr>
      <w:r>
        <w:t>Note méthodologique : les propositions de correspondance et de migration sont des recommandations d’analyse. Elles ne modifient pas les actes en vigueur et ne remplacent pas une décision du COPIL ou de l’autorité compétente.</w:t>
      </w:r>
    </w:p>
    <w:sectPr w:rsidR="00FC693F" w:rsidRPr="0006063C" w:rsidSect="00034616">
      <w:headerReference w:type="default" r:id="rId9"/>
      <w:footerReference w:type="default" r:id="rId10"/>
      <w:pgSz w:w="12240" w:h="15840"/>
      <w:pgMar w:top="1123" w:right="1123" w:bottom="1051"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Document de travail • 11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2C6582"/>
      </w:rPr>
      <w:t>CNE-ITP  |  NOTE D’ANALYSE ORGANISATIONNELLE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4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33A59"/>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14526A"/>
      <w:sz w:val="22"/>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14526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22F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