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c3zmgm2u6wz0" w:id="0"/>
      <w:bookmarkEnd w:id="0"/>
      <w:r w:rsidDel="00000000" w:rsidR="00000000" w:rsidRPr="00000000">
        <w:rPr>
          <w:b w:val="1"/>
          <w:bCs w:val="1"/>
          <w:color w:val="1f1f1f"/>
          <w:sz w:val="46"/>
          <w:szCs w:val="46"/>
          <w:rtl w:val="0"/>
        </w:rPr>
        <w:t xml:space="preserve">Architecture Systémique et Ingénierie Logicielle du Projet Likelemba Sécurisé : Rapport Technique de Conception Flutter 2026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transition des pratiques financières informelles vers des architectures numériques robustes constitue l'un des piliers fondamentaux de l'autonomisation économique en 2026. Le Likelemba, système de tontine rotative ancestral, trouve aujourd'hui une résonance technologique nouvelle grâce à l'intégration de frameworks mobiles de pointe et de modèles mathématiques prédictifs. Cette analyse approfondie détaille la conception d'une plateforme mobile développée sous Flutter, articulée autour d'une base de données Isar et d'une interface utilisateur en "Liquid Glass", capable de transformer une relation de confiance interpersonnelle en un système financier indestructible, transparent et hautement résilient. L'enjeu technique majeur réside dans la capacité de l'architecture logicielle à absorber les chocs systémiques, tels que les défaillances de paiement ou les départs prématurés, tout en offrant une expérience utilisateur fluide et sécurisée qui préserve le capital social du groupe.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2khoylemem9" w:id="1"/>
      <w:bookmarkEnd w:id="1"/>
      <w:r w:rsidDel="00000000" w:rsidR="00000000" w:rsidRPr="00000000">
        <w:rPr>
          <w:b w:val="1"/>
          <w:bCs w:val="1"/>
          <w:color w:val="1f1f1f"/>
          <w:sz w:val="34"/>
          <w:szCs w:val="34"/>
          <w:rtl w:val="0"/>
        </w:rPr>
        <w:t xml:space="preserve">Modélisation Mathématique et Dynamique des Flux Financiers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sécurité d'une tontine numérique ne saurait reposer uniquement sur la qualité du code source ; elle exige une modélisation rigoureuse de la dynamique des fonds afin de garantir la solvabilité perpétuelle du cycle. L'utilisation des équations différentielles ordinaires (EDO) permet de traiter le fonds de réserve comme un système dynamique complexe dont les états futurs sont prévisibles en fonction des variables de flux entrant et sortant. Cette approche scientifique remplace l'incertitude inhérente aux tontines traditionnelles par une gestion algorithmique de la liquidité.</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uebfz1pu1t4" w:id="2"/>
      <w:bookmarkEnd w:id="2"/>
      <w:r w:rsidDel="00000000" w:rsidR="00000000" w:rsidRPr="00000000">
        <w:rPr>
          <w:b w:val="1"/>
          <w:bCs w:val="1"/>
          <w:color w:val="1f1f1f"/>
          <w:sz w:val="26"/>
          <w:szCs w:val="26"/>
          <w:rtl w:val="0"/>
        </w:rPr>
        <w:t xml:space="preserve">Dynamique du Fonds de Réserve par Équations Différentielles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L'application intègre un moteur de calcul de haute précision qui modélise le fonds de réserve comme un réservoir financier dont le niveau fluctue selon des lois déterministes. Si l'on définit $F(t)$ comme le montant total du fonds à un instant donné $t$, son évolution temporelle est régie par une équation différentielle de premier ordre. Dans un scénario de stabilité absolue, la croissance est linéaire, mais pour anticiper les risques systémiques, le système modélise le flux net en tenant compte du prélèvement de sécurité $a$ sur chaque cotisation $s$ et de la probabilité statistique de sortie des membres. La variation du fonds est ainsi exprimée par la relation fondamentale suivante :</w:t>
      </w:r>
    </w:p>
    <w:p w:rsidR="00000000" w:rsidDel="00000000" w:rsidP="00000000" w:rsidRDefault="00000000" w:rsidRPr="00000000" w14:paraId="00000007">
      <w:pPr>
        <w:rPr>
          <w:color w:val="1f1f1f"/>
        </w:rPr>
      </w:pPr>
      <w:r w:rsidDel="00000000" w:rsidR="00000000" w:rsidRPr="00000000">
        <w:rPr>
          <w:color w:val="1f1f1f"/>
          <w:rtl w:val="0"/>
        </w:rPr>
        <w:t xml:space="preserve">$$\frac{dF}{dt} = n \cdot a - \lambda \cdot R(t)$$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Dans cette équation, $n$ représente le nombre total de cotisants actifs, $a$ le prélèvement journalier de sécurité par membre, $\lambda$ le coefficient de risque de défaillance ou de départ, et $R(t)$ la fonction de remboursement théorique allouée aux membres sortants. Cette modélisation garantit que le fonds de réserve peut se régénérer en moins de soixante-douze heures après une ponction majeure, assurant la continuité du cycle pour les participants restants.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0xr8c7kdt5q" w:id="3"/>
      <w:bookmarkEnd w:id="3"/>
      <w:r w:rsidDel="00000000" w:rsidR="00000000" w:rsidRPr="00000000">
        <w:rPr>
          <w:b w:val="1"/>
          <w:bCs w:val="1"/>
          <w:color w:val="1f1f1f"/>
          <w:sz w:val="26"/>
          <w:szCs w:val="26"/>
          <w:rtl w:val="0"/>
        </w:rPr>
        <w:t xml:space="preserve">Algorithmes de Pénalité Dégressive et Stabilité Sociale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stabiliser le groupe et prévenir les comportements opportunistes, l'architecture implémente un mécanisme de pénalité dégressive linéaire agissant comme un contrat de respect mutuel codé. La pénalité $\alpha(t)$ est calibrée pour être maximale au début du cycle et diminuer progressivement à mesure que le membre s'approche de sa réception de cagnotte, valorisant ainsi la fidélité et la durée de l'engagement. Le calcul du remboursement $R(\tau)$ pour un membre quittant le système au jour $\tau$ est défini par la formule :</w:t>
      </w:r>
    </w:p>
    <w:p w:rsidR="00000000" w:rsidDel="00000000" w:rsidP="00000000" w:rsidRDefault="00000000" w:rsidRPr="00000000" w14:paraId="0000000B">
      <w:pPr>
        <w:rPr>
          <w:color w:val="1f1f1f"/>
        </w:rPr>
      </w:pPr>
      <w:r w:rsidDel="00000000" w:rsidR="00000000" w:rsidRPr="00000000">
        <w:rPr>
          <w:color w:val="1f1f1f"/>
          <w:rtl w:val="0"/>
        </w:rPr>
        <w:t xml:space="preserve">$$R(\tau) = s \cdot \tau \cdot [1 - \alpha(\tau)]$$</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trajectoire de la pénalité suit une fonction linéaire décroissante :</w:t>
      </w:r>
    </w:p>
    <w:p w:rsidR="00000000" w:rsidDel="00000000" w:rsidP="00000000" w:rsidRDefault="00000000" w:rsidRPr="00000000" w14:paraId="0000000D">
      <w:pPr>
        <w:rPr>
          <w:color w:val="1f1f1f"/>
        </w:rPr>
      </w:pPr>
      <w:r w:rsidDel="00000000" w:rsidR="00000000" w:rsidRPr="00000000">
        <w:rPr>
          <w:color w:val="1f1f1f"/>
          <w:rtl w:val="0"/>
        </w:rPr>
        <w:t xml:space="preserve">$$\alpha(\tau) = \alpha_0 \cdot \left(1 - \frac{\tau}{T}\right)$$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Où $\alpha_0$ représente le taux de pénalité initial, généralement fixé à 25% pour assurer la solidité financière du groupe, et $T$ la durée totale du cycle. Ce modèle mathématique impartial élimine les conflits interpersonnels en substituant le jugement humain par une règle algorithmique transparente et prédictible.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20"/>
        <w:gridCol w:w="3300"/>
        <w:tblGridChange w:id="0">
          <w:tblGrid>
            <w:gridCol w:w="2085"/>
            <w:gridCol w:w="3420"/>
            <w:gridCol w:w="330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Composante de Risque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Impact sur le Modèle Mathématique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Réponse Algorithmique Systémique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Départ avant réception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Ponction ponctuelle $R(\tau)$ sur le fonds global.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Remplacement immédiat pour stabiliser le flux $n \cdot a$.</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Départ après réception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Impact nul sur le fonds de réserve ($R=0$).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Transfert automatique des obligations au remplaçant.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Défaillances multiples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Somme des ponctions $\sum R(\tau_i)$ menaçant $F(T)$.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Ajustement dynamique de $a$ et plafonnement des sorties.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Retard de paiement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Réduction temporaire du flux entrant $n \cdot 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Notification proactive et activation de l'IA de risque.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Absence de remplaçant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Flux réduit à $(n-1) \cdot 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Recalcul automatique du temps de reconstitution $\Delta t$.</w:t>
            </w:r>
          </w:p>
        </w:tc>
      </w:tr>
    </w:tbl>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szh8yvwn3ty" w:id="4"/>
      <w:bookmarkEnd w:id="4"/>
      <w:r w:rsidDel="00000000" w:rsidR="00000000" w:rsidRPr="00000000">
        <w:rPr>
          <w:b w:val="1"/>
          <w:bCs w:val="1"/>
          <w:color w:val="1f1f1f"/>
          <w:sz w:val="34"/>
          <w:szCs w:val="34"/>
          <w:rtl w:val="0"/>
        </w:rPr>
        <w:t xml:space="preserve">Architecture Logicielle : Modularité Feature-First et Clean Architecture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soutenir une telle complexité fonctionnelle tout en garantissant la maintenabilité sur le long terme, le projet adopte une architecture hybride combinant la Clean Architecture et une organisation par fonctionnalités (Feature-First). Cette structure permet d'isoler les règles métier des détails d'implémentation technique, facilitant ainsi les tests unitaires et l'évolution de l'application vers de nouveaux services financiers.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40tgln69kyl" w:id="5"/>
      <w:bookmarkEnd w:id="5"/>
      <w:r w:rsidDel="00000000" w:rsidR="00000000" w:rsidRPr="00000000">
        <w:rPr>
          <w:b w:val="1"/>
          <w:bCs w:val="1"/>
          <w:color w:val="1f1f1f"/>
          <w:sz w:val="26"/>
          <w:szCs w:val="26"/>
          <w:rtl w:val="0"/>
        </w:rPr>
        <w:t xml:space="preserve">Décomposition des Couches de Responsabilité</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L'architecture se divise en quatre couches concentriques où les dépendances pointent exclusivement vers l'intérieur, protégeant ainsi le domaine métier des fluctuations des frameworks externes ou des bases de données. Cette séparation des préoccupations est essentielle pour un système gérant des fonds réels où la logique de calcul ne doit jamais être polluée par des considérations d'interface utilisateur.</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Couche Domaine (Domain Layer)</w:t>
      </w:r>
      <w:r w:rsidDel="00000000" w:rsidR="00000000" w:rsidRPr="00000000">
        <w:rPr>
          <w:color w:val="1f1f1f"/>
          <w:rtl w:val="0"/>
        </w:rPr>
        <w:t xml:space="preserve"> : Elle constitue le cœur du système, contenant les entités (User, Likelemba, Transaction), les interfaces de dépôts et les cas d'utilisation (Use Cases). Cette couche est écrite en Dart pur, sans aucune dépendance à Flutter ou Isar, ce qui la rend portable et facilement testable.</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Couche Données (Data Layer)</w:t>
      </w:r>
      <w:r w:rsidDel="00000000" w:rsidR="00000000" w:rsidRPr="00000000">
        <w:rPr>
          <w:color w:val="1f1f1f"/>
          <w:rtl w:val="0"/>
        </w:rPr>
        <w:t xml:space="preserve"> : Elle est responsable de la persistance et de la communication réseau. Elle contient les implémentations des dépôts, les modèles (extensions des entités avec méthodes de sérialisation JSON ou Isar), et les sources de données (Isar local, API distante).</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Couche Application (Application Layer)</w:t>
      </w:r>
      <w:r w:rsidDel="00000000" w:rsidR="00000000" w:rsidRPr="00000000">
        <w:rPr>
          <w:color w:val="1f1f1f"/>
          <w:rtl w:val="0"/>
        </w:rPr>
        <w:t xml:space="preserve"> : Elle gère la logique de l'état de l'application et l'orchestration des cas d'utilisation. En 2026, cette couche s'appuie massivement sur Riverpod pour la gestion des dépendances et la réactivité.</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Couche Présentation (Presentation Layer)</w:t>
      </w:r>
      <w:r w:rsidDel="00000000" w:rsidR="00000000" w:rsidRPr="00000000">
        <w:rPr>
          <w:color w:val="1f1f1f"/>
          <w:rtl w:val="0"/>
        </w:rPr>
        <w:t xml:space="preserve"> : Elle contient exclusivement les widgets Flutter et les contrôleurs de vue (Viewmodels ou Notifiers). Son rôle est de transformer l'état de l'application en une interface visuelle pour l'utilisateur.</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iwadye1cdf12" w:id="6"/>
      <w:bookmarkEnd w:id="6"/>
      <w:r w:rsidDel="00000000" w:rsidR="00000000" w:rsidRPr="00000000">
        <w:rPr>
          <w:b w:val="1"/>
          <w:bCs w:val="1"/>
          <w:color w:val="1f1f1f"/>
          <w:sz w:val="26"/>
          <w:szCs w:val="26"/>
          <w:rtl w:val="0"/>
        </w:rPr>
        <w:t xml:space="preserve">Organisation du Répertoire </w:t>
      </w:r>
      <w:r w:rsidDel="00000000" w:rsidR="00000000" w:rsidRPr="00000000">
        <w:rPr>
          <w:b w:val="1"/>
          <w:bCs w:val="1"/>
          <w:color w:val="444746"/>
          <w:sz w:val="26"/>
          <w:szCs w:val="26"/>
          <w:shd w:fill="e9eef6" w:val="clear"/>
          <w:rtl w:val="0"/>
        </w:rPr>
        <w:t xml:space="preserve">lib</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Une structure de dossiers claire est impérative pour permettre à plusieurs équipes de collaborer sans conflits et pour réduire la charge cognitive lors de la navigation dans le code.</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090"/>
        <w:gridCol w:w="3045"/>
        <w:tblGridChange w:id="0">
          <w:tblGrid>
            <w:gridCol w:w="2685"/>
            <w:gridCol w:w="3090"/>
            <w:gridCol w:w="30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Dossier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Responsabilité Architecturale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Composants Clés</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444746"/>
                <w:shd w:fill="e9eef6" w:val="clear"/>
                <w:rtl w:val="0"/>
              </w:rPr>
              <w:t xml:space="preserve">core/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Code transverse et partagé à toute l'application.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Thèmes, constantes, clients réseau, utilitaires EDO.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444746"/>
                <w:shd w:fill="e9eef6" w:val="clear"/>
                <w:rtl w:val="0"/>
              </w:rPr>
              <w:t xml:space="preserve">features/auth/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Gestion de l'identité et de la sécurité d'accès.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Login, enregistrement biométrique, gestion de session.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444746"/>
                <w:shd w:fill="e9eef6" w:val="clear"/>
                <w:rtl w:val="0"/>
              </w:rPr>
              <w:t xml:space="preserve">features/tontine/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Cœur du Likelemba et gestion des cycles.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Calcul des pénalités, file d'attente, algorithme de tour.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444746"/>
                <w:shd w:fill="e9eef6" w:val="clear"/>
                <w:rtl w:val="0"/>
              </w:rPr>
              <w:t xml:space="preserve">features/transactions/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Gestion des flux financiers et preuves de paiement.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Historique, validation de cotisation, reçus numériques.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444746"/>
                <w:shd w:fill="e9eef6" w:val="clear"/>
                <w:rtl w:val="0"/>
              </w:rPr>
              <w:t xml:space="preserve">features/admin/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Supervision et pilotage stratégique du groupe.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Détection d'anomalies, simulateur de remboursement.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444746"/>
                <w:shd w:fill="e9eef6" w:val="clear"/>
                <w:rtl w:val="0"/>
              </w:rPr>
              <w:t xml:space="preserve">features/sync/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Moteur de synchronisation et résilience réseau.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Outbox, retry engine, moniteur de connectivité.</w:t>
            </w:r>
          </w:p>
        </w:tc>
      </w:tr>
    </w:tbl>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83c1j7osvkh" w:id="7"/>
      <w:bookmarkEnd w:id="7"/>
      <w:r w:rsidDel="00000000" w:rsidR="00000000" w:rsidRPr="00000000">
        <w:rPr>
          <w:b w:val="1"/>
          <w:bCs w:val="1"/>
          <w:color w:val="1f1f1f"/>
          <w:sz w:val="34"/>
          <w:szCs w:val="34"/>
          <w:rtl w:val="0"/>
        </w:rPr>
        <w:t xml:space="preserve">Persistance Réactive avec la Base de Données Isar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choix d'Isar en tant que moteur de stockage local en 2026 repose sur sa performance native sous Flutter et sa capacité à gérer des schémas NoSQL complexes avec une réactivité totale. Isar permet une synchronisation transparente entre la base de données et l'interface utilisateur via des flux (Streams), garantissant que toute modification des fonds est immédiatement visible par l'utilisateur sans rechargement manuel.</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m8cuni4oidx" w:id="8"/>
      <w:bookmarkEnd w:id="8"/>
      <w:r w:rsidDel="00000000" w:rsidR="00000000" w:rsidRPr="00000000">
        <w:rPr>
          <w:b w:val="1"/>
          <w:bCs w:val="1"/>
          <w:color w:val="1f1f1f"/>
          <w:sz w:val="26"/>
          <w:szCs w:val="26"/>
          <w:rtl w:val="0"/>
        </w:rPr>
        <w:t xml:space="preserve">Conception du Schéma et Intégrité Financière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schéma de données est optimisé pour les transactions financières, utilisant des index pour accélérer les recherches et des relations liées pour maintenir la cohérence entre les utilisateurs et leurs cycles de Likelemba. L'id de chaque objet est géré de manière auto-incrémentée par Isar, assurant une unicité absolue des enregistrements.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385"/>
        <w:gridCol w:w="1590"/>
        <w:gridCol w:w="2115"/>
        <w:tblGridChange w:id="0">
          <w:tblGrid>
            <w:gridCol w:w="2685"/>
            <w:gridCol w:w="2385"/>
            <w:gridCol w:w="1590"/>
            <w:gridCol w:w="21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Collection Isar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Champs Principaux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Type de Données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Rôle Systémique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444746"/>
                <w:shd w:fill="e9eef6" w:val="clear"/>
                <w:rtl w:val="0"/>
              </w:rPr>
              <w:t xml:space="preserve">UserCollection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riskScore</w:t>
            </w:r>
            <w:r w:rsidDel="00000000" w:rsidR="00000000" w:rsidRPr="00000000">
              <w:rPr>
                <w:color w:val="1f1f1f"/>
                <w:rtl w:val="0"/>
              </w:rPr>
              <w:t xml:space="preserve">, </w:t>
            </w:r>
            <w:r w:rsidDel="00000000" w:rsidR="00000000" w:rsidRPr="00000000">
              <w:rPr>
                <w:color w:val="444746"/>
                <w:shd w:fill="e9eef6" w:val="clear"/>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Id, String, float, 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Profilage et suivi de la fiabilité membre.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444746"/>
                <w:shd w:fill="e9eef6" w:val="clear"/>
                <w:rtl w:val="0"/>
              </w:rPr>
              <w:t xml:space="preserve">LikelembaCollection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reserveAmount</w:t>
            </w:r>
            <w:r w:rsidDel="00000000" w:rsidR="00000000" w:rsidRPr="00000000">
              <w:rPr>
                <w:color w:val="1f1f1f"/>
                <w:rtl w:val="0"/>
              </w:rPr>
              <w:t xml:space="preserve">, </w:t>
            </w:r>
            <w:r w:rsidDel="00000000" w:rsidR="00000000" w:rsidRPr="00000000">
              <w:rPr>
                <w:color w:val="444746"/>
                <w:shd w:fill="e9eef6" w:val="clear"/>
                <w:rtl w:val="0"/>
              </w:rPr>
              <w:t xml:space="preserve">penaltyRate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Id, double, double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État global du fonds et règles du cycle.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444746"/>
                <w:shd w:fill="e9eef6" w:val="clear"/>
                <w:rtl w:val="0"/>
              </w:rPr>
              <w:t xml:space="preserve">TransactionCollection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444746"/>
                <w:shd w:fill="e9eef6" w:val="clear"/>
                <w:rtl w:val="0"/>
              </w:rPr>
              <w:t xml:space="preserve">amount</w:t>
            </w:r>
            <w:r w:rsidDel="00000000" w:rsidR="00000000" w:rsidRPr="00000000">
              <w:rPr>
                <w:color w:val="1f1f1f"/>
                <w:rtl w:val="0"/>
              </w:rPr>
              <w:t xml:space="preserve">, </w:t>
            </w:r>
            <w:r w:rsidDel="00000000" w:rsidR="00000000" w:rsidRPr="00000000">
              <w:rPr>
                <w:color w:val="444746"/>
                <w:shd w:fill="e9eef6" w:val="clear"/>
                <w:rtl w:val="0"/>
              </w:rPr>
              <w:t xml:space="preserve">timestamp</w:t>
            </w:r>
            <w:r w:rsidDel="00000000" w:rsidR="00000000" w:rsidRPr="00000000">
              <w:rPr>
                <w:color w:val="1f1f1f"/>
                <w:rtl w:val="0"/>
              </w:rPr>
              <w:t xml:space="preserve">, </w:t>
            </w:r>
            <w:r w:rsidDel="00000000" w:rsidR="00000000" w:rsidRPr="00000000">
              <w:rPr>
                <w:color w:val="444746"/>
                <w:shd w:fill="e9eef6" w:val="clear"/>
                <w:rtl w:val="0"/>
              </w:rPr>
              <w:t xml:space="preserve">isSync</w:t>
            </w:r>
            <w:r w:rsidDel="00000000" w:rsidR="00000000" w:rsidRPr="00000000">
              <w:rPr>
                <w:color w:val="1f1f1f"/>
                <w:rtl w:val="0"/>
              </w:rPr>
              <w:t xml:space="preserve">, </w:t>
            </w:r>
            <w:r w:rsidDel="00000000" w:rsidR="00000000" w:rsidRPr="00000000">
              <w:rPr>
                <w:color w:val="444746"/>
                <w:shd w:fill="e9eef6" w:val="clear"/>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double, DateTime, bool, 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Journal immuable de tous les mouvements.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444746"/>
                <w:shd w:fill="e9eef6" w:val="clear"/>
                <w:rtl w:val="0"/>
              </w:rPr>
              <w:t xml:space="preserve">OutboxCollection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444746"/>
                <w:shd w:fill="e9eef6" w:val="clear"/>
                <w:rtl w:val="0"/>
              </w:rPr>
              <w:t xml:space="preserve">payload</w:t>
            </w:r>
            <w:r w:rsidDel="00000000" w:rsidR="00000000" w:rsidRPr="00000000">
              <w:rPr>
                <w:color w:val="1f1f1f"/>
                <w:rtl w:val="0"/>
              </w:rPr>
              <w:t xml:space="preserve">, </w:t>
            </w:r>
            <w:r w:rsidDel="00000000" w:rsidR="00000000" w:rsidRPr="00000000">
              <w:rPr>
                <w:color w:val="444746"/>
                <w:shd w:fill="e9eef6" w:val="clear"/>
                <w:rtl w:val="0"/>
              </w:rPr>
              <w:t xml:space="preserve">attempts</w:t>
            </w:r>
            <w:r w:rsidDel="00000000" w:rsidR="00000000" w:rsidRPr="00000000">
              <w:rPr>
                <w:color w:val="1f1f1f"/>
                <w:rtl w:val="0"/>
              </w:rPr>
              <w:t xml:space="preserve">, </w:t>
            </w:r>
            <w:r w:rsidDel="00000000" w:rsidR="00000000" w:rsidRPr="00000000">
              <w:rPr>
                <w:color w:val="444746"/>
                <w:shd w:fill="e9eef6" w:val="clear"/>
                <w:rtl w:val="0"/>
              </w:rPr>
              <w:t xml:space="preserve">priority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String, int, 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File d'attente pour la synchronisation différée.</w:t>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L'intégrité des données est assurée par le respect strict des propriétés ACID via les transactions explicites d'Isar. Chaque opération complexe, comme la validation d'une cotisation qui doit simultanément mettre à jour le solde du membre et le fonds de réserve du groupe, est encapsulée dans une transaction d'écriture unique (</w:t>
      </w:r>
      <w:r w:rsidDel="00000000" w:rsidR="00000000" w:rsidRPr="00000000">
        <w:rPr>
          <w:color w:val="444746"/>
          <w:shd w:fill="e9eef6" w:val="clear"/>
          <w:rtl w:val="0"/>
        </w:rPr>
        <w:t xml:space="preserve">isar.writeTxn</w:t>
      </w:r>
      <w:r w:rsidDel="00000000" w:rsidR="00000000" w:rsidRPr="00000000">
        <w:rPr>
          <w:color w:val="1f1f1f"/>
          <w:rtl w:val="0"/>
        </w:rPr>
        <w:t xml:space="preserve">). En cas d'erreur logicielle ou de crash de l'appareil pendant l'opération, Isar effectue un rollback automatique, empêchant toute incohérence financière qui pourrait miner la confiance des membres.</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oentsw7zno8" w:id="9"/>
      <w:bookmarkEnd w:id="9"/>
      <w:r w:rsidDel="00000000" w:rsidR="00000000" w:rsidRPr="00000000">
        <w:rPr>
          <w:b w:val="1"/>
          <w:bCs w:val="1"/>
          <w:color w:val="1f1f1f"/>
          <w:sz w:val="34"/>
          <w:szCs w:val="34"/>
          <w:rtl w:val="0"/>
        </w:rPr>
        <w:t xml:space="preserve">Moteur de Synchronisation et Stratégie Offline-First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Dans les contextes où la connectivité internet est intermittente, l'architecture "Offline-First" n'est pas une option mais une nécessité vitale. L'application doit permettre aux utilisateurs d'effectuer des actions (valider une présence, déclarer un paiement) même sans réseau, en garantissant que ces données seront transmises au serveur dès que possible.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2wrxslpyhwo" w:id="10"/>
      <w:bookmarkEnd w:id="10"/>
      <w:r w:rsidDel="00000000" w:rsidR="00000000" w:rsidRPr="00000000">
        <w:rPr>
          <w:b w:val="1"/>
          <w:bCs w:val="1"/>
          <w:color w:val="1f1f1f"/>
          <w:sz w:val="26"/>
          <w:szCs w:val="26"/>
          <w:rtl w:val="0"/>
        </w:rPr>
        <w:t xml:space="preserve">Pattern Transactional Outbox et Résilience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système s'appuie sur le pattern Transactional Outbox pour résoudre le problème de la "double écriture". Lorsqu'une action financière est effectuée, elle est enregistrée dans la base de données locale métier et, au sein de la même transaction atomique, un message est ajouté à la collection </w:t>
      </w:r>
      <w:r w:rsidDel="00000000" w:rsidR="00000000" w:rsidRPr="00000000">
        <w:rPr>
          <w:color w:val="444746"/>
          <w:shd w:fill="e9eef6" w:val="clear"/>
          <w:rtl w:val="0"/>
        </w:rPr>
        <w:t xml:space="preserve">Outbox</w:t>
      </w:r>
      <w:r w:rsidDel="00000000" w:rsidR="00000000" w:rsidRPr="00000000">
        <w:rPr>
          <w:color w:val="1f1f1f"/>
          <w:rtl w:val="0"/>
        </w:rPr>
        <w:t xml:space="preserve">. Cette approche garantit que la donnée locale et l'intention de synchronisation sont liées de manière indissociable.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processus de synchronisation suit un cycle de vie rigoureux :</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Enregistrement Local</w:t>
      </w:r>
      <w:r w:rsidDel="00000000" w:rsidR="00000000" w:rsidRPr="00000000">
        <w:rPr>
          <w:color w:val="1f1f1f"/>
          <w:rtl w:val="0"/>
        </w:rPr>
        <w:t xml:space="preserve"> : L'action est persistée dans Isar avec un flag </w:t>
      </w:r>
      <w:r w:rsidDel="00000000" w:rsidR="00000000" w:rsidRPr="00000000">
        <w:rPr>
          <w:color w:val="444746"/>
          <w:shd w:fill="e9eef6" w:val="clear"/>
          <w:rtl w:val="0"/>
        </w:rPr>
        <w:t xml:space="preserve">isSync = false</w:t>
      </w:r>
      <w:r w:rsidDel="00000000" w:rsidR="00000000" w:rsidRPr="00000000">
        <w:rPr>
          <w:color w:val="1f1f1f"/>
          <w:rtl w:val="0"/>
        </w:rPr>
        <w:t xml:space="preserve">.</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Détection de Connexion</w:t>
      </w:r>
      <w:r w:rsidDel="00000000" w:rsidR="00000000" w:rsidRPr="00000000">
        <w:rPr>
          <w:color w:val="1f1f1f"/>
          <w:rtl w:val="0"/>
        </w:rPr>
        <w:t xml:space="preserve"> : Le </w:t>
      </w:r>
      <w:r w:rsidDel="00000000" w:rsidR="00000000" w:rsidRPr="00000000">
        <w:rPr>
          <w:color w:val="444746"/>
          <w:shd w:fill="e9eef6" w:val="clear"/>
          <w:rtl w:val="0"/>
        </w:rPr>
        <w:t xml:space="preserve">SyncEngine</w:t>
      </w:r>
      <w:r w:rsidDel="00000000" w:rsidR="00000000" w:rsidRPr="00000000">
        <w:rPr>
          <w:color w:val="1f1f1f"/>
          <w:rtl w:val="0"/>
        </w:rPr>
        <w:t xml:space="preserve"> utilise le package </w:t>
      </w:r>
      <w:r w:rsidDel="00000000" w:rsidR="00000000" w:rsidRPr="00000000">
        <w:rPr>
          <w:color w:val="444746"/>
          <w:shd w:fill="e9eef6" w:val="clear"/>
          <w:rtl w:val="0"/>
        </w:rPr>
        <w:t xml:space="preserve">connectivity_plus</w:t>
      </w:r>
      <w:r w:rsidDel="00000000" w:rsidR="00000000" w:rsidRPr="00000000">
        <w:rPr>
          <w:color w:val="1f1f1f"/>
          <w:rtl w:val="0"/>
        </w:rPr>
        <w:t xml:space="preserve"> pour écouter les changements d'état du réseau.</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Traitement de la File d'Attente</w:t>
      </w:r>
      <w:r w:rsidDel="00000000" w:rsidR="00000000" w:rsidRPr="00000000">
        <w:rPr>
          <w:color w:val="1f1f1f"/>
          <w:rtl w:val="0"/>
        </w:rPr>
        <w:t xml:space="preserve"> : Les messages de l'outbox sont envoyés séquentiellement (FIFO) pour préserver l'ordre chronologique des transactions financières, ce qui est critique pour le calcul correct des soldes.</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Retry Logic et Backoff</w:t>
      </w:r>
      <w:r w:rsidDel="00000000" w:rsidR="00000000" w:rsidRPr="00000000">
        <w:rPr>
          <w:color w:val="1f1f1f"/>
          <w:rtl w:val="0"/>
        </w:rPr>
        <w:t xml:space="preserve"> : En cas d'échec de la requête API, le moteur utilise une stratégie d'attente exponentielle (Exponential Backoff) pour éviter de saturer le processeur et la batterie lors de tentatives infructueuses répétées.</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Confirmation et Purge</w:t>
      </w:r>
      <w:r w:rsidDel="00000000" w:rsidR="00000000" w:rsidRPr="00000000">
        <w:rPr>
          <w:color w:val="1f1f1f"/>
          <w:rtl w:val="0"/>
        </w:rPr>
        <w:t xml:space="preserve"> : Une fois la réponse positive du serveur reçue, l'enregistrement local est mis à jour et le message est retiré de l'outbox.</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285"/>
        <w:gridCol w:w="3945"/>
        <w:tblGridChange w:id="0">
          <w:tblGrid>
            <w:gridCol w:w="1575"/>
            <w:gridCol w:w="3285"/>
            <w:gridCol w:w="394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État de Sync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Action du Système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Pending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Action enregistrée localement uniquement.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Attente d'une connexion réseau stable.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Processing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Message en cours de transmission à l'API.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Verrouillage du message pour éviter les doublons.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Synced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Confirmation reçue du serveur distant.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Mise à jour du flag local et suppression outbox.</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Failed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Erreur réseau ou serveur persistante.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Incrémentation du compteur de retry et mise en attente.</w:t>
            </w:r>
          </w:p>
        </w:tc>
      </w:tr>
    </w:tbl>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s4rqak9zvsj" w:id="11"/>
      <w:bookmarkEnd w:id="11"/>
      <w:r w:rsidDel="00000000" w:rsidR="00000000" w:rsidRPr="00000000">
        <w:rPr>
          <w:b w:val="1"/>
          <w:bCs w:val="1"/>
          <w:color w:val="1f1f1f"/>
          <w:sz w:val="34"/>
          <w:szCs w:val="34"/>
          <w:rtl w:val="0"/>
        </w:rPr>
        <w:t xml:space="preserve">Interface Utilisateur "Liquid Glass" et Optimisation Impeller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L'esthétique visuelle du Likelemba Sécurisé en 2026 repose sur le concept de "Liquid Glass", une évolution sophistiquée du glassmorphism qui utilise la profondeur et la réfraction pour réduire la charge cognitive et renforcer le sentiment de transparence financière. Cette interface n'est pas seulement décorative ; elle structure l'information de manière hiérarchique, plaçant les éléments critiques au premier plan avec des effets de flou adaptatifs.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8iocbm69t4f" w:id="12"/>
      <w:bookmarkEnd w:id="12"/>
      <w:r w:rsidDel="00000000" w:rsidR="00000000" w:rsidRPr="00000000">
        <w:rPr>
          <w:b w:val="1"/>
          <w:bCs w:val="1"/>
          <w:color w:val="1f1f1f"/>
          <w:sz w:val="26"/>
          <w:szCs w:val="26"/>
          <w:rtl w:val="0"/>
        </w:rPr>
        <w:t xml:space="preserve">Rendu Haute Performance à 120 FPS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atteindre une fluidité de 120 images par seconde, indispensable sur les écrans modernes, l'application exploite pleinement le moteur de rendu Impeller de Flutter. Contrairement au moteur Skia, Impeller compile les shaders de manière Ahead-of-Time (AOT), éliminant ainsi les micro-saccades (jank) lors de l'apparition de nouveaux éléments visuels complexes. L'implémentation du Liquid Glass nécessite l'écriture de fragment shaders personnalisés (.frag) utilisant le langage FLSL (Flutter Shading Language) pour manipuler les pixels directement sur le GPU.</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Les widgets de l'interface sont optimisés selon deux modes de qualité pour préserver les ressources de l'appareil :</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Qualité Standard</w:t>
      </w:r>
      <w:r w:rsidDel="00000000" w:rsidR="00000000" w:rsidRPr="00000000">
        <w:rPr>
          <w:color w:val="1f1f1f"/>
          <w:rtl w:val="0"/>
        </w:rPr>
        <w:t xml:space="preserve"> : Utilisée pour les contenus défilables (listes de transactions), optimisant le rendu sur Skia et Impeller sans surcharge processeur.</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Qualité Premium</w:t>
      </w:r>
      <w:r w:rsidDel="00000000" w:rsidR="00000000" w:rsidRPr="00000000">
        <w:rPr>
          <w:color w:val="1f1f1f"/>
          <w:rtl w:val="0"/>
        </w:rPr>
        <w:t xml:space="preserve"> : Réservée aux surfaces statiques comme l'AppBar ou la barre de navigation, activant la réfraction et l'aberration chromatique pour un aspect haut de gamme.</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05"/>
        <w:gridCol w:w="4125"/>
        <w:tblGridChange w:id="0">
          <w:tblGrid>
            <w:gridCol w:w="2175"/>
            <w:gridCol w:w="2505"/>
            <w:gridCol w:w="41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Paramètre Visuel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Valeur Spécifiée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Objectif UX 2026</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Épaisseur du Verre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10% à 40% d'opacité</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Maintenir la visibilité du contexte en arrière-plan.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Rayon de Flou (Blur)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12px à 20px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Isoler le contenu textuel tout en restant organique.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Bordure d'Élément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1px Solid White (0.1 Alpha)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Simuler la réflexion lumineuse sur les arêtes.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Temps de Transition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200ms à 400ms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Offrir une réponse tactile immédiate et naturelle.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Luminosité Adaptative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Variable (0.8x à 1.2x)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Assurer la lisibilité selon le fond (clair/sombre).</w:t>
            </w:r>
          </w:p>
        </w:tc>
      </w:tr>
    </w:tbl>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L'optimisation passe également par le partage de la capture du backdrop GPU : en utilisant un </w:t>
      </w:r>
      <w:r w:rsidDel="00000000" w:rsidR="00000000" w:rsidRPr="00000000">
        <w:rPr>
          <w:color w:val="444746"/>
          <w:shd w:fill="e9eef6" w:val="clear"/>
          <w:rtl w:val="0"/>
        </w:rPr>
        <w:t xml:space="preserve">GlassBackdropScope</w:t>
      </w:r>
      <w:r w:rsidDel="00000000" w:rsidR="00000000" w:rsidRPr="00000000">
        <w:rPr>
          <w:color w:val="1f1f1f"/>
          <w:rtl w:val="0"/>
        </w:rPr>
        <w:t xml:space="preserve">, plusieurs widgets transparents partagent une seule capture d'écran de l'arrière-plan, réduisant drastiquement la consommation mémoire et la latence de rendu.</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bphrlcmi8ka" w:id="13"/>
      <w:bookmarkEnd w:id="13"/>
      <w:r w:rsidDel="00000000" w:rsidR="00000000" w:rsidRPr="00000000">
        <w:rPr>
          <w:b w:val="1"/>
          <w:bCs w:val="1"/>
          <w:color w:val="1f1f1f"/>
          <w:sz w:val="34"/>
          <w:szCs w:val="34"/>
          <w:rtl w:val="0"/>
        </w:rPr>
        <w:t xml:space="preserve">Intelligence Artificielle et Prédiction du Risque Financier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L'innovation majeure du projet réside dans l'intégration d'une intelligence artificielle embarquée (On-device AI) capable de prédire les risques de défaillance avant qu'ils ne surviennent. En 2026, l'utilisation de LiteRT (anciennement TensorFlow Lite) permet d'exécuter des modèles de machine learning directement sur le téléphone de l'utilisateur, garantissant une confidentialité totale des données financières sensibles.</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kz7n1w5dpj6" w:id="14"/>
      <w:bookmarkEnd w:id="14"/>
      <w:r w:rsidDel="00000000" w:rsidR="00000000" w:rsidRPr="00000000">
        <w:rPr>
          <w:b w:val="1"/>
          <w:bCs w:val="1"/>
          <w:color w:val="1f1f1f"/>
          <w:sz w:val="26"/>
          <w:szCs w:val="26"/>
          <w:rtl w:val="0"/>
        </w:rPr>
        <w:t xml:space="preserve">Modélisation du Risque et Inférence Locale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moteur d'IA analyse les patterns de comportement des membres, tels que la ponctualité des cotisations passées, la fréquence d'interaction avec l'application et les signaux macro-économiques du groupe. Ces données alimentent un modèle de classification qui évalue la probabilité de retard pour chaque échéance.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Les avantages de cette approche décentralisée sont multiples :</w:t>
      </w:r>
    </w:p>
    <w:p w:rsidR="00000000" w:rsidDel="00000000" w:rsidP="00000000" w:rsidRDefault="00000000" w:rsidRPr="00000000" w14:paraId="0000009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Confidentialité Totale</w:t>
      </w:r>
      <w:r w:rsidDel="00000000" w:rsidR="00000000" w:rsidRPr="00000000">
        <w:rPr>
          <w:color w:val="1f1f1f"/>
          <w:rtl w:val="0"/>
        </w:rPr>
        <w:t xml:space="preserve"> : Les données brutes ne quittent jamais l'appareil ; seul le score de risque anonymisé est partagé avec l'administrateur.</w:t>
      </w:r>
    </w:p>
    <w:p w:rsidR="00000000" w:rsidDel="00000000" w:rsidP="00000000" w:rsidRDefault="00000000" w:rsidRPr="00000000" w14:paraId="0000009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Disponibilité Offline</w:t>
      </w:r>
      <w:r w:rsidDel="00000000" w:rsidR="00000000" w:rsidRPr="00000000">
        <w:rPr>
          <w:color w:val="1f1f1f"/>
          <w:rtl w:val="0"/>
        </w:rPr>
        <w:t xml:space="preserve"> : Les prédictions fonctionnent même sans internet, permettant un ajustement local des alertes.</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Réponse Instantanée</w:t>
      </w:r>
      <w:r w:rsidDel="00000000" w:rsidR="00000000" w:rsidRPr="00000000">
        <w:rPr>
          <w:color w:val="1f1f1f"/>
          <w:rtl w:val="0"/>
        </w:rPr>
        <w:t xml:space="preserve"> : Le système peut déclencher des rappels automatiques personnalisés basés sur le profil psychologique de l'utilisateur pour encourager le paiement.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optimiser ces modèles sur mobile, le système utilise la quantification INT8, réduisant la taille des fichiers modèles de 75% tout en maintenant une précision supérieure à 90% pour les tâches de détection de risque.</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225"/>
        <w:gridCol w:w="3555"/>
        <w:tblGridChange w:id="0">
          <w:tblGrid>
            <w:gridCol w:w="2025"/>
            <w:gridCol w:w="3225"/>
            <w:gridCol w:w="35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Type de Modèle AI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Fonctionnalité</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Bénéfice pour le Groupe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Régression Linéaire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Prédiction du flux de trésorerie futur.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Anticipation du remplissage du fonds de réserve.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Forêt Aléatoire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Classification du risque de défaut membre.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Identification proactive des profils à surveiller.</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Analyse de Sentiment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Évaluation de l'engagement social du groupe.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Détection précoce des tensions ou désengagements.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Logic de Gradient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Détection d'anomalies et de fraudes.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Protection contre les tentatives de détournement.</w:t>
            </w:r>
          </w:p>
        </w:tc>
      </w:tr>
    </w:tbl>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hfk8m9f3xp5" w:id="15"/>
      <w:bookmarkEnd w:id="15"/>
      <w:r w:rsidDel="00000000" w:rsidR="00000000" w:rsidRPr="00000000">
        <w:rPr>
          <w:b w:val="1"/>
          <w:bCs w:val="1"/>
          <w:color w:val="1f1f1f"/>
          <w:sz w:val="34"/>
          <w:szCs w:val="34"/>
          <w:rtl w:val="0"/>
        </w:rPr>
        <w:t xml:space="preserve">Expérience Utilisateur et Pilotage Stratégique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L'architecture logicielle supporte deux interfaces distinctes mais interconnectées, conçues pour répondre aux besoins spécifiques des différents rôles au sein de la tontine.</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vck8zeu45ej" w:id="16"/>
      <w:bookmarkEnd w:id="16"/>
      <w:r w:rsidDel="00000000" w:rsidR="00000000" w:rsidRPr="00000000">
        <w:rPr>
          <w:b w:val="1"/>
          <w:bCs w:val="1"/>
          <w:color w:val="1f1f1f"/>
          <w:sz w:val="26"/>
          <w:szCs w:val="26"/>
          <w:rtl w:val="0"/>
        </w:rPr>
        <w:t xml:space="preserve">L'Interface Participant : Transparence et Confiance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L'interface du membre simple est épurée, centrée sur la visibilité sociale et la facilité de transaction. Elle utilise le Liquid Glass pour symboliser la clarté et l'honnêteté du système. Une file d'attente horizontale dynamique permet à chaque membre de visualiser sa position, le receveur actuel de la cagnotte et l'état de progression des cotisations en temps réel. Cette visibilité partagée agit comme un puissant levier de discipline collective, où chaque membre peut voir (sans accéder aux détails privés) si ses pairs respectent leurs engagements.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bouton d'action principal "Demander l'argent" est piloté par une logique contextuelle rigoureuse : il reste inactif si ce n'est pas le tour de l'utilisateur ou s'il présente des dettes impayées, évitant toute confusion ou sollicitation inutile auprès de l'administrateur.</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ry4gufza7m" w:id="17"/>
      <w:bookmarkEnd w:id="17"/>
      <w:r w:rsidDel="00000000" w:rsidR="00000000" w:rsidRPr="00000000">
        <w:rPr>
          <w:b w:val="1"/>
          <w:bCs w:val="1"/>
          <w:color w:val="1f1f1f"/>
          <w:sz w:val="26"/>
          <w:szCs w:val="26"/>
          <w:rtl w:val="0"/>
        </w:rPr>
        <w:t xml:space="preserve">L'Interface Administrateur : Poste de Commandement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L'administrateur dispose d'un tableau de bord expert pour superviser la santé financière du Likelemba. En s'appuyant sur la bibliothèque Cristalyse pour la visualisation de données haute performance, l'administrateur peut observer la courbe de solvabilité du groupe en temps réel. Les graphiques comparent dynamiquement l'état actuel du fonds de réserve par rapport aux prévisions de l'équation différentielle modélisée au démarrage.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L'interface admin segmente automatiquement les participants en quatre catégories dynamiques pour faciliter la gestion :</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Contributeurs</w:t>
      </w:r>
      <w:r w:rsidDel="00000000" w:rsidR="00000000" w:rsidRPr="00000000">
        <w:rPr>
          <w:color w:val="1f1f1f"/>
          <w:rtl w:val="0"/>
        </w:rPr>
        <w:t xml:space="preserve"> : Ceux qui ont rempli leurs obligations pour le cycle actuel.</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Sortants</w:t>
      </w:r>
      <w:r w:rsidDel="00000000" w:rsidR="00000000" w:rsidRPr="00000000">
        <w:rPr>
          <w:color w:val="1f1f1f"/>
          <w:rtl w:val="0"/>
        </w:rPr>
        <w:t xml:space="preserve"> : Archivage des membres ayant quitté le système avec le détail des pénalités collectées.</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Engagements Futurs</w:t>
      </w:r>
      <w:r w:rsidDel="00000000" w:rsidR="00000000" w:rsidRPr="00000000">
        <w:rPr>
          <w:color w:val="1f1f1f"/>
          <w:rtl w:val="0"/>
        </w:rPr>
        <w:t xml:space="preserve"> : Projection des sommes restant à percevoir pour clôturer le cycle.</w:t>
      </w:r>
    </w:p>
    <w:p w:rsidR="00000000" w:rsidDel="00000000" w:rsidP="00000000" w:rsidRDefault="00000000" w:rsidRPr="00000000" w14:paraId="000000A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Nouveaux Ajouts</w:t>
      </w:r>
      <w:r w:rsidDel="00000000" w:rsidR="00000000" w:rsidRPr="00000000">
        <w:rPr>
          <w:color w:val="1f1f1f"/>
          <w:rtl w:val="0"/>
        </w:rPr>
        <w:t xml:space="preserve"> : Gestion des remplaçants avec calcul automatique de leur prorata de participation.</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240"/>
        <w:gridCol w:w="2850"/>
        <w:tblGridChange w:id="0">
          <w:tblGrid>
            <w:gridCol w:w="2715"/>
            <w:gridCol w:w="3240"/>
            <w:gridCol w:w="285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b w:val="1"/>
                <w:bCs w:val="1"/>
                <w:color w:val="1f1f1f"/>
                <w:rtl w:val="0"/>
              </w:rPr>
              <w:t xml:space="preserve">Composant UI Admin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Fonctionnalité Technique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Valeur Ajoutée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b w:val="1"/>
                <w:bCs w:val="1"/>
                <w:color w:val="1f1f1f"/>
                <w:rtl w:val="0"/>
              </w:rPr>
              <w:t xml:space="preserve">Moniteur de Fonds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Graphique en temps réel (fl_chart/cristalyse).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Garantie visuelle de la liquidité du groupe.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Sélecteur de Remplaçant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Interface Drag-and-Drop vers Isar.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Maintenance de la continuité des flux sans erreur.</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Badges de Retard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Alertes colorimétriques réactives.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Identification instantanée des points de friction.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Calculateur de Remboursement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Interface vers le moteur EDO.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Transparence totale lors des départs.</w:t>
            </w:r>
          </w:p>
        </w:tc>
      </w:tr>
    </w:tbl>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96te4mqt1tq" w:id="18"/>
      <w:bookmarkEnd w:id="18"/>
      <w:r w:rsidDel="00000000" w:rsidR="00000000" w:rsidRPr="00000000">
        <w:rPr>
          <w:b w:val="1"/>
          <w:bCs w:val="1"/>
          <w:color w:val="1f1f1f"/>
          <w:sz w:val="34"/>
          <w:szCs w:val="34"/>
          <w:rtl w:val="0"/>
        </w:rPr>
        <w:t xml:space="preserve">Inclusion Numérique et Accessibilité Universelle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Pour une application financière communautaire, l'accessibilité n'est pas une option mais une composante éthique de l'architecture. Le design Liquid Glass de 2026 intègre des standards d'inclusion avancés pour garantir que tous les membres, indépendamment de leurs capacités physiques ou de leur matériel, puissent participer sereinement.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système propose un mode "Contraste Élevé" qui remplace les effets de flou par des surfaces opaques à fort contraste, facilitant la lecture pour les utilisateurs malvoyants. Les statuts critiques ne sont jamais communiqués uniquement par la couleur ; des icônes distinctives et des retours haptiques (vibrations spécifiques pour un succès de paiement vs une erreur) assurent une navigation sans erreur pour les daltoniens ou les personnes en situation de handicap sensoriel. Enfin, l'intégration de commandes vocales permet d'effectuer des consultations de solde ou des validations de paiement sans interaction tactile, répondant aux besoins des personnes âgées ou souffrant de troubles moteurs.</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ca0pz8h3wy" w:id="19"/>
      <w:bookmarkEnd w:id="19"/>
      <w:r w:rsidDel="00000000" w:rsidR="00000000" w:rsidRPr="00000000">
        <w:rPr>
          <w:b w:val="1"/>
          <w:bCs w:val="1"/>
          <w:color w:val="1f1f1f"/>
          <w:sz w:val="34"/>
          <w:szCs w:val="34"/>
          <w:rtl w:val="0"/>
        </w:rPr>
        <w:t xml:space="preserve">Conclusion et Perspectives d'Évolution du Système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L'architecture du projet Likelemba Sécurisé sous Flutter 2026 représente une synthèse exemplaire entre les traditions sociales de solidarité et la rigueur des sciences de l'ingénieur. En combinant une modélisation mathématique par équations différentielles, une structure logicielle Clean Architecture et une interface utilisateur de nouvelle génération, le système dépasse les limites structurelles des tontines manuelles. La résilience apportée par le mode offline-first et la puissance prédictive de l'IA embarquée transforment une simple épargne rotative en une institution financière technologique capable d'auto-réparation et de croissance continue.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À l'avenir, la richesse des données accumulées dans ce système sécurisé pourrait servir de passerelle vers le système financier global, permettant aux membres de justifier de leur solvabilité auprès d'institutions bancaires formelles. En ancrant la solidarité communautaire dans la science des données et le design interactif, nous bâtissons les fondations d'une économie numérique inclusive, résiliente et durable pour les générations futures.</w:t>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