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4v9kajaiqsi" w:id="0"/>
      <w:bookmarkEnd w:id="0"/>
      <w:r w:rsidDel="00000000" w:rsidR="00000000" w:rsidRPr="00000000">
        <w:rPr>
          <w:b w:val="1"/>
          <w:bCs w:val="1"/>
          <w:color w:val="1f1f1f"/>
          <w:sz w:val="46"/>
          <w:szCs w:val="46"/>
          <w:rtl w:val="0"/>
        </w:rPr>
        <w:t xml:space="preserve">Écosystème numérique du Likelemba sécurisé : Architecture Flutter 2026, persistance réactive Isar et modélisation par équations différentielles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transition des pratiques financières informelles vers des architectures numériques robustes constitue l'un des piliers de l'autonomisation économique en 2026. Le Likelemba, système de tontine rotative ancestral, trouve aujourd'hui une résonance nouvelle grâce à l'intégration de technologies mobiles de pointe et de modèles mathématiques prédictifs. Cette analyse explore la conception d'une plateforme mobile développée sous Flutter, articulée autour d'une base de données Isar et d'une interface utilisateur en "Liquid Glass", capable de transformer une relation de confiance interpersonnelle en un système financier indestructible et transparent. L'enjeu majeur de cette mutation réside dans la capacité de l'algorithme à absorber les chocs systémiques — tels que les départs prématurés ou les défauts de paiement — tout en offrant une expérience utilisateur (UX) fluide et rassurante.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u7zy2g27n04" w:id="1"/>
      <w:bookmarkEnd w:id="1"/>
      <w:r w:rsidDel="00000000" w:rsidR="00000000" w:rsidRPr="00000000">
        <w:rPr>
          <w:b w:val="1"/>
          <w:bCs w:val="1"/>
          <w:color w:val="1f1f1f"/>
          <w:sz w:val="34"/>
          <w:szCs w:val="34"/>
          <w:rtl w:val="0"/>
        </w:rPr>
        <w:t xml:space="preserve">Fondements mathématiques et stabilité du système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sécurité d'une tontine numérique ne peut reposer uniquement sur le code ; elle doit s'appuyer sur une modélisation rigoureuse de la dynamique des fonds. L'utilisation des équations différentielles ordinaires (EDO) permet de traiter le fonds de réserve comme un système dynamique dont on peut prévoir les états futurs en fonction des variables de flux.</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5qrom3c0vu6" w:id="2"/>
      <w:bookmarkEnd w:id="2"/>
      <w:r w:rsidDel="00000000" w:rsidR="00000000" w:rsidRPr="00000000">
        <w:rPr>
          <w:b w:val="1"/>
          <w:bCs w:val="1"/>
          <w:color w:val="1f1f1f"/>
          <w:sz w:val="26"/>
          <w:szCs w:val="26"/>
          <w:rtl w:val="0"/>
        </w:rPr>
        <w:t xml:space="preserve">Modélisation dynamique par équations différentielles ordinaires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L'application intègre un moteur de calcul qui traite le fonds de réserve comme un réservoir financier dont le niveau fluctue selon les entrées et les sorties. Si l'on définit $F(t)$ comme le montant du fonds à l'instant $t$, son évolution est régie par une EDO de premier ordre. Dans un scénario idéal sans départ, le fonds croît de manière linéaire. Cependant, pour anticiper les risques d'insolvabilité, le système modélise le flux net de trésorerie en tenant compte du taux de prélèvement $a$ sur chaque cotisation $s$ et de la probabilité de sortie des membres.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variation du fonds est exprimée par la relation suivante :</w:t>
      </w:r>
    </w:p>
    <w:p w:rsidR="00000000" w:rsidDel="00000000" w:rsidP="00000000" w:rsidRDefault="00000000" w:rsidRPr="00000000" w14:paraId="00000008">
      <w:pPr>
        <w:rPr>
          <w:color w:val="1f1f1f"/>
        </w:rPr>
      </w:pPr>
      <w:r w:rsidDel="00000000" w:rsidR="00000000" w:rsidRPr="00000000">
        <w:rPr>
          <w:color w:val="1f1f1f"/>
          <w:rtl w:val="0"/>
        </w:rPr>
        <w:t xml:space="preserve">$$\frac{dF}{dt} = n \cdot a - \lambda \cdot R(t)$$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Ici, $n$ représente le nombre de cotisants, $a$ le prélèvement de sécurité par membre et par jour, $\lambda$ un coefficient de risque de départ, et $R(t)$ la fonction de remboursement théorique. Cette approche permet de garantir que le fonds de réserve peut se régénérer en moins de trois jours après une ponction majeure, assurant ainsi la pérennité du cycle pour les membres restants.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ltv77kiovah" w:id="3"/>
      <w:bookmarkEnd w:id="3"/>
      <w:r w:rsidDel="00000000" w:rsidR="00000000" w:rsidRPr="00000000">
        <w:rPr>
          <w:b w:val="1"/>
          <w:bCs w:val="1"/>
          <w:color w:val="1f1f1f"/>
          <w:sz w:val="26"/>
          <w:szCs w:val="26"/>
          <w:rtl w:val="0"/>
        </w:rPr>
        <w:t xml:space="preserve">Mécanisme de pénalité dégressive et incitation à la fidélité</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stabiliser le groupe, l'algorithme met en œuvre une pénalité dégressive linéaire, agissant comme un contrat de respect mutuel. Cette pénalité $\alpha(t)$ est maximale au début du cycle et diminue à mesure que le membre s'approche de sa réception de cagnotte, valorisant ainsi la durée de l'engagement.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formule du remboursement $R(\tau)$ pour un membre quittant le système au jour $\tau$ est définie par :</w:t>
      </w:r>
    </w:p>
    <w:p w:rsidR="00000000" w:rsidDel="00000000" w:rsidP="00000000" w:rsidRDefault="00000000" w:rsidRPr="00000000" w14:paraId="0000000D">
      <w:pPr>
        <w:rPr>
          <w:color w:val="1f1f1f"/>
        </w:rPr>
      </w:pPr>
      <w:r w:rsidDel="00000000" w:rsidR="00000000" w:rsidRPr="00000000">
        <w:rPr>
          <w:color w:val="1f1f1f"/>
          <w:rtl w:val="0"/>
        </w:rPr>
        <w:t xml:space="preserve">$$R(\tau) = s \cdot \tau \cdot [1 - \alpha(\tau)]$$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Où la pénalité $\alpha(\tau)$ suit la trajectoire :</w:t>
      </w:r>
    </w:p>
    <w:p w:rsidR="00000000" w:rsidDel="00000000" w:rsidP="00000000" w:rsidRDefault="00000000" w:rsidRPr="00000000" w14:paraId="0000000F">
      <w:pPr>
        <w:rPr>
          <w:color w:val="1f1f1f"/>
        </w:rPr>
      </w:pPr>
      <w:r w:rsidDel="00000000" w:rsidR="00000000" w:rsidRPr="00000000">
        <w:rPr>
          <w:color w:val="1f1f1f"/>
          <w:rtl w:val="0"/>
        </w:rPr>
        <w:t xml:space="preserve">$$\alpha(\tau) = \alpha_0 \cdot \left(1 - \frac{\tau}{T}\right)$$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Dans cette équation, $\alpha_0$ est le taux de pénalité initial (souvent fixé à 25% pour garantir la stabilité) et $T$ la durée totale du cycle. Ce modèle mathématique impartial remplace le jugement humain, souvent source de conflits dans les tontines traditionnelles, par une règle claire et prédictible.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ph5hkt22l3m" w:id="4"/>
      <w:bookmarkEnd w:id="4"/>
      <w:r w:rsidDel="00000000" w:rsidR="00000000" w:rsidRPr="00000000">
        <w:rPr>
          <w:b w:val="1"/>
          <w:bCs w:val="1"/>
          <w:color w:val="1f1f1f"/>
          <w:sz w:val="26"/>
          <w:szCs w:val="26"/>
          <w:rtl w:val="0"/>
        </w:rPr>
        <w:t xml:space="preserve">Analyse des risques et scénarios de défaillance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système identifie et traite plusieurs cas de figure critiques pour maintenir l'équilibre financier. L'intégration de ces scénarios dans l'algorithme de gestion permet une réponse automatique de l'interface utilisateur.</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70"/>
        <w:gridCol w:w="3585"/>
        <w:tblGridChange w:id="0">
          <w:tblGrid>
            <w:gridCol w:w="2250"/>
            <w:gridCol w:w="2970"/>
            <w:gridCol w:w="35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Scénario de risque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Impact mathématique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Solution algorithmique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Départ avant réception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Ponction ponctuelle $R(\tau)$ sur le fonds.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Remplacement immédiat pour maintenir le flux $n \cdot a$.</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Départ après réception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Aucun impact sur le fonds ($R=0$).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Transfert de l'obligation de cotisation au remplaçant.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Départs multiples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Somme des ponctions $\sum R(\tau_i)$.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Ajustement dynamique du prélèvement $a$ ou plafonnement.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Départ tardif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$F(T)$ risque de devenir négatif.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Application d'une pénalité plancher ou interdiction de sortie.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Absence de remplacement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Flux réduit à $(n-1) \cdot 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Recalcul du temps de reconstitution $\Delta t$.</w:t>
            </w:r>
          </w:p>
        </w:tc>
      </w:tr>
    </w:tbl>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d17ypapg9u2" w:id="5"/>
      <w:bookmarkEnd w:id="5"/>
      <w:r w:rsidDel="00000000" w:rsidR="00000000" w:rsidRPr="00000000">
        <w:rPr>
          <w:b w:val="1"/>
          <w:bCs w:val="1"/>
          <w:color w:val="1f1f1f"/>
          <w:sz w:val="34"/>
          <w:szCs w:val="34"/>
          <w:rtl w:val="0"/>
        </w:rPr>
        <w:t xml:space="preserve">Architecture de l'interface administrateur : Pilotage et supervision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L'interface administrateur (Admin UI) est conçue comme un poste de commandement haute performance. En 2026, l'esthétique Glassmorphism n'est pas qu'un choix visuel ; elle permet de superposer des couches d'informations décisionnelles sans perdre le contexte global du groupe.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n2oreiq35gr" w:id="6"/>
      <w:bookmarkEnd w:id="6"/>
      <w:r w:rsidDel="00000000" w:rsidR="00000000" w:rsidRPr="00000000">
        <w:rPr>
          <w:b w:val="1"/>
          <w:bCs w:val="1"/>
          <w:color w:val="1f1f1f"/>
          <w:sz w:val="26"/>
          <w:szCs w:val="26"/>
          <w:rtl w:val="0"/>
        </w:rPr>
        <w:t xml:space="preserve">Organisation des données et gestion du cycle de vie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L'administrateur doit superviser la création du Likelemba en définissant précisément les utilisateurs et les paramètres financiers. L'interface utilise des widgets de type "Glass Cards" pour regrouper les membres selon leur état. L'UI admin segmente les participants en quatre catégories distinctes :</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contributeurs (Ceux qui ont donné)</w:t>
      </w:r>
      <w:r w:rsidDel="00000000" w:rsidR="00000000" w:rsidRPr="00000000">
        <w:rPr>
          <w:color w:val="1f1f1f"/>
          <w:rtl w:val="0"/>
        </w:rPr>
        <w:t xml:space="preserve"> : Visualisés par une jauge de progression lumineuse indiquant le montant total versé par rapport à l'objectif.</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partants (Ceux qui sont partis)</w:t>
      </w:r>
      <w:r w:rsidDel="00000000" w:rsidR="00000000" w:rsidRPr="00000000">
        <w:rPr>
          <w:color w:val="1f1f1f"/>
          <w:rtl w:val="0"/>
        </w:rPr>
        <w:t xml:space="preserve"> : Un historique des sorties avec le détail des pénalités collectées qui alimentent le fonds de réserve.</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restes (Engagements futurs)</w:t>
      </w:r>
      <w:r w:rsidDel="00000000" w:rsidR="00000000" w:rsidRPr="00000000">
        <w:rPr>
          <w:color w:val="1f1f1f"/>
          <w:rtl w:val="0"/>
        </w:rPr>
        <w:t xml:space="preserve"> : Une projection financière montrant les sommes que chaque membre doit encore verser pour clore le cycle.</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Les ajouts récents</w:t>
      </w:r>
      <w:r w:rsidDel="00000000" w:rsidR="00000000" w:rsidRPr="00000000">
        <w:rPr>
          <w:color w:val="1f1f1f"/>
          <w:rtl w:val="0"/>
        </w:rPr>
        <w:t xml:space="preserve"> : Mise en évidence des membres ayant intégré le groupe en cours de cycle pour remplacer un sortant, avec un calcul automatique de leur prorata.</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pl7o86brvyb" w:id="7"/>
      <w:bookmarkEnd w:id="7"/>
      <w:r w:rsidDel="00000000" w:rsidR="00000000" w:rsidRPr="00000000">
        <w:rPr>
          <w:b w:val="1"/>
          <w:bCs w:val="1"/>
          <w:color w:val="1f1f1f"/>
          <w:sz w:val="26"/>
          <w:szCs w:val="26"/>
          <w:rtl w:val="0"/>
        </w:rPr>
        <w:t xml:space="preserve">Algorithme de détection des anomalies et alertes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L'intelligence de l'UI admin réside dans sa capacité à traiter les retards et les dettes de manière proactive. L'algorithme scanne en temps réel la base de données Isar pour identifier les membres dont les versements ne correspondent pas au planning.</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Indicateur de retard</w:t>
      </w:r>
      <w:r w:rsidDel="00000000" w:rsidR="00000000" w:rsidRPr="00000000">
        <w:rPr>
          <w:color w:val="1f1f1f"/>
          <w:rtl w:val="0"/>
        </w:rPr>
        <w:t xml:space="preserve"> : Un badge visuel passant du jaune au rouge selon la durée du retard.</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Gestion des dettes</w:t>
      </w:r>
      <w:r w:rsidDel="00000000" w:rsidR="00000000" w:rsidRPr="00000000">
        <w:rPr>
          <w:color w:val="1f1f1f"/>
          <w:rtl w:val="0"/>
        </w:rPr>
        <w:t xml:space="preserve"> : Identification spécifique des membres cumulant deux dettes ou plus. Ces profils sont isolés dans une vue "Risque Critique", permettant à l'administrateur de déclencher un rappel ou une procédure de remplacement.</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Statut "Complet"</w:t>
      </w:r>
      <w:r w:rsidDel="00000000" w:rsidR="00000000" w:rsidRPr="00000000">
        <w:rPr>
          <w:color w:val="1f1f1f"/>
          <w:rtl w:val="0"/>
        </w:rPr>
        <w:t xml:space="preserve"> : Les membres ayant rempli toutes leurs obligations sont archivés visuellement dans une section de succès, déchargeant ainsi l'espace de travail principal.</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xpk8fnx9qvx" w:id="8"/>
      <w:bookmarkEnd w:id="8"/>
      <w:r w:rsidDel="00000000" w:rsidR="00000000" w:rsidRPr="00000000">
        <w:rPr>
          <w:b w:val="1"/>
          <w:bCs w:val="1"/>
          <w:color w:val="1f1f1f"/>
          <w:sz w:val="26"/>
          <w:szCs w:val="26"/>
          <w:rtl w:val="0"/>
        </w:rPr>
        <w:t xml:space="preserve">Tableaux de bord et visualisation des flux financiers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une gestion experte, l'administrateur dispose de graphiques interactifs basés sur les packages de visualisation 2026 comme </w:t>
      </w:r>
      <w:r w:rsidDel="00000000" w:rsidR="00000000" w:rsidRPr="00000000">
        <w:rPr>
          <w:color w:val="444746"/>
          <w:shd w:fill="e9eef6" w:val="clear"/>
          <w:rtl w:val="0"/>
        </w:rPr>
        <w:t xml:space="preserve">fl_chart</w:t>
      </w:r>
      <w:r w:rsidDel="00000000" w:rsidR="00000000" w:rsidRPr="00000000">
        <w:rPr>
          <w:color w:val="1f1f1f"/>
          <w:rtl w:val="0"/>
        </w:rPr>
        <w:t xml:space="preserve"> ou </w:t>
      </w:r>
      <w:r w:rsidDel="00000000" w:rsidR="00000000" w:rsidRPr="00000000">
        <w:rPr>
          <w:color w:val="444746"/>
          <w:shd w:fill="e9eef6" w:val="clear"/>
          <w:rtl w:val="0"/>
        </w:rPr>
        <w:t xml:space="preserve">cristalyse</w:t>
      </w:r>
      <w:r w:rsidDel="00000000" w:rsidR="00000000" w:rsidRPr="00000000">
        <w:rPr>
          <w:color w:val="1f1f1f"/>
          <w:rtl w:val="0"/>
        </w:rPr>
        <w:t xml:space="preserve">. Ces outils permettent de visualiser la courbe de remplissage du fonds de réserve par rapport aux prévisions de l'EDO. En cas de déviation, l'interface suggère des ajustements sur le taux de prélèvement $a$.</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360"/>
        <w:gridCol w:w="3015"/>
        <w:tblGridChange w:id="0">
          <w:tblGrid>
            <w:gridCol w:w="2430"/>
            <w:gridCol w:w="3360"/>
            <w:gridCol w:w="30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Composant UI Admin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Fonctionnalité</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Bénéfice UX 2026</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Carte de membre dynamique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Affiche statut, dettes et historique.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Identification instantanée des points de friction.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Simulateur de remboursement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Calcule $R(\tau)$ selon la date de sortie.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Transparence totale lors des négociations de départ.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Moniteur de fonds de réserve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Graphique en temps réel de la liquidité.</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Assurance de la solvabilité du groupe.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Sélecteur de remplaçant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Interface de drag-and-drop pour les nouveaux membres.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Maintien de la continuité des flux sans erreur de saisie.</w:t>
            </w:r>
          </w:p>
        </w:tc>
      </w:tr>
    </w:tbl>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4n48qp9405f" w:id="9"/>
      <w:bookmarkEnd w:id="9"/>
      <w:r w:rsidDel="00000000" w:rsidR="00000000" w:rsidRPr="00000000">
        <w:rPr>
          <w:b w:val="1"/>
          <w:bCs w:val="1"/>
          <w:color w:val="1f1f1f"/>
          <w:sz w:val="34"/>
          <w:szCs w:val="34"/>
          <w:rtl w:val="0"/>
        </w:rPr>
        <w:t xml:space="preserve">Expérience participant : Transparence et engagement social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L'interface participant est minimaliste et centrée sur la confiance. Elle doit fournir une réponse immédiate à la question : "Où en est mon argent et quand est mon tour?". En 2026, la transparence totale est le moteur de l'engagement dans les Fintechs communautaires.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5zatg5c2rnu" w:id="10"/>
      <w:bookmarkEnd w:id="10"/>
      <w:r w:rsidDel="00000000" w:rsidR="00000000" w:rsidRPr="00000000">
        <w:rPr>
          <w:b w:val="1"/>
          <w:bCs w:val="1"/>
          <w:color w:val="1f1f1f"/>
          <w:sz w:val="26"/>
          <w:szCs w:val="26"/>
          <w:rtl w:val="0"/>
        </w:rPr>
        <w:t xml:space="preserve">File d'attente en temps réel et visibilité sociale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participant accède à une représentation horizontale et fluide de la file d'attente, utilisant le "Liquid Glass" pour symboliser la clarté. Cette vue présente :</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 place exacte</w:t>
      </w:r>
      <w:r w:rsidDel="00000000" w:rsidR="00000000" w:rsidRPr="00000000">
        <w:rPr>
          <w:color w:val="1f1f1f"/>
          <w:rtl w:val="0"/>
        </w:rPr>
        <w:t xml:space="preserve"> : Mise en évidence par un effet de halo ou une élévation visuelle.</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receveur actuel</w:t>
      </w:r>
      <w:r w:rsidDel="00000000" w:rsidR="00000000" w:rsidRPr="00000000">
        <w:rPr>
          <w:color w:val="1f1f1f"/>
          <w:rtl w:val="0"/>
        </w:rPr>
        <w:t xml:space="preserve"> : L'utilisateur qui encaisse la cagnotte à l'instant T, avec un indicateur de temps restant avant la fin de sa collecte.</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Historique et futur</w:t>
      </w:r>
      <w:r w:rsidDel="00000000" w:rsidR="00000000" w:rsidRPr="00000000">
        <w:rPr>
          <w:color w:val="1f1f1f"/>
          <w:rtl w:val="0"/>
        </w:rPr>
        <w:t xml:space="preserve"> : Le membre précédent (déjà payé) et les membres suivants, créant un sentiment de progression et de sécurité.</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Surveillance mutuelle</w:t>
      </w:r>
      <w:r w:rsidDel="00000000" w:rsidR="00000000" w:rsidRPr="00000000">
        <w:rPr>
          <w:color w:val="1f1f1f"/>
          <w:rtl w:val="0"/>
        </w:rPr>
        <w:t xml:space="preserve"> : Pour renforcer la discipline du groupe, les membres ayant accumulé deux dettes sont signalés par un indicateur spécifique (ex: une opacité réduite ou une teinte d'alerte sur leur carte), sans pour autant exposer des données privées excessives.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kkyeo91ljc5" w:id="11"/>
      <w:bookmarkEnd w:id="11"/>
      <w:r w:rsidDel="00000000" w:rsidR="00000000" w:rsidRPr="00000000">
        <w:rPr>
          <w:b w:val="1"/>
          <w:bCs w:val="1"/>
          <w:color w:val="1f1f1f"/>
          <w:sz w:val="26"/>
          <w:szCs w:val="26"/>
          <w:rtl w:val="0"/>
        </w:rPr>
        <w:t xml:space="preserve">Interaction simplifiée : Le bouton de demande d'argent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L'un des prérequis majeurs est la simplicité d'action. Le participant ne dispose que d'un unique bouton d'action principal : "Demander l'argent". Ce bouton est doté d'une logique contextuelle intelligente :</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Inactif</w:t>
      </w:r>
      <w:r w:rsidDel="00000000" w:rsidR="00000000" w:rsidRPr="00000000">
        <w:rPr>
          <w:color w:val="1f1f1f"/>
          <w:rtl w:val="0"/>
        </w:rPr>
        <w:t xml:space="preserve"> : Si ce n'est pas le tour du participant ou s'il a des dettes impayées.</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Actif</w:t>
      </w:r>
      <w:r w:rsidDel="00000000" w:rsidR="00000000" w:rsidRPr="00000000">
        <w:rPr>
          <w:color w:val="1f1f1f"/>
          <w:rtl w:val="0"/>
        </w:rPr>
        <w:t xml:space="preserve"> : Lorsque le cycle atteint sa position et que les conditions de solvabilité du groupe sont réunies. L'appui sur ce bouton déclenche une micro-animation de type "Liquid Glass" qui confirme la réception de la demande par l'administrateur, transformant une transaction complexe en un geste simple et gratifiant.</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3pludindh9d" w:id="12"/>
      <w:bookmarkEnd w:id="12"/>
      <w:r w:rsidDel="00000000" w:rsidR="00000000" w:rsidRPr="00000000">
        <w:rPr>
          <w:b w:val="1"/>
          <w:bCs w:val="1"/>
          <w:color w:val="1f1f1f"/>
          <w:sz w:val="26"/>
          <w:szCs w:val="26"/>
          <w:rtl w:val="0"/>
        </w:rPr>
        <w:t xml:space="preserve">Notifications et mises à jour en temps réel</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Grâce aux watchers d'Isar et aux WebSockets, chaque mouvement financier est répercuté instantanément sur l'interface de tous les participants. Un participant voit sa barre de progression avancer chaque fois qu'un autre membre valide sa cotisation, renforçant l'aspect ludique et communautaire (gamification) du Likelemba numérique.</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ifip4l5jv0x" w:id="13"/>
      <w:bookmarkEnd w:id="13"/>
      <w:r w:rsidDel="00000000" w:rsidR="00000000" w:rsidRPr="00000000">
        <w:rPr>
          <w:b w:val="1"/>
          <w:bCs w:val="1"/>
          <w:color w:val="1f1f1f"/>
          <w:sz w:val="34"/>
          <w:szCs w:val="34"/>
          <w:rtl w:val="0"/>
        </w:rPr>
        <w:t xml:space="preserve">Architecture technique sous Flutter et Isar Database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répondre aux exigences de performance et de persistance, l'application s'appuie sur un stack technique moderne optimisé pour 2026.</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qnj8icct01" w:id="14"/>
      <w:bookmarkEnd w:id="14"/>
      <w:r w:rsidDel="00000000" w:rsidR="00000000" w:rsidRPr="00000000">
        <w:rPr>
          <w:b w:val="1"/>
          <w:bCs w:val="1"/>
          <w:color w:val="1f1f1f"/>
          <w:sz w:val="26"/>
          <w:szCs w:val="26"/>
          <w:rtl w:val="0"/>
        </w:rPr>
        <w:t xml:space="preserve">Isar : La base de données réactive haute performance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Isar a été choisi pour sa capacité à gérer des structures NoSQL complexes avec une rapidité native sous Flutter. Contrairement aux bases de données traditionnelles, Isar permet une synchronisation en temps réel avec l'interface utilisateur grâce à ses flux de données (Streams).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schéma Isar est structuré autour de collections optimisées :</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Collection Utilisateur</w:t>
      </w:r>
      <w:r w:rsidDel="00000000" w:rsidR="00000000" w:rsidRPr="00000000">
        <w:rPr>
          <w:color w:val="1f1f1f"/>
          <w:rtl w:val="0"/>
        </w:rPr>
        <w:t xml:space="preserve"> : Gère l'identité, le statut (complet, quitté, ajouté) et les liens vers les transactions.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Collection Likelemba</w:t>
      </w:r>
      <w:r w:rsidDel="00000000" w:rsidR="00000000" w:rsidRPr="00000000">
        <w:rPr>
          <w:color w:val="1f1f1f"/>
          <w:rtl w:val="0"/>
        </w:rPr>
        <w:t xml:space="preserve"> : Définit les paramètres du groupe, le fonds de réserve actuel et l'algorithme de calcul des pénalités.</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Collection Transaction</w:t>
      </w:r>
      <w:r w:rsidDel="00000000" w:rsidR="00000000" w:rsidRPr="00000000">
        <w:rPr>
          <w:color w:val="1f1f1f"/>
          <w:rtl w:val="0"/>
        </w:rPr>
        <w:t xml:space="preserve"> : Journalise chaque cotisation, marque les retards et suit les remboursements en cas de départ.</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br36lt5xw4l" w:id="15"/>
      <w:bookmarkEnd w:id="15"/>
      <w:r w:rsidDel="00000000" w:rsidR="00000000" w:rsidRPr="00000000">
        <w:rPr>
          <w:b w:val="1"/>
          <w:bCs w:val="1"/>
          <w:color w:val="1f1f1f"/>
          <w:sz w:val="26"/>
          <w:szCs w:val="26"/>
          <w:rtl w:val="0"/>
        </w:rPr>
        <w:t xml:space="preserve">Stratégie "Offline-First" et Sync Engine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Dans le contexte des pays émergents où la connectivité peut être instable, l'approche "Offline-First" est impérative. Isar sert de source de vérité locale. Chaque transaction est écrite dans Isar avec un statut "en attente de synchronisation". Le moteur de synchronisation (Sync Engine) utilise le pattern "Transactional Outbox" :</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L'utilisateur effectue une action (ex: valide une cotisation).</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L'action est enregistrée dans Isar et ajoutée à une file d'attente de synchronisation atomique.</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Le Sync Engine tente d'envoyer la donnée au serveur dès qu'une connexion est détectée, avec une logique de réessai exponentielle (Exponential Backoff). Cette architecture garantit qu'aucune donnée financière n'est perdue, même en cas de crash de l'application ou de coupure réseau.</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j4hfocm6yw7" w:id="16"/>
      <w:bookmarkEnd w:id="16"/>
      <w:r w:rsidDel="00000000" w:rsidR="00000000" w:rsidRPr="00000000">
        <w:rPr>
          <w:b w:val="1"/>
          <w:bCs w:val="1"/>
          <w:color w:val="1f1f1f"/>
          <w:sz w:val="26"/>
          <w:szCs w:val="26"/>
          <w:rtl w:val="0"/>
        </w:rPr>
        <w:t xml:space="preserve">Performance et optimisation Flutter 2026</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L'utilisation du moteur de rendu Impeller garantit des animations fluides à 120 fps, essentielles pour les effets de flou complexes du Glassmorphism. L'application minimise les reconstructions (rebuilds) inutiles en utilisant des sélecteurs d'état précis (Riverpod ou Bloc), garantissant que seul le widget affichant le solde se mette à jour lors d'une transaction, préservant ainsi la batterie des appareils mobiles.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sfmk9rq3ppn" w:id="17"/>
      <w:bookmarkEnd w:id="17"/>
      <w:r w:rsidDel="00000000" w:rsidR="00000000" w:rsidRPr="00000000">
        <w:rPr>
          <w:b w:val="1"/>
          <w:bCs w:val="1"/>
          <w:color w:val="1f1f1f"/>
          <w:sz w:val="34"/>
          <w:szCs w:val="34"/>
          <w:rtl w:val="0"/>
        </w:rPr>
        <w:t xml:space="preserve">Design System UI/UX PRO 2026 : Le standard Glassmorphism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choix esthétique du Glassmorphism en 2026 dépasse la simple mode. Il s'agit d'une évolution appelée "Liquid Glass", qui utilise la réfraction et la profondeur pour guider l'attention de l'utilisateur et réduire la charge cognitive.</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lwvtq89ynog" w:id="18"/>
      <w:bookmarkEnd w:id="18"/>
      <w:r w:rsidDel="00000000" w:rsidR="00000000" w:rsidRPr="00000000">
        <w:rPr>
          <w:b w:val="1"/>
          <w:bCs w:val="1"/>
          <w:color w:val="1f1f1f"/>
          <w:sz w:val="26"/>
          <w:szCs w:val="26"/>
          <w:rtl w:val="0"/>
        </w:rPr>
        <w:t xml:space="preserve">Principes du Liquid Glass et hiérarchie visuelle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L'interface se compose de couches translucides superposées sur des arrière-plans dynamiques et colorés (vibrant gradients).</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Profondeur et couches</w:t>
      </w:r>
      <w:r w:rsidDel="00000000" w:rsidR="00000000" w:rsidRPr="00000000">
        <w:rPr>
          <w:color w:val="1f1f1f"/>
          <w:rtl w:val="0"/>
        </w:rPr>
        <w:t xml:space="preserve"> : Les éléments les plus importants (bouton d'action, alertes de dettes) apparaissent sur la couche la plus proche de l'utilisateur, avec un flou de 20px et une ombre portée douce.</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Bords et contours</w:t>
      </w:r>
      <w:r w:rsidDel="00000000" w:rsidR="00000000" w:rsidRPr="00000000">
        <w:rPr>
          <w:color w:val="1f1f1f"/>
          <w:rtl w:val="0"/>
        </w:rPr>
        <w:t xml:space="preserve"> : Chaque panneau de verre possède une bordure fine (1px) semi-transparente qui simule la réflexion de la lumière sur l'arête du matériau, augmentant ainsi la lisibilité contre des fonds complexes.</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Luminescence adaptative</w:t>
      </w:r>
      <w:r w:rsidDel="00000000" w:rsidR="00000000" w:rsidRPr="00000000">
        <w:rPr>
          <w:color w:val="1f1f1f"/>
          <w:rtl w:val="0"/>
        </w:rPr>
        <w:t xml:space="preserve"> : Les éléments réagissent à la luminosité ambiante et à l'inclinaison du téléphone (via les capteurs de mouvement) pour simuler un véritable objet physique en verre.</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700"/>
        <w:gridCol w:w="3705"/>
        <w:tblGridChange w:id="0">
          <w:tblGrid>
            <w:gridCol w:w="2415"/>
            <w:gridCol w:w="2700"/>
            <w:gridCol w:w="370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Spécification Technique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Valeur UI 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Impact UX</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Opacité de surface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10% à 40% (Alpha-channel)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Maintient le contexte visuel de l'arrière-plan.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Rayon de flou (Blur)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12px à 20px (BackdropFilter)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Détache le contenu textuel sans l'isoler totalement.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Bordure de l'élément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1px Solid White (0.1 Alpha)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Crée une séparation nette et tactile.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Contraste du texte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minimum 4.5:1 (WCAG AA)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Garantit l'accessibilité pour tous les utilisateurs.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Micro-animations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200ms à 400ms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Rend l'interface vivante et réactive.</w:t>
            </w:r>
          </w:p>
        </w:tc>
      </w:tr>
    </w:tbl>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2mh08qxdnvz" w:id="19"/>
      <w:bookmarkEnd w:id="19"/>
      <w:r w:rsidDel="00000000" w:rsidR="00000000" w:rsidRPr="00000000">
        <w:rPr>
          <w:b w:val="1"/>
          <w:bCs w:val="1"/>
          <w:color w:val="1f1f1f"/>
          <w:sz w:val="26"/>
          <w:szCs w:val="26"/>
          <w:rtl w:val="0"/>
        </w:rPr>
        <w:t xml:space="preserve">Accessibilité et inclusion numérique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une application financière, l'accessibilité n'est pas optionnelle. En 2026, le Glassmorphism doit être inclusif. L'application propose :</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Mode "Contraste Élevé"</w:t>
      </w:r>
      <w:r w:rsidDel="00000000" w:rsidR="00000000" w:rsidRPr="00000000">
        <w:rPr>
          <w:color w:val="1f1f1f"/>
          <w:rtl w:val="0"/>
        </w:rPr>
        <w:t xml:space="preserve"> : Pour les utilisateurs malvoyants, le flou est réduit et l'opacité augmentée pour transformer le verre en surfaces opaques à haut contraste.</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Indicateurs multimodaux</w:t>
      </w:r>
      <w:r w:rsidDel="00000000" w:rsidR="00000000" w:rsidRPr="00000000">
        <w:rPr>
          <w:color w:val="1f1f1f"/>
          <w:rtl w:val="0"/>
        </w:rPr>
        <w:t xml:space="preserve"> : Les statuts (complet, dette, retard) ne sont pas uniquement indiqués par la couleur, mais aussi par des icônes distinctives et des retours haptiques spécifiques, garantissant que les daltoniens puissent naviguer sans erreur.</w:t>
      </w:r>
    </w:p>
    <w:p w:rsidR="00000000" w:rsidDel="00000000" w:rsidP="00000000" w:rsidRDefault="00000000" w:rsidRPr="00000000" w14:paraId="0000007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Support vocal</w:t>
      </w:r>
      <w:r w:rsidDel="00000000" w:rsidR="00000000" w:rsidRPr="00000000">
        <w:rPr>
          <w:color w:val="1f1f1f"/>
          <w:rtl w:val="0"/>
        </w:rPr>
        <w:t xml:space="preserve"> : Intégration de commandes vocales pour les actions critiques, facilitant l'usage pour les personnes âgées ou en situation de handicap moteur.</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wztfx5xuqs4" w:id="20"/>
      <w:bookmarkEnd w:id="20"/>
      <w:r w:rsidDel="00000000" w:rsidR="00000000" w:rsidRPr="00000000">
        <w:rPr>
          <w:b w:val="1"/>
          <w:bCs w:val="1"/>
          <w:color w:val="1f1f1f"/>
          <w:sz w:val="34"/>
          <w:szCs w:val="34"/>
          <w:rtl w:val="0"/>
        </w:rPr>
        <w:t xml:space="preserve">Gestion algorithmique des membres et flux de trésorerie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cœur fonctionnel de l'application réside dans la précision de son algorithme de suivi. Chaque transaction déclenche une cascade de vérifications pour maintenir l'intégrité du système.</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pug7242bq0s" w:id="21"/>
      <w:bookmarkEnd w:id="21"/>
      <w:r w:rsidDel="00000000" w:rsidR="00000000" w:rsidRPr="00000000">
        <w:rPr>
          <w:b w:val="1"/>
          <w:bCs w:val="1"/>
          <w:color w:val="1f1f1f"/>
          <w:sz w:val="26"/>
          <w:szCs w:val="26"/>
          <w:rtl w:val="0"/>
        </w:rPr>
        <w:t xml:space="preserve">Cycle de vie d'une cotisation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Lorsqu'une cotisation est versée, l'algorithme effectue les étapes suivantes :</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Validation et répartition</w:t>
      </w:r>
      <w:r w:rsidDel="00000000" w:rsidR="00000000" w:rsidRPr="00000000">
        <w:rPr>
          <w:color w:val="1f1f1f"/>
          <w:rtl w:val="0"/>
        </w:rPr>
        <w:t xml:space="preserve"> : La somme $s$ est divisée. La part principale va à la cagnotte du receveur actuel, tandis que la part $a$ est isolée dans la collection </w:t>
      </w:r>
      <w:r w:rsidDel="00000000" w:rsidR="00000000" w:rsidRPr="00000000">
        <w:rPr>
          <w:color w:val="444746"/>
          <w:shd w:fill="e9eef6" w:val="clear"/>
          <w:rtl w:val="0"/>
        </w:rPr>
        <w:t xml:space="preserve">ReserveFund</w:t>
      </w:r>
      <w:r w:rsidDel="00000000" w:rsidR="00000000" w:rsidRPr="00000000">
        <w:rPr>
          <w:color w:val="1f1f1f"/>
          <w:rtl w:val="0"/>
        </w:rPr>
        <w:t xml:space="preserve"> d'Isar.</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Mise à jour du statut</w:t>
      </w:r>
      <w:r w:rsidDel="00000000" w:rsidR="00000000" w:rsidRPr="00000000">
        <w:rPr>
          <w:color w:val="1f1f1f"/>
          <w:rtl w:val="0"/>
        </w:rPr>
        <w:t xml:space="preserve"> : Le membre est marqué comme "Payé" pour la période. Si ce versement solde une dette, le compteur de dettes est décrémenté.</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Recalcul des restes</w:t>
      </w:r>
      <w:r w:rsidDel="00000000" w:rsidR="00000000" w:rsidRPr="00000000">
        <w:rPr>
          <w:color w:val="1f1f1f"/>
          <w:rtl w:val="0"/>
        </w:rPr>
        <w:t xml:space="preserve"> : Le montant restant à cotiser pour le cycle est mis à jour dynamiquement pour le membre et affiché sur son interface.</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Notification globale</w:t>
      </w:r>
      <w:r w:rsidDel="00000000" w:rsidR="00000000" w:rsidRPr="00000000">
        <w:rPr>
          <w:color w:val="1f1f1f"/>
          <w:rtl w:val="0"/>
        </w:rPr>
        <w:t xml:space="preserve"> : Un signal est envoyé à tous les participants ("X a cotisé, plus que 2 membres avant la clôture de la cagnotte").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bbw2lkqdk1v" w:id="22"/>
      <w:bookmarkEnd w:id="22"/>
      <w:r w:rsidDel="00000000" w:rsidR="00000000" w:rsidRPr="00000000">
        <w:rPr>
          <w:b w:val="1"/>
          <w:bCs w:val="1"/>
          <w:color w:val="1f1f1f"/>
          <w:sz w:val="26"/>
          <w:szCs w:val="26"/>
          <w:rtl w:val="0"/>
        </w:rPr>
        <w:t xml:space="preserve">Intelligence artificielle et prédiction des défaillances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 2026, l'application intègre des modèles d'apprentissage automatique légers (On-device ML) pour prédire les risques de retard. En analysant les habitudes passées d'un membre et les tendances globales du groupe, l'IA peut alerter l'administrateur avant même qu'une dette ne survienne, permettant une médiation humaine préventive. Cela réduit drastiquement le recours aux pénalités et aux remplacements, stabilisant ainsi le capital social du groupe.</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knkw74bgzfa" w:id="23"/>
      <w:bookmarkEnd w:id="23"/>
      <w:r w:rsidDel="00000000" w:rsidR="00000000" w:rsidRPr="00000000">
        <w:rPr>
          <w:b w:val="1"/>
          <w:bCs w:val="1"/>
          <w:color w:val="1f1f1f"/>
          <w:sz w:val="34"/>
          <w:szCs w:val="34"/>
          <w:rtl w:val="0"/>
        </w:rPr>
        <w:t xml:space="preserve">Conclusion et perspectives d'avenir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L'application de Likelemba ainsi conçue représente la fusion parfaite entre tradition sociale et rigueur technologique. En s'appuyant sur Flutter pour la fluidité, Isar pour la réactivité des données, et une modélisation mathématique par EDO pour la sécurité, elle offre une réponse concrète aux limites des tontines manuelles. L'esthétique "Liquid Glass" 2026 ne se contente pas de moderniser l'image de la tontine ; elle crée un environnement de transparence et de confiance, essentiel pour la manipulation de fonds communautaires.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Ce système transforme une simple épargne rotative en une véritable institution financière décentralisée, capable d'auto-réparation et de croissance continue. À l'avenir, l'intégration de preuves de solvabilité basées sur ces données pourrait permettre aux membres d'accéder à des services bancaires formels, faisant de cette application un pont entre l'économie informelle et le système financier global. En sécurisant la solidarité par la science et le design, nous bâtissons les fondations d'une résilience économique durable pour les communautés de demain.</w:t>
      </w:r>
    </w:p>
    <w:p w:rsidR="00000000" w:rsidDel="00000000" w:rsidP="00000000" w:rsidRDefault="00000000" w:rsidRPr="00000000" w14:paraId="0000008B">
      <w:pPr>
        <w:spacing w:after="0" w:before="0" w:lineRule="auto"/>
        <w:ind w:left="-20" w:right="-20" w:firstLine="0"/>
        <w:rPr/>
      </w:pPr>
      <w:r w:rsidDel="00000000" w:rsidR="00000000" w:rsidRPr="00000000">
        <w:fldChar w:fldCharType="begin"/>
        <w:instrText xml:space="preserve"> HYPERLINK "https://medium.com/@sina.zrp/using-the-isar-database-with-getx-state-management-in-flutter-cba187cee97e" </w:instrText>
        <w:fldChar w:fldCharType="separate"/>
      </w:r>
      <w:r w:rsidDel="00000000" w:rsidR="00000000" w:rsidRPr="00000000">
        <w:rPr>
          <w:rtl w:val="0"/>
        </w:rPr>
      </w:r>
    </w:p>
    <w:p w:rsidR="00000000" w:rsidDel="00000000" w:rsidP="00000000" w:rsidRDefault="00000000" w:rsidRPr="00000000" w14:paraId="0000008C">
      <w:pPr>
        <w:rPr/>
      </w:pPr>
      <w:r w:rsidDel="00000000" w:rsidR="00000000" w:rsidRPr="00000000">
        <w:fldChar w:fldCharType="end"/>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