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Modélisation Mathématique et Ingénierie Financière du Likelemba Sécurisé : Un Système Résilient Fondé sur les Équations Différentielles Ordinaires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Solution de Sécurisation et Garantie de Sérénité pour les Membres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transformation du Likelemba traditionnel en un dispositif moderne et indestructible repose sur la création d'une architecture de confiance qui dépasse la simple bonne foi individuelle pour s'appuyer sur une structure organisationnelle prévoyante.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solution, conçue pour protéger l'épargne de chaque participant, installe un véritable bouclier de sécurité autour des cotisations collectives.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L'idée centrale n'est pas de modifier les habitudes culturelles de l'entraide, mais de les doter d'une armure capable de résister aux aléas de la vie et aux comportements imprévus.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sérénité des membres est garantie par trois piliers fondamentaux : la protection intégrale du capital, l'équité distributive en cas de retrait et la continuité absolue du cycle de paiement.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ce système, l'argent de chaque membre est protégé par un mécanisme de fonds de réserve.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Contrairement aux tontines classiques où un défaut de paiement peut bloquer toute la chaîne, ce modèle prévoit un petit prélèvement systématique sur chaque cotisation quotidienne.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 prélèvement, presque imperceptible au jour le jour, constitue une "roue de secours" financière commune.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 argent ne disparaît pas ; il est mis de côté dans une cagnotte de sécurité qui n'est utilisée que pour absorber les chocs, comme le départ soudain d'un membre.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 aucun incident ne survient, ce fonds peut être redistribué ou servir de base au cycle suivant, renforçant ainsi la richesse collective du groupe.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deuxième pilier de cette solution est la mise en place d'une pénalité intelligente et dégressive.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 système reconnaît que des imprévus peuvent forcer un membre à quitter le groupe prématurément. Plutôt que de punir sévèrement ou de bloquer les fonds, le modèle propose une sortie honorable et juste.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 un membre doit partir avant d'avoir reçu sa cagnotte, il récupère la plus grande partie de ce qu'il a versé. La retenue appliquée diminue avec le temps passé dans le groupe, récompensant ainsi la fidélité et l'engagement envers la communauté.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C'est un contrat de respect mutuel : celui qui part aide le groupe à rester fort par une petite compensation, et celui qui reste est récompensé par la solidité de l'institution.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Enfin, la solution garantit que la "roue" de la tontine ne s'arrête jamais de tourner.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Grâce au principe de remplacement immédiat, chaque place libérée est rapidement occupée par un nouveau membre.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Cela assure que le montant de la cagnotte finale reste stable et que les délais de réception ne sont jamais rallongés.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Avec ce modèle, les membres peuvent cotiser l'esprit tranquille, sachant que leur solidarité est désormais protégée par une organisation rigoureuse qui transforme l'informel en une véritable institution financière résiliente.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Avantages pour les membres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sur la sécurité du système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Perception de la confiance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Prélèvement quotidien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Constitution d'un coussin de liquidité permanent.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Très élevée : l'argent est visible et réservé.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Pénalité dégressive </w:t>
            </w:r>
            <w:r w:rsidDel="00000000" w:rsidR="00000000" w:rsidRPr="00000000">
              <w:rPr>
                <w:rFonts w:ascii="Google Sans" w:cs="Google Sans" w:eastAsia="Google Sans" w:hAnsi="Google Sans"/>
                <w:color w:val="1f1f1f"/>
              </w:rPr>
              <w:drawing>
                <wp:inline distB="19050" distT="19050" distL="19050" distR="19050">
                  <wp:extent cx="328970" cy="237164"/>
                  <wp:effectExtent b="0" l="0" r="0" t="0"/>
                  <wp:docPr id="31"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328970" cy="23716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Dissuade les départs précoces et finance les risques.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Équitable : la fidélité est valorisée.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Remplacement immédiat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Maintient le flux de trésorerie entrant.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 le cycle n'est jamais interrompu.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Règlement clair et écrit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Supprime l'arbitraire et les conflits d'interprétation.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Transparente : les règles sont connues d'avance.</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Analyse Exhaustive des Problèmes et Risques Systémiques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passage d'un Likelemba informel à un système sécurisé nécessite une identification précise des vulnérabilités qui menacent la pérennité du groupe.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Ces problèmes ne sont pas seulement financiers, mais aussi structurels et comportementaux, et leur résolution est la condition sine qua non de la stabilité du modèle.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premier risque identifié est celui de l'insolvabilité consécutive au départ précipité d'un membre avant la réception de sa cagnotte.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Dans une tontine classique, un tel départ crée un vide financier immédiat. Le défi est de trouver un équilibre entre le droit légitime du membre à récupérer son épargne et la nécessité pour le groupe de ne pas voir sa réserve s'épuiser brutalement.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Sans un calcul précis du remboursement, le fonds de réserve pourrait devenir négatif, entraînant une réaction en chaîne d'impayés.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deuxième problème, plus grave encore, concerne le départ d'un membre après qu'il a déjà reçu la cagnotte.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Dans ce scénario, le membre a bénéficié de l'avance de fonds du groupe mais choisit de ne plus honorer ses cotisations restantes.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 comportement, s'il n'est pas compensé, crée un déficit sec pour les membres n'ayant pas encore perçu leur gain.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est impératif de protéger le groupe contre ces défauts de paiement qui sapent la confiance mutuelle.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troisième défi est lié à l'absence ou au retard de remplacement d'un membre sortant.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Chaque jour sans remplaçant signifie une baisse du flux de cotisations entrant dans le système.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érosion de la capacité financière du groupe ralentit la croissance du fonds de réserve et peut compromettre la solvabilité globale, surtout si des départs multiples surviennent successivement.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L'accumulation de remboursements successifs sans régénération rapide peut mener à un effondrement technique du système.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Enfin, le problème des départs très tardifs constitue une limite mathématique majeure.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fin de cycle, un membre a cotisé presque la totalité de la somme finale. S'il décide de partir, le remboursement dû est si élevé que le fonds de réserve, même bien géré, peut ne pas suffire à couvrir la sortie d'argent, faute de temps pour se reconstituer avant la clôture.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Cela nécessite des règles de plafonnement ou des interdictions de retrait en fin de période pour garantir que le cycle se termine sur un solde positif.</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Liste des problèmes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du risque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Conséquence sur le fonds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Départ pré-cagnotte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Remboursement non calibré.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Épuisement des réserves.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Départ post-cagnotte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Défaut de paiement sur les dettes futures.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Déficit pour les derniers membres.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Absence de remplaçant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Baisse structurelle des entrées quotidiennes.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Ralentissement de la croissance du fonds.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Départs multiples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Effet cumulatif des ponctions financières.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Faillite technique du groupe.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Départs tardifs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Remboursement massif proche de l'échéance.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Solde final négatif.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Paramètres sous-optimaux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Mauvais choix du taux 'a' ou de la pénalité </w:t>
            </w:r>
            <w:r w:rsidDel="00000000" w:rsidR="00000000" w:rsidRPr="00000000">
              <w:rPr>
                <w:rFonts w:ascii="Google Sans" w:cs="Google Sans" w:eastAsia="Google Sans" w:hAnsi="Google Sans"/>
                <w:color w:val="1f1f1f"/>
              </w:rPr>
              <w:drawing>
                <wp:inline distB="19050" distT="19050" distL="19050" distR="19050">
                  <wp:extent cx="191929" cy="237992"/>
                  <wp:effectExtent b="0" l="0" r="0" t="0"/>
                  <wp:docPr id="3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91929" cy="237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Instabilité et temps de récupération long.</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Fondements des Équations Différentielles Ordinaires (EDO)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modéliser l'évolution du Likelemba, les mathématiques utilisent un outil puissant appelé Équation Différentielle Ordinaire (EDO). Bien que le nom puisse paraître complexe, le concept est fondamental pour comprendre comment une situation évolue au fil du temps.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Une EDO est une équation qui relie la valeur d'une quantité à sa propre vitesse de variation.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Dans le cadre de ce projet, la quantité étudiée est le montant du fonds de réserve, noté </w:t>
      </w:r>
      <w:r w:rsidDel="00000000" w:rsidR="00000000" w:rsidRPr="00000000">
        <w:rPr>
          <w:rFonts w:ascii="Google Sans" w:cs="Google Sans" w:eastAsia="Google Sans" w:hAnsi="Google Sans"/>
          <w:color w:val="1f1f1f"/>
        </w:rPr>
        <w:drawing>
          <wp:inline distB="19050" distT="19050" distL="19050" distR="19050">
            <wp:extent cx="354449" cy="238868"/>
            <wp:effectExtent b="0" l="0" r="0" t="0"/>
            <wp:docPr id="32"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54449" cy="238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à l'instant </w:t>
      </w:r>
      <w:r w:rsidDel="00000000" w:rsidR="00000000" w:rsidRPr="00000000">
        <w:rPr>
          <w:rFonts w:ascii="Google Sans" w:cs="Google Sans" w:eastAsia="Google Sans" w:hAnsi="Google Sans"/>
          <w:color w:val="1f1f1f"/>
        </w:rPr>
        <w:drawing>
          <wp:inline distB="19050" distT="19050" distL="19050" distR="19050">
            <wp:extent cx="66675" cy="258366"/>
            <wp:effectExtent b="0" l="0" r="0" t="0"/>
            <wp:docPr id="3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6675" cy="25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L'analogie du réservoir d'eau permet de vulgariser ce concept auprès de tous les membres.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Imaginez un seau que l'on remplit à l'aide d'un robinet ouvert en permanence : c'est l'apport quotidien des cotisations de tous les membres. Si le seau possède un trou ou si l'on y puise de l'eau, le niveau baisse : ce sont les remboursements versés aux membres qui partent.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L'EDO est la formule qui décrit exactement comment le niveau d'eau dans le seau monte ou descend à chaque seconde, en tenant compte du débit du robinet et de la taille des fuites.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modélisation financière, l'EDO permet de passer d'une vision statique de l'argent (combien avons-nous aujourd'hui?) à une vision dynamique et prédictive (combien aurons-nous demain si quelqu'un part?).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Elle permet de calculer la "résilience" du groupe.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écrivant l'équation </w:t>
      </w:r>
      <w:r w:rsidDel="00000000" w:rsidR="00000000" w:rsidRPr="00000000">
        <w:rPr>
          <w:rFonts w:ascii="Google Sans" w:cs="Google Sans" w:eastAsia="Google Sans" w:hAnsi="Google Sans"/>
          <w:color w:val="1f1f1f"/>
        </w:rPr>
        <w:drawing>
          <wp:inline distB="19050" distT="19050" distL="19050" distR="19050">
            <wp:extent cx="1836658" cy="228630"/>
            <wp:effectExtent b="0" l="0" r="0" t="0"/>
            <wp:docPr id="34"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1836658" cy="228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peut simuler différents scénarios et vérifier si le système est capable de rester "à flot", c'est-à-dire de maintenir un solde positif, même en cas de tempête.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L'utilisation des EDO transforme le Likelemba en un objet scientifique. Elle permet de fixer scientifiquement le montant du prélèvement de sécurité 'a' et le taux de pénalité </w:t>
      </w:r>
      <w:r w:rsidDel="00000000" w:rsidR="00000000" w:rsidRPr="00000000">
        <w:rPr>
          <w:rFonts w:ascii="Google Sans" w:cs="Google Sans" w:eastAsia="Google Sans" w:hAnsi="Google Sans"/>
          <w:color w:val="1f1f1f"/>
        </w:rPr>
        <w:drawing>
          <wp:inline distB="19050" distT="19050" distL="19050" distR="19050">
            <wp:extent cx="191929" cy="237992"/>
            <wp:effectExtent b="0" l="0" r="0" t="0"/>
            <wp:docPr id="3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91929" cy="237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Grâce à ces calculs, on peut garantir aux membres que le fonds se régénérera en un temps record (par exemple, moins de 3 jours) après une ponction, assurant ainsi une sécurité mathématique qui complète la solidarité humaine.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Composant de l'EDO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Analogie du réservoir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Rôle dans le Likelemba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54449" cy="238868"/>
                  <wp:effectExtent b="0" l="0" r="0" t="0"/>
                  <wp:docPr id="37"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54449" cy="23886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Niveau d'eau actuel.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Montant total du fonds de réserve.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12169" cy="235744"/>
                  <wp:effectExtent b="0" l="0" r="0" t="0"/>
                  <wp:docPr id="43"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12169" cy="2357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Vitesse à laquelle le niveau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Variation journalière du fonds.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Cotisations (</w:t>
            </w:r>
            <w:r w:rsidDel="00000000" w:rsidR="00000000" w:rsidRPr="00000000">
              <w:rPr>
                <w:rFonts w:ascii="Google Sans" w:cs="Google Sans" w:eastAsia="Google Sans" w:hAnsi="Google Sans"/>
                <w:color w:val="1f1f1f"/>
              </w:rPr>
              <w:drawing>
                <wp:inline distB="19050" distT="19050" distL="19050" distR="19050">
                  <wp:extent cx="341590" cy="235318"/>
                  <wp:effectExtent b="0" l="0" r="0" t="0"/>
                  <wp:docPr id="4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41590" cy="235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Débit du robinet de remplissage.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Entrées d'argent régulières.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Remboursements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48"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Fuites ou prélèvements d'eau.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Sorties d'argent dues aux départs.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Temps de reconstitution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Délai pour retrouver le niveau initial.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Capacité de régénération du système.</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Taxonomie des Modèles : Sélection et Créations Structurelles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sécurisation du Likelemba repose sur une hiérarchie de modèles mathématiques, certains empruntés à l'analyse financière classique, d'autres créés spécifiquement pour répondre aux besoins de l'entraide communautaire.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Modèles de Base Identifiés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socle du système est le </w:t>
      </w:r>
      <w:r w:rsidDel="00000000" w:rsidR="00000000" w:rsidRPr="00000000">
        <w:rPr>
          <w:rFonts w:ascii="Google Sans" w:cs="Google Sans" w:eastAsia="Google Sans" w:hAnsi="Google Sans"/>
          <w:b w:val="1"/>
          <w:bCs w:val="1"/>
          <w:color w:val="1f1f1f"/>
          <w:rtl w:val="0"/>
        </w:rPr>
        <w:t xml:space="preserve">Modèle de Croissance Linéaire Homogène</w:t>
      </w:r>
      <w:r w:rsidDel="00000000" w:rsidR="00000000" w:rsidRPr="00000000">
        <w:rPr>
          <w:rFonts w:ascii="Google Sans" w:cs="Google Sans" w:eastAsia="Google Sans" w:hAnsi="Google Sans"/>
          <w:color w:val="1f1f1f"/>
          <w:rtl w:val="0"/>
        </w:rPr>
        <w:t xml:space="preserve">, qui décrit l'évolution idéale du fonds de réserve sans aucun départ.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 modèle postule que chaque jour, le fonds augmente d'un montant fixe correspondant à la somme des prélèvements individuels de tous les membres. C'est le point de référence pour mesurer la performance du système.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deuxième modèle est celui du </w:t>
      </w:r>
      <w:r w:rsidDel="00000000" w:rsidR="00000000" w:rsidRPr="00000000">
        <w:rPr>
          <w:rFonts w:ascii="Google Sans" w:cs="Google Sans" w:eastAsia="Google Sans" w:hAnsi="Google Sans"/>
          <w:b w:val="1"/>
          <w:bCs w:val="1"/>
          <w:color w:val="1f1f1f"/>
          <w:rtl w:val="0"/>
        </w:rPr>
        <w:t xml:space="preserve">Départ avec Remplacement Immédiat</w:t>
      </w:r>
      <w:r w:rsidDel="00000000" w:rsidR="00000000" w:rsidRPr="00000000">
        <w:rPr>
          <w:rFonts w:ascii="Google Sans" w:cs="Google Sans" w:eastAsia="Google Sans" w:hAnsi="Google Sans"/>
          <w:color w:val="1f1f1f"/>
          <w:rtl w:val="0"/>
        </w:rPr>
        <w:t xml:space="preserve">. Il traite les sorties de membres comme des discontinuités ponctuelles dans une fonction continue.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Dans ce cas, le fonds subit une ponction brutale, mais la pente de croissance reste inchangée car le nombre de cotisants est maintenu par l'arrivée instantanée d'un nouveau participant.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w:t>
      </w:r>
      <w:r w:rsidDel="00000000" w:rsidR="00000000" w:rsidRPr="00000000">
        <w:rPr>
          <w:rFonts w:ascii="Google Sans" w:cs="Google Sans" w:eastAsia="Google Sans" w:hAnsi="Google Sans"/>
          <w:b w:val="1"/>
          <w:bCs w:val="1"/>
          <w:color w:val="1f1f1f"/>
          <w:rtl w:val="0"/>
        </w:rPr>
        <w:t xml:space="preserve">Modèle sans Remplacement</w:t>
      </w:r>
      <w:r w:rsidDel="00000000" w:rsidR="00000000" w:rsidRPr="00000000">
        <w:rPr>
          <w:rFonts w:ascii="Google Sans" w:cs="Google Sans" w:eastAsia="Google Sans" w:hAnsi="Google Sans"/>
          <w:color w:val="1f1f1f"/>
          <w:rtl w:val="0"/>
        </w:rPr>
        <w:t xml:space="preserve"> est utilisé pour analyser les scénarios de dégradation, où le départ d'un membre n'est pas compensé. Ici, l'EDO change de paramètre, passant d'un flux </w:t>
      </w:r>
      <w:r w:rsidDel="00000000" w:rsidR="00000000" w:rsidRPr="00000000">
        <w:rPr>
          <w:rFonts w:ascii="Google Sans" w:cs="Google Sans" w:eastAsia="Google Sans" w:hAnsi="Google Sans"/>
          <w:color w:val="1f1f1f"/>
        </w:rPr>
        <w:drawing>
          <wp:inline distB="19050" distT="19050" distL="19050" distR="19050">
            <wp:extent cx="341590" cy="235318"/>
            <wp:effectExtent b="0" l="0" r="0" t="0"/>
            <wp:docPr id="4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41590" cy="235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à </w:t>
      </w:r>
      <w:r w:rsidDel="00000000" w:rsidR="00000000" w:rsidRPr="00000000">
        <w:rPr>
          <w:rFonts w:ascii="Google Sans" w:cs="Google Sans" w:eastAsia="Google Sans" w:hAnsi="Google Sans"/>
          <w:color w:val="1f1f1f"/>
        </w:rPr>
        <w:drawing>
          <wp:inline distB="19050" distT="19050" distL="19050" distR="19050">
            <wp:extent cx="802838" cy="237028"/>
            <wp:effectExtent b="0" l="0" r="0" t="0"/>
            <wp:docPr id="4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802838" cy="237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 qui permet d'évaluer la fragilité du groupe face à une perte d'effectif.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Modèles Créés et Innovations du Projet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L'innovation majeure réside dans le </w:t>
      </w:r>
      <w:r w:rsidDel="00000000" w:rsidR="00000000" w:rsidRPr="00000000">
        <w:rPr>
          <w:rFonts w:ascii="Google Sans" w:cs="Google Sans" w:eastAsia="Google Sans" w:hAnsi="Google Sans"/>
          <w:b w:val="1"/>
          <w:bCs w:val="1"/>
          <w:color w:val="1f1f1f"/>
          <w:rtl w:val="0"/>
        </w:rPr>
        <w:t xml:space="preserve">Modèle de Pénalité Dégressive Linéaire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 modèle a été créé pour introduire une notion de justice temporelle : la pénalité n'est pas fixe, mais liée à la durée de l'engagement.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Plus le membre reste longtemps, plus sa contribution à la sécurité collective est reconnue, et moins il est pénalisé lors de son retrait.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w:t>
      </w:r>
      <w:r w:rsidDel="00000000" w:rsidR="00000000" w:rsidRPr="00000000">
        <w:rPr>
          <w:rFonts w:ascii="Google Sans" w:cs="Google Sans" w:eastAsia="Google Sans" w:hAnsi="Google Sans"/>
          <w:b w:val="1"/>
          <w:bCs w:val="1"/>
          <w:color w:val="1f1f1f"/>
          <w:rtl w:val="0"/>
        </w:rPr>
        <w:t xml:space="preserve">Modèle à Taux de Départ Continu</w:t>
      </w:r>
      <w:r w:rsidDel="00000000" w:rsidR="00000000" w:rsidRPr="00000000">
        <w:rPr>
          <w:rFonts w:ascii="Google Sans" w:cs="Google Sans" w:eastAsia="Google Sans" w:hAnsi="Google Sans"/>
          <w:color w:val="1f1f1f"/>
          <w:rtl w:val="0"/>
        </w:rPr>
        <w:t xml:space="preserve"> a également été proposé pour une analyse de risque macroscopique. En utilisant un coefficient de risque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49"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 permet de simuler un flux moyen de départs et de dimensionner le fonds de réserve nécessaire pour que le groupe soit "statistiquement" indestructible.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Enfin, le </w:t>
      </w:r>
      <w:r w:rsidDel="00000000" w:rsidR="00000000" w:rsidRPr="00000000">
        <w:rPr>
          <w:rFonts w:ascii="Google Sans" w:cs="Google Sans" w:eastAsia="Google Sans" w:hAnsi="Google Sans"/>
          <w:b w:val="1"/>
          <w:bCs w:val="1"/>
          <w:color w:val="1f1f1f"/>
          <w:rtl w:val="0"/>
        </w:rPr>
        <w:t xml:space="preserve">Modèle d'Optimisation du Temps de Reconstitution</w:t>
      </w:r>
      <w:r w:rsidDel="00000000" w:rsidR="00000000" w:rsidRPr="00000000">
        <w:rPr>
          <w:rFonts w:ascii="Google Sans" w:cs="Google Sans" w:eastAsia="Google Sans" w:hAnsi="Google Sans"/>
          <w:color w:val="1f1f1f"/>
          <w:rtl w:val="0"/>
        </w:rPr>
        <w:t xml:space="preserve"> est l'outil final de réglage du système.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permet de définir les valeurs optimales de prélèvement 'a' et de pénalité initiale </w:t>
      </w:r>
      <w:r w:rsidDel="00000000" w:rsidR="00000000" w:rsidRPr="00000000">
        <w:rPr>
          <w:rFonts w:ascii="Google Sans" w:cs="Google Sans" w:eastAsia="Google Sans" w:hAnsi="Google Sans"/>
          <w:color w:val="1f1f1f"/>
        </w:rPr>
        <w:drawing>
          <wp:inline distB="19050" distT="19050" distL="19050" distR="19050">
            <wp:extent cx="191929" cy="237992"/>
            <wp:effectExtent b="0" l="0" r="0" t="0"/>
            <wp:docPr id="5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91929" cy="237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pour garantir que le fonds, s'il devient négatif, retrouve l'équilibre en un délai maximal prédéfini (par exemple, 3 jours), assurant ainsi une rotation fluide des cagnottes.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de Modèle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Objectif Principal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Croissance Linéaire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Choisi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Modéliser le remplissage quotidien.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Pénalité Dégressive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Créé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Calculer un remboursement équitable.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Dérive Continue (</w:t>
            </w:r>
            <w:r w:rsidDel="00000000" w:rsidR="00000000" w:rsidRPr="00000000">
              <w:rPr>
                <w:rFonts w:ascii="Google Sans" w:cs="Google Sans" w:eastAsia="Google Sans" w:hAnsi="Google Sans"/>
                <w:color w:val="1f1f1f"/>
              </w:rPr>
              <w:drawing>
                <wp:inline distB="19050" distT="19050" distL="19050" distR="19050">
                  <wp:extent cx="107513" cy="256378"/>
                  <wp:effectExtent b="0" l="0" r="0" t="0"/>
                  <wp:docPr id="53"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107513" cy="25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Analyser la survie face à un flux de départs.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Plafonnement Sécuritaire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Empêcher la faillite en fin de 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Optimisation </w:t>
            </w:r>
            <w:r w:rsidDel="00000000" w:rsidR="00000000" w:rsidRPr="00000000">
              <w:rPr>
                <w:rFonts w:ascii="Google Sans" w:cs="Google Sans" w:eastAsia="Google Sans" w:hAnsi="Google Sans"/>
                <w:color w:val="1f1f1f"/>
              </w:rPr>
              <w:drawing>
                <wp:inline distB="19050" distT="19050" distL="19050" distR="19050">
                  <wp:extent cx="485180" cy="238739"/>
                  <wp:effectExtent b="0" l="0" r="0" t="0"/>
                  <wp:docPr id="5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85180" cy="23873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Créé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Paramétrer la résilience temporelle.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Formulation Analytique des Cas : Problèmes, Solutions et Formules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situation de gestion est ici décomposée selon une structure rigoureuse mêlant explication qualitative, solution organisationnelle et formulation mathématique.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1 : Évolution du Fonds en Régime Nominal (Aucun départ)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Problème :</w:t>
      </w:r>
      <w:r w:rsidDel="00000000" w:rsidR="00000000" w:rsidRPr="00000000">
        <w:rPr>
          <w:rFonts w:ascii="Google Sans" w:cs="Google Sans" w:eastAsia="Google Sans" w:hAnsi="Google Sans"/>
          <w:color w:val="1f1f1f"/>
          <w:rtl w:val="0"/>
        </w:rPr>
        <w:t xml:space="preserve"> Comment quantifier l'accumulation de la réserve de sécurité lorsque tous les membres respectent leurs engagements tout au long du cycle?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Solution :</w:t>
      </w:r>
      <w:r w:rsidDel="00000000" w:rsidR="00000000" w:rsidRPr="00000000">
        <w:rPr>
          <w:rFonts w:ascii="Google Sans" w:cs="Google Sans" w:eastAsia="Google Sans" w:hAnsi="Google Sans"/>
          <w:color w:val="1f1f1f"/>
          <w:rtl w:val="0"/>
        </w:rPr>
        <w:t xml:space="preserve"> Dans ce scénario idéal, le fonds de réserve croît de manière constante chaque jour. L'argent accumulé sert de garantie de solvabilité pour les cycles futurs ou peut être redistribué comme bonus de fidélité.</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Formule Mathématique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montant du fonds </w:t>
      </w:r>
      <w:r w:rsidDel="00000000" w:rsidR="00000000" w:rsidRPr="00000000">
        <w:rPr>
          <w:rFonts w:ascii="Google Sans" w:cs="Google Sans" w:eastAsia="Google Sans" w:hAnsi="Google Sans"/>
          <w:color w:val="1f1f1f"/>
        </w:rPr>
        <w:drawing>
          <wp:inline distB="19050" distT="19050" distL="19050" distR="19050">
            <wp:extent cx="144185" cy="248318"/>
            <wp:effectExtent b="0" l="0" r="0" t="0"/>
            <wp:docPr id="56"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144185" cy="248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 temps </w:t>
      </w:r>
      <w:r w:rsidDel="00000000" w:rsidR="00000000" w:rsidRPr="00000000">
        <w:rPr>
          <w:rFonts w:ascii="Google Sans" w:cs="Google Sans" w:eastAsia="Google Sans" w:hAnsi="Google Sans"/>
          <w:color w:val="1f1f1f"/>
        </w:rPr>
        <w:drawing>
          <wp:inline distB="19050" distT="19050" distL="19050" distR="19050">
            <wp:extent cx="66675" cy="258366"/>
            <wp:effectExtent b="0" l="0" r="0" t="0"/>
            <wp:docPr id="5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6675" cy="25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 donné par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3287"/>
            <wp:effectExtent b="0" l="0" r="0" t="0"/>
            <wp:docPr id="58"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905500" cy="45328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Où :</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Pr>
        <w:drawing>
          <wp:inline distB="19050" distT="19050" distL="19050" distR="19050">
            <wp:extent cx="110728" cy="228838"/>
            <wp:effectExtent b="0" l="0" r="0" t="0"/>
            <wp:docPr id="59"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nombre de membres du groupe.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97631" cy="252214"/>
            <wp:effectExtent b="0" l="0" r="0" t="0"/>
            <wp:docPr id="2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97631" cy="252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montant du prélèvement quotidien par membre.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66675" cy="258366"/>
            <wp:effectExtent b="0" l="0" r="0" t="0"/>
            <wp:docPr id="2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6675" cy="25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nombre de jours écoulés depuis le début du cycle.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Cas 2 : Départ avant Réception de la Cagnotte (avec remplacement immédiat)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Problème :</w:t>
      </w:r>
      <w:r w:rsidDel="00000000" w:rsidR="00000000" w:rsidRPr="00000000">
        <w:rPr>
          <w:rFonts w:ascii="Google Sans" w:cs="Google Sans" w:eastAsia="Google Sans" w:hAnsi="Google Sans"/>
          <w:color w:val="1f1f1f"/>
          <w:rtl w:val="0"/>
        </w:rPr>
        <w:t xml:space="preserve"> Un membre décide de quitter le groupe au jour </w:t>
      </w:r>
      <w:r w:rsidDel="00000000" w:rsidR="00000000" w:rsidRPr="00000000">
        <w:rPr>
          <w:rFonts w:ascii="Google Sans" w:cs="Google Sans" w:eastAsia="Google Sans" w:hAnsi="Google Sans"/>
          <w:color w:val="1f1f1f"/>
        </w:rPr>
        <w:drawing>
          <wp:inline distB="19050" distT="19050" distL="19050" distR="19050">
            <wp:extent cx="101441" cy="241898"/>
            <wp:effectExtent b="0" l="0" r="0" t="0"/>
            <wp:docPr id="2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01441" cy="2418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sans avoir encore perçu la cagnotte. Comment calculer son remboursement pour qu'il récupère ses billes tout en dédommageant le groupe pour le risque induit?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Solution :</w:t>
      </w:r>
      <w:r w:rsidDel="00000000" w:rsidR="00000000" w:rsidRPr="00000000">
        <w:rPr>
          <w:rFonts w:ascii="Google Sans" w:cs="Google Sans" w:eastAsia="Google Sans" w:hAnsi="Google Sans"/>
          <w:color w:val="1f1f1f"/>
          <w:rtl w:val="0"/>
        </w:rPr>
        <w:t xml:space="preserve"> On applique une pénalité dégressive. Le membre récupère une partie de ses cotisations, déduction faite de la pénalité qui diminue avec le temps. Le fonds de réserve encaisse le choc, mais se reconstitue grâce au maintien du flux par un remplaçant.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Formules Mathématiques :</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Taux de pénalité au jour </w:t>
      </w:r>
      <w:r w:rsidDel="00000000" w:rsidR="00000000" w:rsidRPr="00000000">
        <w:rPr>
          <w:rFonts w:ascii="Google Sans" w:cs="Google Sans" w:eastAsia="Google Sans" w:hAnsi="Google Sans"/>
          <w:color w:val="1f1f1f"/>
        </w:rPr>
        <w:drawing>
          <wp:inline distB="19050" distT="19050" distL="19050" distR="19050">
            <wp:extent cx="101441" cy="241898"/>
            <wp:effectExtent b="0" l="0" r="0" t="0"/>
            <wp:docPr id="2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01441" cy="2418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72369"/>
            <wp:effectExtent b="0" l="0" r="0" t="0"/>
            <wp:docPr id="2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05500" cy="57236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2. Montant du remboursement </w:t>
      </w:r>
      <w:r w:rsidDel="00000000" w:rsidR="00000000" w:rsidRPr="00000000">
        <w:rPr>
          <w:rFonts w:ascii="Google Sans" w:cs="Google Sans" w:eastAsia="Google Sans" w:hAnsi="Google Sans"/>
          <w:color w:val="1f1f1f"/>
        </w:rPr>
        <w:drawing>
          <wp:inline distB="19050" distT="19050" distL="19050" distR="19050">
            <wp:extent cx="141327" cy="243397"/>
            <wp:effectExtent b="0" l="0" r="0" t="0"/>
            <wp:docPr id="2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41327" cy="243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versé au membre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78096"/>
            <wp:effectExtent b="0" l="0" r="0" t="0"/>
            <wp:docPr id="2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05500" cy="478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3. État du fonds immédiatement après le départ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78096"/>
            <wp:effectExtent b="0" l="0" r="0" t="0"/>
            <wp:docPr id="28"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05500" cy="478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4. Temps de reconstitution du fonds (si déficit)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2771"/>
            <wp:effectExtent b="0" l="0" r="0" t="0"/>
            <wp:docPr id="2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905500" cy="6127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Où </w:t>
      </w:r>
      <w:r w:rsidDel="00000000" w:rsidR="00000000" w:rsidRPr="00000000">
        <w:rPr>
          <w:rFonts w:ascii="Google Sans" w:cs="Google Sans" w:eastAsia="Google Sans" w:hAnsi="Google Sans"/>
          <w:i w:val="1"/>
          <w:iCs w:val="1"/>
          <w:color w:val="1f1f1f"/>
        </w:rPr>
        <w:drawing>
          <wp:inline distB="19050" distT="19050" distL="19050" distR="19050">
            <wp:extent cx="86558" cy="243937"/>
            <wp:effectExtent b="0" l="0" r="0" t="0"/>
            <wp:docPr id="30"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est la cotisation journalière totale, </w:t>
      </w:r>
      <w:r w:rsidDel="00000000" w:rsidR="00000000" w:rsidRPr="00000000">
        <w:rPr>
          <w:rFonts w:ascii="Google Sans" w:cs="Google Sans" w:eastAsia="Google Sans" w:hAnsi="Google Sans"/>
          <w:i w:val="1"/>
          <w:iCs w:val="1"/>
          <w:color w:val="1f1f1f"/>
        </w:rPr>
        <w:drawing>
          <wp:inline distB="19050" distT="19050" distL="19050" distR="19050">
            <wp:extent cx="133350" cy="243168"/>
            <wp:effectExtent b="0" l="0" r="0" t="0"/>
            <wp:docPr id="1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la durée totale du cycle, et </w:t>
      </w:r>
      <w:r w:rsidDel="00000000" w:rsidR="00000000" w:rsidRPr="00000000">
        <w:rPr>
          <w:rFonts w:ascii="Google Sans" w:cs="Google Sans" w:eastAsia="Google Sans" w:hAnsi="Google Sans"/>
          <w:i w:val="1"/>
          <w:iCs w:val="1"/>
          <w:color w:val="1f1f1f"/>
        </w:rPr>
        <w:drawing>
          <wp:inline distB="19050" distT="19050" distL="19050" distR="19050">
            <wp:extent cx="191929" cy="237992"/>
            <wp:effectExtent b="0" l="0" r="0" t="0"/>
            <wp:docPr id="1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91929" cy="23799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la pénalité initiale.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Cas 3 : Départ après Réception de la Cagnotte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Problème :</w:t>
      </w:r>
      <w:r w:rsidDel="00000000" w:rsidR="00000000" w:rsidRPr="00000000">
        <w:rPr>
          <w:rFonts w:ascii="Google Sans" w:cs="Google Sans" w:eastAsia="Google Sans" w:hAnsi="Google Sans"/>
          <w:color w:val="1f1f1f"/>
          <w:rtl w:val="0"/>
        </w:rPr>
        <w:t xml:space="preserve"> Un membre a déjà empoché la cagnotte et décide de partir. Comment le système se protège-t-il contre ce défaut de paiement des cotisations restantes?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Solution :</w:t>
      </w:r>
      <w:r w:rsidDel="00000000" w:rsidR="00000000" w:rsidRPr="00000000">
        <w:rPr>
          <w:rFonts w:ascii="Google Sans" w:cs="Google Sans" w:eastAsia="Google Sans" w:hAnsi="Google Sans"/>
          <w:color w:val="1f1f1f"/>
          <w:rtl w:val="0"/>
        </w:rPr>
        <w:t xml:space="preserve"> Aucun remboursement n'est dû puisque le membre a déjà perçu le bénéfice total. Le système repose sur le remplacement immédiat du membre pour que les cotisations futures soient assurées par le nouvel entrant. Le fonds de réserve n'est pas impacté financièrement par ce départ.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Formule Mathématique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453287"/>
            <wp:effectExtent b="0" l="0" r="0" t="0"/>
            <wp:docPr id="1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05500" cy="45328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(L'impact sur le solde du fonds est nul, la continuité est assurée par le remplaçant).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Cas 4 : Départ avant Réception SANS Remplacement Immédiat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Problème :</w:t>
      </w:r>
      <w:r w:rsidDel="00000000" w:rsidR="00000000" w:rsidRPr="00000000">
        <w:rPr>
          <w:rFonts w:ascii="Google Sans" w:cs="Google Sans" w:eastAsia="Google Sans" w:hAnsi="Google Sans"/>
          <w:color w:val="1f1f1f"/>
          <w:rtl w:val="0"/>
        </w:rPr>
        <w:t xml:space="preserve"> Si un membre part et que sa place reste vacante, comment la réduction du nombre de cotisants affecte-t-elle la sécurité du groupe?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Solution :</w:t>
      </w:r>
      <w:r w:rsidDel="00000000" w:rsidR="00000000" w:rsidRPr="00000000">
        <w:rPr>
          <w:rFonts w:ascii="Google Sans" w:cs="Google Sans" w:eastAsia="Google Sans" w:hAnsi="Google Sans"/>
          <w:color w:val="1f1f1f"/>
          <w:rtl w:val="0"/>
        </w:rPr>
        <w:t xml:space="preserve"> Le flux quotidien vers le fonds diminue, passant de </w:t>
      </w:r>
      <w:r w:rsidDel="00000000" w:rsidR="00000000" w:rsidRPr="00000000">
        <w:rPr>
          <w:rFonts w:ascii="Google Sans" w:cs="Google Sans" w:eastAsia="Google Sans" w:hAnsi="Google Sans"/>
          <w:color w:val="1f1f1f"/>
        </w:rPr>
        <w:drawing>
          <wp:inline distB="19050" distT="19050" distL="19050" distR="19050">
            <wp:extent cx="341590" cy="235318"/>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41590" cy="235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à </w:t>
      </w:r>
      <w:r w:rsidDel="00000000" w:rsidR="00000000" w:rsidRPr="00000000">
        <w:rPr>
          <w:rFonts w:ascii="Google Sans" w:cs="Google Sans" w:eastAsia="Google Sans" w:hAnsi="Google Sans"/>
          <w:color w:val="1f1f1f"/>
        </w:rPr>
        <w:drawing>
          <wp:inline distB="19050" distT="19050" distL="19050" distR="19050">
            <wp:extent cx="802838" cy="237028"/>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802838" cy="237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pente de croissance du fonds s'aplatit, allongeant le temps nécessaire pour absorber les futurs imprévus.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Formule Mathématique (pour </w:t>
      </w:r>
      <w:r w:rsidDel="00000000" w:rsidR="00000000" w:rsidRPr="00000000">
        <w:rPr>
          <w:rFonts w:ascii="Google Sans" w:cs="Google Sans" w:eastAsia="Google Sans" w:hAnsi="Google Sans"/>
          <w:b w:val="1"/>
          <w:bCs w:val="1"/>
          <w:color w:val="1f1f1f"/>
        </w:rPr>
        <w:drawing>
          <wp:inline distB="19050" distT="19050" distL="19050" distR="19050">
            <wp:extent cx="413980" cy="242139"/>
            <wp:effectExtent b="0" l="0" r="0" t="0"/>
            <wp:docPr id="1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13980" cy="24213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L'équation différentielle devient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4589"/>
            <wp:effectExtent b="0" l="0" r="0" t="0"/>
            <wp:docPr id="1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05500" cy="57458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fonds final </w:t>
      </w:r>
      <w:r w:rsidDel="00000000" w:rsidR="00000000" w:rsidRPr="00000000">
        <w:rPr>
          <w:rFonts w:ascii="Google Sans" w:cs="Google Sans" w:eastAsia="Google Sans" w:hAnsi="Google Sans"/>
          <w:color w:val="1f1f1f"/>
        </w:rPr>
        <w:drawing>
          <wp:inline distB="19050" distT="19050" distL="19050" distR="19050">
            <wp:extent cx="421124" cy="237361"/>
            <wp:effectExtent b="0" l="0" r="0" t="0"/>
            <wp:docPr id="18"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21124" cy="2373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 alors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3287"/>
            <wp:effectExtent b="0" l="0" r="0" t="0"/>
            <wp:docPr id="19"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05500" cy="45328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Cas 5 : Gestion des Défaillances Multiples et Successives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Problème :</w:t>
      </w:r>
      <w:r w:rsidDel="00000000" w:rsidR="00000000" w:rsidRPr="00000000">
        <w:rPr>
          <w:rFonts w:ascii="Google Sans" w:cs="Google Sans" w:eastAsia="Google Sans" w:hAnsi="Google Sans"/>
          <w:color w:val="1f1f1f"/>
          <w:rtl w:val="0"/>
        </w:rPr>
        <w:t xml:space="preserve"> Le système peut-il survivre si plusieurs membres quittent le Likelemba à des dates différentes (ex: jour 10, jour 25, jour 40)?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Solution :</w:t>
      </w:r>
      <w:r w:rsidDel="00000000" w:rsidR="00000000" w:rsidRPr="00000000">
        <w:rPr>
          <w:rFonts w:ascii="Google Sans" w:cs="Google Sans" w:eastAsia="Google Sans" w:hAnsi="Google Sans"/>
          <w:color w:val="1f1f1f"/>
          <w:rtl w:val="0"/>
        </w:rPr>
        <w:t xml:space="preserve"> Le fonds final est la résultante de l'accumulation totale moins la somme des ponctions dues aux remboursements. Le système est stable tant que le solde final reste positif.</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Formule Mathématique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612895"/>
            <wp:effectExtent b="0" l="0" r="0" t="0"/>
            <wp:docPr id="20"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05500" cy="61289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Où </w:t>
      </w:r>
      <w:r w:rsidDel="00000000" w:rsidR="00000000" w:rsidRPr="00000000">
        <w:rPr>
          <w:rFonts w:ascii="Google Sans" w:cs="Google Sans" w:eastAsia="Google Sans" w:hAnsi="Google Sans"/>
          <w:i w:val="1"/>
          <w:iCs w:val="1"/>
          <w:color w:val="1f1f1f"/>
        </w:rPr>
        <w:drawing>
          <wp:inline distB="19050" distT="19050" distL="19050" distR="19050">
            <wp:extent cx="134422" cy="245122"/>
            <wp:effectExtent b="0" l="0" r="0" t="0"/>
            <wp:docPr id="1"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134422" cy="245122"/>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représente les instants successifs des départs.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Cas 6 : Le Danger du Départ Très Tardif</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Problème :</w:t>
      </w:r>
      <w:r w:rsidDel="00000000" w:rsidR="00000000" w:rsidRPr="00000000">
        <w:rPr>
          <w:rFonts w:ascii="Google Sans" w:cs="Google Sans" w:eastAsia="Google Sans" w:hAnsi="Google Sans"/>
          <w:color w:val="1f1f1f"/>
          <w:rtl w:val="0"/>
        </w:rPr>
        <w:t xml:space="preserve"> Un départ survenant juste avant la fin du cycle (ex: jour </w:t>
      </w:r>
      <w:r w:rsidDel="00000000" w:rsidR="00000000" w:rsidRPr="00000000">
        <w:rPr>
          <w:rFonts w:ascii="Google Sans" w:cs="Google Sans" w:eastAsia="Google Sans" w:hAnsi="Google Sans"/>
          <w:color w:val="1f1f1f"/>
        </w:rPr>
        <w:drawing>
          <wp:inline distB="19050" distT="19050" distL="19050" distR="19050">
            <wp:extent cx="451009" cy="241056"/>
            <wp:effectExtent b="0" l="0" r="0" t="0"/>
            <wp:docPr id="2"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51009" cy="241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oblige à un remboursement presque total des cotisations, alors que le fonds de réserve n'a accumulé que de petites parts quotidiennes. Le fonds peut-il devenir durablement négatif?</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Solution :</w:t>
      </w:r>
      <w:r w:rsidDel="00000000" w:rsidR="00000000" w:rsidRPr="00000000">
        <w:rPr>
          <w:rFonts w:ascii="Google Sans" w:cs="Google Sans" w:eastAsia="Google Sans" w:hAnsi="Google Sans"/>
          <w:color w:val="1f1f1f"/>
          <w:rtl w:val="0"/>
        </w:rPr>
        <w:t xml:space="preserve"> C'est le point critique du modèle linéaire. Pour y remédier, on propose de plafonner le remboursement ou d'imposer une pénalité plancher non-nulle en fin de cycle.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Formule de Démonstration du Risque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w:t>
      </w:r>
      <w:r w:rsidDel="00000000" w:rsidR="00000000" w:rsidRPr="00000000">
        <w:rPr>
          <w:rFonts w:ascii="Google Sans" w:cs="Google Sans" w:eastAsia="Google Sans" w:hAnsi="Google Sans"/>
          <w:color w:val="1f1f1f"/>
        </w:rPr>
        <w:drawing>
          <wp:inline distB="19050" distT="19050" distL="19050" distR="19050">
            <wp:extent cx="480655" cy="240328"/>
            <wp:effectExtent b="0" l="0" r="0" t="0"/>
            <wp:docPr id="3"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80655" cy="240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alors </w:t>
      </w:r>
      <w:r w:rsidDel="00000000" w:rsidR="00000000" w:rsidRPr="00000000">
        <w:rPr>
          <w:rFonts w:ascii="Google Sans" w:cs="Google Sans" w:eastAsia="Google Sans" w:hAnsi="Google Sans"/>
          <w:color w:val="1f1f1f"/>
        </w:rPr>
        <w:drawing>
          <wp:inline distB="19050" distT="19050" distL="19050" distR="19050">
            <wp:extent cx="701873" cy="236501"/>
            <wp:effectExtent b="0" l="0" r="0" t="0"/>
            <wp:docPr id="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701873" cy="236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color w:val="1f1f1f"/>
        </w:rPr>
        <w:drawing>
          <wp:inline distB="19050" distT="19050" distL="19050" distR="19050">
            <wp:extent cx="985361" cy="238642"/>
            <wp:effectExtent b="0" l="0" r="0" t="0"/>
            <wp:docPr id="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985361" cy="2386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risque est avéré si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3287"/>
            <wp:effectExtent b="0" l="0" r="0" t="0"/>
            <wp:docPr id="6"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905500" cy="45328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Cas 7 : Optimisation Mathématique pour une Résilience Totale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Problème :</w:t>
      </w:r>
      <w:r w:rsidDel="00000000" w:rsidR="00000000" w:rsidRPr="00000000">
        <w:rPr>
          <w:rFonts w:ascii="Google Sans" w:cs="Google Sans" w:eastAsia="Google Sans" w:hAnsi="Google Sans"/>
          <w:color w:val="1f1f1f"/>
          <w:rtl w:val="0"/>
        </w:rPr>
        <w:t xml:space="preserve"> Quelles valeurs choisir pour le prélèvement 'a' et la pénalité </w:t>
      </w:r>
      <w:r w:rsidDel="00000000" w:rsidR="00000000" w:rsidRPr="00000000">
        <w:rPr>
          <w:rFonts w:ascii="Google Sans" w:cs="Google Sans" w:eastAsia="Google Sans" w:hAnsi="Google Sans"/>
          <w:color w:val="1f1f1f"/>
        </w:rPr>
        <w:drawing>
          <wp:inline distB="19050" distT="19050" distL="19050" distR="19050">
            <wp:extent cx="191929" cy="237992"/>
            <wp:effectExtent b="0" l="0" r="0" t="0"/>
            <wp:docPr id="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91929" cy="237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afin que le fonds se régénère toujours en moins de </w:t>
      </w:r>
      <w:r w:rsidDel="00000000" w:rsidR="00000000" w:rsidRPr="00000000">
        <w:rPr>
          <w:rFonts w:ascii="Google Sans" w:cs="Google Sans" w:eastAsia="Google Sans" w:hAnsi="Google Sans"/>
          <w:color w:val="1f1f1f"/>
        </w:rPr>
        <w:drawing>
          <wp:inline distB="19050" distT="19050" distL="19050" distR="19050">
            <wp:extent cx="485180" cy="238739"/>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85180" cy="2387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jours?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Solution :</w:t>
      </w:r>
      <w:r w:rsidDel="00000000" w:rsidR="00000000" w:rsidRPr="00000000">
        <w:rPr>
          <w:rFonts w:ascii="Google Sans" w:cs="Google Sans" w:eastAsia="Google Sans" w:hAnsi="Google Sans"/>
          <w:color w:val="1f1f1f"/>
          <w:rtl w:val="0"/>
        </w:rPr>
        <w:t xml:space="preserve"> On impose une condition de solvabilité temporelle stricte. En résolvant cette inégalité, on trouve les réglages minimaux pour garantir l'indestructibilité du Likelemba.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Formule de Condition d'Optimisation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453287"/>
            <wp:effectExtent b="0" l="0" r="0" t="0"/>
            <wp:docPr id="9"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905500" cy="45328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Pour tout </w:t>
      </w:r>
      <w:r w:rsidDel="00000000" w:rsidR="00000000" w:rsidRPr="00000000">
        <w:rPr>
          <w:rFonts w:ascii="Google Sans" w:cs="Google Sans" w:eastAsia="Google Sans" w:hAnsi="Google Sans"/>
          <w:i w:val="1"/>
          <w:iCs w:val="1"/>
          <w:color w:val="1f1f1f"/>
        </w:rPr>
        <w:drawing>
          <wp:inline distB="19050" distT="19050" distL="19050" distR="19050">
            <wp:extent cx="101441" cy="241898"/>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01441" cy="24189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compris entre </w:t>
      </w:r>
      <w:r w:rsidDel="00000000" w:rsidR="00000000" w:rsidRPr="00000000">
        <w:rPr>
          <w:rFonts w:ascii="Google Sans" w:cs="Google Sans" w:eastAsia="Google Sans" w:hAnsi="Google Sans"/>
          <w:i w:val="1"/>
          <w:iCs w:val="1"/>
          <w:color w:val="1f1f1f"/>
        </w:rPr>
        <w:drawing>
          <wp:inline distB="19050" distT="19050" distL="19050" distR="19050">
            <wp:extent cx="92273" cy="215305"/>
            <wp:effectExtent b="0" l="0" r="0" t="0"/>
            <wp:docPr id="36"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et </w:t>
      </w:r>
      <w:r w:rsidDel="00000000" w:rsidR="00000000" w:rsidRPr="00000000">
        <w:rPr>
          <w:rFonts w:ascii="Google Sans" w:cs="Google Sans" w:eastAsia="Google Sans" w:hAnsi="Google Sans"/>
          <w:i w:val="1"/>
          <w:iCs w:val="1"/>
          <w:color w:val="1f1f1f"/>
        </w:rPr>
        <w:drawing>
          <wp:inline distB="19050" distT="19050" distL="19050" distR="19050">
            <wp:extent cx="133350" cy="243168"/>
            <wp:effectExtent b="0" l="0" r="0" t="0"/>
            <wp:docPr id="3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Résumé des cas de figure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Solution organisationnelle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Paramètre mathématique clé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1 : Nominal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Accumulation pure.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Pente </w:t>
            </w:r>
            <w:r w:rsidDel="00000000" w:rsidR="00000000" w:rsidRPr="00000000">
              <w:rPr>
                <w:rFonts w:ascii="Google Sans" w:cs="Google Sans" w:eastAsia="Google Sans" w:hAnsi="Google Sans"/>
                <w:color w:val="1f1f1f"/>
              </w:rPr>
              <w:drawing>
                <wp:inline distB="19050" distT="19050" distL="19050" distR="19050">
                  <wp:extent cx="341590" cy="235318"/>
                  <wp:effectExtent b="0" l="0" r="0" t="0"/>
                  <wp:docPr id="4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41590" cy="235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2 : Pré-cagnotte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Remboursement avec retenue.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Fonction </w:t>
            </w:r>
            <w:r w:rsidDel="00000000" w:rsidR="00000000" w:rsidRPr="00000000">
              <w:rPr>
                <w:rFonts w:ascii="Google Sans" w:cs="Google Sans" w:eastAsia="Google Sans" w:hAnsi="Google Sans"/>
                <w:color w:val="1f1f1f"/>
              </w:rPr>
              <w:drawing>
                <wp:inline distB="19050" distT="19050" distL="19050" distR="19050">
                  <wp:extent cx="363736" cy="239911"/>
                  <wp:effectExtent b="0" l="0" r="0" t="0"/>
                  <wp:docPr id="42"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363736" cy="239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3 : Post-cagnotte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Remplacement sec.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79465" cy="239732"/>
                  <wp:effectExtent b="0" l="0" r="0" t="0"/>
                  <wp:docPr id="45"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479465" cy="239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4 : Pas de remplaçant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Flux réduit.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Coefficient </w:t>
            </w:r>
            <w:r w:rsidDel="00000000" w:rsidR="00000000" w:rsidRPr="00000000">
              <w:rPr>
                <w:rFonts w:ascii="Google Sans" w:cs="Google Sans" w:eastAsia="Google Sans" w:hAnsi="Google Sans"/>
                <w:color w:val="1f1f1f"/>
              </w:rPr>
              <w:drawing>
                <wp:inline distB="19050" distT="19050" distL="19050" distR="19050">
                  <wp:extent cx="571976" cy="236417"/>
                  <wp:effectExtent b="0" l="0" r="0" t="0"/>
                  <wp:docPr id="47"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71976" cy="236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5 : Multi-départs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Somme des ponctions.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44842" cy="235178"/>
                  <wp:effectExtent b="0" l="0" r="0" t="0"/>
                  <wp:docPr id="50"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644842" cy="2351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6 : Départ tardif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Plafonnement nécessaire.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 </w:t>
            </w:r>
            <w:r w:rsidDel="00000000" w:rsidR="00000000" w:rsidRPr="00000000">
              <w:rPr>
                <w:rFonts w:ascii="Google Sans" w:cs="Google Sans" w:eastAsia="Google Sans" w:hAnsi="Google Sans"/>
                <w:color w:val="1f1f1f"/>
              </w:rPr>
              <w:drawing>
                <wp:inline distB="19050" distT="19050" distL="19050" distR="19050">
                  <wp:extent cx="521613" cy="237794"/>
                  <wp:effectExtent b="0" l="0" r="0" t="0"/>
                  <wp:docPr id="52"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21613" cy="237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7 : Réglage optimal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Inégalité de résilience.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Seuil </w:t>
            </w:r>
            <w:r w:rsidDel="00000000" w:rsidR="00000000" w:rsidRPr="00000000">
              <w:rPr>
                <w:rFonts w:ascii="Google Sans" w:cs="Google Sans" w:eastAsia="Google Sans" w:hAnsi="Google Sans"/>
                <w:color w:val="1f1f1f"/>
              </w:rPr>
              <w:drawing>
                <wp:inline distB="19050" distT="19050" distL="19050" distR="19050">
                  <wp:extent cx="485180" cy="238739"/>
                  <wp:effectExtent b="0" l="0" r="0" t="0"/>
                  <wp:docPr id="5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85180" cy="2387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Analyse Comparative des Solutions Alternatives Mondiales et Numériques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L'étude du Likelemba sécurisé gagne en profondeur lorsqu'on la confronte aux solutions alternatives développées sur le web et dans les écosystèmes financiers internationaux. Cette comparaison permet de valider les choix du modèle EDO tout en identifiant des pistes d'amélioration issues de la Fintech et de la recherche académique.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Solutions de Plateformes Numériques et Applications Mobiles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marché des tontines digitales a explosé ces dernières années, proposant des mécanismes de sécurisation variés qui complètent ou concurrencent l'approche par fonds de réserve.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Moneyfellows (Égypte)</w:t>
      </w:r>
      <w:r w:rsidDel="00000000" w:rsidR="00000000" w:rsidRPr="00000000">
        <w:rPr>
          <w:rFonts w:ascii="Google Sans" w:cs="Google Sans" w:eastAsia="Google Sans" w:hAnsi="Google Sans"/>
          <w:color w:val="1f1f1f"/>
          <w:rtl w:val="0"/>
        </w:rPr>
        <w:t xml:space="preserve"> est l'une des solutions les plus abouties. Elle repose sur la création d'un "credit score" pour chaque utilisateur en suivant son comportement de paiement.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Contrairement au Likelemba sécurisé qui gère le risque en interne par des pénalités, Moneyfellows s'appuie sur des contrats légaux supervisés par la Banque Centrale d'Égypte et des partenariats avec des institutions comme Banque Misr.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Ici, la sécurité est institutionnelle : en cas de défaut, le cadre légal permet des recours directs, transformant la tontine en un produit quasi-bancaire.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Diaspo (Diaspora Africaine)</w:t>
      </w:r>
      <w:r w:rsidDel="00000000" w:rsidR="00000000" w:rsidRPr="00000000">
        <w:rPr>
          <w:rFonts w:ascii="Google Sans" w:cs="Google Sans" w:eastAsia="Google Sans" w:hAnsi="Google Sans"/>
          <w:color w:val="1f1f1f"/>
          <w:rtl w:val="0"/>
        </w:rPr>
        <w:t xml:space="preserve"> propose une approche basée sur la transparence et la vérification rigoureuse de l'identité (KYC).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Sa solution contre les impayés passe par des notifications automatisées et un système de notation des membres.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Contrairement à notre modèle de pénalité dégressive, Diaspo mise sur la pression sociale numérique et la médiation humaine pour résoudre les conflits, tout en offrant parfois des garanties partielles contre les impayés via des mécanismes d'assurance.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KIKA (Afrique Centrale)</w:t>
      </w:r>
      <w:r w:rsidDel="00000000" w:rsidR="00000000" w:rsidRPr="00000000">
        <w:rPr>
          <w:rFonts w:ascii="Google Sans" w:cs="Google Sans" w:eastAsia="Google Sans" w:hAnsi="Google Sans"/>
          <w:color w:val="1f1f1f"/>
          <w:rtl w:val="0"/>
        </w:rPr>
        <w:t xml:space="preserve"> se distingue par son intégration poussée avec le Mobile Money (Orange, MTN, Wave).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sécurisation ici est avant tout technologique : le prélèvement des cotisations est automatisé, ce qui réduit les risques de retards de paiement par oubli ou négligence.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KIKA utilise également la biométrie pour sécuriser l'accès aux fonds, protégeant ainsi le groupe contre l'usurpation d'identité, un risque que le modèle mathématique EDO ne traite pas directement.</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Mécanisme de Sécurité Principal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Cible Prioritaire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Point Fort par rapport au Likelemba EDO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Moneyfellows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Contrats légaux + Credit Scoring.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Égypte / Moyen-Orient.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Garantie institutionnelle de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Diaspo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Vérification KYC + Médiation.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Diaspora en Europe/USA.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Réduction du risque humain à la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Automatisation Mobile Money.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Afrique de l'Ouest et Centrale.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Simplicité d'usage et flux fluides.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Matontine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Éducation financière + Microcrédit.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Femmes au Sénégal.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Accès au crédit bancaire complémentaire.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Chamasoft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Reporting et Gouvernance de groupe.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Kenya (Groupes structurés).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Transparence comptable totale.</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Innovations Institutionnelles et Réassurance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Une autre voie explorée sur le web est celle de la réassurance des tontines, illustrée par le projet </w:t>
      </w:r>
      <w:r w:rsidDel="00000000" w:rsidR="00000000" w:rsidRPr="00000000">
        <w:rPr>
          <w:rFonts w:ascii="Google Sans" w:cs="Google Sans" w:eastAsia="Google Sans" w:hAnsi="Google Sans"/>
          <w:b w:val="1"/>
          <w:bCs w:val="1"/>
          <w:color w:val="1f1f1f"/>
          <w:rtl w:val="0"/>
        </w:rPr>
        <w:t xml:space="preserve">TontineRe</w:t>
      </w:r>
      <w:r w:rsidDel="00000000" w:rsidR="00000000" w:rsidRPr="00000000">
        <w:rPr>
          <w:rFonts w:ascii="Google Sans" w:cs="Google Sans" w:eastAsia="Google Sans" w:hAnsi="Google Sans"/>
          <w:color w:val="1f1f1f"/>
          <w:rtl w:val="0"/>
        </w:rPr>
        <w:t xml:space="preserve"> au Cameroun.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Ce modèle propose de transformer la solidarité "rudimentaire" en un système robuste en connectant les tontines informelles à des mécanismes de réassurance formels.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L'idée de TontineRe est de mutualiser les risques entre plusieurs tontines. Si une tontine subit un choc majeur (par exemple, le décès d'un membre ou une épidémie de défauts de paiement), la réassurance intervient pour couvrir le déficit.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Cette approche est complémentaire au modèle EDO : là où le fonds de réserve gère les micro-aléas quotidiens, la réassurance protège contre les risques systémiques ou "cygnes noirs" qui pourraient vider le fonds de réserve en une seule fois.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Mécanismes de Retrait et Retours de l'Analyse Sud-Africaine (Two-Pot System)</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système de retraite sud-africain a récemment introduit une innovation structurelle appelée le </w:t>
      </w:r>
      <w:r w:rsidDel="00000000" w:rsidR="00000000" w:rsidRPr="00000000">
        <w:rPr>
          <w:rFonts w:ascii="Google Sans" w:cs="Google Sans" w:eastAsia="Google Sans" w:hAnsi="Google Sans"/>
          <w:b w:val="1"/>
          <w:bCs w:val="1"/>
          <w:color w:val="1f1f1f"/>
          <w:rtl w:val="0"/>
        </w:rPr>
        <w:t xml:space="preserve">"Two-Pot System"</w:t>
      </w:r>
      <w:r w:rsidDel="00000000" w:rsidR="00000000" w:rsidRPr="00000000">
        <w:rPr>
          <w:rFonts w:ascii="Google Sans" w:cs="Google Sans" w:eastAsia="Google Sans" w:hAnsi="Google Sans"/>
          <w:color w:val="1f1f1f"/>
          <w:rtl w:val="0"/>
        </w:rPr>
        <w:t xml:space="preserve"> (Système à deux pots).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Ce modèle divise les cotisations en deux compartiments : un "pot d'épargne" accessible chaque année pour les urgences et un "pot de retraite" intouchable jusqu'à la fin de la vie active.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Cette structure offre une alternative intéressante à la pénalité dégressive. Au lieu de pénaliser le retrait, on pourrait concevoir un Likelemba où seule une fraction de la réserve accumulée est retirable avant la fin du cycle.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Cela garantit mathématiquement que même si tous les membres effectuent un retrait d'urgence, le système conserve une base de capital suffisante pour assurer la continuité des paiements. Cependant, les experts soulignent que les retraits fréquents réduisent considérablement le bénéfice final, un constat qui valide la pertinence de notre pénalité dégressive pour encourager la préservation du capital.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Modèles de Risque de Crédit et Analyse de Défaillance Académique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la littérature académique, le risque de défaut dans les ROSCA est souvent modélisé par des outils issus de la finance de marché comme le </w:t>
      </w:r>
      <w:r w:rsidDel="00000000" w:rsidR="00000000" w:rsidRPr="00000000">
        <w:rPr>
          <w:rFonts w:ascii="Google Sans" w:cs="Google Sans" w:eastAsia="Google Sans" w:hAnsi="Google Sans"/>
          <w:b w:val="1"/>
          <w:bCs w:val="1"/>
          <w:color w:val="1f1f1f"/>
          <w:rtl w:val="0"/>
        </w:rPr>
        <w:t xml:space="preserve">Modèle de Merton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Ce modèle considère que le défaut survient lorsque la valeur des actifs (les cotisations futures et le fonds de réserve) tombe en dessous de la valeur des dettes (les cagnottes promises).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L'analyse de Merton utilise des processus stochastiques (mouvement brownien) pour modéliser l'incertitude sur les revenus des membres. Une alternative au fonds de réserve fixe serait donc un </w:t>
      </w:r>
      <w:r w:rsidDel="00000000" w:rsidR="00000000" w:rsidRPr="00000000">
        <w:rPr>
          <w:rFonts w:ascii="Google Sans" w:cs="Google Sans" w:eastAsia="Google Sans" w:hAnsi="Google Sans"/>
          <w:b w:val="1"/>
          <w:bCs w:val="1"/>
          <w:color w:val="1f1f1f"/>
          <w:rtl w:val="0"/>
        </w:rPr>
        <w:t xml:space="preserve">fonds de réserve dynamique</w:t>
      </w:r>
      <w:r w:rsidDel="00000000" w:rsidR="00000000" w:rsidRPr="00000000">
        <w:rPr>
          <w:rFonts w:ascii="Google Sans" w:cs="Google Sans" w:eastAsia="Google Sans" w:hAnsi="Google Sans"/>
          <w:color w:val="1f1f1f"/>
          <w:rtl w:val="0"/>
        </w:rPr>
        <w:t xml:space="preserve">, dont le montant 'a' varierait en fonction de la volatilité économique du groupe.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Si le risque de défaut augmente (par exemple, pendant une crise économique locale), le prélèvement 'a' s'ajuste automatiquement à la hausse pour maintenir la probabilité de ruine à un niveau acceptable (par exemple &lt; 1%).</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Synthèse Comparative des Stratégies de Sécurisation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Stratégie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Mécanisme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Origine/Référence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Applicabilité au Likelemba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Fonds de Réserve EDO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Auto-assurance par flux continu.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Modélisation interne.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Maximale (Simplicité et Autonomie).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Réassurance Externe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Couverture par un tiers assureur.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TontineRe (Cameroun).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Élevée pour les groupes à fort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 Compartiment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Séquestre d'une partie des fonds.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Two-Pot (Afrique du Sud).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Moyenne (Peut être perçu comme rigide).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Scoring Digital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Filtrage des membres par algorithme.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Moneyfellows / Esusu.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Élevée si accès aux données bancaires.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Bidding (Enchères)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Allocation par le plus offrant.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Roscas à Taiwan / Éthiopie.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Faible (Change la nature du Likelemba).</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conclusion, si les solutions numériques comme Moneyfellows ou KIKA apportent une indéniable facilité transactionnelle et une sécurité juridique, le modèle du Likelemba sécurisé par EDO reste la solution la plus robuste pour des groupes souhaitant conserver leur autonomie financière tout en garantissant une résilience mathématique interne.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L'avenir du projet pourrait résider dans une hybridation : utiliser une plateforme Mobile Money pour automatiser les flux, tout en appliquant la pénalité dégressive et le fonds de réserve dimensionnés par les EDO pour assurer une équité et une solidité indestructibles.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Cette analyse approfondie démontre que la sécurisation du Likelemba n'est pas seulement une question de bonne volonté, mais un défi d'ingénierie financière où chaque paramètre compte. En maîtrisant la dynamique du fonds de réserve par les équations différentielles, le groupe passe d'une épargne fragile à une véritable institution de micro-résilience, capable d'absorber les chocs individuels pour préserver la richesse collective.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Structure du projet.txt</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Landscaping in the Arab World - FinDev Gateway, consulté le avril 13, 2026, </w:t>
      </w:r>
      <w:hyperlink r:id="rId47">
        <w:r w:rsidDel="00000000" w:rsidR="00000000" w:rsidRPr="00000000">
          <w:rPr>
            <w:rFonts w:ascii="Google Sans" w:cs="Google Sans" w:eastAsia="Google Sans" w:hAnsi="Google Sans"/>
            <w:color w:val="0000ee"/>
            <w:sz w:val="24"/>
            <w:szCs w:val="24"/>
            <w:u w:val="single"/>
            <w:rtl w:val="0"/>
          </w:rPr>
          <w:t xml:space="preserve">https://www.findevgateway.org/sites/default/files/users/user331/CGAP-EY_FintechRegionalReport_ArabWorld_2020.pdf</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 Fellows | Home Page, consulté le avril 13, 2026, </w:t>
      </w:r>
      <w:hyperlink r:id="rId48">
        <w:r w:rsidDel="00000000" w:rsidR="00000000" w:rsidRPr="00000000">
          <w:rPr>
            <w:rFonts w:ascii="Google Sans" w:cs="Google Sans" w:eastAsia="Google Sans" w:hAnsi="Google Sans"/>
            <w:color w:val="0000ee"/>
            <w:sz w:val="24"/>
            <w:szCs w:val="24"/>
            <w:u w:val="single"/>
            <w:rtl w:val="0"/>
          </w:rPr>
          <w:t xml:space="preserve">https://moneyfellows.com/</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Sécurité et Fiabilité dans une Tontine Digitale : Ce qu'il faut savoir avant de se lancer, consulté le avril 13, 2026, </w:t>
      </w:r>
      <w:hyperlink r:id="rId49">
        <w:r w:rsidDel="00000000" w:rsidR="00000000" w:rsidRPr="00000000">
          <w:rPr>
            <w:rFonts w:ascii="Google Sans" w:cs="Google Sans" w:eastAsia="Google Sans" w:hAnsi="Google Sans"/>
            <w:color w:val="0000ee"/>
            <w:sz w:val="24"/>
            <w:szCs w:val="24"/>
            <w:u w:val="single"/>
            <w:rtl w:val="0"/>
          </w:rPr>
          <w:t xml:space="preserve">https://www.diaspo.io/securite-et-fiabilite-dans-une-tontine-digitale-ce-quil-faut-savoir-avant-de-se-lancer/</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KIKA - Tontine 100% Africaine et 100% Sécurisée, consulté le avril 13, 2026, </w:t>
      </w:r>
      <w:hyperlink r:id="rId50">
        <w:r w:rsidDel="00000000" w:rsidR="00000000" w:rsidRPr="00000000">
          <w:rPr>
            <w:rFonts w:ascii="Google Sans" w:cs="Google Sans" w:eastAsia="Google Sans" w:hAnsi="Google Sans"/>
            <w:color w:val="0000ee"/>
            <w:sz w:val="24"/>
            <w:szCs w:val="24"/>
            <w:u w:val="single"/>
            <w:rtl w:val="0"/>
          </w:rPr>
          <w:t xml:space="preserve">https://kika.africa/</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E-Tontines CEMAC - Plateforme Digitale de Gestion des Tontines, consulté le avril 13, 2026, </w:t>
      </w:r>
      <w:hyperlink r:id="rId51">
        <w:r w:rsidDel="00000000" w:rsidR="00000000" w:rsidRPr="00000000">
          <w:rPr>
            <w:rFonts w:ascii="Google Sans" w:cs="Google Sans" w:eastAsia="Google Sans" w:hAnsi="Google Sans"/>
            <w:color w:val="0000ee"/>
            <w:sz w:val="24"/>
            <w:szCs w:val="24"/>
            <w:u w:val="single"/>
            <w:rtl w:val="0"/>
          </w:rPr>
          <w:t xml:space="preserve">https://www.etontines-cemac.ga/</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des applications de tontine digitale dans le monde - Cirkkle, consulté le avril 13, 2026, </w:t>
      </w:r>
      <w:hyperlink r:id="rId52">
        <w:r w:rsidDel="00000000" w:rsidR="00000000" w:rsidRPr="00000000">
          <w:rPr>
            <w:rFonts w:ascii="Google Sans" w:cs="Google Sans" w:eastAsia="Google Sans" w:hAnsi="Google Sans"/>
            <w:color w:val="0000ee"/>
            <w:sz w:val="24"/>
            <w:szCs w:val="24"/>
            <w:u w:val="single"/>
            <w:rtl w:val="0"/>
          </w:rPr>
          <w:t xml:space="preserve">https://cirkkle.com/blog/top-5-des-applications-de-tontine-digitale-dans-le-monde</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reinsurance product for tontines in Cameroon | Fund for Innovation in Development (FID), consulté le avril 13, 2026, </w:t>
      </w:r>
      <w:hyperlink r:id="rId53">
        <w:r w:rsidDel="00000000" w:rsidR="00000000" w:rsidRPr="00000000">
          <w:rPr>
            <w:rFonts w:ascii="Google Sans" w:cs="Google Sans" w:eastAsia="Google Sans" w:hAnsi="Google Sans"/>
            <w:color w:val="0000ee"/>
            <w:sz w:val="24"/>
            <w:szCs w:val="24"/>
            <w:u w:val="single"/>
            <w:rtl w:val="0"/>
          </w:rPr>
          <w:t xml:space="preserve">https://fundinnovation.dev/en/news/tontines-in-cameroon-the-idea-for-tontine-re-first-came-about-from-a-feeling-that-we-needed-to-address-a-form-of-mass-social-injustice-and-offer-social-protection-to-the-most-vulnerable-people</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TWO-POT RETIREMENT SYSTEM FOR GEPF MEMBERS, consulté le avril 13, 2026, </w:t>
      </w:r>
      <w:hyperlink r:id="rId54">
        <w:r w:rsidDel="00000000" w:rsidR="00000000" w:rsidRPr="00000000">
          <w:rPr>
            <w:rFonts w:ascii="Google Sans" w:cs="Google Sans" w:eastAsia="Google Sans" w:hAnsi="Google Sans"/>
            <w:color w:val="0000ee"/>
            <w:sz w:val="24"/>
            <w:szCs w:val="24"/>
            <w:u w:val="single"/>
            <w:rtl w:val="0"/>
          </w:rPr>
          <w:t xml:space="preserve">https://www.gepf.co.za/wp-content/uploads/2025/01/Two-Pot-system-Booklet-and-Claiming-Process.pdf</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Money Matters Toolkit - Two-pot system, consulté le avril 13, 2026, </w:t>
      </w:r>
      <w:hyperlink r:id="rId55">
        <w:r w:rsidDel="00000000" w:rsidR="00000000" w:rsidRPr="00000000">
          <w:rPr>
            <w:rFonts w:ascii="Google Sans" w:cs="Google Sans" w:eastAsia="Google Sans" w:hAnsi="Google Sans"/>
            <w:color w:val="0000ee"/>
            <w:sz w:val="24"/>
            <w:szCs w:val="24"/>
            <w:u w:val="single"/>
            <w:rtl w:val="0"/>
          </w:rPr>
          <w:t xml:space="preserve">https://mymoneymatters.alexforbes.com/twopot.html</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TWO-POT RETIREMENT SYSTEM, consulté le avril 13, 2026, </w:t>
      </w:r>
      <w:hyperlink r:id="rId56">
        <w:r w:rsidDel="00000000" w:rsidR="00000000" w:rsidRPr="00000000">
          <w:rPr>
            <w:rFonts w:ascii="Google Sans" w:cs="Google Sans" w:eastAsia="Google Sans" w:hAnsi="Google Sans"/>
            <w:color w:val="0000ee"/>
            <w:sz w:val="24"/>
            <w:szCs w:val="24"/>
            <w:u w:val="single"/>
            <w:rtl w:val="0"/>
          </w:rPr>
          <w:t xml:space="preserve">https://www.treasury.gov.za/comm_media/press/2024/2024%20Two-pot%20System%20Updated%20%20FAQ%20August%202024.pdf</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Two-Pot Savings Withdrawal Approach, consulté le avril 13, 2026, </w:t>
      </w:r>
      <w:hyperlink r:id="rId57">
        <w:r w:rsidDel="00000000" w:rsidR="00000000" w:rsidRPr="00000000">
          <w:rPr>
            <w:rFonts w:ascii="Google Sans" w:cs="Google Sans" w:eastAsia="Google Sans" w:hAnsi="Google Sans"/>
            <w:color w:val="0000ee"/>
            <w:sz w:val="24"/>
            <w:szCs w:val="24"/>
            <w:u w:val="single"/>
            <w:rtl w:val="0"/>
          </w:rPr>
          <w:t xml:space="preserve">https://assets.ctfassets.net/xiwduuy7wt4s/6afmb6tlWPNl7rJy4QEhTI/1b8307ffc96ef10bb521a755c71386be/2024_Q2_Two-pot_savings_withdrawal_approach.pdf</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Two-pot withdrawals meet market volatility: the costly timing trap for retirement savers, consulté le avril 13, 2026, </w:t>
      </w:r>
      <w:hyperlink r:id="rId58">
        <w:r w:rsidDel="00000000" w:rsidR="00000000" w:rsidRPr="00000000">
          <w:rPr>
            <w:rFonts w:ascii="Google Sans" w:cs="Google Sans" w:eastAsia="Google Sans" w:hAnsi="Google Sans"/>
            <w:color w:val="0000ee"/>
            <w:sz w:val="24"/>
            <w:szCs w:val="24"/>
            <w:u w:val="single"/>
            <w:rtl w:val="0"/>
          </w:rPr>
          <w:t xml:space="preserve">https://ninetyone.com/en/south-africa/insights/two-pot-retirement-reform/two-pot-withdrawals-meet-market-volatility-the-costly-timing-trap-for-retirement-savers</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clients to explore alternative options to savings 'pot' withdrawals, consulté le avril 13, 2026, </w:t>
      </w:r>
      <w:hyperlink r:id="rId59">
        <w:r w:rsidDel="00000000" w:rsidR="00000000" w:rsidRPr="00000000">
          <w:rPr>
            <w:rFonts w:ascii="Google Sans" w:cs="Google Sans" w:eastAsia="Google Sans" w:hAnsi="Google Sans"/>
            <w:color w:val="0000ee"/>
            <w:sz w:val="24"/>
            <w:szCs w:val="24"/>
            <w:u w:val="single"/>
            <w:rtl w:val="0"/>
          </w:rPr>
          <w:t xml:space="preserve">https://www.moonstone.co.za/help-clients-to-explore-alternative-options-to-savings-pot-withdrawals/</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4 Structural Models of Credit Risk, consulté le avril 13, 2026, </w:t>
      </w:r>
      <w:hyperlink r:id="rId60">
        <w:r w:rsidDel="00000000" w:rsidR="00000000" w:rsidRPr="00000000">
          <w:rPr>
            <w:rFonts w:ascii="Google Sans" w:cs="Google Sans" w:eastAsia="Google Sans" w:hAnsi="Google Sans"/>
            <w:color w:val="0000ee"/>
            <w:sz w:val="24"/>
            <w:szCs w:val="24"/>
            <w:u w:val="single"/>
            <w:rtl w:val="0"/>
          </w:rPr>
          <w:t xml:space="preserve">https://www.fields.utoronto.ca/programs/scientific/09-10/finance/courses/hurdnotes2.pdf</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merton's default risk model for private company, consulté le avril 13, 2026, </w:t>
      </w:r>
      <w:hyperlink r:id="rId61">
        <w:r w:rsidDel="00000000" w:rsidR="00000000" w:rsidRPr="00000000">
          <w:rPr>
            <w:rFonts w:ascii="Google Sans" w:cs="Google Sans" w:eastAsia="Google Sans" w:hAnsi="Google Sans"/>
            <w:color w:val="0000ee"/>
            <w:sz w:val="24"/>
            <w:szCs w:val="24"/>
            <w:u w:val="single"/>
            <w:rtl w:val="0"/>
          </w:rPr>
          <w:t xml:space="preserve">https://www.aimsciences.org/article/doi/10.3934/jimo.2024015</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Regime-Switching Structural Default Risk Model - MDPI, consulté le avril 13, 2026, </w:t>
      </w:r>
      <w:hyperlink r:id="rId62">
        <w:r w:rsidDel="00000000" w:rsidR="00000000" w:rsidRPr="00000000">
          <w:rPr>
            <w:rFonts w:ascii="Google Sans" w:cs="Google Sans" w:eastAsia="Google Sans" w:hAnsi="Google Sans"/>
            <w:color w:val="0000ee"/>
            <w:sz w:val="24"/>
            <w:szCs w:val="24"/>
            <w:u w:val="single"/>
            <w:rtl w:val="0"/>
          </w:rPr>
          <w:t xml:space="preserve">https://www.mdpi.com/2227-9091/12/3/48</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Models for Measuring Default Risks - ResearchGate, consulté le avril 13, 2026,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https://www.researchgate.net/publication/382015670_Mathematical_Models_for_Measuring_Default_Risks</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Models for Measuring Default Risks - IDEAS/RePEc, consulté le avril 13, 2026, </w:t>
      </w:r>
      <w:hyperlink r:id="rId64">
        <w:r w:rsidDel="00000000" w:rsidR="00000000" w:rsidRPr="00000000">
          <w:rPr>
            <w:rFonts w:ascii="Google Sans" w:cs="Google Sans" w:eastAsia="Google Sans" w:hAnsi="Google Sans"/>
            <w:color w:val="0000ee"/>
            <w:sz w:val="24"/>
            <w:szCs w:val="24"/>
            <w:u w:val="single"/>
            <w:rtl w:val="0"/>
          </w:rPr>
          <w:t xml:space="preserve">https://ideas.repec.org/h/spr/sprchp/978-981-97-2179-5_3.html</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Digitaliser la tontine traditionnelle en Afrique avec SmartMifin : vers une institutionnalisation durable de l'épargne communautaire, portée par WEBGRAM, société basée à Dakar (Sénégal) et référence africaine dans le développement d'applications web, mobiles et de solutions de gestion de la microfinance., consulté le avril 13, 2026, </w:t>
      </w:r>
      <w:hyperlink r:id="rId65">
        <w:r w:rsidDel="00000000" w:rsidR="00000000" w:rsidRPr="00000000">
          <w:rPr>
            <w:rFonts w:ascii="Google Sans" w:cs="Google Sans" w:eastAsia="Google Sans" w:hAnsi="Google Sans"/>
            <w:color w:val="0000ee"/>
            <w:sz w:val="24"/>
            <w:szCs w:val="24"/>
            <w:u w:val="single"/>
            <w:rtl w:val="0"/>
          </w:rPr>
          <w:t xml:space="preserve">https://www.agencewebgram.com/2026/02/Digitaliser-la-tontine-traditionnelle-en-Afrique-avec-SmartMifin-Vers-une-institutionnalisation-de-l-epargne-communautaire.html</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Tontine, Njangi, Stokvel : la finance communautaire en Afrique - Paykko, consulté le avril 13, 2026, </w:t>
      </w:r>
      <w:hyperlink r:id="rId66">
        <w:r w:rsidDel="00000000" w:rsidR="00000000" w:rsidRPr="00000000">
          <w:rPr>
            <w:rFonts w:ascii="Google Sans" w:cs="Google Sans" w:eastAsia="Google Sans" w:hAnsi="Google Sans"/>
            <w:color w:val="0000ee"/>
            <w:sz w:val="24"/>
            <w:szCs w:val="24"/>
            <w:u w:val="single"/>
            <w:rtl w:val="0"/>
          </w:rPr>
          <w:t xml:space="preserve">https://blog.paykko.com/blogs/tontine-daret-njangi-quand-lafrique-reinvente-la-finance-solidaire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27.png"/><Relationship Id="rId41"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8.png"/><Relationship Id="rId46" Type="http://schemas.openxmlformats.org/officeDocument/2006/relationships/image" Target="media/image30.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hyperlink" Target="https://moneyfellows.com/" TargetMode="External"/><Relationship Id="rId47" Type="http://schemas.openxmlformats.org/officeDocument/2006/relationships/hyperlink" Target="https://www.findevgateway.org/sites/default/files/users/user331/CGAP-EY_FintechRegionalReport_ArabWorld_2020.pdf" TargetMode="External"/><Relationship Id="rId49" Type="http://schemas.openxmlformats.org/officeDocument/2006/relationships/hyperlink" Target="https://www.diaspo.io/securite-et-fiabilite-dans-une-tontine-digitale-ce-quil-faut-savoir-avant-de-se-lancer/" TargetMode="External"/><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16.png"/><Relationship Id="rId8" Type="http://schemas.openxmlformats.org/officeDocument/2006/relationships/image" Target="media/image28.png"/><Relationship Id="rId31" Type="http://schemas.openxmlformats.org/officeDocument/2006/relationships/image" Target="media/image9.png"/><Relationship Id="rId30" Type="http://schemas.openxmlformats.org/officeDocument/2006/relationships/image" Target="media/image17.png"/><Relationship Id="rId33" Type="http://schemas.openxmlformats.org/officeDocument/2006/relationships/image" Target="media/image6.png"/><Relationship Id="rId32" Type="http://schemas.openxmlformats.org/officeDocument/2006/relationships/image" Target="media/image15.png"/><Relationship Id="rId35" Type="http://schemas.openxmlformats.org/officeDocument/2006/relationships/image" Target="media/image1.png"/><Relationship Id="rId34" Type="http://schemas.openxmlformats.org/officeDocument/2006/relationships/image" Target="media/image12.png"/><Relationship Id="rId37" Type="http://schemas.openxmlformats.org/officeDocument/2006/relationships/image" Target="media/image13.png"/><Relationship Id="rId36" Type="http://schemas.openxmlformats.org/officeDocument/2006/relationships/image" Target="media/image7.png"/><Relationship Id="rId39" Type="http://schemas.openxmlformats.org/officeDocument/2006/relationships/image" Target="media/image23.png"/><Relationship Id="rId38" Type="http://schemas.openxmlformats.org/officeDocument/2006/relationships/image" Target="media/image8.png"/><Relationship Id="rId62" Type="http://schemas.openxmlformats.org/officeDocument/2006/relationships/hyperlink" Target="https://www.mdpi.com/2227-9091/12/3/48" TargetMode="External"/><Relationship Id="rId61" Type="http://schemas.openxmlformats.org/officeDocument/2006/relationships/hyperlink" Target="https://www.aimsciences.org/article/doi/10.3934/jimo.2024015" TargetMode="External"/><Relationship Id="rId20" Type="http://schemas.openxmlformats.org/officeDocument/2006/relationships/image" Target="media/image11.png"/><Relationship Id="rId64" Type="http://schemas.openxmlformats.org/officeDocument/2006/relationships/hyperlink" Target="https://ideas.repec.org/h/spr/sprchp/978-981-97-2179-5_3.html" TargetMode="External"/><Relationship Id="rId63" Type="http://schemas.openxmlformats.org/officeDocument/2006/relationships/hyperlink" Target="https://www.researchgate.net/publication/382015670_Mathematical_Models_for_Measuring_Default_Risks" TargetMode="External"/><Relationship Id="rId22" Type="http://schemas.openxmlformats.org/officeDocument/2006/relationships/image" Target="media/image19.png"/><Relationship Id="rId66" Type="http://schemas.openxmlformats.org/officeDocument/2006/relationships/hyperlink" Target="https://blog.paykko.com/blogs/tontine-daret-njangi-quand-lafrique-reinvente-la-finance-solidaire" TargetMode="External"/><Relationship Id="rId21" Type="http://schemas.openxmlformats.org/officeDocument/2006/relationships/image" Target="media/image3.png"/><Relationship Id="rId65" Type="http://schemas.openxmlformats.org/officeDocument/2006/relationships/hyperlink" Target="https://www.agencewebgram.com/2026/02/Digitaliser-la-tontine-traditionnelle-en-Afrique-avec-SmartMifin-Vers-une-institutionnalisation-de-l-epargne-communautaire.html" TargetMode="External"/><Relationship Id="rId24" Type="http://schemas.openxmlformats.org/officeDocument/2006/relationships/image" Target="media/image35.png"/><Relationship Id="rId23" Type="http://schemas.openxmlformats.org/officeDocument/2006/relationships/image" Target="media/image18.png"/><Relationship Id="rId60" Type="http://schemas.openxmlformats.org/officeDocument/2006/relationships/hyperlink" Target="https://www.fields.utoronto.ca/programs/scientific/09-10/finance/courses/hurdnotes2.pdf" TargetMode="External"/><Relationship Id="rId26" Type="http://schemas.openxmlformats.org/officeDocument/2006/relationships/image" Target="media/image26.png"/><Relationship Id="rId25" Type="http://schemas.openxmlformats.org/officeDocument/2006/relationships/image" Target="media/image36.png"/><Relationship Id="rId28" Type="http://schemas.openxmlformats.org/officeDocument/2006/relationships/image" Target="media/image21.png"/><Relationship Id="rId27" Type="http://schemas.openxmlformats.org/officeDocument/2006/relationships/image" Target="media/image4.png"/><Relationship Id="rId29" Type="http://schemas.openxmlformats.org/officeDocument/2006/relationships/image" Target="media/image2.png"/><Relationship Id="rId51" Type="http://schemas.openxmlformats.org/officeDocument/2006/relationships/hyperlink" Target="https://www.etontines-cemac.ga/" TargetMode="External"/><Relationship Id="rId50" Type="http://schemas.openxmlformats.org/officeDocument/2006/relationships/hyperlink" Target="https://kika.africa/" TargetMode="External"/><Relationship Id="rId53" Type="http://schemas.openxmlformats.org/officeDocument/2006/relationships/hyperlink" Target="https://fundinnovation.dev/en/news/tontines-in-cameroon-the-idea-for-tontine-re-first-came-about-from-a-feeling-that-we-needed-to-address-a-form-of-mass-social-injustice-and-offer-social-protection-to-the-most-vulnerable-people" TargetMode="External"/><Relationship Id="rId52" Type="http://schemas.openxmlformats.org/officeDocument/2006/relationships/hyperlink" Target="https://cirkkle.com/blog/top-5-des-applications-de-tontine-digitale-dans-le-monde" TargetMode="External"/><Relationship Id="rId11" Type="http://schemas.openxmlformats.org/officeDocument/2006/relationships/image" Target="media/image29.png"/><Relationship Id="rId55" Type="http://schemas.openxmlformats.org/officeDocument/2006/relationships/hyperlink" Target="https://mymoneymatters.alexforbes.com/twopot.html" TargetMode="External"/><Relationship Id="rId10" Type="http://schemas.openxmlformats.org/officeDocument/2006/relationships/image" Target="media/image41.png"/><Relationship Id="rId54" Type="http://schemas.openxmlformats.org/officeDocument/2006/relationships/hyperlink" Target="https://www.gepf.co.za/wp-content/uploads/2025/01/Two-Pot-system-Booklet-and-Claiming-Process.pdf" TargetMode="External"/><Relationship Id="rId13" Type="http://schemas.openxmlformats.org/officeDocument/2006/relationships/image" Target="media/image22.png"/><Relationship Id="rId57" Type="http://schemas.openxmlformats.org/officeDocument/2006/relationships/hyperlink" Target="https://assets.ctfassets.net/xiwduuy7wt4s/6afmb6tlWPNl7rJy4QEhTI/1b8307ffc96ef10bb521a755c71386be/2024_Q2_Two-pot_savings_withdrawal_approach.pdf" TargetMode="External"/><Relationship Id="rId12" Type="http://schemas.openxmlformats.org/officeDocument/2006/relationships/image" Target="media/image14.png"/><Relationship Id="rId56" Type="http://schemas.openxmlformats.org/officeDocument/2006/relationships/hyperlink" Target="https://www.treasury.gov.za/comm_media/press/2024/2024%20Two-pot%20System%20Updated%20%20FAQ%20August%202024.pdf" TargetMode="External"/><Relationship Id="rId15" Type="http://schemas.openxmlformats.org/officeDocument/2006/relationships/image" Target="media/image31.png"/><Relationship Id="rId59" Type="http://schemas.openxmlformats.org/officeDocument/2006/relationships/hyperlink" Target="https://www.moonstone.co.za/help-clients-to-explore-alternative-options-to-savings-pot-withdrawals/" TargetMode="External"/><Relationship Id="rId14" Type="http://schemas.openxmlformats.org/officeDocument/2006/relationships/image" Target="media/image5.png"/><Relationship Id="rId58" Type="http://schemas.openxmlformats.org/officeDocument/2006/relationships/hyperlink" Target="https://ninetyone.com/en/south-africa/insights/two-pot-retirement-reform/two-pot-withdrawals-meet-market-volatility-the-costly-timing-trap-for-retirement-savers" TargetMode="External"/><Relationship Id="rId17" Type="http://schemas.openxmlformats.org/officeDocument/2006/relationships/image" Target="media/image34.png"/><Relationship Id="rId16" Type="http://schemas.openxmlformats.org/officeDocument/2006/relationships/image" Target="media/image10.png"/><Relationship Id="rId19" Type="http://schemas.openxmlformats.org/officeDocument/2006/relationships/image" Target="media/image40.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