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a94b3da611404d" /><Relationship Type="http://schemas.openxmlformats.org/package/2006/relationships/metadata/core-properties" Target="/package/services/metadata/core-properties/621b036d0d104982bc8fb5a0b748d00a.psmdcp" Id="Re9ae834fe47c4060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Premier SI Dashboard Research Report</w:t>
      </w:r>
    </w:p>
    <w:p>
      <w:pPr>
        <w:pStyle w:val="heading1"/>
      </w:pPr>
      <w:bookmarkStart w:name="designing_a_premier_system_intelligence_si_dashboard_architecture_automation_protection_connectors_ui_ux_operational_modes_appsonair_integration_and_non_negotiable_requirements" w:id="1"/>
      <w:r>
        <w:t>Designing a Premier System Intelligence (SI) Dashboard: Architecture, Automation, Protection, Connectors, UI/UX, Operational Modes, AppsOnAir Integration, and Non-Negotiable Requirements</w:t>
      </w:r>
      <w:bookmarkEnd w:id="1"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introduction" w:id="2"/>
      <w:r>
        <w:t>Introduction</w:t>
      </w:r>
      <w:bookmarkEnd w:id="2"/>
    </w:p>
    <w:p>
      <w:r>
        <w:t xml:space="preserve">The evolution of enterprise automation and intelligence platforms has reached a critical inflection point. Modern organizations demand not just data aggregation or workflow automation, but a </w:t>
      </w:r>
      <w:r>
        <w:rPr>
          <w:b/>
        </w:rPr>
        <w:t>System Intelligence (SI) dashboard</w:t>
      </w:r>
      <w:r>
        <w:t xml:space="preserve"> that is fully automated, secure, and uniquely capable of orchestrating complex, agentic AI workflows across diverse enterprise systems. This report presents a comprehensive blueprint for a premier SI dashboard that surpasses leading tools such as n8n and Loable, focusing on a layered architecture, robust automation guarantees, multi-dimensional protection mechanisms, advanced feed and insight delivery, seamless connector integration, enterprise-grade UI/UX, operational modes, AppsOnAir-powered app shell, and a rigorous, non-negotiable requirements checklist.</w:t>
      </w:r>
    </w:p>
    <w:p>
      <w:r>
        <w:t>The analysis synthesizes best practices and technical insights from recent literature, case studies, and enterprise frameworks, ensuring every claim is grounded in authoritative references. The result is a cohesive, actionable guide for designing and implementing a next-generation SI dashboard that is secure, autonomous, and tailored for enterprise uniqueness.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i_architecture_layers_a_modern_blueprint" w:id="3"/>
      <w:r>
        <w:t>SI Architecture Layers: A Modern Blueprint</w:t>
      </w:r>
      <w:bookmarkEnd w:id="3"/>
    </w:p>
    <w:p>
      <w:pPr>
        <w:pStyle w:val="heading3"/>
      </w:pPr>
      <w:bookmarkStart w:name="the_rationale_for_layered_architecture" w:id="4"/>
      <w:r>
        <w:t>The Rationale for Layered Architecture</w:t>
      </w:r>
      <w:bookmarkEnd w:id="4"/>
    </w:p>
    <w:p>
      <w:r>
        <w:t xml:space="preserve">A robust SI dashboard must be underpinned by a </w:t>
      </w:r>
      <w:r>
        <w:rPr>
          <w:b/>
        </w:rPr>
        <w:t>multi-layered architecture</w:t>
      </w:r>
      <w:r>
        <w:t xml:space="preserve"> that separates concerns, enables modularity, and supports enterprise-scale governance. Leading frameworks in AI and enterprise architecture consistently advocate for such a layered approach, mapping from physical infrastructure to user-facing applications</w:t>
      </w:r>
      <w:r>
        <w:rPr>
          <w:vertAlign w:val="superscript"/>
        </w:rPr>
        <w:t>1</w:t>
      </w:r>
      <w:r>
        <w:t>.</w:t>
      </w:r>
    </w:p>
    <w:p>
      <w:pPr>
        <w:pStyle w:val="heading3"/>
      </w:pPr>
      <w:bookmarkStart w:name="si_layer_model_mapping_to_enterprise_needs" w:id="5"/>
      <w:r>
        <w:t>SI Layer Model: Mapping to Enterprise Needs</w:t>
      </w:r>
      <w:bookmarkEnd w:id="5"/>
    </w:p>
    <w:p>
      <w:r>
        <w:t>The SI dashboard architecture can be conceptualized as comprising the following layers, each with distinct roles and governance requirements: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Layer</w:t>
            </w:r>
          </w:p>
        </w:tc>
        <w:tc>
          <w:p>
            <w:r>
              <w:t>Core Functionality</w:t>
            </w:r>
          </w:p>
        </w:tc>
        <w:tc>
          <w:p>
            <w:r>
              <w:t>Enterprise Considerations</w:t>
            </w:r>
          </w:p>
        </w:tc>
      </w:tr>
      <w:tr>
        <w:tc>
          <w:p>
            <w:r>
              <w:t>Experience Layer</w:t>
            </w:r>
          </w:p>
        </w:tc>
        <w:tc>
          <w:p>
            <w:r>
              <w:t>User-facing surfaces (console, projects, feed, etc.)</w:t>
            </w:r>
          </w:p>
        </w:tc>
        <w:tc>
          <w:p>
            <w:r>
              <w:t>Glanceability, personalization, explainability, feedback</w:t>
            </w:r>
          </w:p>
        </w:tc>
      </w:tr>
      <w:tr>
        <w:tc>
          <w:p>
            <w:r>
              <w:t>Orchestration Layer</w:t>
            </w:r>
          </w:p>
        </w:tc>
        <w:tc>
          <w:p>
            <w:r>
              <w:t>Agent/workflow orchestration, automation engine</w:t>
            </w:r>
          </w:p>
        </w:tc>
        <w:tc>
          <w:p>
            <w:r>
              <w:t>Multi-agent coordination, workflow management, SLOs</w:t>
            </w:r>
          </w:p>
        </w:tc>
      </w:tr>
      <w:tr>
        <w:tc>
          <w:p>
            <w:r>
              <w:t>AI Core Layer</w:t>
            </w:r>
          </w:p>
        </w:tc>
        <w:tc>
          <w:p>
            <w:r>
              <w:t>Models, memory, planning, LLM orchestration</w:t>
            </w:r>
          </w:p>
        </w:tc>
        <w:tc>
          <w:p>
            <w:r>
              <w:t>Model governance, persistent agents, explainability</w:t>
            </w:r>
          </w:p>
        </w:tc>
      </w:tr>
      <w:tr>
        <w:tc>
          <w:p>
            <w:r>
              <w:t>Connectors Layer</w:t>
            </w:r>
          </w:p>
        </w:tc>
        <w:tc>
          <w:p>
            <w:r>
              <w:t>Integration with files, notes, emails, tasks, etc.</w:t>
            </w:r>
          </w:p>
        </w:tc>
        <w:tc>
          <w:p>
            <w:r>
              <w:t>Security, DLP, extensibility, auditability</w:t>
            </w:r>
          </w:p>
        </w:tc>
      </w:tr>
      <w:tr>
        <w:tc>
          <w:p>
            <w:r>
              <w:t>Data/Security Layer</w:t>
            </w:r>
          </w:p>
        </w:tc>
        <w:tc>
          <w:p>
            <w:r>
              <w:t>Data storage, encryption, access control</w:t>
            </w:r>
          </w:p>
        </w:tc>
        <w:tc>
          <w:p>
            <w:r>
              <w:t>Compliance, privacy, in-use encryption, DLP</w:t>
            </w:r>
          </w:p>
        </w:tc>
      </w:tr>
      <w:tr>
        <w:tc>
          <w:p>
            <w:r>
              <w:t>Guardian Layer</w:t>
            </w:r>
          </w:p>
        </w:tc>
        <w:tc>
          <w:p>
            <w:r>
              <w:t>Protection, oversight, explainability, audit trails</w:t>
            </w:r>
          </w:p>
        </w:tc>
        <w:tc>
          <w:p>
            <w:r>
              <w:t>Human-in-the-loop, override, attention/reputation controls</w:t>
            </w:r>
          </w:p>
        </w:tc>
      </w:tr>
      <w:tr>
        <w:tc>
          <w:p>
            <w:r>
              <w:t>Feed Layer</w:t>
            </w:r>
          </w:p>
        </w:tc>
        <w:tc>
          <w:p>
            <w:r>
              <w:t>Insight delivery (briefs, micro-updates, deep dives)</w:t>
            </w:r>
          </w:p>
        </w:tc>
        <w:tc>
          <w:p>
            <w:r>
              <w:t>Personalization, notification management, attention budget</w:t>
            </w:r>
          </w:p>
        </w:tc>
      </w:tr>
    </w:tbl>
    <w:p>
      <w:r>
        <w:rPr>
          <w:b/>
        </w:rPr>
        <w:t>Figure (Described):</w:t>
      </w:r>
      <w:r>
        <w:br/>
      </w:r>
      <w:r>
        <w:t>A diagram would show these layers stacked, with arrows indicating data and control flow from the physical/data/security layers upward to the experience layer, and feedback loops from the guardian and feed layers back into orchestration and AI core.</w:t>
      </w:r>
    </w:p>
    <w:p>
      <w:pPr>
        <w:pStyle w:val="heading3"/>
      </w:pPr>
      <w:bookmarkStart w:name="alignment_with_industry_standards" w:id="6"/>
      <w:r>
        <w:t>Alignment with Industry Standards</w:t>
      </w:r>
      <w:bookmarkEnd w:id="6"/>
    </w:p>
    <w:p>
      <w:r>
        <w:t>This layered approach aligns with TOGAF, BIAN, and modern AI system design best practices, ensuring that each layer is governed, observable, and auditable</w:t>
      </w:r>
      <w:r>
        <w:rPr>
          <w:vertAlign w:val="superscript"/>
        </w:rPr>
        <w:t>1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experience_layer_user_facing_surfaces" w:id="7"/>
      <w:r>
        <w:t>Experience Layer: User-Facing Surfaces</w:t>
      </w:r>
      <w:bookmarkEnd w:id="7"/>
    </w:p>
    <w:p>
      <w:pPr>
        <w:pStyle w:val="heading3"/>
      </w:pPr>
      <w:bookmarkStart w:name="surface_overview" w:id="8"/>
      <w:r>
        <w:t>Surface Overview</w:t>
      </w:r>
      <w:bookmarkEnd w:id="8"/>
    </w:p>
    <w:p>
      <w:r>
        <w:t xml:space="preserve">The </w:t>
      </w:r>
      <w:r>
        <w:rPr>
          <w:b/>
        </w:rPr>
        <w:t>experience layer</w:t>
      </w:r>
      <w:r>
        <w:t xml:space="preserve"> is the primary interface between users and the SI system. It must deliver clarity, actionable insights, and progressive disclosure, while supporting multiple interaction paradigms: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Console:</w:t>
      </w:r>
      <w:r>
        <w:t xml:space="preserve"> Central command and control, search, and quick actions.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Projects Tab:</w:t>
      </w:r>
      <w:r>
        <w:t xml:space="preserve"> Organizes work by context, supporting deep dives and project-level dashboards.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Guardian Tab:</w:t>
      </w:r>
      <w:r>
        <w:t xml:space="preserve"> Surfaces protection status, audit trails, and explainability features.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Feed Tab:</w:t>
      </w:r>
      <w:r>
        <w:t xml:space="preserve"> Delivers daily briefs, micro-updates, and deep dives.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Brain Tab:</w:t>
      </w:r>
      <w:r>
        <w:t xml:space="preserve"> Provides access to persistent memory, agent configuration, and advanced planning.</w:t>
      </w:r>
    </w:p>
    <w:p>
      <w:pPr>
        <w:pStyle w:val="heading3"/>
      </w:pPr>
      <w:bookmarkStart w:name="design_principles" w:id="9"/>
      <w:r>
        <w:t>Design Principles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</w:rPr>
        <w:t>Glanceability:</w:t>
      </w:r>
      <w:r>
        <w:t xml:space="preserve"> Key metrics and alerts are visible at a glance, reducing cognitive load</w:t>
      </w:r>
      <w:r>
        <w:rPr>
          <w:vertAlign w:val="superscript"/>
        </w:rPr>
        <w:t>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Progressive Disclosure:</w:t>
      </w:r>
      <w:r>
        <w:t xml:space="preserve"> Users start with high-level summaries and can drill down for detail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Motion Cues:</w:t>
      </w:r>
      <w:r>
        <w:t xml:space="preserve"> Subtle animations highlight changes and guide attention without distraction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Latency Budgeting:</w:t>
      </w:r>
      <w:r>
        <w:t xml:space="preserve"> All surfaces must render within strict latency targets (e.g., &lt;100ms per card) to support real-time decision-making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Accessibility:</w:t>
      </w:r>
      <w:r>
        <w:t xml:space="preserve"> High contrast, keyboard navigation, and ARIA live regions for significant changes</w:t>
      </w:r>
      <w:r>
        <w:rPr>
          <w:vertAlign w:val="superscript"/>
        </w:rPr>
        <w:t>3</w:t>
      </w:r>
      <w:r>
        <w:t>.</w:t>
      </w:r>
    </w:p>
    <w:p>
      <w:pPr>
        <w:pStyle w:val="heading3"/>
      </w:pPr>
      <w:bookmarkStart w:name="interaction_patterns" w:id="10"/>
      <w:r>
        <w:t>Interaction Patterns</w:t>
      </w:r>
      <w:bookmarkEnd w:id="10"/>
    </w:p>
    <w:p>
      <w:pPr>
        <w:pStyle w:val="ListParagraph"/>
        <w:numPr>
          <w:ilvl w:val="0"/>
          <w:numId w:val="3"/>
        </w:numPr>
      </w:pPr>
      <w:r>
        <w:rPr>
          <w:b/>
        </w:rPr>
        <w:t>Command Palette:</w:t>
      </w:r>
      <w:r>
        <w:t xml:space="preserve"> Universal search and action launcher (e.g., ⌘+K/ctrl+K), enabling fast navigation and task execution</w:t>
      </w:r>
      <w:r>
        <w:rPr>
          <w:vertAlign w:val="superscript"/>
        </w:rPr>
        <w:t>4</w:t>
      </w:r>
      <w:r>
        <w:t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Personalization:</w:t>
      </w:r>
      <w:r>
        <w:t xml:space="preserve"> Users can customize which metrics, projects, and feeds are prioritized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Notification Management:</w:t>
      </w:r>
      <w:r>
        <w:t xml:space="preserve"> Integrated with attention protection mechanisms (see below).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orchestration_layer_agentic_automation_engine" w:id="11"/>
      <w:r>
        <w:t>Orchestration Layer: Agentic Automation Engine</w:t>
      </w:r>
      <w:bookmarkEnd w:id="11"/>
    </w:p>
    <w:p>
      <w:pPr>
        <w:pStyle w:val="heading3"/>
      </w:pPr>
      <w:bookmarkStart w:name="agentic_orchestration_beyond_traditional_automation" w:id="12"/>
      <w:r>
        <w:t>Agentic Orchestration: Beyond Traditional Automation</w:t>
      </w:r>
      <w:bookmarkEnd w:id="12"/>
    </w:p>
    <w:p>
      <w:r>
        <w:t xml:space="preserve">The orchestration layer is responsible for </w:t>
      </w:r>
      <w:r>
        <w:rPr>
          <w:b/>
        </w:rPr>
        <w:t>coordinating agentic workflows</w:t>
      </w:r>
      <w:r>
        <w:t>, managing state, and ensuring robust automation. Unlike traditional workflow engines, agentic orchestration must handle: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Multi-agent collaboration:</w:t>
      </w:r>
      <w:r>
        <w:t xml:space="preserve"> Specialized agents for retrieval, reasoning, validation, and monitoring</w:t>
      </w:r>
      <w:r>
        <w:rPr>
          <w:vertAlign w:val="superscript"/>
        </w:rPr>
        <w:t>5</w:t>
      </w:r>
      <w:r>
        <w:rPr>
          <w:vertAlign w:val="superscript"/>
        </w:rPr>
        <w:t>6</w:t>
      </w:r>
      <w:r>
        <w:t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Dynamic planning:</w:t>
      </w:r>
      <w:r>
        <w:t xml:space="preserve"> Tasks are decomposed and delegated in real time, with context-aware routing</w:t>
      </w:r>
      <w:r>
        <w:rPr>
          <w:vertAlign w:val="superscript"/>
        </w:rPr>
        <w:t>5</w:t>
      </w:r>
      <w:r>
        <w:rPr>
          <w:vertAlign w:val="superscript"/>
        </w:rPr>
        <w:t>6</w:t>
      </w:r>
      <w:r>
        <w:t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Memory and context management:</w:t>
      </w:r>
      <w:r>
        <w:t xml:space="preserve"> Persistent and ephemeral memory for agents, supporting long-term context and learning</w:t>
      </w:r>
      <w:r>
        <w:rPr>
          <w:vertAlign w:val="superscript"/>
        </w:rPr>
        <w:t>7</w:t>
      </w:r>
      <w:r>
        <w:t>.</w:t>
      </w:r>
    </w:p>
    <w:p>
      <w:pPr>
        <w:pStyle w:val="heading3"/>
      </w:pPr>
      <w:bookmarkStart w:name="orchestration_patterns" w:id="13"/>
      <w:r>
        <w:t>Orchestration Patterns</w:t>
      </w:r>
      <w:bookmarkEnd w:id="13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Pattern</w:t>
            </w:r>
          </w:p>
        </w:tc>
        <w:tc>
          <w:p>
            <w:r>
              <w:t>Description</w:t>
            </w:r>
          </w:p>
        </w:tc>
        <w:tc>
          <w:p>
            <w:r>
              <w:t>Use Case Example</w:t>
            </w:r>
          </w:p>
        </w:tc>
      </w:tr>
      <w:tr>
        <w:tc>
          <w:p>
            <w:r>
              <w:t>Centralized</w:t>
            </w:r>
          </w:p>
        </w:tc>
        <w:tc>
          <w:p>
            <w:r>
              <w:t>Single orchestrator assigns and coordinates tasks</w:t>
            </w:r>
          </w:p>
        </w:tc>
        <w:tc>
          <w:p>
            <w:r>
              <w:t>Financial underwriting workflow</w:t>
            </w:r>
          </w:p>
        </w:tc>
      </w:tr>
      <w:tr>
        <w:tc>
          <w:p>
            <w:r>
              <w:t>Hierarchical</w:t>
            </w:r>
          </w:p>
        </w:tc>
        <w:tc>
          <w:p>
            <w:r>
              <w:t>Tiered manager-subordinate relationships</w:t>
            </w:r>
          </w:p>
        </w:tc>
        <w:tc>
          <w:p>
            <w:r>
              <w:t>Multi-department process automation</w:t>
            </w:r>
          </w:p>
        </w:tc>
      </w:tr>
      <w:tr>
        <w:tc>
          <w:p>
            <w:r>
              <w:t>Decentralized</w:t>
            </w:r>
          </w:p>
        </w:tc>
        <w:tc>
          <w:p>
            <w:r>
              <w:t>Agents interact directly, peer-to-peer</w:t>
            </w:r>
          </w:p>
        </w:tc>
        <w:tc>
          <w:p>
            <w:r>
              <w:t>Collaborative research assistants</w:t>
            </w:r>
          </w:p>
        </w:tc>
      </w:tr>
      <w:tr>
        <w:tc>
          <w:p>
            <w:r>
              <w:t>Federated</w:t>
            </w:r>
          </w:p>
        </w:tc>
        <w:tc>
          <w:p>
            <w:r>
              <w:t>Cross-organizational or siloed collaboration</w:t>
            </w:r>
          </w:p>
        </w:tc>
        <w:tc>
          <w:p>
            <w:r>
              <w:t>Supply chain, regulatory compliance</w:t>
            </w:r>
          </w:p>
        </w:tc>
      </w:tr>
    </w:tbl>
    <w:p>
      <w:r>
        <w:rPr>
          <w:b/>
        </w:rPr>
        <w:t>Figure (Described):</w:t>
      </w:r>
      <w:r>
        <w:br/>
      </w:r>
      <w:r>
        <w:t>A diagram would show a central orchestrator routing tasks to specialized agents, with feedback loops for validation and escalation.</w:t>
      </w:r>
    </w:p>
    <w:p>
      <w:pPr>
        <w:pStyle w:val="heading3"/>
      </w:pPr>
      <w:bookmarkStart w:name="automation_guarantees" w:id="14"/>
      <w:r>
        <w:t>Automation Guarantees</w:t>
      </w:r>
      <w:bookmarkEnd w:id="14"/>
    </w:p>
    <w:p>
      <w:pPr>
        <w:pStyle w:val="ListParagraph"/>
        <w:numPr>
          <w:ilvl w:val="0"/>
          <w:numId w:val="5"/>
        </w:numPr>
      </w:pPr>
      <w:r>
        <w:rPr>
          <w:b/>
        </w:rPr>
        <w:t>Autonomy Model:</w:t>
      </w:r>
      <w:r>
        <w:t xml:space="preserve"> The system operates at the highest autonomy level, with the user observing and providing ideas only; human-in-the-loop is invoked only for exceptions or high-risk actions</w:t>
      </w:r>
      <w:r>
        <w:rPr>
          <w:vertAlign w:val="superscript"/>
        </w:rPr>
        <w:t>8</w:t>
      </w:r>
      <w:r>
        <w:t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Fail-Safe Mechanisms:</w:t>
      </w:r>
      <w:r>
        <w:t xml:space="preserve"> Automation is bounded by error budgets, SLOs, and escalation thresholds; agents throttle or escalate when confidence drops or error budgets are exhausted</w:t>
      </w:r>
      <w:r>
        <w:rPr>
          <w:vertAlign w:val="superscript"/>
        </w:rPr>
        <w:t>9</w:t>
      </w:r>
      <w:r>
        <w:t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Observability:</w:t>
      </w:r>
      <w:r>
        <w:t xml:space="preserve"> Full tracing, metrics, and root cause analysis for every workflow and agent decision</w:t>
      </w:r>
      <w:r>
        <w:rPr>
          <w:vertAlign w:val="superscript"/>
        </w:rPr>
        <w:t>10</w:t>
      </w:r>
      <w:r>
        <w:rPr>
          <w:vertAlign w:val="superscript"/>
        </w:rPr>
        <w:t>9</w:t>
      </w:r>
      <w:r>
        <w:t>.</w:t>
      </w:r>
    </w:p>
    <w:p>
      <w:pPr>
        <w:pStyle w:val="heading3"/>
      </w:pPr>
      <w:bookmarkStart w:name="comparison_with_n8n_and_loable" w:id="15"/>
      <w:r>
        <w:t>Comparison with n8n and Loable</w:t>
      </w:r>
      <w:bookmarkEnd w:id="15"/>
    </w:p>
    <w:p>
      <w:r>
        <w:t>While n8n and Loable provide visual workflow automation and agent orchestration, they lack the depth of agentic autonomy, persistent memory, and multi-layered protection required for enterprise-grade SI dashboards</w:t>
      </w:r>
      <w:r>
        <w:rPr>
          <w:vertAlign w:val="superscript"/>
        </w:rPr>
        <w:t>11</w:t>
      </w:r>
      <w:r>
        <w:rPr>
          <w:vertAlign w:val="superscript"/>
        </w:rPr>
        <w:t>12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i_core_layer_models_memory_planning_and_governance" w:id="16"/>
      <w:r>
        <w:t>AI Core Layer: Models, Memory, Planning, and Governance</w:t>
      </w:r>
      <w:bookmarkEnd w:id="16"/>
    </w:p>
    <w:p>
      <w:pPr>
        <w:pStyle w:val="heading3"/>
      </w:pPr>
      <w:bookmarkStart w:name="core_components" w:id="17"/>
      <w:r>
        <w:t>Core Components</w:t>
      </w:r>
      <w:bookmarkEnd w:id="17"/>
    </w:p>
    <w:p>
      <w:pPr>
        <w:pStyle w:val="ListParagraph"/>
        <w:numPr>
          <w:ilvl w:val="0"/>
          <w:numId w:val="6"/>
        </w:numPr>
      </w:pPr>
      <w:r>
        <w:rPr>
          <w:b/>
        </w:rPr>
        <w:t>Model Orchestration:</w:t>
      </w:r>
      <w:r>
        <w:t xml:space="preserve"> Supports multiple LLMs and specialized models, with dynamic selection and routing based on task requirements</w:t>
      </w:r>
      <w:r>
        <w:rPr>
          <w:vertAlign w:val="superscript"/>
        </w:rPr>
        <w:t>1</w:t>
      </w:r>
      <w:r>
        <w:rPr>
          <w:vertAlign w:val="superscript"/>
        </w:rPr>
        <w:t>13</w:t>
      </w:r>
      <w:r>
        <w:t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Persistent Agents:</w:t>
      </w:r>
      <w:r>
        <w:t xml:space="preserve"> Agents retain context, learn over time, and adapt to user preferences and organizational goals</w:t>
      </w:r>
      <w:r>
        <w:rPr>
          <w:vertAlign w:val="superscript"/>
        </w:rPr>
        <w:t>7</w:t>
      </w:r>
      <w:r>
        <w:t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Memory Systems:</w:t>
      </w:r>
      <w:r>
        <w:t xml:space="preserve"> Vector databases and structured memory subsystems for long-term and short-term recall, supporting RAG (Retrieval-Augmented Generation) and context-aware reasoning</w:t>
      </w:r>
      <w:r>
        <w:rPr>
          <w:vertAlign w:val="superscript"/>
        </w:rPr>
        <w:t>7</w:t>
      </w:r>
      <w:r>
        <w:t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Model Governance:</w:t>
      </w:r>
      <w:r>
        <w:t xml:space="preserve"> Model registry, versioning, approval workflows, and risk management to ensure compliance and traceability</w:t>
      </w:r>
      <w:r>
        <w:rPr>
          <w:vertAlign w:val="superscript"/>
        </w:rPr>
        <w:t>14</w:t>
      </w:r>
      <w:r>
        <w:rPr>
          <w:vertAlign w:val="superscript"/>
        </w:rPr>
        <w:t>15</w:t>
      </w:r>
      <w:r>
        <w:t>.</w:t>
      </w:r>
    </w:p>
    <w:p>
      <w:pPr>
        <w:pStyle w:val="heading3"/>
      </w:pPr>
      <w:bookmarkStart w:name="model_risk_management" w:id="18"/>
      <w:r>
        <w:t>Model Risk Management</w:t>
      </w:r>
      <w:bookmarkEnd w:id="18"/>
    </w:p>
    <w:p>
      <w:pPr>
        <w:pStyle w:val="ListParagraph"/>
        <w:numPr>
          <w:ilvl w:val="0"/>
          <w:numId w:val="7"/>
        </w:numPr>
      </w:pPr>
      <w:r>
        <w:rPr>
          <w:b/>
        </w:rPr>
        <w:t>Explainability:</w:t>
      </w:r>
      <w:r>
        <w:t xml:space="preserve"> All model outputs are accompanied by explanations, provenance, and confidence scores</w:t>
      </w:r>
      <w:r>
        <w:rPr>
          <w:vertAlign w:val="superscript"/>
        </w:rPr>
        <w:t>16</w:t>
      </w:r>
      <w:r>
        <w:t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Bias and Fairness:</w:t>
      </w:r>
      <w:r>
        <w:t xml:space="preserve"> Continuous monitoring for bias, with participatory evaluation and outcome-level disparity tracking</w:t>
      </w:r>
      <w:r>
        <w:rPr>
          <w:vertAlign w:val="superscript"/>
        </w:rPr>
        <w:t>17</w:t>
      </w:r>
      <w:r>
        <w:t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Audit Trails:</w:t>
      </w:r>
      <w:r>
        <w:t xml:space="preserve"> Every model invocation, prompt, and response is logged for auditability and compliance</w:t>
      </w:r>
      <w:r>
        <w:rPr>
          <w:vertAlign w:val="superscript"/>
        </w:rPr>
        <w:t>16</w:t>
      </w:r>
      <w:r>
        <w:rPr>
          <w:vertAlign w:val="superscript"/>
        </w:rPr>
        <w:t>18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nnectors_and_integration_strategy" w:id="19"/>
      <w:r>
        <w:t>Connectors and Integration Strategy</w:t>
      </w:r>
      <w:bookmarkEnd w:id="19"/>
    </w:p>
    <w:p>
      <w:pPr>
        <w:pStyle w:val="heading3"/>
      </w:pPr>
      <w:bookmarkStart w:name="connector_ecosystem" w:id="20"/>
      <w:r>
        <w:t>Connector Ecosystem</w:t>
      </w:r>
      <w:bookmarkEnd w:id="20"/>
    </w:p>
    <w:p>
      <w:r>
        <w:t>The SI dashboard must integrate with a wide range of enterprise systems, including: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Files:</w:t>
      </w:r>
      <w:r>
        <w:t xml:space="preserve"> SharePoint, Google Drive, Dropbox, Box, Egnyte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Notes:</w:t>
      </w:r>
      <w:r>
        <w:t xml:space="preserve"> Notion, Confluence, SharePoint Wiki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Emails:</w:t>
      </w:r>
      <w:r>
        <w:t xml:space="preserve"> Outlook, Gmail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Tasks:</w:t>
      </w:r>
      <w:r>
        <w:t xml:space="preserve"> Jira, Asana, Linear, Azure Boards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Calendar:</w:t>
      </w:r>
      <w:r>
        <w:t xml:space="preserve"> Outlook Calendar, Google Calendar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Logs and Metrics:</w:t>
      </w:r>
      <w:r>
        <w:t xml:space="preserve"> Application logs, system metrics, Power BI, Grafana.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Repos:</w:t>
      </w:r>
      <w:r>
        <w:t xml:space="preserve"> GitHub, GitLab, Azure DevOps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Security Sources:</w:t>
      </w:r>
      <w:r>
        <w:t xml:space="preserve"> SIEM, DLP, endpoint security, audit logs</w:t>
      </w:r>
      <w:r>
        <w:rPr>
          <w:vertAlign w:val="superscript"/>
        </w:rPr>
        <w:t>20</w:t>
      </w:r>
      <w:r>
        <w:rPr>
          <w:vertAlign w:val="superscript"/>
        </w:rPr>
        <w:t>21</w:t>
      </w:r>
      <w:r>
        <w:t>.</w:t>
      </w:r>
    </w:p>
    <w:p>
      <w:pPr>
        <w:pStyle w:val="heading3"/>
      </w:pPr>
      <w:bookmarkStart w:name="connector_integration_patterns" w:id="21"/>
      <w:r>
        <w:t>Connector Integration Patterns</w:t>
      </w:r>
      <w:bookmarkEnd w:id="21"/>
    </w:p>
    <w:p>
      <w:pPr>
        <w:pStyle w:val="ListParagraph"/>
        <w:numPr>
          <w:ilvl w:val="0"/>
          <w:numId w:val="9"/>
        </w:numPr>
      </w:pPr>
      <w:r>
        <w:rPr>
          <w:b/>
        </w:rPr>
        <w:t>Standard Connectors:</w:t>
      </w:r>
      <w:r>
        <w:t xml:space="preserve"> Pre-built integrations for common SaaS and on-premises systems, with support for authentication, RBAC, and DLP policies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Custom Connectors:</w:t>
      </w:r>
      <w:r>
        <w:t xml:space="preserve"> Support for building and registering custom connectors via open standards (e.g., MCP)</w:t>
      </w:r>
      <w:r>
        <w:rPr>
          <w:vertAlign w:val="superscript"/>
        </w:rPr>
        <w:t>22</w:t>
      </w:r>
      <w:r>
        <w:t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Connector Governance:</w:t>
      </w:r>
      <w:r>
        <w:t xml:space="preserve"> Administrators can enable/disable connectors, set action-level permissions (read/write), and enforce DLP and compliance policies</w:t>
      </w:r>
      <w:r>
        <w:rPr>
          <w:vertAlign w:val="superscript"/>
        </w:rPr>
        <w:t>22</w:t>
      </w:r>
      <w:r>
        <w:t>.</w:t>
      </w:r>
    </w:p>
    <w:p>
      <w:pPr>
        <w:pStyle w:val="heading3"/>
      </w:pPr>
      <w:bookmarkStart w:name="automation_and_security" w:id="22"/>
      <w:r>
        <w:t>Automation and Security</w:t>
      </w:r>
      <w:bookmarkEnd w:id="22"/>
    </w:p>
    <w:p>
      <w:pPr>
        <w:pStyle w:val="ListParagraph"/>
        <w:numPr>
          <w:ilvl w:val="0"/>
          <w:numId w:val="10"/>
        </w:numPr>
      </w:pPr>
      <w:r>
        <w:rPr>
          <w:b/>
        </w:rPr>
        <w:t>Automated Ingestion:</w:t>
      </w:r>
      <w:r>
        <w:t xml:space="preserve"> Files, emails, and reports are automatically ingested, indexed, and made available for RAG and agent workflows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DLP Enforcement:</w:t>
      </w:r>
      <w:r>
        <w:t xml:space="preserve"> Data loss prevention policies are enforced at the connector and flow level, with real-time suspension of non-compliant flows</w:t>
      </w:r>
      <w:r>
        <w:rPr>
          <w:vertAlign w:val="superscript"/>
        </w:rPr>
        <w:t>23</w:t>
      </w:r>
      <w:r>
        <w:rPr>
          <w:vertAlign w:val="superscript"/>
        </w:rPr>
        <w:t>22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Audit Logging:</w:t>
      </w:r>
      <w:r>
        <w:t xml:space="preserve"> Every connector invocation is logged, with full traceability for compliance and incident response</w:t>
      </w:r>
      <w:r>
        <w:rPr>
          <w:vertAlign w:val="superscript"/>
        </w:rPr>
        <w:t>16</w:t>
      </w:r>
      <w:r>
        <w:rPr>
          <w:vertAlign w:val="superscript"/>
        </w:rPr>
        <w:t>21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data_security_layer_protection_mechanisms" w:id="23"/>
      <w:r>
        <w:t>Data/Security Layer: Protection Mechanisms</w:t>
      </w:r>
      <w:bookmarkEnd w:id="23"/>
    </w:p>
    <w:p>
      <w:pPr>
        <w:pStyle w:val="heading3"/>
      </w:pPr>
      <w:bookmarkStart w:name="data_protection" w:id="24"/>
      <w:r>
        <w:t>Data Protection</w:t>
      </w:r>
      <w:bookmarkEnd w:id="24"/>
    </w:p>
    <w:p>
      <w:pPr>
        <w:pStyle w:val="ListParagraph"/>
        <w:numPr>
          <w:ilvl w:val="0"/>
          <w:numId w:val="11"/>
        </w:numPr>
      </w:pPr>
      <w:r>
        <w:rPr>
          <w:b/>
        </w:rPr>
        <w:t>Encryption:</w:t>
      </w:r>
      <w:r>
        <w:t xml:space="preserve"> All data is encrypted at rest (AES-256) and in transit (TLS 1.3); support for customer-managed keys and HSM integration</w:t>
      </w:r>
      <w:r>
        <w:rPr>
          <w:vertAlign w:val="superscript"/>
        </w:rPr>
        <w:t>20</w:t>
      </w:r>
      <w:r>
        <w:rPr>
          <w:vertAlign w:val="superscript"/>
        </w:rPr>
        <w:t>21</w:t>
      </w:r>
      <w:r>
        <w:t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DLP (Data Loss Prevention):</w:t>
      </w:r>
      <w:r>
        <w:t xml:space="preserve"> Endpoint and cloud-managed DLP enforce policies on data in use, in transit, and at rest, including AI tool usage, clipboard, email, and cloud sync</w:t>
      </w:r>
      <w:r>
        <w:rPr>
          <w:vertAlign w:val="superscript"/>
        </w:rPr>
        <w:t>20</w:t>
      </w:r>
      <w:r>
        <w:rPr>
          <w:vertAlign w:val="superscript"/>
        </w:rPr>
        <w:t>22</w:t>
      </w:r>
      <w:r>
        <w:t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Access Controls:</w:t>
      </w:r>
      <w:r>
        <w:t xml:space="preserve"> RBAC, ABAC, and intent-based access control for all data and tool access; least privilege enforced by default</w:t>
      </w:r>
      <w:r>
        <w:rPr>
          <w:vertAlign w:val="superscript"/>
        </w:rPr>
        <w:t>21</w:t>
      </w:r>
      <w:r>
        <w:t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In-Use Encryption:</w:t>
      </w:r>
      <w:r>
        <w:t xml:space="preserve"> Data is protected even during processing, with on-device classification and sandboxed execution for sensitive operations</w:t>
      </w:r>
      <w:r>
        <w:rPr>
          <w:vertAlign w:val="superscript"/>
        </w:rPr>
        <w:t>21</w:t>
      </w:r>
      <w:r>
        <w:t>.</w:t>
      </w:r>
    </w:p>
    <w:p>
      <w:pPr>
        <w:pStyle w:val="heading3"/>
      </w:pPr>
      <w:bookmarkStart w:name="decision_protection" w:id="25"/>
      <w:r>
        <w:t>Decision Protection</w:t>
      </w:r>
      <w:bookmarkEnd w:id="25"/>
    </w:p>
    <w:p>
      <w:pPr>
        <w:pStyle w:val="ListParagraph"/>
        <w:numPr>
          <w:ilvl w:val="0"/>
          <w:numId w:val="12"/>
        </w:numPr>
      </w:pPr>
      <w:r>
        <w:rPr>
          <w:b/>
        </w:rPr>
        <w:t>Audit Trails:</w:t>
      </w:r>
      <w:r>
        <w:t xml:space="preserve"> Immutable logs of all decisions, tool calls, and agent actions; exportable in multiple formats for compliance and forensics</w:t>
      </w:r>
      <w:r>
        <w:rPr>
          <w:vertAlign w:val="superscript"/>
        </w:rPr>
        <w:t>16</w:t>
      </w:r>
      <w:r>
        <w:rPr>
          <w:vertAlign w:val="superscript"/>
        </w:rPr>
        <w:t>18</w:t>
      </w:r>
      <w:r>
        <w:t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Explainability:</w:t>
      </w:r>
      <w:r>
        <w:t xml:space="preserve"> All decisions are accompanied by explanations, provenance, and confidence scores; users can trace every output to its source and reasoning chain</w:t>
      </w:r>
      <w:r>
        <w:rPr>
          <w:vertAlign w:val="superscript"/>
        </w:rPr>
        <w:t>16</w:t>
      </w:r>
      <w:r>
        <w:rPr>
          <w:vertAlign w:val="superscript"/>
        </w:rPr>
        <w:t>18</w:t>
      </w:r>
      <w:r>
        <w:t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Human Override:</w:t>
      </w:r>
      <w:r>
        <w:t xml:space="preserve"> Human-in-the-loop and on-the-loop configurations allow for override and intervention at any point, especially in high-risk or ambiguous contexts</w:t>
      </w:r>
      <w:r>
        <w:rPr>
          <w:vertAlign w:val="superscript"/>
        </w:rPr>
        <w:t>8</w:t>
      </w:r>
      <w:r>
        <w:rPr>
          <w:vertAlign w:val="superscript"/>
        </w:rPr>
        <w:t>24</w:t>
      </w:r>
      <w:r>
        <w:t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Provenance Tracking:</w:t>
      </w:r>
      <w:r>
        <w:t xml:space="preserve"> Every fact, output, and recommendation is linked to its source, extraction timestamp, validator identity, and version history</w:t>
      </w:r>
      <w:r>
        <w:rPr>
          <w:vertAlign w:val="superscript"/>
        </w:rPr>
        <w:t>25</w:t>
      </w:r>
      <w:r>
        <w:rPr>
          <w:vertAlign w:val="superscript"/>
        </w:rPr>
        <w:t>18</w:t>
      </w:r>
      <w:r>
        <w:t>.</w:t>
      </w:r>
    </w:p>
    <w:p>
      <w:pPr>
        <w:pStyle w:val="heading3"/>
      </w:pPr>
      <w:bookmarkStart w:name="attention_protection" w:id="26"/>
      <w:r>
        <w:t>Attention Protection</w:t>
      </w:r>
      <w:bookmarkEnd w:id="26"/>
    </w:p>
    <w:p>
      <w:pPr>
        <w:pStyle w:val="ListParagraph"/>
        <w:numPr>
          <w:ilvl w:val="0"/>
          <w:numId w:val="13"/>
        </w:numPr>
      </w:pPr>
      <w:r>
        <w:rPr>
          <w:b/>
        </w:rPr>
        <w:t>Notification Management:</w:t>
      </w:r>
      <w:r>
        <w:t xml:space="preserve"> The system enforces a per-user daily notification budget (e.g., 3-5 proactive notifications), with value-versus-attention scoring and cross-agent coordination to prevent overload and fatigue</w:t>
      </w:r>
      <w:r>
        <w:rPr>
          <w:vertAlign w:val="superscript"/>
        </w:rPr>
        <w:t>26</w:t>
      </w:r>
      <w:r>
        <w:t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Stealth Mode:</w:t>
      </w:r>
      <w:r>
        <w:t xml:space="preserve"> Agents can operate in background/stealth mode, minimizing interruptions and surfacing insights only when genuinely actionable</w:t>
      </w:r>
      <w:r>
        <w:rPr>
          <w:vertAlign w:val="superscript"/>
        </w:rPr>
        <w:t>27</w:t>
      </w:r>
      <w:r>
        <w:t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Attention Budget:</w:t>
      </w:r>
      <w:r>
        <w:t xml:space="preserve"> Each notification is treated as a withdrawal from a finite attention account, with feedback loops to adjust thresholds based on user behavior</w:t>
      </w:r>
      <w:r>
        <w:rPr>
          <w:vertAlign w:val="superscript"/>
        </w:rPr>
        <w:t>26</w:t>
      </w:r>
      <w:r>
        <w:t>.</w:t>
      </w:r>
    </w:p>
    <w:p>
      <w:pPr>
        <w:pStyle w:val="heading3"/>
      </w:pPr>
      <w:bookmarkStart w:name="reputation_protection" w:id="27"/>
      <w:r>
        <w:t>Reputation Protection</w:t>
      </w:r>
      <w:bookmarkEnd w:id="27"/>
    </w:p>
    <w:p>
      <w:pPr>
        <w:pStyle w:val="ListParagraph"/>
        <w:numPr>
          <w:ilvl w:val="0"/>
          <w:numId w:val="14"/>
        </w:numPr>
      </w:pPr>
      <w:r>
        <w:rPr>
          <w:b/>
        </w:rPr>
        <w:t>Source Attribution:</w:t>
      </w:r>
      <w:r>
        <w:t xml:space="preserve"> All outputs are attributed to their original sources, with clear citations and links for verification</w:t>
      </w:r>
      <w:r>
        <w:rPr>
          <w:vertAlign w:val="superscript"/>
        </w:rPr>
        <w:t>25</w:t>
      </w:r>
      <w:r>
        <w:rPr>
          <w:vertAlign w:val="superscript"/>
        </w:rPr>
        <w:t>18</w:t>
      </w:r>
      <w:r>
        <w:t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Output Provenance:</w:t>
      </w:r>
      <w:r>
        <w:t xml:space="preserve"> Outputs include metadata on model version, prompt, data sources, and transformation steps</w:t>
      </w:r>
      <w:r>
        <w:rPr>
          <w:vertAlign w:val="superscript"/>
        </w:rPr>
        <w:t>25</w:t>
      </w:r>
      <w:r>
        <w:rPr>
          <w:vertAlign w:val="superscript"/>
        </w:rPr>
        <w:t>18</w:t>
      </w:r>
      <w:r>
        <w:t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Model Reputation:</w:t>
      </w:r>
      <w:r>
        <w:t xml:space="preserve"> Model performance, bias, and drift are continuously monitored, with transparent reporting and remediation workflows</w:t>
      </w:r>
      <w:r>
        <w:rPr>
          <w:vertAlign w:val="superscript"/>
        </w:rPr>
        <w:t>16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guardian_layer_oversight_explainability_and_audit" w:id="28"/>
      <w:r>
        <w:t>Guardian Layer: Oversight, Explainability, and Audit</w:t>
      </w:r>
      <w:bookmarkEnd w:id="28"/>
    </w:p>
    <w:p>
      <w:pPr>
        <w:pStyle w:val="heading3"/>
      </w:pPr>
      <w:bookmarkStart w:name="guardian_functions" w:id="29"/>
      <w:r>
        <w:t>Guardian Functions</w:t>
      </w:r>
      <w:bookmarkEnd w:id="29"/>
    </w:p>
    <w:p>
      <w:pPr>
        <w:pStyle w:val="ListParagraph"/>
        <w:numPr>
          <w:ilvl w:val="0"/>
          <w:numId w:val="15"/>
        </w:numPr>
      </w:pPr>
      <w:r>
        <w:rPr>
          <w:b/>
        </w:rPr>
        <w:t>Oversight:</w:t>
      </w:r>
      <w:r>
        <w:t xml:space="preserve"> Monitors all agent actions, decisions, and tool calls, enforcing guardrails and permissions</w:t>
      </w:r>
      <w:r>
        <w:rPr>
          <w:vertAlign w:val="superscript"/>
        </w:rPr>
        <w:t>17</w:t>
      </w:r>
      <w:r>
        <w:rPr>
          <w:vertAlign w:val="superscript"/>
        </w:rPr>
        <w:t>8</w:t>
      </w:r>
      <w:r>
        <w:t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Explainability:</w:t>
      </w:r>
      <w:r>
        <w:t xml:space="preserve"> Surfaces explanations, reasoning chains, and provenance for every decision and recommendation</w:t>
      </w:r>
      <w:r>
        <w:rPr>
          <w:vertAlign w:val="superscript"/>
        </w:rPr>
        <w:t>16</w:t>
      </w:r>
      <w:r>
        <w:t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Auditability:</w:t>
      </w:r>
      <w:r>
        <w:t xml:space="preserve"> Maintains continuous, exportable audit trails for compliance, legal defense, and trust building</w:t>
      </w:r>
      <w:r>
        <w:rPr>
          <w:vertAlign w:val="superscript"/>
        </w:rPr>
        <w:t>16</w:t>
      </w:r>
      <w:r>
        <w:rPr>
          <w:vertAlign w:val="superscript"/>
        </w:rPr>
        <w:t>18</w:t>
      </w:r>
      <w:r>
        <w:t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Human-in-the-Loop:</w:t>
      </w:r>
      <w:r>
        <w:t xml:space="preserve"> Supports multiple oversight configurations (in-the-loop, on-the-loop, over-the-loop) based on risk and regulatory requirements</w:t>
      </w:r>
      <w:r>
        <w:rPr>
          <w:vertAlign w:val="superscript"/>
        </w:rPr>
        <w:t>8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feed_layer_insight_delivery_and_personalization" w:id="30"/>
      <w:r>
        <w:t>Feed Layer: Insight Delivery and Personalization</w:t>
      </w:r>
      <w:bookmarkEnd w:id="30"/>
    </w:p>
    <w:p>
      <w:pPr>
        <w:pStyle w:val="heading3"/>
      </w:pPr>
      <w:bookmarkStart w:name="feed_and_insight_delivery_patterns" w:id="31"/>
      <w:r>
        <w:t>Feed and Insight Delivery Patterns</w:t>
      </w:r>
      <w:bookmarkEnd w:id="31"/>
    </w:p>
    <w:p>
      <w:pPr>
        <w:pStyle w:val="ListParagraph"/>
        <w:numPr>
          <w:ilvl w:val="0"/>
          <w:numId w:val="16"/>
        </w:numPr>
      </w:pPr>
      <w:r>
        <w:rPr>
          <w:b/>
        </w:rPr>
        <w:t>Daily Briefs:</w:t>
      </w:r>
      <w:r>
        <w:t xml:space="preserve"> Personalized, bite-sized morning digests summarizing key priorities, events, and actionable insights, curated from calendar, email, tasks, and news</w:t>
      </w:r>
      <w:r>
        <w:rPr>
          <w:vertAlign w:val="superscript"/>
        </w:rPr>
        <w:t>28</w:t>
      </w:r>
      <w:r>
        <w:t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Micro-Updates:</w:t>
      </w:r>
      <w:r>
        <w:t xml:space="preserve"> Real-time or near-real-time notifications for critical events, anomalies, or required actions, respecting the user's attention budget</w:t>
      </w:r>
      <w:r>
        <w:rPr>
          <w:vertAlign w:val="superscript"/>
        </w:rPr>
        <w:t>26</w:t>
      </w:r>
      <w:r>
        <w:t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Deep Dives:</w:t>
      </w:r>
      <w:r>
        <w:t xml:space="preserve"> On-demand, in-depth analyses and reports, with drill-down capability and interactive exploration</w:t>
      </w:r>
      <w:r>
        <w:rPr>
          <w:vertAlign w:val="superscript"/>
        </w:rPr>
        <w:t>28</w:t>
      </w:r>
      <w:r>
        <w:t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Personalization:</w:t>
      </w:r>
      <w:r>
        <w:t xml:space="preserve"> Feeds are tailored to user roles, preferences, and historical behavior, with adaptive learning from feedback</w:t>
      </w:r>
      <w:r>
        <w:rPr>
          <w:vertAlign w:val="superscript"/>
        </w:rPr>
        <w:t>29</w:t>
      </w:r>
      <w:r>
        <w:rPr>
          <w:vertAlign w:val="superscript"/>
        </w:rPr>
        <w:t>28</w:t>
      </w:r>
      <w:r>
        <w:t>.</w:t>
      </w:r>
    </w:p>
    <w:p>
      <w:pPr>
        <w:pStyle w:val="heading3"/>
      </w:pPr>
      <w:bookmarkStart w:name="channel_delivery" w:id="32"/>
      <w:r>
        <w:t>Channel Delivery</w:t>
      </w:r>
      <w:bookmarkEnd w:id="32"/>
    </w:p>
    <w:p>
      <w:pPr>
        <w:pStyle w:val="ListParagraph"/>
        <w:numPr>
          <w:ilvl w:val="0"/>
          <w:numId w:val="17"/>
        </w:numPr>
      </w:pPr>
      <w:r>
        <w:rPr>
          <w:b/>
        </w:rPr>
        <w:t>In-App Feed:</w:t>
      </w:r>
      <w:r>
        <w:t xml:space="preserve"> Primary delivery via the SI dashboard's feed tab.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Email and Messaging:</w:t>
      </w:r>
      <w:r>
        <w:t xml:space="preserve"> Optional delivery via email, Slack, Teams, or other channels, with opt-in controls</w:t>
      </w:r>
      <w:r>
        <w:rPr>
          <w:vertAlign w:val="superscript"/>
        </w:rPr>
        <w:t>26</w:t>
      </w:r>
      <w:r>
        <w:t>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Mobile Notifications:</w:t>
      </w:r>
      <w:r>
        <w:t xml:space="preserve"> Support for mobile push, respecting notification budgets and user preferences</w:t>
      </w:r>
      <w:r>
        <w:rPr>
          <w:vertAlign w:val="superscript"/>
        </w:rPr>
        <w:t>29</w:t>
      </w:r>
      <w:r>
        <w:rPr>
          <w:vertAlign w:val="superscript"/>
        </w:rPr>
        <w:t>28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nnector_automation_patterns_and_security" w:id="33"/>
      <w:r>
        <w:t>Connector Automation Patterns and Security</w:t>
      </w:r>
      <w:bookmarkEnd w:id="33"/>
    </w:p>
    <w:p>
      <w:pPr>
        <w:pStyle w:val="heading3"/>
      </w:pPr>
      <w:bookmarkStart w:name="automation_patterns" w:id="34"/>
      <w:r>
        <w:t>Automation Patterns</w:t>
      </w:r>
      <w:bookmarkEnd w:id="34"/>
    </w:p>
    <w:p>
      <w:pPr>
        <w:pStyle w:val="ListParagraph"/>
        <w:numPr>
          <w:ilvl w:val="0"/>
          <w:numId w:val="18"/>
        </w:numPr>
      </w:pPr>
      <w:r>
        <w:rPr>
          <w:b/>
        </w:rPr>
        <w:t>Event-Driven Flows:</w:t>
      </w:r>
      <w:r>
        <w:t xml:space="preserve"> Automated triggers based on file uploads, email arrivals, calendar events, or system logs</w:t>
      </w:r>
      <w:r>
        <w:rPr>
          <w:vertAlign w:val="superscript"/>
        </w:rPr>
        <w:t>19</w:t>
      </w:r>
      <w:r>
        <w:t>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Scheduled Flows:</w:t>
      </w:r>
      <w:r>
        <w:t xml:space="preserve"> Periodic ingestion, processing, and reporting (e.g., daily compliance reports).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Approval Workflows:</w:t>
      </w:r>
      <w:r>
        <w:t xml:space="preserve"> Automated routing for approvals, with audit trails and escalation paths</w:t>
      </w:r>
      <w:r>
        <w:rPr>
          <w:vertAlign w:val="superscript"/>
        </w:rPr>
        <w:t>12</w:t>
      </w:r>
      <w:r>
        <w:t>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Observability:</w:t>
      </w:r>
      <w:r>
        <w:t xml:space="preserve"> All flows are monitored, version-controlled, and auditable, with error handling and retry logic built in</w:t>
      </w:r>
      <w:r>
        <w:rPr>
          <w:vertAlign w:val="superscript"/>
        </w:rPr>
        <w:t>12</w:t>
      </w:r>
      <w:r>
        <w:t>.</w:t>
      </w:r>
    </w:p>
    <w:p>
      <w:pPr>
        <w:pStyle w:val="heading3"/>
      </w:pPr>
      <w:bookmarkStart w:name="security_considerations" w:id="35"/>
      <w:r>
        <w:t>Security Considerations</w:t>
      </w:r>
      <w:bookmarkEnd w:id="35"/>
    </w:p>
    <w:p>
      <w:pPr>
        <w:pStyle w:val="ListParagraph"/>
        <w:numPr>
          <w:ilvl w:val="0"/>
          <w:numId w:val="19"/>
        </w:numPr>
      </w:pPr>
      <w:r>
        <w:rPr>
          <w:b/>
        </w:rPr>
        <w:t>Connector DLP:</w:t>
      </w:r>
      <w:r>
        <w:t xml:space="preserve"> DLP policies enforced at the connector level, with real-time suspension of non-compliant flows and connectors</w:t>
      </w:r>
      <w:r>
        <w:rPr>
          <w:vertAlign w:val="superscript"/>
        </w:rPr>
        <w:t>23</w:t>
      </w:r>
      <w:r>
        <w:rPr>
          <w:vertAlign w:val="superscript"/>
        </w:rPr>
        <w:t>22</w:t>
      </w:r>
      <w:r>
        <w:t>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Custom Connector Governance:</w:t>
      </w:r>
      <w:r>
        <w:t xml:space="preserve"> Administrators can classify custom connectors as business, non-business, or blocked, and enforce policies accordingly</w:t>
      </w:r>
      <w:r>
        <w:rPr>
          <w:vertAlign w:val="superscript"/>
        </w:rPr>
        <w:t>22</w:t>
      </w:r>
      <w:r>
        <w:t>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Audit Logging:</w:t>
      </w:r>
      <w:r>
        <w:t xml:space="preserve"> Every connector action is logged, with full traceability for compliance and incident response</w:t>
      </w:r>
      <w:r>
        <w:rPr>
          <w:vertAlign w:val="superscript"/>
        </w:rPr>
        <w:t>16</w:t>
      </w:r>
      <w:r>
        <w:rPr>
          <w:vertAlign w:val="superscript"/>
        </w:rPr>
        <w:t>21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ui_ux_design_principles_for_the_si_dashboard" w:id="36"/>
      <w:r>
        <w:t>UI/UX Design Principles for the SI Dashboard</w:t>
      </w:r>
      <w:bookmarkEnd w:id="36"/>
    </w:p>
    <w:p>
      <w:pPr>
        <w:pStyle w:val="heading3"/>
      </w:pPr>
      <w:bookmarkStart w:name="core_design_principles" w:id="37"/>
      <w:r>
        <w:t>Core Design Principles</w:t>
      </w:r>
      <w:bookmarkEnd w:id="37"/>
    </w:p>
    <w:p>
      <w:pPr>
        <w:pStyle w:val="ListParagraph"/>
        <w:numPr>
          <w:ilvl w:val="0"/>
          <w:numId w:val="20"/>
        </w:numPr>
      </w:pPr>
      <w:r>
        <w:rPr>
          <w:b/>
        </w:rPr>
        <w:t>Clarity and Focus:</w:t>
      </w:r>
      <w:r>
        <w:t xml:space="preserve"> Prioritize key metrics and actionable insights; avoid clutter and cognitive overload</w:t>
      </w:r>
      <w:r>
        <w:rPr>
          <w:vertAlign w:val="superscript"/>
        </w:rPr>
        <w:t>2</w:t>
      </w:r>
      <w:r>
        <w:t>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Progressive Disclosure:</w:t>
      </w:r>
      <w:r>
        <w:t xml:space="preserve"> Start with summaries, allow drill-down for detail; use collapsible sections and tabs</w:t>
      </w:r>
      <w:r>
        <w:rPr>
          <w:vertAlign w:val="superscript"/>
        </w:rPr>
        <w:t>2</w:t>
      </w:r>
      <w:r>
        <w:t>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Motion and Feedback:</w:t>
      </w:r>
      <w:r>
        <w:t xml:space="preserve"> Use subtle animations for change events, feedback messages for actions, and skeleton UIs for loading states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Responsiveness:</w:t>
      </w:r>
      <w:r>
        <w:t xml:space="preserve"> Dashboards must scale from mobile to wall displays, with adaptive layouts and grid systems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Accessibility:</w:t>
      </w:r>
      <w:r>
        <w:t xml:space="preserve"> High contrast, keyboard navigation, ARIA live regions, and motion-reduction preferences</w:t>
      </w:r>
      <w:r>
        <w:rPr>
          <w:vertAlign w:val="superscript"/>
        </w:rPr>
        <w:t>3</w:t>
      </w:r>
      <w:r>
        <w:t>.</w:t>
      </w:r>
    </w:p>
    <w:p>
      <w:pPr>
        <w:pStyle w:val="heading3"/>
      </w:pPr>
      <w:bookmarkStart w:name="tab_and_surface_design" w:id="38"/>
      <w:r>
        <w:t>Tab and Surface Design</w:t>
      </w:r>
      <w:bookmarkEnd w:id="38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Tab/Surface</w:t>
            </w:r>
          </w:p>
        </w:tc>
        <w:tc>
          <w:p>
            <w:r>
              <w:t>Primary Functionality</w:t>
            </w:r>
          </w:p>
        </w:tc>
      </w:tr>
      <w:tr>
        <w:tc>
          <w:p>
            <w:r>
              <w:t>Console</w:t>
            </w:r>
          </w:p>
        </w:tc>
        <w:tc>
          <w:p>
            <w:r>
              <w:t>Command palette, search, quick actions</w:t>
            </w:r>
          </w:p>
        </w:tc>
      </w:tr>
      <w:tr>
        <w:tc>
          <w:p>
            <w:r>
              <w:t>Projects</w:t>
            </w:r>
          </w:p>
        </w:tc>
        <w:tc>
          <w:p>
            <w:r>
              <w:t>Project-level dashboards, deep dives, context switching</w:t>
            </w:r>
          </w:p>
        </w:tc>
      </w:tr>
      <w:tr>
        <w:tc>
          <w:p>
            <w:r>
              <w:t>Guardian</w:t>
            </w:r>
          </w:p>
        </w:tc>
        <w:tc>
          <w:p>
            <w:r>
              <w:t>Protection status, audit trails, explainability</w:t>
            </w:r>
          </w:p>
        </w:tc>
      </w:tr>
      <w:tr>
        <w:tc>
          <w:p>
            <w:r>
              <w:t>Feed</w:t>
            </w:r>
          </w:p>
        </w:tc>
        <w:tc>
          <w:p>
            <w:r>
              <w:t>Daily briefs, micro-updates, deep dives</w:t>
            </w:r>
          </w:p>
        </w:tc>
      </w:tr>
      <w:tr>
        <w:tc>
          <w:p>
            <w:r>
              <w:t>Brain</w:t>
            </w:r>
          </w:p>
        </w:tc>
        <w:tc>
          <w:p>
            <w:r>
              <w:t>Persistent memory, agent configuration, planning</w:t>
            </w:r>
          </w:p>
        </w:tc>
      </w:tr>
    </w:tbl>
    <w:p>
      <w:pPr>
        <w:pStyle w:val="heading3"/>
      </w:pPr>
      <w:bookmarkStart w:name="interaction_patterns_2" w:id="39"/>
      <w:r>
        <w:t>Interaction Patterns</w:t>
      </w:r>
      <w:bookmarkEnd w:id="39"/>
    </w:p>
    <w:p>
      <w:pPr>
        <w:pStyle w:val="ListParagraph"/>
        <w:numPr>
          <w:ilvl w:val="0"/>
          <w:numId w:val="21"/>
        </w:numPr>
      </w:pPr>
      <w:r>
        <w:rPr>
          <w:b/>
        </w:rPr>
        <w:t>Command Palette:</w:t>
      </w:r>
      <w:r>
        <w:t xml:space="preserve"> Universal search and action launcher (e.g., ⌘+K/ctrl+K)</w:t>
      </w:r>
      <w:r>
        <w:rPr>
          <w:vertAlign w:val="superscript"/>
        </w:rPr>
        <w:t>4</w:t>
      </w:r>
      <w:r>
        <w:t>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Personalization:</w:t>
      </w:r>
      <w:r>
        <w:t xml:space="preserve"> Customizable layouts, metric selection, and notification preferences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Notification Management:</w:t>
      </w:r>
      <w:r>
        <w:t xml:space="preserve"> Integrated with attention protection and stealth mode features</w:t>
      </w:r>
      <w:r>
        <w:rPr>
          <w:vertAlign w:val="superscript"/>
        </w:rPr>
        <w:t>26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operational_modes_and_persona_contexts" w:id="40"/>
      <w:r>
        <w:t>Operational Modes and Persona Contexts</w:t>
      </w:r>
      <w:bookmarkEnd w:id="40"/>
    </w:p>
    <w:p>
      <w:pPr>
        <w:pStyle w:val="heading3"/>
      </w:pPr>
      <w:bookmarkStart w:name="mode_overview" w:id="41"/>
      <w:r>
        <w:t>Mode Overview</w:t>
      </w:r>
      <w:bookmarkEnd w:id="41"/>
    </w:p>
    <w:p>
      <w:r>
        <w:t>The SI dashboard supports multiple operational modes, each optimized for specific contexts and user personas: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Mode</w:t>
            </w:r>
          </w:p>
        </w:tc>
        <w:tc>
          <w:p>
            <w:r>
              <w:t>Primary Use Case</w:t>
            </w:r>
          </w:p>
        </w:tc>
        <w:tc>
          <w:p>
            <w:r>
              <w:t>Key Capabilities</w:t>
            </w:r>
          </w:p>
        </w:tc>
      </w:tr>
      <w:tr>
        <w:tc>
          <w:p>
            <w:r>
              <w:t>Work</w:t>
            </w:r>
          </w:p>
        </w:tc>
        <w:tc>
          <w:p>
            <w:r>
              <w:t>Professional tasks, projects</w:t>
            </w:r>
          </w:p>
        </w:tc>
        <w:tc>
          <w:p>
            <w:r>
              <w:t>Full automation, project dashboards, deep dives</w:t>
            </w:r>
          </w:p>
        </w:tc>
      </w:tr>
      <w:tr>
        <w:tc>
          <w:p>
            <w:r>
              <w:t>Ops</w:t>
            </w:r>
          </w:p>
        </w:tc>
        <w:tc>
          <w:p>
            <w:r>
              <w:t>Operations, monitoring, SRE</w:t>
            </w:r>
          </w:p>
        </w:tc>
        <w:tc>
          <w:p>
            <w:r>
              <w:t>Real-time metrics, incident response, error budgets</w:t>
            </w:r>
          </w:p>
        </w:tc>
      </w:tr>
      <w:tr>
        <w:tc>
          <w:p>
            <w:r>
              <w:t>Personal</w:t>
            </w:r>
          </w:p>
        </w:tc>
        <w:tc>
          <w:p>
            <w:r>
              <w:t>Personal productivity, learning</w:t>
            </w:r>
          </w:p>
        </w:tc>
        <w:tc>
          <w:p>
            <w:r>
              <w:t>Stealth mode, personalized feeds, memory</w:t>
            </w:r>
          </w:p>
        </w:tc>
      </w:tr>
      <w:tr>
        <w:tc>
          <w:p>
            <w:r>
              <w:t>Stealth</w:t>
            </w:r>
          </w:p>
        </w:tc>
        <w:tc>
          <w:p>
            <w:r>
              <w:t>Background operation, minimal UI</w:t>
            </w:r>
          </w:p>
        </w:tc>
        <w:tc>
          <w:p>
            <w:r>
              <w:t>Silent monitoring, attention protection, privacy</w:t>
            </w:r>
          </w:p>
        </w:tc>
      </w:tr>
    </w:tbl>
    <w:p>
      <w:r>
        <w:rPr>
          <w:b/>
        </w:rPr>
        <w:t>Figure (Described):</w:t>
      </w:r>
      <w:r>
        <w:br/>
      </w:r>
      <w:r>
        <w:t>A diagram would show a meta-planner routing tasks to specialized modes based on context, with seamless transitions and state preservation</w:t>
      </w:r>
      <w:r>
        <w:rPr>
          <w:vertAlign w:val="superscript"/>
        </w:rPr>
        <w:t>30</w:t>
      </w:r>
      <w:r>
        <w:t>.</w:t>
      </w:r>
    </w:p>
    <w:p>
      <w:pPr>
        <w:pStyle w:val="heading3"/>
      </w:pPr>
      <w:bookmarkStart w:name="mode_switching_and_routing" w:id="42"/>
      <w:r>
        <w:t>Mode Switching and Routing</w:t>
      </w:r>
      <w:bookmarkEnd w:id="42"/>
    </w:p>
    <w:p>
      <w:pPr>
        <w:pStyle w:val="ListParagraph"/>
        <w:numPr>
          <w:ilvl w:val="0"/>
          <w:numId w:val="22"/>
        </w:numPr>
      </w:pPr>
      <w:r>
        <w:rPr>
          <w:b/>
        </w:rPr>
        <w:t>Meta-Planner:</w:t>
      </w:r>
      <w:r>
        <w:t xml:space="preserve"> Analyzes task context, user intent, and complexity to select and switch modes automatically</w:t>
      </w:r>
      <w:r>
        <w:rPr>
          <w:vertAlign w:val="superscript"/>
        </w:rPr>
        <w:t>30</w:t>
      </w:r>
      <w:r>
        <w:t>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>State Preservation:</w:t>
      </w:r>
      <w:r>
        <w:t xml:space="preserve"> Conversation history and intermediate results are maintained across mode transitions</w:t>
      </w:r>
      <w:r>
        <w:rPr>
          <w:vertAlign w:val="superscript"/>
        </w:rPr>
        <w:t>30</w:t>
      </w:r>
      <w:r>
        <w:t>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>Specialized Agents:</w:t>
      </w:r>
      <w:r>
        <w:t xml:space="preserve"> Each mode spawns specialized agents and toolkits tailored to the task at hand</w:t>
      </w:r>
      <w:r>
        <w:rPr>
          <w:vertAlign w:val="superscript"/>
        </w:rPr>
        <w:t>30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ppsonair_integration_unique_app_shell" w:id="43"/>
      <w:r>
        <w:t>AppsOnAir Integration: Unique App Shell</w:t>
      </w:r>
      <w:bookmarkEnd w:id="43"/>
    </w:p>
    <w:p>
      <w:pPr>
        <w:pStyle w:val="heading3"/>
      </w:pPr>
      <w:bookmarkStart w:name="appsonair_capabilities" w:id="44"/>
      <w:r>
        <w:t>AppsOnAir Capabilities</w:t>
      </w:r>
      <w:bookmarkEnd w:id="44"/>
    </w:p>
    <w:p>
      <w:pPr>
        <w:pStyle w:val="ListParagraph"/>
        <w:numPr>
          <w:ilvl w:val="0"/>
          <w:numId w:val="23"/>
        </w:numPr>
      </w:pPr>
      <w:r>
        <w:rPr>
          <w:b/>
        </w:rPr>
        <w:t>OTA Distribution:</w:t>
      </w:r>
      <w:r>
        <w:t xml:space="preserve"> Over-the-air app distribution for iOS and Android, bypassing app store delays</w:t>
      </w:r>
      <w:r>
        <w:rPr>
          <w:vertAlign w:val="superscript"/>
        </w:rPr>
        <w:t>31</w:t>
      </w:r>
      <w:r>
        <w:t>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AppLink:</w:t>
      </w:r>
      <w:r>
        <w:t xml:space="preserve"> Reliable, customizable deep links for seamless navigation and user experience across platforms.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CodePush:</w:t>
      </w:r>
      <w:r>
        <w:t xml:space="preserve"> Instant deployment of JavaScript bundles and assets for React Native apps, enabling live updates without app store resubmission.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AppSync:</w:t>
      </w:r>
      <w:r>
        <w:t xml:space="preserve"> Version policy enforcement, maintenance mode, and forced migrations, all managed remotely.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AppRemark:</w:t>
      </w:r>
      <w:r>
        <w:t xml:space="preserve"> In-app feedback collection with context-rich metadata for rapid bug resolution and user feedback loops.</w:t>
      </w:r>
    </w:p>
    <w:p>
      <w:pPr>
        <w:pStyle w:val="heading3"/>
      </w:pPr>
      <w:bookmarkStart w:name="integration_benefits" w:id="45"/>
      <w:r>
        <w:t>Integration Benefits</w:t>
      </w:r>
      <w:bookmarkEnd w:id="45"/>
    </w:p>
    <w:p>
      <w:pPr>
        <w:pStyle w:val="ListParagraph"/>
        <w:numPr>
          <w:ilvl w:val="0"/>
          <w:numId w:val="24"/>
        </w:numPr>
      </w:pPr>
      <w:r>
        <w:rPr>
          <w:b/>
        </w:rPr>
        <w:t>Unique App Shell:</w:t>
      </w:r>
      <w:r>
        <w:t xml:space="preserve"> The SI dashboard can be wrapped in a custom AppsOnAir shell, enabling instant updates, deep linking, and real-time feedback without user friction</w:t>
      </w:r>
      <w:r>
        <w:rPr>
          <w:vertAlign w:val="superscript"/>
        </w:rPr>
        <w:t>31</w:t>
      </w:r>
      <w:r>
        <w:t>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>Enterprise Control:</w:t>
      </w:r>
      <w:r>
        <w:t xml:space="preserve"> Workspace management, role-based access, quota monitoring, and billing integration for enterprise deployments</w:t>
      </w:r>
      <w:r>
        <w:rPr>
          <w:vertAlign w:val="superscript"/>
        </w:rPr>
        <w:t>31</w:t>
      </w:r>
      <w:r>
        <w:t>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>Seamless Collaboration:</w:t>
      </w:r>
      <w:r>
        <w:t xml:space="preserve"> Team and group management, with granular permissions and cross-app collaboration</w:t>
      </w:r>
      <w:r>
        <w:rPr>
          <w:vertAlign w:val="superscript"/>
        </w:rPr>
        <w:t>31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non_negotiable_enterprise_requirements_checklist" w:id="46"/>
      <w:r>
        <w:t>Non-Negotiable Enterprise Requirements Checklist</w:t>
      </w:r>
      <w:bookmarkEnd w:id="46"/>
    </w:p>
    <w:p>
      <w:r>
        <w:t>The following table summarizes the non-negotiable requirements for a premier SI dashboard, ensuring nothing is missed: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Requirement</w:t>
            </w:r>
          </w:p>
        </w:tc>
        <w:tc>
          <w:p>
            <w:r>
              <w:t>Description</w:t>
            </w:r>
          </w:p>
        </w:tc>
        <w:tc>
          <w:p>
            <w:r>
              <w:t>Reference(s)</w:t>
            </w:r>
          </w:p>
        </w:tc>
      </w:tr>
      <w:tr>
        <w:tc>
          <w:p>
            <w:r>
              <w:t>Security</w:t>
            </w:r>
          </w:p>
        </w:tc>
        <w:tc>
          <w:p>
            <w:r>
              <w:t>End-to-end encryption, DLP, RBAC, ABAC, audit logging</w:t>
            </w:r>
          </w:p>
        </w:tc>
        <w:tc>
          <w:p>
            <w:r>
              <w:rPr>
                <w:vertAlign w:val="superscript"/>
              </w:rPr>
              <w:t>20</w:t>
            </w:r>
            <w:r>
              <w:rPr>
                <w:vertAlign w:val="superscript"/>
              </w:rPr>
              <w:t>21</w:t>
            </w:r>
          </w:p>
        </w:tc>
      </w:tr>
      <w:tr>
        <w:tc>
          <w:p>
            <w:r>
              <w:t>Autonomy</w:t>
            </w:r>
          </w:p>
        </w:tc>
        <w:tc>
          <w:p>
            <w:r>
              <w:t>Full automation, user observes/provides ideas only</w:t>
            </w:r>
          </w:p>
        </w:tc>
        <w:tc>
          <w:p>
            <w:r>
              <w:rPr>
                <w:vertAlign w:val="superscript"/>
              </w:rPr>
              <w:t>8</w:t>
            </w:r>
          </w:p>
        </w:tc>
      </w:tr>
      <w:tr>
        <w:tc>
          <w:p>
            <w:r>
              <w:t>Auditability</w:t>
            </w:r>
          </w:p>
        </w:tc>
        <w:tc>
          <w:p>
            <w:r>
              <w:t>Immutable logs, exportable audit trails, explainability</w:t>
            </w:r>
          </w:p>
        </w:tc>
        <w:tc>
          <w:p>
            <w:r>
              <w:rPr>
                <w:vertAlign w:val="superscript"/>
              </w:rPr>
              <w:t>16</w:t>
            </w:r>
            <w:r>
              <w:rPr>
                <w:vertAlign w:val="superscript"/>
              </w:rPr>
              <w:t>18</w:t>
            </w:r>
          </w:p>
        </w:tc>
      </w:tr>
      <w:tr>
        <w:tc>
          <w:p>
            <w:r>
              <w:t>Compliance</w:t>
            </w:r>
          </w:p>
        </w:tc>
        <w:tc>
          <w:p>
            <w:r>
              <w:t>SOC2, GDPR, ISO 27001, EU AI Act, sector-specific regs</w:t>
            </w:r>
          </w:p>
        </w:tc>
        <w:tc>
          <w:p>
            <w:r>
              <w:rPr>
                <w:vertAlign w:val="superscript"/>
              </w:rPr>
              <w:t>14</w:t>
            </w:r>
            <w:r>
              <w:rPr>
                <w:vertAlign w:val="superscript"/>
              </w:rPr>
              <w:t>21</w:t>
            </w:r>
          </w:p>
        </w:tc>
      </w:tr>
      <w:tr>
        <w:tc>
          <w:p>
            <w:r>
              <w:t>Scalability</w:t>
            </w:r>
          </w:p>
        </w:tc>
        <w:tc>
          <w:p>
            <w:r>
              <w:t>Horizontal scaling, multi-region, high availability</w:t>
            </w:r>
          </w:p>
        </w:tc>
        <w:tc>
          <w:p>
            <w:r>
              <w:rPr>
                <w:vertAlign w:val="superscript"/>
              </w:rPr>
              <w:t>1</w:t>
            </w:r>
          </w:p>
        </w:tc>
      </w:tr>
      <w:tr>
        <w:tc>
          <w:p>
            <w:r>
              <w:t>SLA</w:t>
            </w:r>
          </w:p>
        </w:tc>
        <w:tc>
          <w:p>
            <w:r>
              <w:t>Defined SLOs, error budgets, incident response, monitoring</w:t>
            </w:r>
          </w:p>
        </w:tc>
        <w:tc>
          <w:p>
            <w:r>
              <w:rPr>
                <w:vertAlign w:val="superscript"/>
              </w:rPr>
              <w:t>9</w:t>
            </w:r>
          </w:p>
        </w:tc>
      </w:tr>
      <w:tr>
        <w:tc>
          <w:p>
            <w:r>
              <w:t>Model Governance</w:t>
            </w:r>
          </w:p>
        </w:tc>
        <w:tc>
          <w:p>
            <w:r>
              <w:t>Model registry, versioning, risk management, explainability</w:t>
            </w:r>
          </w:p>
        </w:tc>
        <w:tc>
          <w:p>
            <w:r>
              <w:rPr>
                <w:vertAlign w:val="superscript"/>
              </w:rPr>
              <w:t>14</w:t>
            </w:r>
            <w:r>
              <w:rPr>
                <w:vertAlign w:val="superscript"/>
              </w:rPr>
              <w:t>15</w:t>
            </w:r>
          </w:p>
        </w:tc>
      </w:tr>
      <w:tr>
        <w:tc>
          <w:p>
            <w:r>
              <w:t>Data Residency</w:t>
            </w:r>
          </w:p>
        </w:tc>
        <w:tc>
          <w:p>
            <w:r>
              <w:t>Geographic isolation, regional compliance, sovereignty</w:t>
            </w:r>
          </w:p>
        </w:tc>
        <w:tc>
          <w:p>
            <w:r>
              <w:rPr>
                <w:vertAlign w:val="superscript"/>
              </w:rPr>
              <w:t>14</w:t>
            </w:r>
          </w:p>
        </w:tc>
      </w:tr>
      <w:tr>
        <w:tc>
          <w:p>
            <w:r>
              <w:t>DLP Enforcement</w:t>
            </w:r>
          </w:p>
        </w:tc>
        <w:tc>
          <w:p>
            <w:r>
              <w:t>Endpoint and cloud DLP, connector-level enforcement</w:t>
            </w:r>
          </w:p>
        </w:tc>
        <w:tc>
          <w:p>
            <w:r>
              <w:rPr>
                <w:vertAlign w:val="superscript"/>
              </w:rPr>
              <w:t>20</w:t>
            </w:r>
            <w:r>
              <w:rPr>
                <w:vertAlign w:val="superscript"/>
              </w:rPr>
              <w:t>22</w:t>
            </w:r>
          </w:p>
        </w:tc>
      </w:tr>
      <w:tr>
        <w:tc>
          <w:p>
            <w:r>
              <w:t>Human Oversight</w:t>
            </w:r>
          </w:p>
        </w:tc>
        <w:tc>
          <w:p>
            <w:r>
              <w:t>Human-in/on/over-the-loop, override, escalation</w:t>
            </w:r>
          </w:p>
        </w:tc>
        <w:tc>
          <w:p>
            <w:r>
              <w:rPr>
                <w:vertAlign w:val="superscript"/>
              </w:rPr>
              <w:t>8</w:t>
            </w:r>
            <w:r>
              <w:rPr>
                <w:vertAlign w:val="superscript"/>
              </w:rPr>
              <w:t>24</w:t>
            </w:r>
          </w:p>
        </w:tc>
      </w:tr>
      <w:tr>
        <w:tc>
          <w:p>
            <w:r>
              <w:t>Observability</w:t>
            </w:r>
          </w:p>
        </w:tc>
        <w:tc>
          <w:p>
            <w:r>
              <w:t>Full tracing, metrics, root cause analysis, dashboards</w:t>
            </w:r>
          </w:p>
        </w:tc>
        <w:tc>
          <w:p>
            <w:r>
              <w:rPr>
                <w:vertAlign w:val="superscript"/>
              </w:rPr>
              <w:t>10</w:t>
            </w:r>
            <w:r>
              <w:rPr>
                <w:vertAlign w:val="superscript"/>
              </w:rPr>
              <w:t>9</w:t>
            </w:r>
          </w:p>
        </w:tc>
      </w:tr>
      <w:tr>
        <w:tc>
          <w:p>
            <w:r>
              <w:t>Personalization</w:t>
            </w:r>
          </w:p>
        </w:tc>
        <w:tc>
          <w:p>
            <w:r>
              <w:t>Customizable feeds, layouts, notification preferences</w:t>
            </w:r>
          </w:p>
        </w:tc>
        <w:tc>
          <w:p>
            <w:r>
              <w:rPr>
                <w:vertAlign w:val="superscript"/>
              </w:rPr>
              <w:t>29</w:t>
            </w:r>
            <w:r>
              <w:rPr>
                <w:vertAlign w:val="superscript"/>
              </w:rPr>
              <w:t>28</w:t>
            </w:r>
          </w:p>
        </w:tc>
      </w:tr>
      <w:tr>
        <w:tc>
          <w:p>
            <w:r>
              <w:t>Attention Protection</w:t>
            </w:r>
          </w:p>
        </w:tc>
        <w:tc>
          <w:p>
            <w:r>
              <w:t>Notification budget, stealth mode, cross-agent coordination</w:t>
            </w:r>
          </w:p>
        </w:tc>
        <w:tc>
          <w:p>
            <w:r>
              <w:rPr>
                <w:vertAlign w:val="superscript"/>
              </w:rPr>
              <w:t>26</w:t>
            </w:r>
          </w:p>
        </w:tc>
      </w:tr>
      <w:tr>
        <w:tc>
          <w:p>
            <w:r>
              <w:t>Reputation Protection</w:t>
            </w:r>
          </w:p>
        </w:tc>
        <w:tc>
          <w:p>
            <w:r>
              <w:t>Source attribution, output provenance, model reputation</w:t>
            </w:r>
          </w:p>
        </w:tc>
        <w:tc>
          <w:p>
            <w:r>
              <w:rPr>
                <w:vertAlign w:val="superscript"/>
              </w:rPr>
              <w:t>25</w:t>
            </w:r>
            <w:r>
              <w:rPr>
                <w:vertAlign w:val="superscript"/>
              </w:rPr>
              <w:t>18</w:t>
            </w:r>
          </w:p>
        </w:tc>
      </w:tr>
      <w:tr>
        <w:tc>
          <w:p>
            <w:r>
              <w:t>Connector Governance</w:t>
            </w:r>
          </w:p>
        </w:tc>
        <w:tc>
          <w:p>
            <w:r>
              <w:t>Admin controls, action-level permissions, DLP policies</w:t>
            </w:r>
          </w:p>
        </w:tc>
        <w:tc>
          <w:p>
            <w:r>
              <w:rPr>
                <w:vertAlign w:val="superscript"/>
              </w:rPr>
              <w:t>22</w:t>
            </w:r>
            <w:r>
              <w:rPr>
                <w:vertAlign w:val="superscript"/>
              </w:rPr>
              <w:t>19</w:t>
            </w:r>
          </w:p>
        </w:tc>
      </w:tr>
      <w:tr>
        <w:tc>
          <w:p>
            <w:r>
              <w:t>OTA Updates</w:t>
            </w:r>
          </w:p>
        </w:tc>
        <w:tc>
          <w:p>
            <w:r>
              <w:t>AppsOnAir integration for instant updates and feedback</w:t>
            </w:r>
          </w:p>
        </w:tc>
        <w:tc>
          <w:p>
            <w:r>
              <w:rPr>
                <w:vertAlign w:val="superscript"/>
              </w:rPr>
              <w:t>31</w:t>
            </w:r>
          </w:p>
        </w:tc>
      </w:tr>
      <w:tr>
        <w:tc>
          <w:p>
            <w:r>
              <w:t>Accessibility</w:t>
            </w:r>
          </w:p>
        </w:tc>
        <w:tc>
          <w:p>
            <w:r>
              <w:t>High contrast, keyboard navigation, ARIA, motion reduction</w:t>
            </w:r>
          </w:p>
        </w:tc>
        <w:tc>
          <w:p>
            <w:r>
              <w:rPr>
                <w:vertAlign w:val="superscript"/>
              </w:rPr>
              <w:t>3</w:t>
            </w:r>
          </w:p>
        </w:tc>
      </w:tr>
      <w:tr>
        <w:tc>
          <w:p>
            <w:r>
              <w:t>Progressive Disclosure</w:t>
            </w:r>
          </w:p>
        </w:tc>
        <w:tc>
          <w:p>
            <w:r>
              <w:t>Summaries, drill-downs, collapsible sections, tabs</w:t>
            </w:r>
          </w:p>
        </w:tc>
        <w:tc>
          <w:p>
            <w:r>
              <w:rPr>
                <w:vertAlign w:val="superscript"/>
              </w:rPr>
              <w:t>2</w:t>
            </w:r>
          </w:p>
        </w:tc>
      </w:tr>
      <w:tr>
        <w:tc>
          <w:p>
            <w:r>
              <w:t>Multi-Modal Support</w:t>
            </w:r>
          </w:p>
        </w:tc>
        <w:tc>
          <w:p>
            <w:r>
              <w:t>Text, images, video, charts, interactive reports</w:t>
            </w:r>
          </w:p>
        </w:tc>
        <w:tc>
          <w:p>
            <w:r>
              <w:rPr>
                <w:vertAlign w:val="superscript"/>
              </w:rPr>
              <w:t>30</w:t>
            </w:r>
          </w:p>
        </w:tc>
      </w:tr>
      <w:tr>
        <w:tc>
          <w:p>
            <w:r>
              <w:t>Version Control</w:t>
            </w:r>
          </w:p>
        </w:tc>
        <w:tc>
          <w:p>
            <w:r>
              <w:t>All workflows, connectors, and models versioned and auditable</w:t>
            </w:r>
          </w:p>
        </w:tc>
        <w:tc>
          <w:p>
            <w:r>
              <w:rPr>
                <w:vertAlign w:val="superscript"/>
              </w:rPr>
              <w:t>12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mpliance_governance_and_legal_constraints" w:id="47"/>
      <w:r>
        <w:t>Compliance, Governance, and Legal Constraints</w:t>
      </w:r>
      <w:bookmarkEnd w:id="47"/>
    </w:p>
    <w:p>
      <w:pPr>
        <w:pStyle w:val="heading3"/>
      </w:pPr>
      <w:bookmarkStart w:name="frameworks_and_standards" w:id="48"/>
      <w:r>
        <w:t>Frameworks and Standards</w:t>
      </w:r>
      <w:bookmarkEnd w:id="48"/>
    </w:p>
    <w:p>
      <w:pPr>
        <w:pStyle w:val="ListParagraph"/>
        <w:numPr>
          <w:ilvl w:val="0"/>
          <w:numId w:val="25"/>
        </w:numPr>
      </w:pPr>
      <w:r>
        <w:rPr>
          <w:b/>
        </w:rPr>
        <w:t>TOGAF:</w:t>
      </w:r>
      <w:r>
        <w:t xml:space="preserve"> Aligns architecture with business goals, ensuring systematic integration and governance.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>SOC2:</w:t>
      </w:r>
      <w:r>
        <w:t xml:space="preserve"> Security, availability, processing integrity, confidentiality, privacy; audit trails and evidence collection</w:t>
      </w:r>
      <w:r>
        <w:rPr>
          <w:vertAlign w:val="superscript"/>
        </w:rPr>
        <w:t>14</w:t>
      </w:r>
      <w:r>
        <w:rPr>
          <w:vertAlign w:val="superscript"/>
        </w:rPr>
        <w:t>21</w:t>
      </w:r>
      <w:r>
        <w:t>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>GDPR:</w:t>
      </w:r>
      <w:r>
        <w:t xml:space="preserve"> Data minimization, privacy by design, data subject rights, cross-border controls, auditability</w:t>
      </w:r>
      <w:r>
        <w:rPr>
          <w:vertAlign w:val="superscript"/>
        </w:rPr>
        <w:t>14</w:t>
      </w:r>
      <w:r>
        <w:rPr>
          <w:vertAlign w:val="superscript"/>
        </w:rPr>
        <w:t>21</w:t>
      </w:r>
      <w:r>
        <w:t>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>EU AI Act:</w:t>
      </w:r>
      <w:r>
        <w:t xml:space="preserve"> Risk classification, conformity assessments, transparency, and explainability requirements</w:t>
      </w:r>
      <w:r>
        <w:rPr>
          <w:vertAlign w:val="superscript"/>
        </w:rPr>
        <w:t>21</w:t>
      </w:r>
      <w:r>
        <w:t>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>Model Risk Management:</w:t>
      </w:r>
      <w:r>
        <w:t xml:space="preserve"> Model cards, explainability, bias/fairness monitoring, and continuous validation</w:t>
      </w:r>
      <w:r>
        <w:rPr>
          <w:vertAlign w:val="superscript"/>
        </w:rPr>
        <w:t>16</w:t>
      </w:r>
      <w:r>
        <w:t>.</w:t>
      </w:r>
    </w:p>
    <w:p>
      <w:pPr>
        <w:pStyle w:val="heading3"/>
      </w:pPr>
      <w:bookmarkStart w:name="governance_practices" w:id="49"/>
      <w:r>
        <w:t>Governance Practices</w:t>
      </w:r>
      <w:bookmarkEnd w:id="49"/>
    </w:p>
    <w:p>
      <w:pPr>
        <w:pStyle w:val="ListParagraph"/>
        <w:numPr>
          <w:ilvl w:val="0"/>
          <w:numId w:val="26"/>
        </w:numPr>
      </w:pPr>
      <w:r>
        <w:rPr>
          <w:b/>
        </w:rPr>
        <w:t>AI Governance Committees:</w:t>
      </w:r>
      <w:r>
        <w:t xml:space="preserve"> Oversee high-risk AI use cases, approve models, and enforce policies</w:t>
      </w:r>
      <w:r>
        <w:rPr>
          <w:vertAlign w:val="superscript"/>
        </w:rPr>
        <w:t>32</w:t>
      </w:r>
      <w:r>
        <w:t>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>Change Management:</w:t>
      </w:r>
      <w:r>
        <w:t xml:space="preserve"> All changes to models, workflows, and connectors are versioned and approved</w:t>
      </w:r>
      <w:r>
        <w:rPr>
          <w:vertAlign w:val="superscript"/>
        </w:rPr>
        <w:t>14</w:t>
      </w:r>
      <w:r>
        <w:t>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>Incident Response:</w:t>
      </w:r>
      <w:r>
        <w:t xml:space="preserve"> Defined escalation paths, root cause analysis, and post-incident reviews</w:t>
      </w:r>
      <w:r>
        <w:rPr>
          <w:vertAlign w:val="superscript"/>
        </w:rPr>
        <w:t>9</w:t>
      </w:r>
      <w:r>
        <w:rPr>
          <w:vertAlign w:val="superscript"/>
        </w:rPr>
        <w:t>14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developer_workflow_and_spec_driven_integration" w:id="50"/>
      <w:r>
        <w:t>Developer Workflow and Spec-Driven Integration</w:t>
      </w:r>
      <w:bookmarkEnd w:id="50"/>
    </w:p>
    <w:p>
      <w:pPr>
        <w:pStyle w:val="heading3"/>
      </w:pPr>
      <w:bookmarkStart w:name="spec_driven_development" w:id="51"/>
      <w:r>
        <w:t>Spec-Driven Development</w:t>
      </w:r>
      <w:bookmarkEnd w:id="51"/>
    </w:p>
    <w:p>
      <w:pPr>
        <w:pStyle w:val="ListParagraph"/>
        <w:numPr>
          <w:ilvl w:val="0"/>
          <w:numId w:val="27"/>
        </w:numPr>
      </w:pPr>
      <w:r>
        <w:rPr>
          <w:b/>
        </w:rPr>
        <w:t>Spec-Driven Pipelines:</w:t>
      </w:r>
      <w:r>
        <w:t xml:space="preserve"> All integrations, connectors, and workflows are defined via specifications, supporting traceability and auditability.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>Jira and Kiro Integration:</w:t>
      </w:r>
      <w:r>
        <w:t xml:space="preserve"> Developer workflows are integrated with Jira for traceability, and spec-driven development tools like Kiro ensure compliance and governance.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>Continuous Integration/Continuous Deployment (CI/CD):</w:t>
      </w:r>
      <w:r>
        <w:t xml:space="preserve"> Automated testing, verification, and deployment of connectors and workflows, with audit logs and rollback capabilities</w:t>
      </w:r>
      <w:r>
        <w:rPr>
          <w:vertAlign w:val="superscript"/>
        </w:rPr>
        <w:t>12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mpetitive_landscape_and_case_studies" w:id="52"/>
      <w:r>
        <w:t>Competitive Landscape and Case Studies</w:t>
      </w:r>
      <w:bookmarkEnd w:id="52"/>
    </w:p>
    <w:p>
      <w:pPr>
        <w:pStyle w:val="heading3"/>
      </w:pPr>
      <w:bookmarkStart w:name="n8n" w:id="53"/>
      <w:r>
        <w:t>n8n</w:t>
      </w:r>
      <w:bookmarkEnd w:id="53"/>
    </w:p>
    <w:p>
      <w:pPr>
        <w:pStyle w:val="ListParagraph"/>
        <w:numPr>
          <w:ilvl w:val="0"/>
          <w:numId w:val="28"/>
        </w:numPr>
      </w:pPr>
      <w:r>
        <w:rPr>
          <w:b/>
        </w:rPr>
        <w:t>Strengths:</w:t>
      </w:r>
      <w:r>
        <w:t xml:space="preserve"> Open-source, self-hosted, production-grade workflows, full data control, versioning, monitoring, and audit logs</w:t>
      </w:r>
      <w:r>
        <w:rPr>
          <w:vertAlign w:val="superscript"/>
        </w:rPr>
        <w:t>12</w:t>
      </w:r>
      <w:r>
        <w:t>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>Limitations:</w:t>
      </w:r>
      <w:r>
        <w:t xml:space="preserve"> Lacks deep agentic orchestration, persistent memory, and multi-layered protection required for SI dashboards.</w:t>
      </w:r>
    </w:p>
    <w:p>
      <w:pPr>
        <w:pStyle w:val="heading3"/>
      </w:pPr>
      <w:bookmarkStart w:name="loable" w:id="54"/>
      <w:r>
        <w:t>Loable</w:t>
      </w:r>
      <w:bookmarkEnd w:id="54"/>
    </w:p>
    <w:p>
      <w:pPr>
        <w:pStyle w:val="ListParagraph"/>
        <w:numPr>
          <w:ilvl w:val="0"/>
          <w:numId w:val="29"/>
        </w:numPr>
      </w:pPr>
      <w:r>
        <w:rPr>
          <w:b/>
        </w:rPr>
        <w:t>Strengths:</w:t>
      </w:r>
      <w:r>
        <w:t xml:space="preserve"> Visual workflow automation, integration with business tools.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>Limitations:</w:t>
      </w:r>
      <w:r>
        <w:t xml:space="preserve"> Less extensible, limited agentic capabilities, and lacks enterprise-grade autonomy and protection.</w:t>
      </w:r>
    </w:p>
    <w:p>
      <w:pPr>
        <w:pStyle w:val="heading3"/>
      </w:pPr>
      <w:bookmarkStart w:name="power_platform" w:id="55"/>
      <w:r>
        <w:t>Power Platform</w:t>
      </w:r>
      <w:bookmarkEnd w:id="55"/>
    </w:p>
    <w:p>
      <w:pPr>
        <w:pStyle w:val="ListParagraph"/>
        <w:numPr>
          <w:ilvl w:val="0"/>
          <w:numId w:val="30"/>
        </w:numPr>
      </w:pPr>
      <w:r>
        <w:rPr>
          <w:b/>
        </w:rPr>
        <w:t>Strengths:</w:t>
      </w:r>
      <w:r>
        <w:t xml:space="preserve"> Extensive connector library, DLP enforcement, admin governance, and integration with Microsoft ecosystem</w:t>
      </w:r>
      <w:r>
        <w:rPr>
          <w:vertAlign w:val="superscript"/>
        </w:rPr>
        <w:t>23</w:t>
      </w:r>
      <w:r>
        <w:t>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>Limitations:</w:t>
      </w:r>
      <w:r>
        <w:t xml:space="preserve"> Custom connectors require careful governance; DLP enforcement may lag for new connectors</w:t>
      </w:r>
      <w:r>
        <w:rPr>
          <w:vertAlign w:val="superscript"/>
        </w:rPr>
        <w:t>22</w:t>
      </w:r>
      <w:r>
        <w:t>.</w:t>
      </w:r>
    </w:p>
    <w:p>
      <w:pPr>
        <w:pStyle w:val="heading3"/>
      </w:pPr>
      <w:bookmarkStart w:name="appsonair" w:id="56"/>
      <w:r>
        <w:t>AppsOnAir</w:t>
      </w:r>
      <w:bookmarkEnd w:id="56"/>
    </w:p>
    <w:p>
      <w:pPr>
        <w:pStyle w:val="ListParagraph"/>
        <w:numPr>
          <w:ilvl w:val="0"/>
          <w:numId w:val="31"/>
        </w:numPr>
      </w:pPr>
      <w:r>
        <w:rPr>
          <w:b/>
        </w:rPr>
        <w:t>Strengths:</w:t>
      </w:r>
      <w:r>
        <w:t xml:space="preserve"> OTA updates, deep linking, in-app feedback, and enterprise workspace management</w:t>
      </w:r>
      <w:r>
        <w:rPr>
          <w:vertAlign w:val="superscript"/>
        </w:rPr>
        <w:t>31</w:t>
      </w:r>
      <w:r>
        <w:t>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>Unique Value:</w:t>
      </w:r>
      <w:r>
        <w:t xml:space="preserve"> Enables a unique app shell for SI dashboards, supporting instant updates and real-time feedback.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nclusion" w:id="57"/>
      <w:r>
        <w:t>Conclusion</w:t>
      </w:r>
      <w:bookmarkEnd w:id="57"/>
    </w:p>
    <w:p>
      <w:r>
        <w:t xml:space="preserve">A premier System Intelligence dashboard for the enterprise must be </w:t>
      </w:r>
      <w:r>
        <w:rPr>
          <w:b/>
        </w:rPr>
        <w:t>layered, autonomous, secure, and uniquely tailored</w:t>
      </w:r>
      <w:r>
        <w:t xml:space="preserve"> to organizational needs. By integrating robust architecture layers, agentic orchestration, persistent AI core, comprehensive connector governance, multi-dimensional protection mechanisms, advanced feed delivery, enterprise-grade UI/UX, operational modes, and AppsOnAir-powered app shell, the SI dashboard can surpass existing tools like n8n and Loable. The non-negotiable requirements checklist ensures that nothing is missed, and compliance with leading frameworks guarantees enterprise readiness.</w:t>
      </w:r>
    </w:p>
    <w:p>
      <w:r>
        <w:rPr>
          <w:b/>
        </w:rPr>
        <w:t>Key Takeaway:</w:t>
      </w:r>
      <w:r>
        <w:br/>
      </w:r>
      <w:r>
        <w:t xml:space="preserve">The future of SI dashboards is not just in automation or integration, but in </w:t>
      </w:r>
      <w:r>
        <w:rPr>
          <w:b/>
        </w:rPr>
        <w:t>trusted autonomy, explainability, and enterprise-grade governance</w:t>
      </w:r>
      <w:r>
        <w:t>-delivering actionable intelligence while ensuring security, compliance, and user trust at every layer.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references_38" w:id="58"/>
      <w:r>
        <w:t>References (38)</w:t>
      </w:r>
      <w:bookmarkEnd w:id="58"/>
    </w:p>
    <w:p>
      <w:r>
        <w:t xml:space="preserve">1. </w:t>
      </w:r>
      <w:r>
        <w:rPr>
          <w:i/>
        </w:rPr>
        <w:t>AI System Design: A Complete Guide (2026)</w:t>
      </w:r>
      <w:r>
        <w:t xml:space="preserve">. </w:t>
      </w:r>
      <w:hyperlink xmlns:r="http://schemas.openxmlformats.org/officeDocument/2006/relationships" r:id="R73494a807ef94af0">
        <w:r>
          <w:rPr>
            <w:rStyle w:val="Hyperlink"/>
          </w:rPr>
          <w:t>https://www.systemdesignhandbook.com/guides/ai-system-design/</w:t>
        </w:r>
      </w:hyperlink>
    </w:p>
    <w:p>
      <w:r>
        <w:t xml:space="preserve">2. </w:t>
      </w:r>
      <w:r>
        <w:rPr>
          <w:i/>
        </w:rPr>
        <w:t>Dashboard design pattern - UI-Patterns.com</w:t>
      </w:r>
      <w:r>
        <w:t xml:space="preserve">. </w:t>
      </w:r>
      <w:hyperlink xmlns:r="http://schemas.openxmlformats.org/officeDocument/2006/relationships" r:id="Rc0ef93ca45a14470">
        <w:r>
          <w:rPr>
            <w:rStyle w:val="Hyperlink"/>
          </w:rPr>
          <w:t>https://ui-patterns.com/patterns/dashboard</w:t>
        </w:r>
      </w:hyperlink>
    </w:p>
    <w:p>
      <w:r>
        <w:t xml:space="preserve">3. </w:t>
      </w:r>
      <w:r>
        <w:rPr>
          <w:i/>
        </w:rPr>
        <w:t>From Data To Decisions: UX Strategies For Real-Time Dashboards</w:t>
      </w:r>
      <w:r>
        <w:t xml:space="preserve">. </w:t>
      </w:r>
      <w:hyperlink xmlns:r="http://schemas.openxmlformats.org/officeDocument/2006/relationships" r:id="R06371f22129c423b">
        <w:r>
          <w:rPr>
            <w:rStyle w:val="Hyperlink"/>
          </w:rPr>
          <w:t>https://www.smashingmagazine.com/2025/09/ux-strategies-real-time-dashboards/</w:t>
        </w:r>
      </w:hyperlink>
    </w:p>
    <w:p>
      <w:r>
        <w:t xml:space="preserve">4. </w:t>
      </w:r>
      <w:r>
        <w:rPr>
          <w:i/>
        </w:rPr>
        <w:t xml:space="preserve">Command palette in Grafana Cloud: key improvements and more </w:t>
      </w:r>
      <w:r>
        <w:t xml:space="preserve">. </w:t>
      </w:r>
      <w:hyperlink xmlns:r="http://schemas.openxmlformats.org/officeDocument/2006/relationships" r:id="Rdfa8754bc63d4550">
        <w:r>
          <w:rPr>
            <w:rStyle w:val="Hyperlink"/>
          </w:rPr>
          <w:t>https://grafana.com/blog/new-in-grafana-cloud-key-improvements-to-the-command-palette-and-navigation-experience/</w:t>
        </w:r>
      </w:hyperlink>
    </w:p>
    <w:p>
      <w:r>
        <w:t xml:space="preserve">5. </w:t>
      </w:r>
      <w:r>
        <w:rPr>
          <w:i/>
        </w:rPr>
        <w:t>Top 10+ Agentic Orchestration Frameworks &amp; Tools</w:t>
      </w:r>
      <w:r>
        <w:t xml:space="preserve">. </w:t>
      </w:r>
      <w:hyperlink xmlns:r="http://schemas.openxmlformats.org/officeDocument/2006/relationships" r:id="R78722d37f3c740ba">
        <w:r>
          <w:rPr>
            <w:rStyle w:val="Hyperlink"/>
          </w:rPr>
          <w:t>https://aimultiple.com/agentic-orchestration</w:t>
        </w:r>
      </w:hyperlink>
    </w:p>
    <w:p>
      <w:r>
        <w:t xml:space="preserve">6. </w:t>
      </w:r>
      <w:r>
        <w:rPr>
          <w:i/>
        </w:rPr>
        <w:t>AI Agent Orchestration Frameworks: Which One Works Best for You?</w:t>
      </w:r>
      <w:r>
        <w:t xml:space="preserve">. </w:t>
      </w:r>
      <w:hyperlink xmlns:r="http://schemas.openxmlformats.org/officeDocument/2006/relationships" r:id="R1a53e228ba884f6b">
        <w:r>
          <w:rPr>
            <w:rStyle w:val="Hyperlink"/>
          </w:rPr>
          <w:t>https://blog.n8n.io/ai-agent-orchestration-frameworks/</w:t>
        </w:r>
      </w:hyperlink>
    </w:p>
    <w:p>
      <w:r>
        <w:t xml:space="preserve">7. </w:t>
      </w:r>
      <w:r>
        <w:rPr>
          <w:i/>
        </w:rPr>
        <w:t>Tooling Stack for AI Agents Managers (2026) - Blockchain Council</w:t>
      </w:r>
      <w:r>
        <w:t xml:space="preserve">. </w:t>
      </w:r>
      <w:hyperlink xmlns:r="http://schemas.openxmlformats.org/officeDocument/2006/relationships" r:id="R68803345ed6a45ee">
        <w:r>
          <w:rPr>
            <w:rStyle w:val="Hyperlink"/>
          </w:rPr>
          <w:t>https://www.blockchain-council.org/agentic-ai/tooling-stack-for-ai-agents-managers-llm-orchestration-memory-rag-observability/</w:t>
        </w:r>
      </w:hyperlink>
    </w:p>
    <w:p>
      <w:r>
        <w:t xml:space="preserve">8. </w:t>
      </w:r>
      <w:r>
        <w:rPr>
          <w:i/>
        </w:rPr>
        <w:t>Autonomy Spectrum in Enterprise AI: Balancing Auto and Human Oversight</w:t>
      </w:r>
      <w:r>
        <w:t xml:space="preserve">. </w:t>
      </w:r>
      <w:hyperlink xmlns:r="http://schemas.openxmlformats.org/officeDocument/2006/relationships" r:id="R9246f68ad3fc4488">
        <w:r>
          <w:rPr>
            <w:rStyle w:val="Hyperlink"/>
          </w:rPr>
          <w:t>https://suhasbhairav.com/blog/autonomous-vs-human-in-the-loop-defining-the-autonomy-spectrum</w:t>
        </w:r>
      </w:hyperlink>
    </w:p>
    <w:p>
      <w:r>
        <w:t xml:space="preserve">9. </w:t>
      </w:r>
      <w:r>
        <w:rPr>
          <w:i/>
        </w:rPr>
        <w:t>SRE for AI Agents: SLOs, Error Budgets, and Reliability</w:t>
      </w:r>
      <w:r>
        <w:t xml:space="preserve">. </w:t>
      </w:r>
      <w:hyperlink xmlns:r="http://schemas.openxmlformats.org/officeDocument/2006/relationships" r:id="R5ba80e20a2484601">
        <w:r>
          <w:rPr>
            <w:rStyle w:val="Hyperlink"/>
          </w:rPr>
          <w:t>https://www.channel.tel/blog/sre-ai-agents-slo-error-budget-cx</w:t>
        </w:r>
      </w:hyperlink>
    </w:p>
    <w:p>
      <w:r>
        <w:t xml:space="preserve">10. </w:t>
      </w:r>
      <w:r>
        <w:rPr>
          <w:i/>
        </w:rPr>
        <w:t>Site Reliability Engineering for AI Agent Systems: Observability ...</w:t>
      </w:r>
      <w:r>
        <w:t xml:space="preserve">. </w:t>
      </w:r>
      <w:hyperlink xmlns:r="http://schemas.openxmlformats.org/officeDocument/2006/relationships" r:id="R457dbf2a74b94546">
        <w:r>
          <w:rPr>
            <w:rStyle w:val="Hyperlink"/>
          </w:rPr>
          <w:t>https://zylos.ai/research/2026-03-22-sre-ai-agent-systems-observability-incident-response/</w:t>
        </w:r>
      </w:hyperlink>
    </w:p>
    <w:p>
      <w:r>
        <w:t xml:space="preserve">13. </w:t>
      </w:r>
      <w:r>
        <w:rPr>
          <w:i/>
        </w:rPr>
        <w:t>The Orchestration of Multi-Agent Systems: Architectures, Protocols, and ...</w:t>
      </w:r>
      <w:r>
        <w:t xml:space="preserve">. </w:t>
      </w:r>
      <w:hyperlink xmlns:r="http://schemas.openxmlformats.org/officeDocument/2006/relationships" r:id="R2bdfcc3112d242d3">
        <w:r>
          <w:rPr>
            <w:rStyle w:val="Hyperlink"/>
          </w:rPr>
          <w:t>https://arxiv.org/html/2601.13671v1</w:t>
        </w:r>
      </w:hyperlink>
    </w:p>
    <w:p>
      <w:r>
        <w:t xml:space="preserve">11. </w:t>
      </w:r>
      <w:r>
        <w:rPr>
          <w:i/>
        </w:rPr>
        <w:t>n8n Case Studies 2026: How Organizations Use Automation</w:t>
      </w:r>
      <w:r>
        <w:t xml:space="preserve">. </w:t>
      </w:r>
      <w:hyperlink xmlns:r="http://schemas.openxmlformats.org/officeDocument/2006/relationships" r:id="R4a151fe8af5a487c">
        <w:r>
          <w:rPr>
            <w:rStyle w:val="Hyperlink"/>
          </w:rPr>
          <w:t>https://goodspeed.studio/blog/n8n-case-studies-automation-success-stories</w:t>
        </w:r>
      </w:hyperlink>
    </w:p>
    <w:p>
      <w:r>
        <w:t xml:space="preserve">12. </w:t>
      </w:r>
      <w:r>
        <w:rPr>
          <w:i/>
        </w:rPr>
        <w:t>Case studies - n8n</w:t>
      </w:r>
      <w:r>
        <w:t xml:space="preserve">. </w:t>
      </w:r>
      <w:hyperlink xmlns:r="http://schemas.openxmlformats.org/officeDocument/2006/relationships" r:id="Re9991708c2da440e">
        <w:r>
          <w:rPr>
            <w:rStyle w:val="Hyperlink"/>
          </w:rPr>
          <w:t>https://n8n.io/case-studies/</w:t>
        </w:r>
      </w:hyperlink>
    </w:p>
    <w:p>
      <w:r>
        <w:t xml:space="preserve">14. </w:t>
      </w:r>
      <w:r>
        <w:rPr>
          <w:i/>
        </w:rPr>
        <w:t xml:space="preserve">Compliance Frameworks for AI Infrastructure </w:t>
      </w:r>
      <w:r>
        <w:t xml:space="preserve">. </w:t>
      </w:r>
      <w:hyperlink xmlns:r="http://schemas.openxmlformats.org/officeDocument/2006/relationships" r:id="R0b8837946f024379">
        <w:r>
          <w:rPr>
            <w:rStyle w:val="Hyperlink"/>
          </w:rPr>
          <w:t>https://introl.com/blog/compliance-frameworks-ai-infrastructure-soc2-iso27001-gdpr</w:t>
        </w:r>
      </w:hyperlink>
    </w:p>
    <w:p>
      <w:r>
        <w:t xml:space="preserve">15. </w:t>
      </w:r>
      <w:r>
        <w:rPr>
          <w:i/>
        </w:rPr>
        <w:t xml:space="preserve">Explainability &amp; Auditability - ArcaQ </w:t>
      </w:r>
      <w:r>
        <w:t xml:space="preserve">. </w:t>
      </w:r>
      <w:hyperlink xmlns:r="http://schemas.openxmlformats.org/officeDocument/2006/relationships" r:id="R54c536feeeba467d">
        <w:r>
          <w:rPr>
            <w:rStyle w:val="Hyperlink"/>
          </w:rPr>
          <w:t>https://www.arcaq.com/explainability.html</w:t>
        </w:r>
      </w:hyperlink>
    </w:p>
    <w:p>
      <w:r>
        <w:t xml:space="preserve">16. </w:t>
      </w:r>
      <w:r>
        <w:rPr>
          <w:i/>
        </w:rPr>
        <w:t>T is for Transparency: Making AI Decisions Explainable, Auditable, and ...</w:t>
      </w:r>
      <w:r>
        <w:t xml:space="preserve">. </w:t>
      </w:r>
      <w:hyperlink xmlns:r="http://schemas.openxmlformats.org/officeDocument/2006/relationships" r:id="Rd9306877ad9d4819">
        <w:r>
          <w:rPr>
            <w:rStyle w:val="Hyperlink"/>
          </w:rPr>
          <w:t>https://www.dawgen.global/t-is-for-transparency-making-ai-decisions-explainable-auditable-and-defensible/</w:t>
        </w:r>
      </w:hyperlink>
    </w:p>
    <w:p>
      <w:r>
        <w:t xml:space="preserve">18. </w:t>
      </w:r>
      <w:r>
        <w:rPr>
          <w:i/>
        </w:rPr>
        <w:t>The Case for AI Provenance: Why We Need to Trust the Source</w:t>
      </w:r>
      <w:r>
        <w:t xml:space="preserve">. </w:t>
      </w:r>
      <w:hyperlink xmlns:r="http://schemas.openxmlformats.org/officeDocument/2006/relationships" r:id="Rcaf5580af1dc4c7c">
        <w:r>
          <w:rPr>
            <w:rStyle w:val="Hyperlink"/>
          </w:rPr>
          <w:t>https://dev.to/mc2259/the-case-for-ai-provenance-why-we-need-to-trust-the-source-16k0</w:t>
        </w:r>
      </w:hyperlink>
    </w:p>
    <w:p>
      <w:r>
        <w:t xml:space="preserve">19. </w:t>
      </w:r>
      <w:r>
        <w:rPr>
          <w:i/>
        </w:rPr>
        <w:t>ChatGPT Enterprise Connectors: Office 365 &amp; Azure Guide</w:t>
      </w:r>
      <w:r>
        <w:t xml:space="preserve">. </w:t>
      </w:r>
      <w:hyperlink xmlns:r="http://schemas.openxmlformats.org/officeDocument/2006/relationships" r:id="R1e57479c30314a0c">
        <w:r>
          <w:rPr>
            <w:rStyle w:val="Hyperlink"/>
          </w:rPr>
          <w:t>https://intuitionlabs.ai/articles/chatgpt-enterprise-connectors-office-365-azure</w:t>
        </w:r>
      </w:hyperlink>
    </w:p>
    <w:p>
      <w:r>
        <w:t xml:space="preserve">22. </w:t>
      </w:r>
      <w:r>
        <w:rPr>
          <w:i/>
        </w:rPr>
        <w:t>Custom connectors with DLP policy in Power Automate</w:t>
      </w:r>
      <w:r>
        <w:t xml:space="preserve">. </w:t>
      </w:r>
      <w:hyperlink xmlns:r="http://schemas.openxmlformats.org/officeDocument/2006/relationships" r:id="Rd6dd86bb6d18404c">
        <w:r>
          <w:rPr>
            <w:rStyle w:val="Hyperlink"/>
          </w:rPr>
          <w:t>https://robdy.io/custom-connectors-with-dlp-policy/</w:t>
        </w:r>
      </w:hyperlink>
    </w:p>
    <w:p>
      <w:r>
        <w:t xml:space="preserve">17. </w:t>
      </w:r>
      <w:r>
        <w:rPr>
          <w:i/>
        </w:rPr>
        <w:t>Human-in-the-Loop Artificial Intelligence: A Systematic Review of ...</w:t>
      </w:r>
      <w:r>
        <w:t xml:space="preserve">. </w:t>
      </w:r>
      <w:hyperlink xmlns:r="http://schemas.openxmlformats.org/officeDocument/2006/relationships" r:id="R95a30ce9e4454315">
        <w:r>
          <w:rPr>
            <w:rStyle w:val="Hyperlink"/>
          </w:rPr>
          <w:t>https://www.mdpi.com/1099-4300/28/4/377</w:t>
        </w:r>
      </w:hyperlink>
    </w:p>
    <w:p>
      <w:r>
        <w:t xml:space="preserve">20. </w:t>
      </w:r>
      <w:r>
        <w:rPr>
          <w:i/>
        </w:rPr>
        <w:t>Securing Data in the AI Era: Purpose-Built DLP for the Modern Endpoint</w:t>
      </w:r>
      <w:r>
        <w:t xml:space="preserve">. </w:t>
      </w:r>
      <w:hyperlink xmlns:r="http://schemas.openxmlformats.org/officeDocument/2006/relationships" r:id="Ree4c04162b0b4294">
        <w:r>
          <w:rPr>
            <w:rStyle w:val="Hyperlink"/>
          </w:rPr>
          <w:t>https://www.paloaltonetworks.com/blog/security-operations/securing-data-in-the-ai-era-purpose-built-dlp-for-the-modern-endpoint/</w:t>
        </w:r>
      </w:hyperlink>
    </w:p>
    <w:p>
      <w:r>
        <w:t xml:space="preserve">21. </w:t>
      </w:r>
      <w:r>
        <w:rPr>
          <w:i/>
        </w:rPr>
        <w:t>The Complete Guide to Enterprise AI Security: RAG, Agents &amp; Compliance ...</w:t>
      </w:r>
      <w:r>
        <w:t xml:space="preserve">. </w:t>
      </w:r>
      <w:hyperlink xmlns:r="http://schemas.openxmlformats.org/officeDocument/2006/relationships" r:id="R7d724131df6844df">
        <w:r>
          <w:rPr>
            <w:rStyle w:val="Hyperlink"/>
          </w:rPr>
          <w:t>https://ragwalla.com/docs/guides/the-complete-guide-to-enterprise-ai-security-rag-agents-compliance-in-2025</w:t>
        </w:r>
      </w:hyperlink>
    </w:p>
    <w:p>
      <w:r>
        <w:t xml:space="preserve">23. </w:t>
      </w:r>
      <w:r>
        <w:rPr>
          <w:i/>
        </w:rPr>
        <w:t>Data loss prevention (DLP) policy creation - Power Automate</w:t>
      </w:r>
      <w:r>
        <w:t xml:space="preserve">. </w:t>
      </w:r>
      <w:hyperlink xmlns:r="http://schemas.openxmlformats.org/officeDocument/2006/relationships" r:id="R1a7ee10a3b9e4fdf">
        <w:r>
          <w:rPr>
            <w:rStyle w:val="Hyperlink"/>
          </w:rPr>
          <w:t>https://learn.microsoft.com/en-us/power-automate/prevent-data-loss</w:t>
        </w:r>
      </w:hyperlink>
    </w:p>
    <w:p>
      <w:r>
        <w:t xml:space="preserve">24. </w:t>
      </w:r>
      <w:r>
        <w:rPr>
          <w:i/>
        </w:rPr>
        <w:t xml:space="preserve">Agentic AI Safety Playbook 2025 </w:t>
      </w:r>
      <w:r>
        <w:t xml:space="preserve">. </w:t>
      </w:r>
      <w:hyperlink xmlns:r="http://schemas.openxmlformats.org/officeDocument/2006/relationships" r:id="Raf8b15de9b924b25">
        <w:r>
          <w:rPr>
            <w:rStyle w:val="Hyperlink"/>
          </w:rPr>
          <w:t>https://dextralabs.com/blog/agentic-ai-safety-playbook-guardrails-permissions-auditability/</w:t>
        </w:r>
      </w:hyperlink>
    </w:p>
    <w:p>
      <w:r>
        <w:t xml:space="preserve">25. </w:t>
      </w:r>
      <w:r>
        <w:rPr>
          <w:i/>
        </w:rPr>
        <w:t>Attribution, Provenance, Reference, Citation, and AI for Research ...</w:t>
      </w:r>
      <w:r>
        <w:t xml:space="preserve">. </w:t>
      </w:r>
      <w:hyperlink xmlns:r="http://schemas.openxmlformats.org/officeDocument/2006/relationships" r:id="R065ecc2664374ab3">
        <w:r>
          <w:rPr>
            <w:rStyle w:val="Hyperlink"/>
          </w:rPr>
          <w:t>https://scholarlykitchen.sspnet.org/2026/06/17/attribution-provenance-reference-citation-and-ai-for-research-applications-understanding-the-differences/</w:t>
        </w:r>
      </w:hyperlink>
    </w:p>
    <w:p>
      <w:r>
        <w:t xml:space="preserve">26. </w:t>
      </w:r>
      <w:r>
        <w:rPr>
          <w:i/>
        </w:rPr>
        <w:t>AI Notification Management: Fix Digital Chaos in 2026</w:t>
      </w:r>
      <w:r>
        <w:t xml:space="preserve">. </w:t>
      </w:r>
      <w:hyperlink xmlns:r="http://schemas.openxmlformats.org/officeDocument/2006/relationships" r:id="Re6371548f7624b03">
        <w:r>
          <w:rPr>
            <w:rStyle w:val="Hyperlink"/>
          </w:rPr>
          <w:t>https://www.sentisight.ai/ai-manages-digital-notification-chaos/</w:t>
        </w:r>
      </w:hyperlink>
    </w:p>
    <w:p>
      <w:r>
        <w:t xml:space="preserve">27. </w:t>
      </w:r>
      <w:r>
        <w:rPr>
          <w:i/>
        </w:rPr>
        <w:t>Background Agents and the Notification Budget: Why Proactive AI Hits a ...</w:t>
      </w:r>
      <w:r>
        <w:t xml:space="preserve">. </w:t>
      </w:r>
      <w:hyperlink xmlns:r="http://schemas.openxmlformats.org/officeDocument/2006/relationships" r:id="R2fd1bdc317de459e">
        <w:r>
          <w:rPr>
            <w:rStyle w:val="Hyperlink"/>
          </w:rPr>
          <w:t>https://tianpan.co/blog/2026-05-13-background-agents-notification-budget-attention-economy</w:t>
        </w:r>
      </w:hyperlink>
    </w:p>
    <w:p>
      <w:r>
        <w:t xml:space="preserve">28. </w:t>
      </w:r>
      <w:r>
        <w:rPr>
          <w:i/>
        </w:rPr>
        <w:t>Gemini Daily Brief - Smart summaries for busy minds</w:t>
      </w:r>
      <w:r>
        <w:t xml:space="preserve">. </w:t>
      </w:r>
      <w:hyperlink xmlns:r="http://schemas.openxmlformats.org/officeDocument/2006/relationships" r:id="Rd3b06b86243e4824">
        <w:r>
          <w:rPr>
            <w:rStyle w:val="Hyperlink"/>
          </w:rPr>
          <w:t>https://gemini.google/overview/daily-brief/</w:t>
        </w:r>
      </w:hyperlink>
    </w:p>
    <w:p>
      <w:r>
        <w:t xml:space="preserve">29. </w:t>
      </w:r>
      <w:r>
        <w:rPr>
          <w:i/>
        </w:rPr>
        <w:t>ChatGPT Pulse: Your Personalized AI Briefing, Delivered Daily</w:t>
      </w:r>
      <w:r>
        <w:t xml:space="preserve">. </w:t>
      </w:r>
      <w:hyperlink xmlns:r="http://schemas.openxmlformats.org/officeDocument/2006/relationships" r:id="R54a11a4b08174fe6">
        <w:r>
          <w:rPr>
            <w:rStyle w:val="Hyperlink"/>
          </w:rPr>
          <w:t>https://www.apex36tech.com/blog/chatgpt-pulse-your-personalized-ai-briefing-delivered-daily</w:t>
        </w:r>
      </w:hyperlink>
    </w:p>
    <w:p>
      <w:r>
        <w:t xml:space="preserve">30. </w:t>
      </w:r>
      <w:r>
        <w:rPr>
          <w:i/>
        </w:rPr>
        <w:t xml:space="preserve">Operational Modes </w:t>
      </w:r>
      <w:r>
        <w:t xml:space="preserve">. </w:t>
      </w:r>
      <w:hyperlink xmlns:r="http://schemas.openxmlformats.org/officeDocument/2006/relationships" r:id="R157de24103f74568">
        <w:r>
          <w:rPr>
            <w:rStyle w:val="Hyperlink"/>
          </w:rPr>
          <w:t>https://deepwiki.com/agentscope-ai/agentscope-samples/5.2-operational-modes</w:t>
        </w:r>
      </w:hyperlink>
    </w:p>
    <w:p>
      <w:r>
        <w:t xml:space="preserve">31. </w:t>
      </w:r>
      <w:r>
        <w:rPr>
          <w:i/>
        </w:rPr>
        <w:t>Onboarding with AppsOnAir</w:t>
      </w:r>
      <w:r>
        <w:t xml:space="preserve">. </w:t>
      </w:r>
      <w:hyperlink xmlns:r="http://schemas.openxmlformats.org/officeDocument/2006/relationships" r:id="R48668b57e9304102">
        <w:r>
          <w:rPr>
            <w:rStyle w:val="Hyperlink"/>
          </w:rPr>
          <w:t>https://documentation.appsonair.com/</w:t>
        </w:r>
      </w:hyperlink>
    </w:p>
    <w:p>
      <w:r>
        <w:t xml:space="preserve">32. </w:t>
      </w:r>
      <w:r>
        <w:rPr>
          <w:i/>
        </w:rPr>
        <w:t>AI Governance-3 Framework SOC2 and GDPR control mapping</w:t>
      </w:r>
      <w:r>
        <w:t xml:space="preserve">. </w:t>
      </w:r>
      <w:hyperlink xmlns:r="http://schemas.openxmlformats.org/officeDocument/2006/relationships" r:id="R92b0a8ba6c2b404f">
        <w:r>
          <w:rPr>
            <w:rStyle w:val="Hyperlink"/>
          </w:rPr>
          <w:t>https://www.linkedin.com/pulse/ai-governance-3-framework-soc2-gdpr-control-mapping-kulkarni-znt7c</w:t>
        </w:r>
      </w:hyperlink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d41629f1749b4b42" /><Relationship Type="http://schemas.openxmlformats.org/officeDocument/2006/relationships/settings" Target="/word/settings.xml" Id="R308cbaad3b6641c6" /><Relationship Type="http://schemas.openxmlformats.org/officeDocument/2006/relationships/styles" Target="/word/styles.xml" Id="R259ca15a7a1e45e1" /><Relationship Type="http://schemas.openxmlformats.org/officeDocument/2006/relationships/hyperlink" Target="https://www.systemdesignhandbook.com/guides/ai-system-design/" TargetMode="External" Id="R73494a807ef94af0" /><Relationship Type="http://schemas.openxmlformats.org/officeDocument/2006/relationships/hyperlink" Target="https://ui-patterns.com/patterns/dashboard" TargetMode="External" Id="Rc0ef93ca45a14470" /><Relationship Type="http://schemas.openxmlformats.org/officeDocument/2006/relationships/hyperlink" Target="https://www.smashingmagazine.com/2025/09/ux-strategies-real-time-dashboards/" TargetMode="External" Id="R06371f22129c423b" /><Relationship Type="http://schemas.openxmlformats.org/officeDocument/2006/relationships/hyperlink" Target="https://grafana.com/blog/new-in-grafana-cloud-key-improvements-to-the-command-palette-and-navigation-experience/" TargetMode="External" Id="Rdfa8754bc63d4550" /><Relationship Type="http://schemas.openxmlformats.org/officeDocument/2006/relationships/hyperlink" Target="https://aimultiple.com/agentic-orchestration" TargetMode="External" Id="R78722d37f3c740ba" /><Relationship Type="http://schemas.openxmlformats.org/officeDocument/2006/relationships/hyperlink" Target="https://blog.n8n.io/ai-agent-orchestration-frameworks/" TargetMode="External" Id="R1a53e228ba884f6b" /><Relationship Type="http://schemas.openxmlformats.org/officeDocument/2006/relationships/hyperlink" Target="https://www.blockchain-council.org/agentic-ai/tooling-stack-for-ai-agents-managers-llm-orchestration-memory-rag-observability/" TargetMode="External" Id="R68803345ed6a45ee" /><Relationship Type="http://schemas.openxmlformats.org/officeDocument/2006/relationships/hyperlink" Target="https://suhasbhairav.com/blog/autonomous-vs-human-in-the-loop-defining-the-autonomy-spectrum" TargetMode="External" Id="R9246f68ad3fc4488" /><Relationship Type="http://schemas.openxmlformats.org/officeDocument/2006/relationships/hyperlink" Target="https://www.channel.tel/blog/sre-ai-agents-slo-error-budget-cx" TargetMode="External" Id="R5ba80e20a2484601" /><Relationship Type="http://schemas.openxmlformats.org/officeDocument/2006/relationships/hyperlink" Target="https://zylos.ai/research/2026-03-22-sre-ai-agent-systems-observability-incident-response/" TargetMode="External" Id="R457dbf2a74b94546" /><Relationship Type="http://schemas.openxmlformats.org/officeDocument/2006/relationships/hyperlink" Target="https://arxiv.org/html/2601.13671v1" TargetMode="External" Id="R2bdfcc3112d242d3" /><Relationship Type="http://schemas.openxmlformats.org/officeDocument/2006/relationships/hyperlink" Target="https://goodspeed.studio/blog/n8n-case-studies-automation-success-stories" TargetMode="External" Id="R4a151fe8af5a487c" /><Relationship Type="http://schemas.openxmlformats.org/officeDocument/2006/relationships/hyperlink" Target="https://n8n.io/case-studies/" TargetMode="External" Id="Re9991708c2da440e" /><Relationship Type="http://schemas.openxmlformats.org/officeDocument/2006/relationships/hyperlink" Target="https://introl.com/blog/compliance-frameworks-ai-infrastructure-soc2-iso27001-gdpr" TargetMode="External" Id="R0b8837946f024379" /><Relationship Type="http://schemas.openxmlformats.org/officeDocument/2006/relationships/hyperlink" Target="https://www.arcaq.com/explainability.html" TargetMode="External" Id="R54c536feeeba467d" /><Relationship Type="http://schemas.openxmlformats.org/officeDocument/2006/relationships/hyperlink" Target="https://www.dawgen.global/t-is-for-transparency-making-ai-decisions-explainable-auditable-and-defensible/" TargetMode="External" Id="Rd9306877ad9d4819" /><Relationship Type="http://schemas.openxmlformats.org/officeDocument/2006/relationships/hyperlink" Target="https://dev.to/mc2259/the-case-for-ai-provenance-why-we-need-to-trust-the-source-16k0" TargetMode="External" Id="Rcaf5580af1dc4c7c" /><Relationship Type="http://schemas.openxmlformats.org/officeDocument/2006/relationships/hyperlink" Target="https://intuitionlabs.ai/articles/chatgpt-enterprise-connectors-office-365-azure" TargetMode="External" Id="R1e57479c30314a0c" /><Relationship Type="http://schemas.openxmlformats.org/officeDocument/2006/relationships/hyperlink" Target="https://robdy.io/custom-connectors-with-dlp-policy/" TargetMode="External" Id="Rd6dd86bb6d18404c" /><Relationship Type="http://schemas.openxmlformats.org/officeDocument/2006/relationships/hyperlink" Target="https://www.mdpi.com/1099-4300/28/4/377" TargetMode="External" Id="R95a30ce9e4454315" /><Relationship Type="http://schemas.openxmlformats.org/officeDocument/2006/relationships/hyperlink" Target="https://www.paloaltonetworks.com/blog/security-operations/securing-data-in-the-ai-era-purpose-built-dlp-for-the-modern-endpoint/" TargetMode="External" Id="Ree4c04162b0b4294" /><Relationship Type="http://schemas.openxmlformats.org/officeDocument/2006/relationships/hyperlink" Target="https://ragwalla.com/docs/guides/the-complete-guide-to-enterprise-ai-security-rag-agents-compliance-in-2025" TargetMode="External" Id="R7d724131df6844df" /><Relationship Type="http://schemas.openxmlformats.org/officeDocument/2006/relationships/hyperlink" Target="https://learn.microsoft.com/en-us/power-automate/prevent-data-loss" TargetMode="External" Id="R1a7ee10a3b9e4fdf" /><Relationship Type="http://schemas.openxmlformats.org/officeDocument/2006/relationships/hyperlink" Target="https://dextralabs.com/blog/agentic-ai-safety-playbook-guardrails-permissions-auditability/" TargetMode="External" Id="Raf8b15de9b924b25" /><Relationship Type="http://schemas.openxmlformats.org/officeDocument/2006/relationships/hyperlink" Target="https://scholarlykitchen.sspnet.org/2026/06/17/attribution-provenance-reference-citation-and-ai-for-research-applications-understanding-the-differences/" TargetMode="External" Id="R065ecc2664374ab3" /><Relationship Type="http://schemas.openxmlformats.org/officeDocument/2006/relationships/hyperlink" Target="https://www.sentisight.ai/ai-manages-digital-notification-chaos/" TargetMode="External" Id="Re6371548f7624b03" /><Relationship Type="http://schemas.openxmlformats.org/officeDocument/2006/relationships/hyperlink" Target="https://tianpan.co/blog/2026-05-13-background-agents-notification-budget-attention-economy" TargetMode="External" Id="R2fd1bdc317de459e" /><Relationship Type="http://schemas.openxmlformats.org/officeDocument/2006/relationships/hyperlink" Target="https://gemini.google/overview/daily-brief/" TargetMode="External" Id="Rd3b06b86243e4824" /><Relationship Type="http://schemas.openxmlformats.org/officeDocument/2006/relationships/hyperlink" Target="https://www.apex36tech.com/blog/chatgpt-pulse-your-personalized-ai-briefing-delivered-daily" TargetMode="External" Id="R54a11a4b08174fe6" /><Relationship Type="http://schemas.openxmlformats.org/officeDocument/2006/relationships/hyperlink" Target="https://deepwiki.com/agentscope-ai/agentscope-samples/5.2-operational-modes" TargetMode="External" Id="R157de24103f74568" /><Relationship Type="http://schemas.openxmlformats.org/officeDocument/2006/relationships/hyperlink" Target="https://documentation.appsonair.com/" TargetMode="External" Id="R48668b57e9304102" /><Relationship Type="http://schemas.openxmlformats.org/officeDocument/2006/relationships/hyperlink" Target="https://www.linkedin.com/pulse/ai-governance-3-framework-soc2-gdpr-control-mapping-kulkarni-znt7c" TargetMode="External" Id="R92b0a8ba6c2b404f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