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POLICE STATION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POLICE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CRIMINALS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UNDER FIRST FEATURE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POLICE INFO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policeid (PK) - it is the primary key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phonenumber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dob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city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Address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gender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policestatusid(FK)- it is the foreign key which is referenced from the policestatus table.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stationid (FK) - it is the foreign key which is referenced from the station 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POLICE STATUS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policestatusid (PK) - it is the primary key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policestatusname (UK) - it is the unique key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police income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description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STATION INFO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stationid (PK)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stationname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stationcity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stationphonenumber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address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600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UNDER SECOND FEATURE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CRIMINAL INFO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criminalid (PK)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criminal 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criminal phno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criminal city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homeaddress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DOB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 gender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CRIMES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crimesid (PK)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Crimename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crimecategory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CRIME INCIDENTS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incidentid (PK) - it is the primary key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Policeid (FK) - it is the foreign key referenced from police table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Criminalid (FK) - it is the foreign key referenced from the criminal table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Crimesid (FK) - it is the foreign key referenced from the crimes table.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Incidentdate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6. incidentoccuredlocation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gender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genderid (PK)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male boolean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female boolean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gender table is the meta data along with the crimes table and crimeincident table.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