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4671" w14:textId="6FA739B5" w:rsidR="00212C16" w:rsidRDefault="00212C16">
      <w:r>
        <w:t>25/09/2024</w:t>
      </w:r>
    </w:p>
    <w:p w14:paraId="12863AED" w14:textId="46105338" w:rsidR="00212C16" w:rsidRDefault="00212C16">
      <w:r>
        <w:t>Programming Week 1 MS</w:t>
      </w:r>
    </w:p>
    <w:p w14:paraId="13574D6F" w14:textId="6B48E4BE" w:rsidR="00212C16" w:rsidRDefault="00212C16">
      <w:r>
        <w:t>First step to output a piece of text using the print() function.</w:t>
      </w:r>
    </w:p>
    <w:p w14:paraId="49B41B81" w14:textId="4CBBA392" w:rsidR="00212C16" w:rsidRDefault="00212C16">
      <w:r>
        <w:t xml:space="preserve">Example: print(“Hello World!”) </w:t>
      </w:r>
    </w:p>
    <w:p w14:paraId="05313276" w14:textId="588E7E74" w:rsidR="00212C16" w:rsidRDefault="00212C16">
      <w:r>
        <w:t>Predominantly be using Visual Studio Code and making sure it has the .</w:t>
      </w:r>
      <w:proofErr w:type="spellStart"/>
      <w:r>
        <w:t>py</w:t>
      </w:r>
      <w:proofErr w:type="spellEnd"/>
      <w:r>
        <w:t xml:space="preserve"> extension.</w:t>
      </w:r>
    </w:p>
    <w:p w14:paraId="300D3DE4" w14:textId="1ADCF70B" w:rsidR="00212C16" w:rsidRDefault="00212C16">
      <w:r>
        <w:t>For a good portion of the course, we will be putting our code in a single file and normally stick to the convention of naming it main.py.</w:t>
      </w:r>
    </w:p>
    <w:p w14:paraId="12DFFD95" w14:textId="44D4459C" w:rsidR="00212C16" w:rsidRDefault="00212C16">
      <w:r>
        <w:t>Once you have added the line hit the run button at the top of Visual Studio Code.</w:t>
      </w:r>
    </w:p>
    <w:p w14:paraId="12FF8398" w14:textId="23678115" w:rsidR="00212C16" w:rsidRDefault="00D33EA0">
      <w:r>
        <w:t>GitHub</w:t>
      </w:r>
      <w:r w:rsidR="007B103E">
        <w:t>, Anaconda, visual studio</w:t>
      </w:r>
    </w:p>
    <w:p w14:paraId="075A4F32" w14:textId="0344DAB6" w:rsidR="002A29CD" w:rsidRDefault="002A29CD">
      <w:r>
        <w:t>Press c</w:t>
      </w:r>
      <w:r w:rsidR="003E1C38">
        <w:t xml:space="preserve">trl, tab &amp; P to launch the code that’s written, then either use the most recent </w:t>
      </w:r>
      <w:r w:rsidR="00EA2C43">
        <w:t xml:space="preserve">one or search python until you are prompted with </w:t>
      </w:r>
      <w:r w:rsidR="00D33EA0">
        <w:t xml:space="preserve">“Run python File in terminal”. </w:t>
      </w:r>
    </w:p>
    <w:p w14:paraId="103F4B7D" w14:textId="45EA8CA6" w:rsidR="00BC4A82" w:rsidRDefault="00BC4A82">
      <w:r>
        <w:t xml:space="preserve">Using </w:t>
      </w:r>
      <w:proofErr w:type="spellStart"/>
      <w:r>
        <w:t>github</w:t>
      </w:r>
      <w:proofErr w:type="spellEnd"/>
      <w:r>
        <w:t xml:space="preserve">, make sure </w:t>
      </w:r>
      <w:r w:rsidR="00EB687A">
        <w:t xml:space="preserve">if any changes have been added to commit to main by hitting the button. </w:t>
      </w:r>
    </w:p>
    <w:p w14:paraId="0DA8CBDB" w14:textId="77777777" w:rsidR="00EB687A" w:rsidRDefault="00EB687A"/>
    <w:p w14:paraId="735C8527" w14:textId="139A1024" w:rsidR="00C60EA1" w:rsidRDefault="00C60EA1">
      <w:r>
        <w:t>GITHUB – New Repository how to</w:t>
      </w:r>
    </w:p>
    <w:p w14:paraId="33E88BCA" w14:textId="4F5629FD" w:rsidR="00C60EA1" w:rsidRDefault="000940E5">
      <w:r>
        <w:t>File – new repository – choose folder – finish</w:t>
      </w:r>
    </w:p>
    <w:p w14:paraId="61C3CB35" w14:textId="5563341B" w:rsidR="000940E5" w:rsidRDefault="000940E5">
      <w:r>
        <w:t xml:space="preserve">How to update </w:t>
      </w:r>
      <w:proofErr w:type="spellStart"/>
      <w:r>
        <w:t>github</w:t>
      </w:r>
      <w:proofErr w:type="spellEnd"/>
      <w:r w:rsidR="00F40F3C">
        <w:t xml:space="preserve"> – once </w:t>
      </w:r>
      <w:proofErr w:type="spellStart"/>
      <w:r w:rsidR="00F40F3C">
        <w:t>github</w:t>
      </w:r>
      <w:proofErr w:type="spellEnd"/>
      <w:r w:rsidR="00F40F3C">
        <w:t xml:space="preserve"> is connected to that folder, anything within that folder will automatically update to the desktop version of </w:t>
      </w:r>
      <w:proofErr w:type="spellStart"/>
      <w:r w:rsidR="00F40F3C">
        <w:t>github</w:t>
      </w:r>
      <w:proofErr w:type="spellEnd"/>
      <w:r w:rsidR="00F40F3C">
        <w:t xml:space="preserve">. Once again when </w:t>
      </w:r>
      <w:r w:rsidR="00665EBC">
        <w:t>you have finished your session remember to simply hit commit to main with any comments you may have to update the web browser version.</w:t>
      </w:r>
    </w:p>
    <w:p w14:paraId="05D3DF63" w14:textId="77777777" w:rsidR="00665EBC" w:rsidRDefault="00665EBC"/>
    <w:p w14:paraId="760A3C16" w14:textId="52AD0E5F" w:rsidR="00D33EA0" w:rsidRDefault="00ED1270">
      <w:r>
        <w:t xml:space="preserve">In visual studio – </w:t>
      </w:r>
    </w:p>
    <w:p w14:paraId="36BF881A" w14:textId="3DB8F207" w:rsidR="00ED1270" w:rsidRPr="00C35A87" w:rsidRDefault="00ED1270">
      <w:pPr>
        <w:rPr>
          <w:b/>
          <w:bCs/>
        </w:rPr>
      </w:pPr>
      <w:r w:rsidRPr="00C35A87">
        <w:rPr>
          <w:b/>
          <w:bCs/>
        </w:rPr>
        <w:t>Shortcuts so far:</w:t>
      </w:r>
    </w:p>
    <w:p w14:paraId="0FB2FFB0" w14:textId="2CAB0677" w:rsidR="00ED1270" w:rsidRDefault="00ED1270">
      <w:r>
        <w:t xml:space="preserve">Ctrl &amp; </w:t>
      </w:r>
      <w:r w:rsidR="00934084">
        <w:t xml:space="preserve">/ which changes the code </w:t>
      </w:r>
      <w:r w:rsidR="00272542">
        <w:t xml:space="preserve">with the # </w:t>
      </w:r>
    </w:p>
    <w:p w14:paraId="502A4CA3" w14:textId="5B4F4B34" w:rsidR="00272542" w:rsidRDefault="00272542">
      <w:r>
        <w:t>Ctrl &amp; S for save.</w:t>
      </w:r>
    </w:p>
    <w:p w14:paraId="3530B11F" w14:textId="6BA8A30D" w:rsidR="00272542" w:rsidRDefault="004D43F6">
      <w:r>
        <w:t>Ctrl Shift &amp; P to run the code simply.</w:t>
      </w:r>
    </w:p>
    <w:p w14:paraId="2E1BEB44" w14:textId="77777777" w:rsidR="009F3ED8" w:rsidRDefault="009F3ED8"/>
    <w:p w14:paraId="021F19EA" w14:textId="1B5F9F01" w:rsidR="009F3ED8" w:rsidRPr="00C35A87" w:rsidRDefault="009F3ED8">
      <w:pPr>
        <w:rPr>
          <w:b/>
          <w:bCs/>
        </w:rPr>
      </w:pPr>
      <w:r w:rsidRPr="00C35A87">
        <w:rPr>
          <w:b/>
          <w:bCs/>
        </w:rPr>
        <w:t xml:space="preserve">Data types: </w:t>
      </w:r>
    </w:p>
    <w:tbl>
      <w:tblPr>
        <w:tblW w:w="0" w:type="auto"/>
        <w:shd w:val="clear" w:color="auto" w:fill="0F14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7957"/>
      </w:tblGrid>
      <w:tr w:rsidR="009F3ED8" w:rsidRPr="009F3ED8" w14:paraId="44A6B527" w14:textId="77777777" w:rsidTr="009F3ED8"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E66058E" w14:textId="77777777" w:rsidR="009F3ED8" w:rsidRPr="009F3ED8" w:rsidRDefault="009F3ED8" w:rsidP="009F3ED8">
            <w:r w:rsidRPr="009F3ED8">
              <w:t>int</w:t>
            </w:r>
          </w:p>
        </w:tc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AF002C2" w14:textId="77777777" w:rsidR="009F3ED8" w:rsidRPr="009F3ED8" w:rsidRDefault="009F3ED8" w:rsidP="009F3ED8">
            <w:r w:rsidRPr="009F3ED8">
              <w:t>An integer. This is a whole number, it can be positive, negative or zero. e.g. 5</w:t>
            </w:r>
          </w:p>
        </w:tc>
      </w:tr>
      <w:tr w:rsidR="009F3ED8" w:rsidRPr="009F3ED8" w14:paraId="4D26CB54" w14:textId="77777777" w:rsidTr="009F3ED8"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A80697E" w14:textId="77777777" w:rsidR="009F3ED8" w:rsidRPr="009F3ED8" w:rsidRDefault="009F3ED8" w:rsidP="009F3ED8">
            <w:r w:rsidRPr="009F3ED8">
              <w:lastRenderedPageBreak/>
              <w:t>float</w:t>
            </w:r>
          </w:p>
        </w:tc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B5BD5D3" w14:textId="77777777" w:rsidR="009F3ED8" w:rsidRPr="009F3ED8" w:rsidRDefault="009F3ED8" w:rsidP="009F3ED8">
            <w:r w:rsidRPr="009F3ED8">
              <w:t>A decimal number. e.g. 3.14</w:t>
            </w:r>
          </w:p>
        </w:tc>
      </w:tr>
      <w:tr w:rsidR="009F3ED8" w:rsidRPr="009F3ED8" w14:paraId="6D5CB4BC" w14:textId="77777777" w:rsidTr="009F3ED8"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45340E3" w14:textId="77777777" w:rsidR="009F3ED8" w:rsidRPr="009F3ED8" w:rsidRDefault="009F3ED8" w:rsidP="009F3ED8">
            <w:r w:rsidRPr="009F3ED8">
              <w:t>str</w:t>
            </w:r>
          </w:p>
        </w:tc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8ED2977" w14:textId="77777777" w:rsidR="009F3ED8" w:rsidRPr="009F3ED8" w:rsidRDefault="009F3ED8" w:rsidP="009F3ED8">
            <w:r w:rsidRPr="009F3ED8">
              <w:t>Text. It consists of individual characters. Strings are enclosed in single quotation marks ' or double quotation marks ". e.g. "Hello World"</w:t>
            </w:r>
          </w:p>
        </w:tc>
      </w:tr>
      <w:tr w:rsidR="009F3ED8" w:rsidRPr="009F3ED8" w14:paraId="4D7E8819" w14:textId="77777777" w:rsidTr="009F3ED8"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188E8FD4" w14:textId="77777777" w:rsidR="009F3ED8" w:rsidRPr="009F3ED8" w:rsidRDefault="009F3ED8" w:rsidP="009F3ED8">
            <w:r w:rsidRPr="009F3ED8">
              <w:t>bool</w:t>
            </w:r>
          </w:p>
        </w:tc>
        <w:tc>
          <w:tcPr>
            <w:tcW w:w="0" w:type="auto"/>
            <w:shd w:val="clear" w:color="auto" w:fill="0F141A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030717D" w14:textId="77777777" w:rsidR="009F3ED8" w:rsidRPr="009F3ED8" w:rsidRDefault="009F3ED8" w:rsidP="009F3ED8">
            <w:r w:rsidRPr="009F3ED8">
              <w:t>The values True or False. Used to make decisions, more in Unit 3</w:t>
            </w:r>
          </w:p>
        </w:tc>
      </w:tr>
    </w:tbl>
    <w:p w14:paraId="103C81FE" w14:textId="77777777" w:rsidR="009F3ED8" w:rsidRDefault="009F3ED8"/>
    <w:p w14:paraId="7CBCBEE8" w14:textId="57562EF6" w:rsidR="009F3ED8" w:rsidRPr="00C35A87" w:rsidRDefault="0013437B">
      <w:pPr>
        <w:rPr>
          <w:b/>
          <w:bCs/>
        </w:rPr>
      </w:pPr>
      <w:r w:rsidRPr="00C35A87">
        <w:rPr>
          <w:b/>
          <w:bCs/>
        </w:rPr>
        <w:t xml:space="preserve">Error codes I need to know: </w:t>
      </w:r>
    </w:p>
    <w:p w14:paraId="654CB520" w14:textId="0D923186" w:rsidR="0013437B" w:rsidRPr="00281A69" w:rsidRDefault="00581B96" w:rsidP="00581B96">
      <w:pPr>
        <w:pStyle w:val="ListParagraph"/>
        <w:numPr>
          <w:ilvl w:val="0"/>
          <w:numId w:val="1"/>
        </w:numPr>
      </w:pPr>
      <w:proofErr w:type="spellStart"/>
      <w:r w:rsidRPr="00281A69">
        <w:rPr>
          <w:b/>
          <w:bCs/>
        </w:rPr>
        <w:t>SyntaxError</w:t>
      </w:r>
      <w:proofErr w:type="spellEnd"/>
      <w:r w:rsidRPr="00281A69">
        <w:rPr>
          <w:b/>
          <w:bCs/>
        </w:rPr>
        <w:br/>
      </w:r>
      <w:r>
        <w:t xml:space="preserve">A </w:t>
      </w:r>
      <w:proofErr w:type="spellStart"/>
      <w:r>
        <w:t>SyntaxError</w:t>
      </w:r>
      <w:proofErr w:type="spellEnd"/>
      <w:r>
        <w:t xml:space="preserve"> is perhaps the most common kind of complaint you get whilst you are still learning python.</w:t>
      </w:r>
      <w:r w:rsidR="00D720F8">
        <w:br/>
        <w:t>It means you have entered something that python does not understand, this is commonly a spelling mistake or something you have missed.</w:t>
      </w:r>
      <w:r w:rsidR="00D720F8">
        <w:br/>
      </w:r>
      <w:r w:rsidR="00D720F8" w:rsidRPr="00281A69">
        <w:rPr>
          <w:b/>
          <w:bCs/>
        </w:rPr>
        <w:t>NOTE: Always pay attention to the error message, it is telling you what is wrong with your code!</w:t>
      </w:r>
    </w:p>
    <w:p w14:paraId="54DA4FDC" w14:textId="77777777" w:rsidR="00CF36F4" w:rsidRDefault="00281A69" w:rsidP="00581B9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NameError</w:t>
      </w:r>
      <w:proofErr w:type="spellEnd"/>
      <w:r>
        <w:rPr>
          <w:b/>
          <w:bCs/>
        </w:rPr>
        <w:br/>
      </w:r>
      <w:r>
        <w:t xml:space="preserve">A </w:t>
      </w:r>
      <w:proofErr w:type="spellStart"/>
      <w:r>
        <w:t>NameError</w:t>
      </w:r>
      <w:proofErr w:type="spellEnd"/>
      <w:r w:rsidR="008E6355">
        <w:t xml:space="preserve"> occurs when a local or global name is not found. This refers to variables, functions, and other things like modules and classes. </w:t>
      </w:r>
      <w:r w:rsidR="008E6355">
        <w:br/>
        <w:t>Basically, python reserves particular words such as print.</w:t>
      </w:r>
    </w:p>
    <w:p w14:paraId="0D44F7EF" w14:textId="394E0D70" w:rsidR="00281A69" w:rsidRDefault="00CF36F4" w:rsidP="00CF36F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TypeError</w:t>
      </w:r>
      <w:proofErr w:type="spellEnd"/>
      <w:r>
        <w:rPr>
          <w:b/>
          <w:bCs/>
        </w:rPr>
        <w:br/>
      </w:r>
      <w:r>
        <w:t xml:space="preserve">A </w:t>
      </w:r>
      <w:proofErr w:type="spellStart"/>
      <w:r>
        <w:t>TypeError</w:t>
      </w:r>
      <w:proofErr w:type="spellEnd"/>
      <w:r>
        <w:t xml:space="preserve"> occurs when the data types of objects in an operation are invalid. For example, trying to divide a number by a string. </w:t>
      </w:r>
      <w:r w:rsidR="00281A69">
        <w:t xml:space="preserve"> </w:t>
      </w:r>
    </w:p>
    <w:p w14:paraId="363B2FEC" w14:textId="77777777" w:rsidR="00963BED" w:rsidRDefault="00963BED" w:rsidP="00963BED"/>
    <w:p w14:paraId="1851A048" w14:textId="77777777" w:rsidR="00963BED" w:rsidRPr="00963BED" w:rsidRDefault="00963BED" w:rsidP="00963BED">
      <w:pPr>
        <w:rPr>
          <w:b/>
          <w:bCs/>
        </w:rPr>
      </w:pPr>
      <w:r w:rsidRPr="00963BED">
        <w:rPr>
          <w:b/>
          <w:bCs/>
        </w:rPr>
        <w:t>How to convert a string to an integer in Python</w:t>
      </w:r>
    </w:p>
    <w:p w14:paraId="0E7EA13B" w14:textId="77777777" w:rsidR="00963BED" w:rsidRDefault="00963BED" w:rsidP="00963BED">
      <w:r>
        <w:t>To convert, or cast, a string to an integer in Python, you use the int() built-in function.</w:t>
      </w:r>
    </w:p>
    <w:p w14:paraId="7C9F1E2E" w14:textId="1933C64F" w:rsidR="00963BED" w:rsidRDefault="00963BED" w:rsidP="00963BED">
      <w:r>
        <w:t xml:space="preserve">The function takes in as a parameter the initial string you want to </w:t>
      </w:r>
      <w:r>
        <w:t>convert and</w:t>
      </w:r>
      <w:r>
        <w:t xml:space="preserve"> returns the integer equivalent of the value you passed.</w:t>
      </w:r>
    </w:p>
    <w:p w14:paraId="5A7A96B3" w14:textId="1237AAC6" w:rsidR="00963BED" w:rsidRDefault="00963BED" w:rsidP="00963BED">
      <w:r>
        <w:t>The general syntax looks something like this: int("str").</w:t>
      </w:r>
    </w:p>
    <w:sectPr w:rsidR="0096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853E1"/>
    <w:multiLevelType w:val="hybridMultilevel"/>
    <w:tmpl w:val="D6424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16"/>
    <w:rsid w:val="000940E5"/>
    <w:rsid w:val="0013437B"/>
    <w:rsid w:val="00212C16"/>
    <w:rsid w:val="00272542"/>
    <w:rsid w:val="00281A69"/>
    <w:rsid w:val="002A29CD"/>
    <w:rsid w:val="00357A4B"/>
    <w:rsid w:val="003E1C38"/>
    <w:rsid w:val="004A399B"/>
    <w:rsid w:val="004D43F6"/>
    <w:rsid w:val="00581B96"/>
    <w:rsid w:val="00665EBC"/>
    <w:rsid w:val="006761B7"/>
    <w:rsid w:val="007B103E"/>
    <w:rsid w:val="008151AB"/>
    <w:rsid w:val="008E6355"/>
    <w:rsid w:val="00934084"/>
    <w:rsid w:val="00963BED"/>
    <w:rsid w:val="009F3ED8"/>
    <w:rsid w:val="00BC4A82"/>
    <w:rsid w:val="00C35A87"/>
    <w:rsid w:val="00C60EA1"/>
    <w:rsid w:val="00CF36F4"/>
    <w:rsid w:val="00D33EA0"/>
    <w:rsid w:val="00D720F8"/>
    <w:rsid w:val="00EA2C43"/>
    <w:rsid w:val="00EB687A"/>
    <w:rsid w:val="00ED1270"/>
    <w:rsid w:val="00F4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BC4B"/>
  <w15:chartTrackingRefBased/>
  <w15:docId w15:val="{E3BBB23D-07A6-4D77-A0F0-E50BCF9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B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Moorcroft</dc:creator>
  <cp:keywords/>
  <dc:description/>
  <cp:lastModifiedBy>Zak Moorcroft</cp:lastModifiedBy>
  <cp:revision>25</cp:revision>
  <dcterms:created xsi:type="dcterms:W3CDTF">2024-09-25T09:54:00Z</dcterms:created>
  <dcterms:modified xsi:type="dcterms:W3CDTF">2024-09-25T11:50:00Z</dcterms:modified>
</cp:coreProperties>
</file>