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4A864">
      <w:pPr>
        <w:spacing w:after="240" w:line="300" w:lineRule="auto"/>
        <w:ind w:firstLine="0"/>
        <w:jc w:val="center"/>
      </w:pPr>
      <w:bookmarkStart w:id="0" w:name="Xb723d7af20f7ce02de2249671e2975703f92b7c"/>
      <w:r>
        <w:rPr>
          <w:rFonts w:ascii="Arial" w:hAnsi="Arial" w:eastAsia="微软雅黑"/>
          <w:b/>
          <w:sz w:val="36"/>
        </w:rPr>
        <w:t>基于特征门控非支配反馈</w:t>
      </w:r>
      <w:r>
        <w:rPr>
          <w:rFonts w:hint="eastAsia" w:ascii="Arial" w:hAnsi="Arial" w:eastAsia="微软雅黑"/>
          <w:b/>
          <w:sz w:val="36"/>
          <w:lang w:val="en-US" w:eastAsia="zh-CN"/>
        </w:rPr>
        <w:t xml:space="preserve"> </w:t>
      </w:r>
      <w:r>
        <w:rPr>
          <w:rFonts w:ascii="Arial" w:hAnsi="Arial" w:eastAsia="微软雅黑"/>
          <w:b/>
          <w:sz w:val="36"/>
        </w:rPr>
        <w:t>Warm-start QAOA</w:t>
      </w:r>
      <w:r>
        <w:rPr>
          <w:rFonts w:hint="eastAsia" w:ascii="Arial" w:hAnsi="Arial" w:eastAsia="微软雅黑"/>
          <w:b/>
          <w:sz w:val="36"/>
          <w:lang w:val="en-US" w:eastAsia="zh-CN"/>
        </w:rPr>
        <w:t xml:space="preserve"> </w:t>
      </w:r>
      <w:r>
        <w:rPr>
          <w:rFonts w:ascii="Arial" w:hAnsi="Arial" w:eastAsia="微软雅黑"/>
          <w:b/>
          <w:sz w:val="36"/>
        </w:rPr>
        <w:t>的量子多目标</w:t>
      </w:r>
      <w:r>
        <w:rPr>
          <w:rFonts w:hint="eastAsia" w:ascii="Arial" w:hAnsi="Arial" w:eastAsia="微软雅黑"/>
          <w:b/>
          <w:sz w:val="36"/>
          <w:lang w:val="en-US" w:eastAsia="zh-CN"/>
        </w:rPr>
        <w:t xml:space="preserve"> </w:t>
      </w:r>
      <w:r>
        <w:rPr>
          <w:rFonts w:ascii="Arial" w:hAnsi="Arial" w:eastAsia="微软雅黑"/>
          <w:b/>
          <w:sz w:val="36"/>
        </w:rPr>
        <w:t>Ising</w:t>
      </w:r>
      <w:r>
        <w:rPr>
          <w:rFonts w:hint="eastAsia" w:ascii="Arial" w:hAnsi="Arial" w:eastAsia="微软雅黑"/>
          <w:b/>
          <w:sz w:val="36"/>
          <w:lang w:val="en-US" w:eastAsia="zh-CN"/>
        </w:rPr>
        <w:t xml:space="preserve"> </w:t>
      </w:r>
      <w:r>
        <w:rPr>
          <w:rFonts w:ascii="Arial" w:hAnsi="Arial" w:eastAsia="微软雅黑"/>
          <w:b/>
          <w:sz w:val="36"/>
        </w:rPr>
        <w:t>组合优化方法</w:t>
      </w:r>
    </w:p>
    <w:p w14:paraId="20F529C1">
      <w:pPr>
        <w:spacing w:after="120"/>
        <w:ind w:firstLine="0"/>
        <w:jc w:val="center"/>
        <w:rPr>
          <w:rFonts w:hint="default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余宇</w:t>
      </w:r>
      <w:r>
        <w:rPr>
          <w:rFonts w:ascii="Times New Roman" w:hAnsi="Times New Roman" w:eastAsia="宋体"/>
          <w:b w:val="0"/>
          <w:bCs w:val="0"/>
          <w:sz w:val="21"/>
          <w:szCs w:val="21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温州医科大学</w:t>
      </w:r>
      <w:r>
        <w:rPr>
          <w:rFonts w:ascii="Times New Roman" w:hAnsi="Times New Roman" w:eastAsia="宋体"/>
          <w:b w:val="0"/>
          <w:bCs w:val="0"/>
          <w:sz w:val="21"/>
          <w:szCs w:val="21"/>
        </w:rPr>
        <w:t>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指导老师：冯振</w:t>
      </w:r>
    </w:p>
    <w:bookmarkEnd w:id="0"/>
    <w:p w14:paraId="63BEFBE4">
      <w:pPr>
        <w:pStyle w:val="35"/>
        <w:jc w:val="left"/>
      </w:pPr>
      <w:bookmarkStart w:id="1" w:name="摘要"/>
      <w:r>
        <w:t>摘要</w:t>
      </w:r>
    </w:p>
    <w:p w14:paraId="6C5DC0E6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量子多目标组合优化要求在多个相互冲突的Ising目标之间搜索帕累托前沿，并以超体积（HyperVolume，HV）衡量前沿的收敛性与覆盖度。针对赛题main1()在固定</w:t>
      </w:r>
      <m:oMath>
        <m:r>
          <m:rPr>
            <m:sty m:val="p"/>
          </m:rPr>
          <w:rPr>
            <w:rFonts w:ascii="Times New Roman" w:hAnsi="Times New Roman"/>
          </w:rPr>
          <m:t>100000</m:t>
        </m:r>
      </m:oMath>
      <w:r>
        <w:rPr>
          <w:i w:val="0"/>
          <w:iCs w:val="0"/>
        </w:rPr>
        <w:t xml:space="preserve"> shots预算下提升五目标HV、以及main2()在保持前沿结果一致的前提下加速经典后处理的双重要求，本文提出一种基于特征门控非支配反馈的多轮Warm-start QAOA方法。该方法首先以单目标锚点、二目标边中点、三目标面心、四目标面心和固定权重池构成结构化标量化集合，并在投影Ising系数空间采用最远点策略补足Hamiltonian方向多样性；随后从累计量子样本的非支配前沿中，利用目标轴锚点、拥挤距离、权重方向约束和距离阈值选择精英解，将其作为后续量子线路的warm-start状态。为避免统一参数对不同实例分布造成负迁移，算法仅依据可计算的问题统计量，对shots分配、warm-start强度、QAOA角度缩放、冷启动槽位与simplex lattice注入实施窄门控调度。公开10个小规模案例上，最终版本v195在全部案例中均取得正HV增益，平均HV增益为</w:t>
      </w:r>
      <m:oMath>
        <m:r>
          <m:rPr>
            <m:sty m:val="p"/>
          </m:rPr>
          <w:rPr>
            <w:rFonts w:ascii="Times New Roman" w:hAnsi="Times New Roman"/>
          </w:rPr>
          <m:t>0.002310</m:t>
        </m:r>
      </m:oMath>
      <w:r>
        <w:rPr>
          <w:i w:val="0"/>
          <w:iCs w:val="0"/>
        </w:rPr>
        <w:t>，最大增益为</w:t>
      </w:r>
      <m:oMath>
        <m:r>
          <m:rPr>
            <m:sty m:val="p"/>
          </m:rPr>
          <w:rPr>
            <w:rFonts w:ascii="Times New Roman" w:hAnsi="Times New Roman"/>
          </w:rPr>
          <m:t>0.004984</m:t>
        </m:r>
      </m:oMath>
      <w:r>
        <w:rPr>
          <w:i w:val="0"/>
          <w:iCs w:val="0"/>
        </w:rPr>
        <w:t>，对应本地公开集平均计分项为</w:t>
      </w:r>
      <m:oMath>
        <m:r>
          <m:rPr>
            <m:sty m:val="p"/>
          </m:rPr>
          <w:rPr>
            <w:rFonts w:ascii="Times New Roman" w:hAnsi="Times New Roman"/>
          </w:rPr>
          <m:t>231.011</m:t>
        </m:r>
      </m:oMath>
      <w:r>
        <w:rPr>
          <w:i w:val="0"/>
          <w:iCs w:val="0"/>
        </w:rPr>
        <w:t>；大规模10个案例中，候选实现与基线的HV、前沿和非支配点数均一致，平均运行时间降低约</w:t>
      </w:r>
      <m:oMath>
        <m:r>
          <m:rPr>
            <m:sty m:val="p"/>
          </m:rPr>
          <w:rPr>
            <w:rFonts w:ascii="Times New Roman" w:hAnsi="Times New Roman"/>
          </w:rPr>
          <m:t>20.67%</m:t>
        </m:r>
      </m:oMath>
      <w:r>
        <w:rPr>
          <w:i w:val="0"/>
          <w:iCs w:val="0"/>
        </w:rPr>
        <w:t>。最终线上提交分数为</w:t>
      </w:r>
      <m:oMath>
        <m:r>
          <m:rPr>
            <m:sty m:val="p"/>
          </m:rPr>
          <w:rPr>
            <w:rFonts w:ascii="Times New Roman" w:hAnsi="Times New Roman"/>
          </w:rPr>
          <m:t>206.70306</m:t>
        </m:r>
      </m:oMath>
      <w:r>
        <w:rPr>
          <w:i w:val="0"/>
          <w:iCs w:val="0"/>
        </w:rPr>
        <w:t>。实验与消融结果表明，结构化权重覆盖、投影Hamiltonian多样性和非支配warm-state反馈均对性能具有稳定贡献，而过宽的特征叠加容易损害隐藏分布泛化。</w:t>
      </w:r>
    </w:p>
    <w:p w14:paraId="7F2B776D">
      <w:pPr>
        <w:ind w:firstLine="0"/>
        <w:jc w:val="left"/>
        <w:rPr>
          <w:i w:val="0"/>
          <w:iCs w:val="0"/>
        </w:rPr>
      </w:pPr>
      <w:r>
        <w:rPr>
          <w:rFonts w:ascii="Times New Roman" w:hAnsi="Times New Roman" w:eastAsia="宋体"/>
          <w:b/>
          <w:bCs/>
          <w:i w:val="0"/>
          <w:iCs w:val="0"/>
          <w:sz w:val="24"/>
        </w:rPr>
        <w:t>关键词：</w:t>
      </w:r>
      <w:r>
        <w:rPr>
          <w:rFonts w:ascii="Times New Roman" w:hAnsi="Times New Roman" w:eastAsia="宋体"/>
          <w:i w:val="0"/>
          <w:iCs w:val="0"/>
          <w:sz w:val="24"/>
        </w:rPr>
        <w:t>量子近似优化算法；多目标Ising模型；帕累托前沿；超体积；Warm-start；非支配排序；MindSpore Quantum</w:t>
      </w:r>
    </w:p>
    <w:bookmarkEnd w:id="1"/>
    <w:p w14:paraId="32E94F95">
      <w:pPr>
        <w:pStyle w:val="35"/>
        <w:jc w:val="left"/>
      </w:pPr>
      <w:bookmarkStart w:id="2" w:name="问题背景与描述"/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问题背景与描述</w:t>
      </w:r>
    </w:p>
    <w:p w14:paraId="2B939AB9">
      <w:pPr>
        <w:pStyle w:val="36"/>
        <w:jc w:val="left"/>
      </w:pPr>
      <w:bookmarkStart w:id="3" w:name="多目标-ising-组合优化"/>
      <w:r>
        <w:t xml:space="preserve">1.1 </w:t>
      </w:r>
      <w:r>
        <w:rPr>
          <w:rFonts w:hint="eastAsia"/>
          <w:lang w:val="en-US" w:eastAsia="zh-CN"/>
        </w:rPr>
        <w:t xml:space="preserve"> </w:t>
      </w:r>
      <w:r>
        <w:t>多目标 Ising 组合优化</w:t>
      </w:r>
    </w:p>
    <w:p w14:paraId="4C6A7AB7">
      <w:pPr>
        <w:spacing w:before="60" w:after="60" w:line="360" w:lineRule="auto"/>
        <w:ind w:firstLine="480" w:firstLineChars="200"/>
        <w:jc w:val="left"/>
        <w:rPr>
          <w:rFonts w:hint="eastAsia" w:eastAsia="宋体"/>
          <w:lang w:eastAsia="zh-CN"/>
        </w:rPr>
      </w:pPr>
      <w:r>
        <w:t>现实组合优化通常同时包含多个相互冲突的目标。对同一组二值决策变量，降低某一目标的代价往往会牺牲其他目标，因此不存在唯一的全局最优解，而是形成一组不可相互支配的帕累托最优解</w:t>
      </w:r>
      <w:r>
        <w:rPr>
          <w:rFonts w:hint="eastAsia"/>
        </w:rPr>
        <w:t>[1]</w:t>
      </w:r>
      <w:r>
        <w:t>。赛题在</w:t>
      </w:r>
      <m:oMath>
        <m:r>
          <m:rPr/>
          <m:t>a</m:t>
        </m:r>
        <m:r>
          <m:rPr>
            <m:sty m:val="p"/>
          </m:rPr>
          <m:t>×</m:t>
        </m:r>
        <m:r>
          <m:rPr/>
          <m:t>b</m:t>
        </m:r>
      </m:oMath>
      <w:r>
        <w:t>格点图上定义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k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个Ising目标，所有目标共享自旋变量</w:t>
      </w:r>
      <w:r>
        <w:rPr>
          <w:rFonts w:hint="eastAsia"/>
          <w:lang w:eastAsia="zh-CN"/>
        </w:rPr>
        <w:t>：</w:t>
      </w:r>
    </w:p>
    <w:p w14:paraId="2EA378AF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∈{−</m:t>
          </m:r>
          <m:r>
            <m:rPr/>
            <m:t>1</m:t>
          </m:r>
          <m:r>
            <m:rPr>
              <m:sty m:val="p"/>
            </m:rPr>
            <m:t>,+</m:t>
          </m:r>
          <m:r>
            <m:rPr/>
            <m:t>1</m:t>
          </m:r>
          <m:r>
            <m:rPr>
              <m:sty m:val="p"/>
            </m:rPr>
            <m:t>},</m:t>
          </m:r>
        </m:oMath>
      </m:oMathPara>
    </w:p>
    <w:p w14:paraId="3A565900">
      <w:pPr>
        <w:spacing w:before="60" w:after="60" w:line="360" w:lineRule="auto"/>
        <w:ind w:firstLine="0"/>
        <w:jc w:val="left"/>
        <w:rPr>
          <w:rFonts w:hint="eastAsia" w:eastAsia="宋体"/>
          <w:lang w:eastAsia="zh-CN"/>
        </w:rPr>
      </w:pPr>
      <w:r>
        <w:t>第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t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个目标写为</w:t>
      </w:r>
      <w:r>
        <w:rPr>
          <w:rFonts w:hint="eastAsia"/>
          <w:lang w:eastAsia="zh-CN"/>
        </w:rPr>
        <w:t>：</w:t>
      </w:r>
    </w:p>
    <w:p w14:paraId="1BACEFE3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</m:sup>
          </m:sSup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</m:sup>
              </m:sSubSup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/>
                <m:t>E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J</m:t>
                  </m:r>
                </m:e>
                <m:sub>
                  <m:r>
                    <m:rPr/>
                    <m:t>ij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t</m:t>
                      </m:r>
                    </m:e>
                  </m:d>
                </m:sup>
              </m:sSubSup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z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,</m:t>
          </m:r>
          <m:r>
            <m:rPr/>
            <m:t>  t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k</m:t>
          </m:r>
          <m:r>
            <m:rPr>
              <m:sty m:val="p"/>
            </m:rPr>
            <m:t>.</m:t>
          </m:r>
        </m:oMath>
      </m:oMathPara>
    </w:p>
    <w:p w14:paraId="1772369F">
      <w:pPr>
        <w:spacing w:after="0" w:line="360" w:lineRule="auto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t>多目标优化问题为</w:t>
      </w:r>
      <w:r>
        <w:rPr>
          <w:rFonts w:hint="eastAsia"/>
          <w:lang w:eastAsia="zh-CN"/>
        </w:rPr>
        <w:t>：</w:t>
      </w:r>
    </w:p>
    <w:p w14:paraId="47F879B8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z</m:t>
              </m:r>
              <m:r>
                <m:rPr>
                  <m:sty m:val="p"/>
                </m:rPr>
                <m:t>∈{−</m:t>
              </m:r>
              <m:r>
                <m:rPr/>
                <m:t>1</m:t>
              </m:r>
              <m:r>
                <m:rPr>
                  <m:sty m:val="p"/>
                </m:rPr>
                <m:t>,+</m:t>
              </m:r>
              <m:r>
                <m:rPr/>
                <m:t>1</m:t>
              </m:r>
              <m:sSup>
                <m:sSupPr/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rPr/>
                    <m:t>n</m:t>
                  </m:r>
                </m:sup>
              </m:sSup>
            </m:lim>
          </m:limLow>
          <m:r>
            <m:rPr/>
            <m:t>F</m:t>
          </m:r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f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p>
              <m:d>
                <m:dPr>
                  <m:sepChr m:val=""/>
                </m:dPr>
                <m:e>
                  <m:r>
                    <m:rPr/>
                    <m:t>z</m:t>
                  </m:r>
                </m:e>
              </m:d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2</m:t>
                      </m:r>
                    </m:e>
                  </m:d>
                </m:sup>
              </m:sSup>
              <m:d>
                <m:dPr>
                  <m:sepChr m:val=""/>
                </m:dPr>
                <m:e>
                  <m:r>
                    <m:rPr/>
                    <m:t>z</m:t>
                  </m:r>
                </m:e>
              </m:d>
              <m:r>
                <m:rPr>
                  <m:sty m:val="p"/>
                </m:rPr>
                <m:t>,…,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k</m:t>
                      </m:r>
                    </m:e>
                  </m:d>
                </m:sup>
              </m:sSup>
              <m:d>
                <m:dPr>
                  <m:sepChr m:val=""/>
                </m:dPr>
                <m:e>
                  <m:r>
                    <m:rPr/>
                    <m:t>z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3042D3BE">
      <w:pPr>
        <w:spacing w:before="60" w:after="60" w:line="360" w:lineRule="auto"/>
        <w:ind w:firstLine="480" w:firstLineChars="200"/>
        <w:jc w:val="left"/>
      </w:pPr>
      <w:r>
        <w:t>若解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z</m:t>
            </m:r>
          </m:e>
          <m:sup>
            <m:r>
              <m:rPr/>
              <m:t>a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p>
      </m:oMath>
      <w:r>
        <w:t>在所有目标上均不劣于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z</m:t>
            </m:r>
          </m:e>
          <m:sup>
            <m:r>
              <m:rPr/>
              <m:t>b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p>
      </m:oMath>
      <w:r>
        <w:t>，且至少一个目标严格更优，则称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z</m:t>
            </m:r>
          </m:e>
          <m:sup>
            <m:r>
              <m:rPr/>
              <m:t>a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p>
      </m:oMath>
      <w:r>
        <w:t>支配</w:t>
      </w:r>
      <m:oMath>
        <m:sSup>
          <m:sSup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z</m:t>
            </m:r>
          </m:e>
          <m:sup>
            <m:r>
              <m:rPr/>
              <m:t>b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p>
      </m:oMath>
      <w:r>
        <w:t>。所有未被其他候选解支配的点构成非支配前沿</w:t>
      </w:r>
      <w:r>
        <w:rPr>
          <w:rFonts w:hint="eastAsia"/>
        </w:rPr>
        <w:t>[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]</w:t>
      </w:r>
      <w:r>
        <w:t>。图1</w:t>
      </w:r>
      <w:r>
        <w:rPr>
          <w:rFonts w:hint="eastAsia"/>
          <w:lang w:val="en-US" w:eastAsia="zh-CN"/>
        </w:rPr>
        <w:t xml:space="preserve"> </w:t>
      </w:r>
      <w:r>
        <w:t>展示了多个Ising目标共享格点拓扑、但具有不同耦合系数和局部场的结构</w:t>
      </w:r>
      <w:r>
        <w:rPr>
          <w:rFonts w:hint="eastAsia"/>
        </w:rPr>
        <w:t>[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]</w:t>
      </w:r>
      <w:r>
        <w:t>。</w:t>
      </w:r>
    </w:p>
    <w:p w14:paraId="023E1E69">
      <w:pPr>
        <w:spacing w:before="40" w:after="40" w:line="240" w:lineRule="auto"/>
        <w:ind w:firstLine="0"/>
        <w:jc w:val="center"/>
        <w:rPr>
          <w:rFonts w:hint="eastAsia" w:ascii="Times New Roman" w:hAnsi="Times New Roman" w:eastAsia="宋体"/>
          <w:b/>
          <w:sz w:val="21"/>
          <w:lang w:eastAsia="zh-CN"/>
        </w:rPr>
      </w:pPr>
      <w:r>
        <w:rPr>
          <w:rFonts w:hint="eastAsia" w:ascii="Times New Roman" w:hAnsi="Times New Roman" w:eastAsia="宋体"/>
          <w:b/>
          <w:sz w:val="21"/>
          <w:lang w:eastAsia="zh-CN"/>
        </w:rPr>
        <w:drawing>
          <wp:inline distT="0" distB="0" distL="114300" distR="114300">
            <wp:extent cx="5755005" cy="2811780"/>
            <wp:effectExtent l="0" t="0" r="10795" b="7620"/>
            <wp:docPr id="1" name="图片 1" descr="fig1_problem_structure_fi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1_problem_structure_fix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59D1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 xml:space="preserve">图1 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>多目标 Ising 格点问题结构示意</w:t>
      </w:r>
    </w:p>
    <w:bookmarkEnd w:id="3"/>
    <w:p w14:paraId="0136BC00">
      <w:pPr>
        <w:pStyle w:val="36"/>
        <w:jc w:val="left"/>
      </w:pPr>
      <w:bookmarkStart w:id="4" w:name="hypervolume-评价指标"/>
      <w:r>
        <w:t>1.2</w:t>
      </w:r>
      <w:r>
        <w:rPr>
          <w:rFonts w:hint="eastAsia"/>
          <w:lang w:val="en-US" w:eastAsia="zh-CN"/>
        </w:rPr>
        <w:t xml:space="preserve">  </w:t>
      </w:r>
      <w:r>
        <w:t>HyperVolume评价指标</w:t>
      </w:r>
      <w:bookmarkStart w:id="32" w:name="_GoBack"/>
      <w:bookmarkEnd w:id="32"/>
    </w:p>
    <w:p w14:paraId="16447F35">
      <w:pPr>
        <w:spacing w:before="60" w:after="60" w:line="360" w:lineRule="auto"/>
        <w:ind w:firstLine="480" w:firstLineChars="200"/>
        <w:jc w:val="left"/>
      </w:pPr>
      <w:r>
        <w:t>赛题采用HV衡量归一化非支配前沿相对于参考点所支配的目标空间体积。设归一化非支配点集为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P</m:t>
        </m:r>
      </m:oMath>
      <w:r>
        <w:t>，参考点为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r</m:t>
        </m:r>
        <m:r>
          <m:rPr>
            <m:sty m:val="p"/>
          </m:rPr>
          <m:t>=</m:t>
        </m:r>
        <m:d>
          <m:dPr>
            <m:sepChr m:val=""/>
          </m:dPr>
          <m:e>
            <m:r>
              <m:rPr/>
              <m:t>1.01</m:t>
            </m:r>
            <m:r>
              <m:rPr>
                <m:sty m:val="p"/>
              </m:rPr>
              <m:t>,…,</m:t>
            </m:r>
            <m:r>
              <m:rPr/>
              <m:t>1.01</m:t>
            </m:r>
          </m:e>
        </m:d>
      </m:oMath>
      <w:r>
        <w:t>，则</w:t>
      </w:r>
    </w:p>
    <w:p w14:paraId="57026001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r>
            <m:rPr/>
            <m:t>HV</m:t>
          </m:r>
          <m:d>
            <m:dPr>
              <m:sepChr m:val=""/>
            </m:dPr>
            <m:e>
              <m:r>
                <m:rPr/>
                <m:t>P</m:t>
              </m:r>
              <m:r>
                <m:rPr>
                  <m:sty m:val="p"/>
                </m:rPr>
                <m:t>;</m:t>
              </m:r>
              <m:r>
                <m:rPr/>
                <m:t>r</m:t>
              </m:r>
            </m:e>
          </m:d>
          <m:r>
            <m:rPr>
              <m:sty m:val="p"/>
            </m:rPr>
            <m:t>=</m:t>
          </m:r>
          <m:r>
            <m:rPr/>
            <m:t>μ</m:t>
          </m:r>
          <m:d>
            <m:dPr>
              <m:sepChr m:val=""/>
            </m:dPr>
            <m:e>
              <m:limLow>
                <m:limLowPr/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/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/>
                    <m:t>P</m:t>
                  </m:r>
                </m:lim>
              </m:limLow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×⋯×</m:t>
              </m:r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 w14:paraId="54107809">
      <w:pPr>
        <w:spacing w:before="60" w:after="60" w:line="360" w:lineRule="auto"/>
        <w:ind w:firstLine="480" w:firstLineChars="200"/>
        <w:jc w:val="left"/>
      </w:pPr>
      <w:r>
        <w:t>其中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μ</m:t>
        </m:r>
        <m:d>
          <m:dPr>
            <m:sepChr m:val=""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表示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k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维Lebesgue测度。HV同时关注前沿向理想区域的收敛程度和不同权衡方向的覆盖程度，因此单纯提高某一加权目标下的最优解质量并不必然提升最终得分。</w:t>
      </w:r>
    </w:p>
    <w:p w14:paraId="74B786B3">
      <w:pPr>
        <w:spacing w:after="0" w:line="360" w:lineRule="auto"/>
        <w:ind w:left="0" w:leftChars="0" w:firstLine="480" w:firstLineChars="200"/>
        <w:jc w:val="left"/>
      </w:pPr>
      <w:r>
        <w:t>小规模案例对每个目标采用精确上下界归一化：</w:t>
      </w:r>
    </w:p>
    <w:p w14:paraId="3F495412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f</m:t>
                  </m:r>
                </m:e>
              </m:acc>
            </m:e>
            <m:sub>
              <m:r>
                <m:rPr/>
                <m:t>i</m:t>
              </m:r>
            </m:sub>
          </m:sSub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l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/>
                <m:t>h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l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  l</m:t>
          </m:r>
          <m:sSub>
            <m:sSubPr/>
            <m:e>
              <m:r>
                <m:rPr/>
                <m:t>o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z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,</m:t>
          </m:r>
          <m:r>
            <m:rPr/>
            <m:t> h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z</m:t>
              </m:r>
            </m:lim>
          </m:limLow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.</m:t>
          </m:r>
        </m:oMath>
      </m:oMathPara>
    </w:p>
    <w:bookmarkEnd w:id="4"/>
    <w:p w14:paraId="01715DFF">
      <w:pPr>
        <w:pStyle w:val="36"/>
        <w:jc w:val="left"/>
      </w:pPr>
      <w:bookmarkStart w:id="5" w:name="赛题接口与约束"/>
      <w:r>
        <w:t xml:space="preserve">1.3 </w:t>
      </w:r>
      <w:r>
        <w:rPr>
          <w:rFonts w:hint="eastAsia"/>
          <w:lang w:val="en-US" w:eastAsia="zh-CN"/>
        </w:rPr>
        <w:t xml:space="preserve"> </w:t>
      </w:r>
      <w:r>
        <w:t>赛题接口与约束</w:t>
      </w:r>
    </w:p>
    <w:p w14:paraId="542AC088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赛题包含两个接口。main1()面向</w:t>
      </w:r>
      <m:oMath>
        <m:r>
          <m:rPr>
            <m:sty m:val="p"/>
          </m:rPr>
          <w:rPr>
            <w:rFonts w:ascii="Times New Roman" w:hAnsi="Times New Roman"/>
          </w:rPr>
          <m:t>5</m:t>
        </m:r>
      </m:oMath>
      <w:r>
        <w:rPr>
          <w:i w:val="0"/>
          <w:iCs w:val="0"/>
        </w:rPr>
        <w:t>目标、</w:t>
      </w:r>
      <m:oMath>
        <m:r>
          <m:rPr>
            <m:sty m:val="p"/>
          </m:rPr>
          <w:rPr>
            <w:rFonts w:ascii="Times New Roman" w:hAnsi="Times New Roman"/>
          </w:rPr>
          <m:t>20</m:t>
        </m:r>
      </m:oMath>
      <w:r>
        <w:rPr>
          <w:i w:val="0"/>
          <w:iCs w:val="0"/>
        </w:rPr>
        <w:t>比特的公开小规模问题，在固定量子采样预算下返回全部自旋样本；main2()面向</w:t>
      </w:r>
      <m:oMath>
        <m:r>
          <m:rPr>
            <m:sty m:val="p"/>
          </m:rPr>
          <w:rPr>
            <w:rFonts w:ascii="Times New Roman" w:hAnsi="Times New Roman"/>
          </w:rPr>
          <m:t>2000</m:t>
        </m:r>
      </m:oMath>
      <w:r>
        <w:rPr>
          <w:i w:val="0"/>
          <w:iCs w:val="0"/>
        </w:rPr>
        <w:t>比特大规模问题，在保持HV与前沿正确性的前提下缩短经典后处理时间。主要评测配置如表1 所示。</w:t>
      </w:r>
    </w:p>
    <w:p w14:paraId="60A5E3EA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bCs/>
          <w:sz w:val="21"/>
        </w:rPr>
        <w:t xml:space="preserve">表1 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bCs/>
          <w:sz w:val="21"/>
        </w:rPr>
        <w:t>赛题评测配置与接口约束</w:t>
      </w:r>
    </w:p>
    <w:tbl>
      <w:tblPr>
        <w:tblStyle w:val="13"/>
        <w:tblW w:w="91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033"/>
        <w:gridCol w:w="3331"/>
      </w:tblGrid>
      <w:tr w14:paraId="77B5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95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40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A0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配置</w:t>
            </w:r>
          </w:p>
        </w:tc>
        <w:tc>
          <w:tcPr>
            <w:tcW w:w="33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2D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论文中的处理</w:t>
            </w:r>
          </w:p>
        </w:tc>
      </w:tr>
      <w:tr w14:paraId="28C9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EB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main1总预算</w:t>
            </w:r>
          </w:p>
        </w:tc>
        <w:tc>
          <w:tcPr>
            <w:tcW w:w="40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BE1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100000</m:t>
              </m:r>
            </m:oMath>
            <w:r>
              <w:rPr>
                <w:rFonts w:ascii="Times New Roman" w:hAnsi="Times New Roman" w:eastAsia="宋体"/>
                <w:b w:val="0"/>
                <w:i/>
                <w:iCs w:val="0"/>
                <w:color w:val="000000"/>
                <w:sz w:val="21"/>
                <w:szCs w:val="21"/>
              </w:rPr>
              <w:t xml:space="preserve"> shots</w:t>
            </w:r>
          </w:p>
        </w:tc>
        <w:tc>
          <w:tcPr>
            <w:tcW w:w="33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7A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所有门控调度均严格守恒总预算</w:t>
            </w:r>
          </w:p>
        </w:tc>
      </w:tr>
      <w:tr w14:paraId="3018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20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官方基线</w:t>
            </w: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11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100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个权重，每个</w:t>
            </w: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1000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 xml:space="preserve"> shots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15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作为HV增益对照</w:t>
            </w:r>
          </w:p>
        </w:tc>
      </w:tr>
      <w:tr w14:paraId="15CC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44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小规模数据</w:t>
            </w: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2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/>
                  <w:color w:val="000000"/>
                  <w:sz w:val="21"/>
                  <w:szCs w:val="21"/>
                </w:rPr>
                <m:t>=</m:t>
              </m:r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5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，</w:t>
            </w: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Times New Roman" w:hAnsi="Times New Roman"/>
                  <w:color w:val="000000"/>
                  <w:sz w:val="21"/>
                  <w:szCs w:val="21"/>
                </w:rPr>
                <m:t>×</m:t>
              </m:r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5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格点，</w:t>
            </w: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/>
                  <w:color w:val="000000"/>
                  <w:sz w:val="21"/>
                  <w:szCs w:val="21"/>
                </w:rPr>
                <m:t>=</m:t>
              </m:r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20</m:t>
              </m:r>
            </m:oMath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D6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使用精确目标上下界归一化</w:t>
            </w:r>
          </w:p>
        </w:tc>
      </w:tr>
      <w:tr w14:paraId="67AD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46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HV参考点</w:t>
            </w: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CC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=</m:t>
                </m:r>
                <m:r>
                  <m:rPr/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1.01</m:t>
                </m:r>
              </m:oMath>
            </m:oMathPara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7A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与官方评测一致</w:t>
            </w:r>
          </w:p>
        </w:tc>
      </w:tr>
      <w:tr w14:paraId="79D9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07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main1得分</w:t>
            </w: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BC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100000</m:t>
                </m:r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×mean</m:t>
                </m:r>
                <m:d>
                  <m:dPr>
                    <m:sepChr m:val=""/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m:t>max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  <w:b w:val="0"/>
                            <w:color w:val="000000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Times New Roman" w:hAnsi="Times New Roman"/>
                            <w:color w:val="000000"/>
                            <w:sz w:val="21"/>
                            <w:szCs w:val="21"/>
                          </w:rPr>
                          <m:t>HV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/>
                            <w:color w:val="000000"/>
                            <w:sz w:val="21"/>
                            <w:szCs w:val="21"/>
                          </w:rPr>
                          <m:t>−</m:t>
                        </m:r>
                        <m:r>
                          <m:rPr/>
                          <w:rPr>
                            <w:rFonts w:ascii="Times New Roman" w:hAnsi="Times New Roman"/>
                            <w:color w:val="000000"/>
                            <w:sz w:val="21"/>
                            <w:szCs w:val="21"/>
                          </w:rPr>
                          <m:t>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color w:val="000000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color w:val="000000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Times New Roman" w:hAnsi="Times New Roman"/>
                                <w:color w:val="000000"/>
                                <w:sz w:val="21"/>
                                <w:szCs w:val="21"/>
                              </w:rPr>
                              <m:t>base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color w:val="000000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/>
                            <w:color w:val="000000"/>
                            <w:sz w:val="21"/>
                            <w:szCs w:val="21"/>
                          </w:rPr>
                          <m:t>,</m:t>
                        </m:r>
                        <m:r>
                          <m:rPr/>
                          <w:rPr>
                            <w:rFonts w:ascii="Times New Roman" w:hAnsi="Times New Roman"/>
                            <w:color w:val="000000"/>
                            <w:sz w:val="21"/>
                            <w:szCs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color w:val="000000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42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报告每案例HV与增益</w:t>
            </w:r>
          </w:p>
        </w:tc>
      </w:tr>
      <w:tr w14:paraId="3928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57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main2默认预算</w:t>
            </w:r>
          </w:p>
        </w:tc>
        <w:tc>
          <w:tcPr>
            <w:tcW w:w="40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5E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m:oMath>
              <m:r>
                <m:rPr/>
                <w:rPr>
                  <w:rFonts w:ascii="Times New Roman" w:hAnsi="Times New Roman"/>
                  <w:color w:val="000000"/>
                  <w:sz w:val="21"/>
                  <w:szCs w:val="21"/>
                </w:rPr>
                <m:t>200000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 xml:space="preserve"> samples</w:t>
            </w:r>
          </w:p>
        </w:tc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43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保持随机样本与精确前沿一致</w:t>
            </w:r>
          </w:p>
        </w:tc>
      </w:tr>
      <w:tr w14:paraId="03D5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A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运行环境</w:t>
            </w:r>
          </w:p>
        </w:tc>
        <w:tc>
          <w:tcPr>
            <w:tcW w:w="40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D3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2核CPU、4 GB内存、总时限1 h</w:t>
            </w:r>
          </w:p>
        </w:tc>
        <w:tc>
          <w:tcPr>
            <w:tcW w:w="33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C8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right="0" w:firstLine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控制内存和中间候选规模</w:t>
            </w:r>
          </w:p>
        </w:tc>
      </w:tr>
      <w:bookmarkEnd w:id="2"/>
      <w:bookmarkEnd w:id="5"/>
    </w:tbl>
    <w:p w14:paraId="5F849CF0">
      <w:pPr>
        <w:pStyle w:val="35"/>
        <w:jc w:val="left"/>
      </w:pPr>
      <w:bookmarkStart w:id="6" w:name="问题分析"/>
      <w:r>
        <w:t>2</w:t>
      </w:r>
      <w:r>
        <w:rPr>
          <w:rFonts w:hint="eastAsia"/>
          <w:lang w:val="en-US" w:eastAsia="zh-CN"/>
        </w:rPr>
        <w:t xml:space="preserve"> </w:t>
      </w:r>
      <w:r>
        <w:t xml:space="preserve"> 问题分析</w:t>
      </w:r>
    </w:p>
    <w:p w14:paraId="6227BAB0">
      <w:pPr>
        <w:pStyle w:val="36"/>
        <w:jc w:val="left"/>
      </w:pPr>
      <w:bookmarkStart w:id="7" w:name="均匀标量化的覆盖局限"/>
      <w:r>
        <w:t xml:space="preserve">2.1 </w:t>
      </w:r>
      <w:r>
        <w:rPr>
          <w:rFonts w:hint="eastAsia"/>
          <w:lang w:val="en-US" w:eastAsia="zh-CN"/>
        </w:rPr>
        <w:t xml:space="preserve"> </w:t>
      </w:r>
      <w:r>
        <w:t>均匀标量化的覆盖局限</w:t>
      </w:r>
    </w:p>
    <w:p w14:paraId="69F78FA2">
      <w:pPr>
        <w:spacing w:before="60" w:after="60" w:line="360" w:lineRule="auto"/>
        <w:ind w:firstLine="480" w:firstLineChars="200"/>
        <w:jc w:val="left"/>
      </w:pPr>
      <w:r>
        <w:t>QAOA通常针对单一Hamiltonian进行优化</w:t>
      </w:r>
      <w:r>
        <w:rPr>
          <w:rFonts w:hint="eastAsia"/>
        </w:rPr>
        <w:t>[4-5]</w:t>
      </w:r>
      <w:r>
        <w:t>。多目标问题常通过权重向量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λ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标量化：</w:t>
      </w:r>
    </w:p>
    <w:p w14:paraId="19EED658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λ</m:t>
              </m:r>
            </m:sub>
          </m:sSub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sSup>
            <m:sSupPr/>
            <m:e>
              <m:r>
                <m:rPr/>
                <m:t>f</m:t>
              </m:r>
            </m:e>
            <m:sup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</m:sup>
          </m:sSup>
          <m:d>
            <m:dPr>
              <m:sepChr m:val=""/>
            </m:dPr>
            <m:e>
              <m:r>
                <m:rPr/>
                <m:t>z</m:t>
              </m:r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≥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.</m:t>
          </m:r>
        </m:oMath>
      </m:oMathPara>
    </w:p>
    <w:p w14:paraId="5F216A0D">
      <w:pPr>
        <w:spacing w:after="0" w:line="360" w:lineRule="auto"/>
        <w:ind w:left="0" w:leftChars="0" w:firstLine="480" w:firstLineChars="200"/>
        <w:jc w:val="left"/>
        <w:rPr>
          <w:rFonts w:hint="eastAsia" w:eastAsia="宋体"/>
          <w:lang w:eastAsia="zh-CN"/>
        </w:rPr>
      </w:pPr>
      <w:r>
        <w:t>对应的投影Ising系数为</w:t>
      </w:r>
      <w:r>
        <w:rPr>
          <w:rFonts w:hint="eastAsia"/>
          <w:lang w:eastAsia="zh-CN"/>
        </w:rPr>
        <w:t>：</w:t>
      </w:r>
    </w:p>
    <w:p w14:paraId="41D15A4A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/>
                <m:t>i</m:t>
              </m:r>
            </m:sub>
            <m:sup>
              <m:r>
                <m:rPr/>
                <m:t>λ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sSubSup>
            <m:sSubSupPr/>
            <m:e>
              <m:r>
                <m:rPr/>
                <m:t>h</m:t>
              </m:r>
            </m:e>
            <m:sub>
              <m:r>
                <m:rPr/>
                <m:t>i</m:t>
              </m:r>
            </m:sub>
            <m:sup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ij</m:t>
              </m:r>
            </m:sub>
            <m:sup>
              <m:r>
                <m:rPr/>
                <m:t>λ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sSubSup>
            <m:sSubSupPr/>
            <m:e>
              <m:r>
                <m:rPr/>
                <m:t>J</m:t>
              </m:r>
            </m:e>
            <m:sub>
              <m:r>
                <m:rPr/>
                <m:t>ij</m:t>
              </m:r>
            </m:sub>
            <m:sup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 w14:paraId="3B116010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官方基线从固定权重池取</w:t>
      </w:r>
      <m:oMath>
        <m:r>
          <m:rPr>
            <m:sty m:val="p"/>
          </m:rPr>
          <w:rPr>
            <w:rFonts w:ascii="Times New Roman" w:hAnsi="Times New Roman"/>
          </w:rPr>
          <m:t>100</m:t>
        </m:r>
      </m:oMath>
      <w:r>
        <w:rPr>
          <w:i w:val="0"/>
          <w:iCs w:val="0"/>
        </w:rPr>
        <w:t>个权重并为每个权重平均分配</w:t>
      </w:r>
      <m:oMath>
        <m:r>
          <m:rPr>
            <m:sty m:val="p"/>
          </m:rPr>
          <w:rPr>
            <w:rFonts w:ascii="Times New Roman" w:hAnsi="Times New Roman"/>
          </w:rPr>
          <m:t>1000</m:t>
        </m:r>
      </m:oMath>
      <w:r>
        <w:rPr>
          <w:i w:val="0"/>
          <w:iCs w:val="0"/>
        </w:rPr>
        <w:t xml:space="preserve"> shots。这一方案稳定且易于复现，但存在两类不足：其一，权重单纯在simplex中分散，并不保证投影后的Hamiltonian在系数空间中同样分散；其二，所有采样在开始前一次性确定，不能利用前轮量子样本已经揭示的前沿结构。</w:t>
      </w:r>
    </w:p>
    <w:bookmarkEnd w:id="7"/>
    <w:p w14:paraId="27322CE6">
      <w:pPr>
        <w:pStyle w:val="36"/>
        <w:jc w:val="left"/>
      </w:pPr>
      <w:bookmarkStart w:id="8" w:name="固定预算下的探索与利用冲突"/>
      <w:r>
        <w:t xml:space="preserve">2.2 </w:t>
      </w:r>
      <w:r>
        <w:rPr>
          <w:rFonts w:hint="eastAsia"/>
          <w:lang w:val="en-US" w:eastAsia="zh-CN"/>
        </w:rPr>
        <w:t xml:space="preserve"> </w:t>
      </w:r>
      <w:r>
        <w:t>固定预算下的探索与利用冲突</w:t>
      </w:r>
    </w:p>
    <w:p w14:paraId="615AAF1E">
      <w:pPr>
        <w:spacing w:after="0" w:line="360" w:lineRule="auto"/>
        <w:jc w:val="left"/>
      </w:pPr>
      <w:r>
        <w:t>增加首轮shots有利于发现更多离散构型，但会压缩后续局部精化预算；过度使用warm-start又可能使采样分布坍缩到少数已知权衡方向。为提高HV，需要兼顾：</w:t>
      </w:r>
    </w:p>
    <w:p w14:paraId="4AFF7343">
      <w:pPr>
        <w:numPr>
          <w:ilvl w:val="0"/>
          <w:numId w:val="3"/>
        </w:numPr>
        <w:spacing w:after="0" w:line="360" w:lineRule="auto"/>
        <w:ind w:left="480" w:leftChars="0" w:firstLine="0" w:firstLineChars="0"/>
        <w:jc w:val="left"/>
      </w:pPr>
      <w:r>
        <w:t>极端目标方向的锚点覆盖；</w:t>
      </w:r>
    </w:p>
    <w:p w14:paraId="6CD2AC4B">
      <w:pPr>
        <w:numPr>
          <w:ilvl w:val="0"/>
          <w:numId w:val="3"/>
        </w:numPr>
        <w:spacing w:after="0" w:line="360" w:lineRule="auto"/>
        <w:ind w:left="480" w:leftChars="0" w:firstLine="0" w:firstLineChars="0"/>
        <w:jc w:val="left"/>
      </w:pPr>
      <w:r>
        <w:t>前沿中部与稀疏区的多样性；</w:t>
      </w:r>
    </w:p>
    <w:p w14:paraId="5CB6D440">
      <w:pPr>
        <w:numPr>
          <w:ilvl w:val="0"/>
          <w:numId w:val="3"/>
        </w:numPr>
        <w:spacing w:after="0" w:line="360" w:lineRule="auto"/>
        <w:ind w:left="480" w:leftChars="0" w:firstLine="0" w:firstLineChars="0"/>
        <w:jc w:val="left"/>
      </w:pPr>
      <w:r>
        <w:t>已发现高质量解附近的再采样；</w:t>
      </w:r>
    </w:p>
    <w:p w14:paraId="3D592810">
      <w:pPr>
        <w:numPr>
          <w:ilvl w:val="0"/>
          <w:numId w:val="3"/>
        </w:numPr>
        <w:spacing w:after="0" w:line="360" w:lineRule="auto"/>
        <w:ind w:left="480" w:leftChars="0" w:firstLine="0" w:firstLineChars="0"/>
        <w:jc w:val="left"/>
      </w:pPr>
      <w:r>
        <w:t>对不同实例耦合尺度与目标相关性的适应性；</w:t>
      </w:r>
    </w:p>
    <w:p w14:paraId="321E7AAB">
      <w:pPr>
        <w:numPr>
          <w:ilvl w:val="0"/>
          <w:numId w:val="3"/>
        </w:numPr>
        <w:spacing w:after="0" w:line="360" w:lineRule="auto"/>
        <w:ind w:left="480" w:leftChars="0" w:firstLine="0" w:firstLineChars="0"/>
        <w:jc w:val="left"/>
      </w:pPr>
      <w:r>
        <w:t>隐藏分布上的保守泛化。</w:t>
      </w:r>
    </w:p>
    <w:bookmarkEnd w:id="8"/>
    <w:p w14:paraId="5B236FEB">
      <w:pPr>
        <w:pStyle w:val="36"/>
        <w:jc w:val="left"/>
      </w:pPr>
      <w:bookmarkStart w:id="9" w:name="隐藏分布泛化风险"/>
      <w:r>
        <w:t xml:space="preserve">2.3 </w:t>
      </w:r>
      <w:r>
        <w:rPr>
          <w:rFonts w:hint="eastAsia"/>
          <w:lang w:val="en-US" w:eastAsia="zh-CN"/>
        </w:rPr>
        <w:t xml:space="preserve"> </w:t>
      </w:r>
      <w:r>
        <w:t>隐藏分布泛化风险</w:t>
      </w:r>
    </w:p>
    <w:p w14:paraId="048B53B8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迭代过程中，部分方法在synthetic压力样本上具有显著局部收益，但线上得分反而下降。例如，span-wide与多模块堆叠分支v264、v270的线上分数分别仅为</w:t>
      </w:r>
      <m:oMath>
        <m:r>
          <m:rPr>
            <m:sty m:val="p"/>
          </m:rPr>
          <w:rPr>
            <w:rFonts w:ascii="Times New Roman" w:hAnsi="Times New Roman"/>
          </w:rPr>
          <m:t>204.99565</m:t>
        </m:r>
      </m:oMath>
      <w:r>
        <w:rPr>
          <w:i w:val="0"/>
          <w:iCs w:val="0"/>
        </w:rPr>
        <w:t>和</w:t>
      </w:r>
      <m:oMath>
        <m:r>
          <m:rPr>
            <m:sty m:val="p"/>
          </m:rPr>
          <w:rPr>
            <w:rFonts w:ascii="Times New Roman" w:hAnsi="Times New Roman"/>
          </w:rPr>
          <m:t>204.80509</m:t>
        </m:r>
      </m:oMath>
      <w:r>
        <w:rPr>
          <w:i w:val="0"/>
          <w:iCs w:val="0"/>
        </w:rPr>
        <w:t>，显著低于最终v195。这说明synthetic数据更适合用作风险哨兵和触发边界诊断，而不能替代隐藏测试集。最终方案因此采用“少量结构性模块</w:t>
      </w:r>
      <w:r>
        <w:rPr>
          <w:rFonts w:hint="eastAsia"/>
          <w:i w:val="0"/>
          <w:iCs w:val="0"/>
          <w:lang w:val="en-US" w:eastAsia="zh-CN"/>
        </w:rPr>
        <w:t xml:space="preserve"> </w:t>
      </w:r>
      <w:r>
        <w:rPr>
          <w:i w:val="0"/>
          <w:iCs w:val="0"/>
        </w:rPr>
        <w:t>+</w:t>
      </w:r>
      <w:r>
        <w:rPr>
          <w:rFonts w:hint="eastAsia"/>
          <w:i w:val="0"/>
          <w:iCs w:val="0"/>
          <w:lang w:val="en-US" w:eastAsia="zh-CN"/>
        </w:rPr>
        <w:t xml:space="preserve"> </w:t>
      </w:r>
      <w:r>
        <w:rPr>
          <w:i w:val="0"/>
          <w:iCs w:val="0"/>
        </w:rPr>
        <w:t>窄特征门控”的设计原则，不把任何单一synthetic族视为隐藏分布代理。</w:t>
      </w:r>
    </w:p>
    <w:bookmarkEnd w:id="6"/>
    <w:bookmarkEnd w:id="9"/>
    <w:p w14:paraId="220ED5FE">
      <w:pPr>
        <w:pStyle w:val="35"/>
        <w:jc w:val="left"/>
      </w:pPr>
      <w:bookmarkStart w:id="10" w:name="方案描述"/>
      <w:r>
        <w:t>3</w:t>
      </w:r>
      <w:r>
        <w:rPr>
          <w:rFonts w:hint="eastAsia"/>
          <w:lang w:val="en-US" w:eastAsia="zh-CN"/>
        </w:rPr>
        <w:t xml:space="preserve"> </w:t>
      </w:r>
      <w:r>
        <w:t xml:space="preserve"> 方案描述</w:t>
      </w:r>
    </w:p>
    <w:p w14:paraId="77E23EBC">
      <w:pPr>
        <w:pStyle w:val="36"/>
        <w:jc w:val="left"/>
      </w:pPr>
      <w:bookmarkStart w:id="11" w:name="总体框架"/>
      <w:r>
        <w:t xml:space="preserve">3.1 </w:t>
      </w:r>
      <w:r>
        <w:rPr>
          <w:rFonts w:hint="eastAsia"/>
          <w:lang w:val="en-US" w:eastAsia="zh-CN"/>
        </w:rPr>
        <w:t xml:space="preserve"> </w:t>
      </w:r>
      <w:r>
        <w:t>总体框架</w:t>
      </w:r>
    </w:p>
    <w:p w14:paraId="28FFEA34">
      <w:pPr>
        <w:spacing w:before="60" w:after="60" w:line="360" w:lineRule="auto"/>
        <w:ind w:firstLine="480" w:firstLineChars="200"/>
        <w:jc w:val="left"/>
      </w:pPr>
      <w:r>
        <w:t>本文方法由四个相互配合的部分组成：结构化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λ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覆盖、投影Hamiltonian多样性选择、累计非支配精英反馈和实例特征门控调度。总体流程如图2 所示。</w:t>
      </w:r>
    </w:p>
    <w:p w14:paraId="4F268FB5">
      <w:pPr>
        <w:spacing w:after="0" w:line="360" w:lineRule="auto"/>
        <w:ind w:firstLine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47385" cy="2969260"/>
            <wp:effectExtent l="0" t="0" r="5715" b="2540"/>
            <wp:docPr id="11" name="图片 11" descr="fig2_v195_algorithm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g2_v195_algorithm_flo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33EA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图2</w:t>
      </w:r>
      <w:r>
        <w:rPr>
          <w:rFonts w:hint="eastAsia"/>
          <w:b/>
          <w:sz w:val="21"/>
          <w:lang w:val="en-US" w:eastAsia="zh-CN"/>
        </w:rPr>
        <w:t xml:space="preserve">  </w:t>
      </w:r>
      <w:r>
        <w:rPr>
          <w:rFonts w:ascii="Times New Roman" w:hAnsi="Times New Roman" w:eastAsia="宋体"/>
          <w:b/>
          <w:sz w:val="21"/>
        </w:rPr>
        <w:t>v195算法总体流程</w:t>
      </w:r>
    </w:p>
    <w:p w14:paraId="6941AE0F">
      <w:pPr>
        <w:spacing w:before="60" w:after="60" w:line="360" w:lineRule="auto"/>
        <w:ind w:firstLine="480" w:firstLineChars="200"/>
        <w:jc w:val="left"/>
      </w:pPr>
      <w:r>
        <w:t>默认配置使用</w:t>
      </w:r>
      <m:oMath>
        <m:r>
          <m:rPr>
            <m:sty m:val="p"/>
          </m:rPr>
          <w:rPr>
            <w:rFonts w:ascii="Times New Roman" w:hAnsi="Times New Roman"/>
          </w:rPr>
          <m:t>100</m:t>
        </m:r>
      </m:oMath>
      <w:r>
        <w:t>个权重槽位和三轮采样，每槽位shots为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650</m:t>
        </m:r>
        <m:r>
          <m:rPr>
            <m:sty m:val="p"/>
          </m:rPr>
          <m:t>/</m:t>
        </m:r>
        <m:r>
          <m:rPr/>
          <m:t>175</m:t>
        </m:r>
        <m:r>
          <m:rPr>
            <m:sty m:val="p"/>
          </m:rPr>
          <m:t>/</m:t>
        </m:r>
        <m:r>
          <m:rPr/>
          <m:t>175</m:t>
        </m:r>
      </m:oMath>
      <w:r>
        <w:t>，总预算满足</w:t>
      </w:r>
    </w:p>
    <w:p w14:paraId="129C45FD">
      <w:pPr>
        <w:spacing w:before="60" w:after="60" w:line="360" w:lineRule="auto"/>
        <w:ind w:firstLine="480" w:firstLineChars="200"/>
        <w:jc w:val="left"/>
      </w:pPr>
      <m:oMathPara>
        <m:oMathParaPr>
          <m:jc m:val="center"/>
        </m:oMathParaPr>
        <m:oMath>
          <m:r>
            <m:rPr/>
            <m:t>100</m:t>
          </m:r>
          <m:r>
            <m:rPr>
              <m:sty m:val="p"/>
            </m:rPr>
            <m:t>×</m:t>
          </m:r>
          <m:d>
            <m:dPr>
              <m:sepChr m:val=""/>
            </m:dPr>
            <m:e>
              <m:r>
                <m:rPr/>
                <m:t>650</m:t>
              </m:r>
              <m:r>
                <m:rPr>
                  <m:sty m:val="p"/>
                </m:rPr>
                <m:t>+</m:t>
              </m:r>
              <m:r>
                <m:rPr/>
                <m:t>175</m:t>
              </m:r>
              <m:r>
                <m:rPr>
                  <m:sty m:val="p"/>
                </m:rPr>
                <m:t>+</m:t>
              </m:r>
              <m:r>
                <m:rPr/>
                <m:t>175</m:t>
              </m:r>
            </m:e>
          </m:d>
          <m:r>
            <m:rPr>
              <m:sty m:val="p"/>
            </m:rPr>
            <m:t>=</m:t>
          </m:r>
          <m:r>
            <m:rPr/>
            <m:t>100000</m:t>
          </m:r>
          <m:r>
            <m:rPr>
              <m:sty m:val="p"/>
            </m:rPr>
            <m:t>.</m:t>
          </m:r>
        </m:oMath>
      </m:oMathPara>
    </w:p>
    <w:p w14:paraId="42AB1ACA">
      <w:pPr>
        <w:spacing w:before="60" w:after="60" w:line="360" w:lineRule="auto"/>
        <w:ind w:firstLine="480" w:firstLineChars="200"/>
        <w:jc w:val="left"/>
      </w:pPr>
      <w:r>
        <w:t>在特定实例上，门控可采用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660</m:t>
        </m:r>
        <m:r>
          <m:rPr>
            <m:sty m:val="p"/>
          </m:rPr>
          <m:t>/</m:t>
        </m:r>
        <m:r>
          <m:rPr/>
          <m:t>170</m:t>
        </m:r>
        <m:r>
          <m:rPr>
            <m:sty m:val="p"/>
          </m:rPr>
          <m:t>/</m:t>
        </m:r>
        <m:r>
          <m:rPr/>
          <m:t>170</m:t>
        </m:r>
      </m:oMath>
      <w:r>
        <w:t>、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650</m:t>
        </m:r>
        <m:r>
          <m:rPr>
            <m:sty m:val="p"/>
          </m:rPr>
          <m:t>/</m:t>
        </m:r>
        <m:r>
          <m:rPr/>
          <m:t>200</m:t>
        </m:r>
        <m:r>
          <m:rPr>
            <m:sty m:val="p"/>
          </m:rPr>
          <m:t>/</m:t>
        </m:r>
        <m:r>
          <m:rPr/>
          <m:t>150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或</w:t>
      </w:r>
      <m:oMath>
        <m:r>
          <m:rPr/>
          <m:t>620</m:t>
        </m:r>
        <m:r>
          <m:rPr>
            <m:sty m:val="p"/>
          </m:rPr>
          <m:t>/</m:t>
        </m:r>
        <m:r>
          <m:rPr/>
          <m:t>150</m:t>
        </m:r>
        <m:r>
          <m:rPr>
            <m:sty m:val="p"/>
          </m:rPr>
          <m:t>/</m:t>
        </m:r>
        <m:r>
          <m:rPr/>
          <m:t>130</m:t>
        </m:r>
        <m:r>
          <m:rPr>
            <m:sty m:val="p"/>
          </m:rPr>
          <m:t>/</m:t>
        </m:r>
        <m:r>
          <m:rPr/>
          <m:t>100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等调度，但每种调度均保持总shots不变。</w:t>
      </w:r>
    </w:p>
    <w:bookmarkEnd w:id="11"/>
    <w:p w14:paraId="62D6C670">
      <w:pPr>
        <w:pStyle w:val="36"/>
        <w:jc w:val="left"/>
      </w:pPr>
      <w:bookmarkStart w:id="12" w:name="结构化权重与投影空间多样性"/>
      <w:r>
        <w:t>3.2</w:t>
      </w:r>
      <w:r>
        <w:rPr>
          <w:rFonts w:hint="eastAsia"/>
          <w:lang w:val="en-US" w:eastAsia="zh-CN"/>
        </w:rPr>
        <w:t xml:space="preserve"> </w:t>
      </w:r>
      <w:r>
        <w:t xml:space="preserve"> 结构化权重与投影空间多样性</w:t>
      </w:r>
    </w:p>
    <w:p w14:paraId="756E09FB">
      <w:pPr>
        <w:pStyle w:val="38"/>
        <w:jc w:val="left"/>
      </w:pPr>
      <w:bookmarkStart w:id="13" w:name="结构化锚点"/>
      <w:r>
        <w:t>3.2.1</w:t>
      </w:r>
      <w:r>
        <w:rPr>
          <w:rFonts w:hint="eastAsia"/>
          <w:lang w:val="en-US" w:eastAsia="zh-CN"/>
        </w:rPr>
        <w:t xml:space="preserve"> </w:t>
      </w:r>
      <w:r>
        <w:t xml:space="preserve"> 结构化锚点</w:t>
      </w:r>
    </w:p>
    <w:p w14:paraId="249B50B9">
      <w:pPr>
        <w:spacing w:before="60" w:after="60" w:line="360" w:lineRule="auto"/>
        <w:ind w:firstLine="480" w:firstLineChars="200"/>
        <w:jc w:val="left"/>
      </w:pPr>
      <w:r>
        <w:t>首轮权重集合并非直接截取固定池的前</w:t>
      </w:r>
      <m:oMath>
        <m:r>
          <m:rPr>
            <m:sty m:val="p"/>
          </m:rPr>
          <w:rPr>
            <w:rFonts w:ascii="Times New Roman" w:hAnsi="Times New Roman"/>
          </w:rPr>
          <m:t>100</m:t>
        </m:r>
      </m:oMath>
      <w:r>
        <w:t>项，而是显式保留以下结构化锚点：</w:t>
      </w:r>
    </w:p>
    <w:p w14:paraId="6C0433DE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one-hot单目标锚点，用于保留五个前沿端点；</w:t>
      </w:r>
    </w:p>
    <w:p w14:paraId="21BB2CF7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edge midpoint，用于覆盖任意两个目标的均衡折中；</w:t>
      </w:r>
    </w:p>
    <w:p w14:paraId="0D099844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face centroid，用于覆盖三目标联合折中；</w:t>
      </w:r>
    </w:p>
    <w:p w14:paraId="2C4A13AB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four-way midpoint，用于覆盖四目标联合折中；</w:t>
      </w:r>
    </w:p>
    <w:p w14:paraId="141FE42C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固定权重池中的稳定锚点，保证与官方基线相同的可复现来源；</w:t>
      </w:r>
    </w:p>
    <w:p w14:paraId="68157FFF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level-4 simplex lattice，作为high-span或negative-span特征门控下的补充。</w:t>
      </w:r>
    </w:p>
    <w:p w14:paraId="1F7C21E9">
      <w:pPr>
        <w:spacing w:before="0" w:after="0" w:line="360" w:lineRule="auto"/>
        <w:ind w:left="0" w:leftChars="0"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图3</w:t>
      </w: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给出结构化权重、前沿反馈和warm-start之间的关系。</w:t>
      </w:r>
    </w:p>
    <w:p w14:paraId="08A60B77">
      <w:pPr>
        <w:spacing w:after="0" w:line="360" w:lineRule="auto"/>
        <w:ind w:firstLine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60720" cy="3022600"/>
            <wp:effectExtent l="0" t="0" r="5080" b="0"/>
            <wp:docPr id="10" name="图片 10" descr="fig3_warm_start_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ig3_warm_start_feedback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0E8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 xml:space="preserve">图3 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>多轮非支配精英反馈与Warm-start机制</w:t>
      </w:r>
    </w:p>
    <w:bookmarkEnd w:id="13"/>
    <w:p w14:paraId="08777B52">
      <w:pPr>
        <w:pStyle w:val="38"/>
        <w:jc w:val="left"/>
      </w:pPr>
      <w:bookmarkStart w:id="14" w:name="投影-ising-特征空间的最远点选择"/>
      <w:r>
        <w:t xml:space="preserve">3.2.2 </w:t>
      </w:r>
      <w:r>
        <w:rPr>
          <w:rFonts w:hint="eastAsia"/>
          <w:lang w:val="en-US" w:eastAsia="zh-CN"/>
        </w:rPr>
        <w:t xml:space="preserve"> </w:t>
      </w:r>
      <w:r>
        <w:t>投影Ising特征空间的最远点选择</w:t>
      </w:r>
    </w:p>
    <w:p w14:paraId="4CB7CC52">
      <w:pPr>
        <w:spacing w:before="60" w:after="60" w:line="360" w:lineRule="auto"/>
        <w:ind w:firstLine="480" w:firstLineChars="200"/>
        <w:jc w:val="left"/>
        <w:rPr>
          <w:rFonts w:hint="eastAsia" w:eastAsia="宋体"/>
          <w:lang w:eastAsia="zh-CN"/>
        </w:rPr>
      </w:pPr>
      <w:r>
        <w:t>仅在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λ</m:t>
        </m:r>
      </m:oMath>
      <w:r>
        <w:t xml:space="preserve"> simplex上选择几何距离较远的权重，可能得到近似相同的投影Hamiltonian。为此，算法将候选权重映射到归一化的投影系数特征向量</w:t>
      </w:r>
      <w:r>
        <w:rPr>
          <w:rFonts w:hint="eastAsia"/>
          <w:lang w:eastAsia="zh-CN"/>
        </w:rPr>
        <w:t>：</w:t>
      </w:r>
    </w:p>
    <w:p w14:paraId="2C1BE238">
      <w:pPr>
        <w:spacing w:before="60" w:after="60" w:line="360" w:lineRule="auto"/>
        <w:ind w:firstLine="480" w:firstLineChars="200"/>
        <w:jc w:val="left"/>
      </w:pPr>
      <m:oMathPara>
        <m:oMathParaPr>
          <m:jc m:val="center"/>
        </m:oMathParaPr>
        <m:oMath>
          <m:r>
            <m:rPr/>
            <m:t>ϕ</m:t>
          </m:r>
          <m:d>
            <m:dPr>
              <m:sepChr m:val=""/>
            </m:dPr>
            <m:e>
              <m:r>
                <m:rPr/>
                <m:t>λ</m:t>
              </m:r>
            </m:e>
          </m:d>
          <m:r>
            <m:rPr>
              <m:sty m:val="p"/>
            </m:rPr>
            <m:t>=Normalize</m:t>
          </m:r>
          <m:d>
            <m:dPr>
              <m:sepChr m:val=""/>
            </m:dPr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vec</m:t>
                  </m:r>
                  <m:d>
                    <m:dPr>
                      <m:sepChr m:val=""/>
                    </m:dPr>
                    <m:e>
                      <m:sSup>
                        <m:sSupPr/>
                        <m:e>
                          <m:r>
                            <m:rPr/>
                            <m:t>J</m:t>
                          </m:r>
                        </m:e>
                        <m:sup>
                          <m:r>
                            <m:rPr/>
                            <m:t>λ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,</m:t>
                  </m:r>
                  <m:sSup>
                    <m:sSupPr/>
                    <m:e>
                      <m:r>
                        <m:rPr/>
                        <m:t>h</m:t>
                      </m:r>
                    </m:e>
                    <m:sup>
                      <m:r>
                        <m:rPr/>
                        <m:t>λ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 w14:paraId="13421A19">
      <w:pPr>
        <w:spacing w:before="60" w:after="60" w:line="360" w:lineRule="auto"/>
        <w:ind w:firstLine="480" w:firstLineChars="200"/>
        <w:jc w:val="left"/>
      </w:pPr>
      <w:r>
        <w:t>并在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ϕ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空间执行贪心最远点选择：</w:t>
      </w:r>
    </w:p>
    <w:p w14:paraId="14AC4411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sSup>
            <m:sSupPr/>
            <m:e>
              <m:r>
                <m:rPr/>
                <m:t>λ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λ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cand</m:t>
                  </m:r>
                </m:sub>
              </m:sSub>
            </m:lim>
          </m:limLow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λ</m:t>
              </m:r>
              <m:r>
                <m:rPr>
                  <m:sty m:val="p"/>
                </m:rPr>
                <m:t>′∈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sel</m:t>
                  </m:r>
                </m:sub>
              </m:sSub>
            </m:lim>
          </m:limLow>
          <m:sSub>
            <m:sSubPr/>
            <m:e>
              <m:d>
                <m:dPr>
                  <m:begChr m:val="∥"/>
                  <m:sepChr m:val=""/>
                  <m:endChr m:val="∥"/>
                </m:dPr>
                <m:e>
                  <m:r>
                    <m:rPr/>
                    <m:t>ϕ</m:t>
                  </m:r>
                  <m:d>
                    <m:dPr>
                      <m:sepChr m:val=""/>
                    </m:dPr>
                    <m:e>
                      <m:r>
                        <m:rPr/>
                        <m:t>λ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/>
                    <m:t>ϕ</m:t>
                  </m:r>
                  <m:d>
                    <m:dPr>
                      <m:sepChr m:val=""/>
                    </m:dPr>
                    <m:e>
                      <m:r>
                        <m:rPr/>
                        <m:t>λ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</m:d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 w14:paraId="1DEEF7A9">
      <w:pPr>
        <w:spacing w:after="0" w:line="360" w:lineRule="auto"/>
        <w:ind w:left="0" w:leftChars="0" w:firstLine="480" w:firstLineChars="200"/>
        <w:jc w:val="left"/>
      </w:pPr>
      <w:r>
        <w:t>该策略直接优化量子线路所对应Hamiltonian的方向多样性，而不是只优化权重向量本身的形式多样性。剩余槽位在保留结构化锚点后由此策略补齐。</w:t>
      </w:r>
    </w:p>
    <w:bookmarkEnd w:id="12"/>
    <w:bookmarkEnd w:id="14"/>
    <w:p w14:paraId="644576A3">
      <w:pPr>
        <w:pStyle w:val="36"/>
        <w:jc w:val="left"/>
      </w:pPr>
      <w:bookmarkStart w:id="15" w:name="qaoa-量子采样"/>
      <w:r>
        <w:t>3.3</w:t>
      </w:r>
      <w:r>
        <w:rPr>
          <w:rFonts w:hint="eastAsia"/>
          <w:lang w:val="en-US" w:eastAsia="zh-CN"/>
        </w:rPr>
        <w:t xml:space="preserve">  </w:t>
      </w:r>
      <w:r>
        <w:t>QAOA量子采样</w:t>
      </w:r>
    </w:p>
    <w:p w14:paraId="1C4FCF8E">
      <w:pPr>
        <w:spacing w:before="60" w:after="60" w:line="360" w:lineRule="auto"/>
        <w:ind w:firstLine="480" w:firstLineChars="200"/>
        <w:jc w:val="left"/>
        <w:rPr>
          <w:rFonts w:hint="eastAsia" w:eastAsia="宋体"/>
          <w:lang w:eastAsia="zh-CN"/>
        </w:rPr>
      </w:pPr>
      <w:r>
        <w:t>对每个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λ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，构造投影问题Hamiltonian</w:t>
      </w:r>
      <w:r>
        <w:rPr>
          <w:rFonts w:hint="eastAsia"/>
          <w:lang w:eastAsia="zh-CN"/>
        </w:rPr>
        <w:t>：</w:t>
      </w:r>
    </w:p>
    <w:p w14:paraId="11E687DC">
      <w:pPr>
        <w:spacing w:before="60" w:after="60" w:line="360" w:lineRule="auto"/>
        <w:ind w:firstLine="480" w:firstLineChars="200"/>
        <w:jc w:val="left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C</m:t>
              </m:r>
            </m:sub>
          </m:sSub>
          <m:d>
            <m:dPr>
              <m:sepChr m:val=""/>
            </m:dPr>
            <m:e>
              <m:r>
                <m:rPr/>
                <m:t>λ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λ</m:t>
                  </m:r>
                </m:sup>
              </m:sSubSup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/>
                <m:t>E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J</m:t>
                  </m:r>
                </m:e>
                <m:sub>
                  <m:r>
                    <m:rPr/>
                    <m:t>ij</m:t>
                  </m:r>
                </m:sub>
                <m:sup>
                  <m:r>
                    <m:rPr/>
                    <m:t>λ</m:t>
                  </m:r>
                </m:sup>
              </m:sSubSup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Z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 w14:paraId="0ACD6DDD">
      <w:pPr>
        <w:spacing w:before="60" w:after="60" w:line="360" w:lineRule="auto"/>
        <w:ind w:firstLine="480" w:firstLineChars="200"/>
        <w:jc w:val="left"/>
        <w:rPr>
          <w:rFonts w:hint="eastAsia" w:eastAsia="宋体"/>
          <w:lang w:eastAsia="zh-CN"/>
        </w:rPr>
      </w:pPr>
      <w:r>
        <w:t>标准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p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层QAOA状态写为</w:t>
      </w:r>
      <w:r>
        <w:rPr>
          <w:rFonts w:hint="eastAsia"/>
          <w:lang w:eastAsia="zh-CN"/>
        </w:rPr>
        <w:t>：</w:t>
      </w:r>
    </w:p>
    <w:p w14:paraId="233003B9">
      <w:pPr>
        <w:spacing w:before="60" w:after="60" w:line="360" w:lineRule="auto"/>
        <w:ind w:firstLine="480" w:firstLineChars="200"/>
        <w:jc w:val="lef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r>
                <m:rPr/>
                <m:t>ψ</m:t>
              </m:r>
              <m:d>
                <m:dPr>
                  <m:sepChr m:val=""/>
                </m:dPr>
                <m:e>
                  <m:r>
                    <m:rPr>
                      <m:sty m:val="b"/>
                    </m:rPr>
                    <m:t>γ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β</m:t>
                  </m:r>
                </m:e>
              </m:d>
              <m:r>
                <m:rPr>
                  <m:sty m:val="p"/>
                </m:rPr>
                <m:t>⟩=</m:t>
              </m:r>
              <m:nary>
                <m:naryPr>
                  <m:chr m:val="∏"/>
                  <m:limLoc m:val="undOvr"/>
                </m:naryPr>
                <m:sub>
                  <m:r>
                    <m:rPr/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p</m:t>
                  </m:r>
                </m:sup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</m:t>
                      </m:r>
                      <m:sSub>
                        <m:sSubPr/>
                        <m:e>
                          <m:r>
                            <m:rPr/>
                            <m:t>β</m:t>
                          </m:r>
                        </m:e>
                        <m:sub>
                          <m:r>
                            <m:rPr/>
                            <m:t>l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</m:sup>
                  </m:sSup>
                </m:e>
              </m:nary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i</m:t>
                  </m:r>
                  <m:sSub>
                    <m:sSubPr/>
                    <m:e>
                      <m:r>
                        <m:rPr/>
                        <m:t>γ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d>
                    <m:dPr>
                      <m:sepChr m:val=""/>
                    </m:dPr>
                    <m:e>
                      <m:r>
                        <m:rPr/>
                        <m:t>λ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>
                  <m:sty m:val="p"/>
                </m:rPr>
                <m:t>⊗</m:t>
              </m:r>
              <m:r>
                <m:rPr/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 w14:paraId="4441B85D">
      <w:pPr>
        <w:spacing w:before="60" w:after="60" w:line="360" w:lineRule="auto"/>
        <w:ind w:firstLine="480" w:firstLineChars="200"/>
        <w:jc w:val="left"/>
      </w:pPr>
      <w:r>
        <w:t>其中</w:t>
      </w:r>
      <m:oMath>
        <m:sSub>
          <m:sSub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H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/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nary>
      </m:oMath>
      <w:r>
        <w:t>。实现基于MindSpore Quantum/MindQuantum的mqvector模拟器，角度参数由赛题提供的transfer_data.csv迁移：首轮探索使用表中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p</m:t>
        </m:r>
        <m:r>
          <m:rPr>
            <m:sty m:val="p"/>
          </m:rPr>
          <m:t>=</m:t>
        </m:r>
        <m:r>
          <m:rPr/>
          <m:t>6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参数，warm轮使用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p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参数。经典部分不构造或修改提交样本，只对已经由量子线路产生的样本进行评价、去重和种子选择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并将筛选结果用于后续量子线路的</w:t>
      </w:r>
      <w:r>
        <w:rPr>
          <w:rFonts w:hint="default" w:ascii="Times New Roman" w:hAnsi="Times New Roman" w:eastAsia="宋体" w:cs="Times New Roman"/>
          <w:sz w:val="24"/>
          <w:szCs w:val="24"/>
        </w:rPr>
        <w:t>warm-start</w:t>
      </w:r>
      <w:r>
        <w:rPr>
          <w:rFonts w:ascii="宋体" w:hAnsi="宋体" w:eastAsia="宋体" w:cs="宋体"/>
          <w:sz w:val="24"/>
          <w:szCs w:val="24"/>
        </w:rPr>
        <w:t>初始化</w:t>
      </w:r>
      <w:r>
        <w:rPr>
          <w:rFonts w:hint="default" w:ascii="Times New Roman" w:hAnsi="Times New Roman" w:eastAsia="宋体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]</w:t>
      </w:r>
      <w:r>
        <w:t>。</w:t>
      </w:r>
    </w:p>
    <w:bookmarkEnd w:id="15"/>
    <w:p w14:paraId="193D1DCA">
      <w:pPr>
        <w:pStyle w:val="36"/>
        <w:jc w:val="left"/>
      </w:pPr>
      <w:bookmarkStart w:id="16" w:name="累计非支配精英反馈"/>
      <w:r>
        <w:t xml:space="preserve">3.4 </w:t>
      </w:r>
      <w:r>
        <w:rPr>
          <w:rFonts w:hint="eastAsia"/>
          <w:lang w:val="en-US" w:eastAsia="zh-CN"/>
        </w:rPr>
        <w:t xml:space="preserve"> </w:t>
      </w:r>
      <w:r>
        <w:t>累计非支配精英反馈</w:t>
      </w:r>
    </w:p>
    <w:p w14:paraId="73B3C831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每轮量子采样后，首先将unique自旋样本计算为五目标向量，并与此前累计样本合并；再执行非支配排序，形成累计前沿。随后通过以下顺序选择下一轮的</w:t>
      </w:r>
      <m:oMath>
        <m:r>
          <m:rPr>
            <m:sty m:val="p"/>
          </m:rPr>
          <w:rPr>
            <w:rFonts w:ascii="Times New Roman" w:hAnsi="Times New Roman"/>
          </w:rPr>
          <m:t>100</m:t>
        </m:r>
      </m:oMath>
      <w:r>
        <w:rPr>
          <w:i w:val="0"/>
          <w:iCs w:val="0"/>
        </w:rPr>
        <w:t>个warm-start种子：</w:t>
      </w:r>
    </w:p>
    <w:p w14:paraId="2D9527CD">
      <w:pPr>
        <w:numPr>
          <w:ilvl w:val="0"/>
          <w:numId w:val="5"/>
        </w:numPr>
        <w:spacing w:after="0" w:line="360" w:lineRule="auto"/>
        <w:ind w:left="480" w:leftChars="0" w:firstLine="0" w:firstLineChars="0"/>
        <w:jc w:val="left"/>
      </w:pPr>
      <w:r>
        <w:t>保留各目标轴的极值锚点；</w:t>
      </w:r>
    </w:p>
    <w:p w14:paraId="6C98FDBE">
      <w:pPr>
        <w:numPr>
          <w:ilvl w:val="0"/>
          <w:numId w:val="5"/>
        </w:numPr>
        <w:spacing w:after="0" w:line="360" w:lineRule="auto"/>
        <w:ind w:left="480" w:leftChars="0" w:firstLine="0" w:firstLineChars="0"/>
        <w:jc w:val="left"/>
      </w:pPr>
      <w:r>
        <w:t>计算NSGA-II风格拥挤距离，优先选择前沿稀疏区域</w:t>
      </w:r>
      <w:r>
        <w:rPr>
          <w:rFonts w:hint="eastAsia"/>
        </w:rPr>
        <w:t>[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]</w:t>
      </w:r>
      <w:r>
        <w:t>；</w:t>
      </w:r>
    </w:p>
    <w:p w14:paraId="1016DD93">
      <w:pPr>
        <w:numPr>
          <w:ilvl w:val="0"/>
          <w:numId w:val="5"/>
        </w:numPr>
        <w:spacing w:after="0" w:line="360" w:lineRule="auto"/>
        <w:ind w:left="480" w:leftChars="0" w:firstLine="0" w:firstLineChars="0"/>
        <w:jc w:val="left"/>
      </w:pPr>
      <w:r>
        <w:t>根据样本出现次数提供弱稳定性排序；</w:t>
      </w:r>
    </w:p>
    <w:p w14:paraId="28853F93">
      <w:pPr>
        <w:numPr>
          <w:ilvl w:val="0"/>
          <w:numId w:val="5"/>
        </w:numPr>
        <w:spacing w:before="60" w:after="60" w:line="360" w:lineRule="auto"/>
        <w:ind w:left="480" w:leftChars="0" w:firstLine="0" w:firstLineChars="0"/>
        <w:jc w:val="left"/>
      </w:pPr>
      <w:r>
        <w:t>限制同一</w:t>
      </w:r>
      <m:oMath>
        <m:r>
          <m:rPr/>
          <w:rPr>
            <w:rFonts w:hint="default" w:ascii="Cambria Math"/>
            <w:lang w:val="en-US" w:eastAsia="zh-CN"/>
          </w:rPr>
          <m:t xml:space="preserve"> </m:t>
        </m:r>
        <m:r>
          <m:rPr/>
          <m:t>λ</m:t>
        </m:r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的最大重复次数，避免权重方向塌缩；</w:t>
      </w:r>
    </w:p>
    <w:p w14:paraId="676F46E9">
      <w:pPr>
        <w:numPr>
          <w:ilvl w:val="0"/>
          <w:numId w:val="5"/>
        </w:numPr>
        <w:spacing w:after="0" w:line="360" w:lineRule="auto"/>
        <w:ind w:left="480" w:leftChars="0" w:firstLine="0" w:firstLineChars="0"/>
        <w:jc w:val="left"/>
      </w:pPr>
      <w:r>
        <w:t>在归一化目标空间应用距离阈值，若种子不足再逐步放宽；</w:t>
      </w:r>
    </w:p>
    <w:p w14:paraId="1278C94C">
      <w:pPr>
        <w:numPr>
          <w:ilvl w:val="0"/>
          <w:numId w:val="5"/>
        </w:numPr>
        <w:spacing w:after="0" w:line="360" w:lineRule="auto"/>
        <w:ind w:left="480" w:leftChars="0" w:firstLine="0" w:firstLineChars="0"/>
        <w:jc w:val="left"/>
      </w:pPr>
      <w:r>
        <w:t>将被选中的量子样本bitstring作为后续量子线路warm-state。</w:t>
      </w:r>
    </w:p>
    <w:p w14:paraId="4D946201">
      <w:pPr>
        <w:spacing w:before="60" w:after="60" w:line="360" w:lineRule="auto"/>
        <w:ind w:firstLine="480" w:firstLineChars="200"/>
        <w:jc w:val="left"/>
      </w:pPr>
      <w:r>
        <w:t>对某个非支配点</w:t>
      </w:r>
      <m:oMath>
        <m:sSub>
          <m:sSubPr/>
          <m:e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w:rPr>
            <w:rFonts w:hint="default"/>
            <w:lang w:val="en-US" w:eastAsia="zh-CN"/>
          </w:rPr>
          <m:t xml:space="preserve"> </m:t>
        </m:r>
      </m:oMath>
      <w:r>
        <w:t>，其拥挤距离可表示为各目标归一化邻域跨度之和：</w:t>
      </w:r>
    </w:p>
    <w:p w14:paraId="762542CC">
      <w:pPr>
        <w:spacing w:before="60" w:after="60" w:line="360" w:lineRule="auto"/>
        <w:ind w:firstLine="0"/>
        <w:jc w:val="left"/>
      </w:pPr>
      <m:oMathPara>
        <m:oMathParaPr>
          <m:jc m:val="center"/>
        </m:oMathParaPr>
        <m:oMath>
          <m:r>
            <m:rPr/>
            <m:t>CD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m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f>
                <m:fPr/>
                <m:num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m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m</m:t>
                          </m:r>
                        </m:e>
                      </m:d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m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m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/>
                    <m:t>ε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 w14:paraId="0EC89F42">
      <w:pPr>
        <w:spacing w:after="0" w:line="360" w:lineRule="auto"/>
        <w:ind w:left="0" w:leftChars="0" w:firstLine="480" w:firstLineChars="200"/>
        <w:jc w:val="left"/>
      </w:pPr>
      <w:r>
        <w:t>这种反馈不是经典求解器替代量子采样，而是将已经观测到的量子样本重新用于量子态初始化，使有限预算更集中地覆盖可能增加HV的区域。</w:t>
      </w:r>
    </w:p>
    <w:bookmarkEnd w:id="16"/>
    <w:p w14:paraId="10118DA6">
      <w:pPr>
        <w:pStyle w:val="36"/>
        <w:jc w:val="left"/>
      </w:pPr>
      <w:bookmarkStart w:id="17" w:name="特征门控调度"/>
      <w:r>
        <w:t xml:space="preserve">3.5 </w:t>
      </w:r>
      <w:r>
        <w:rPr>
          <w:rFonts w:hint="eastAsia"/>
          <w:lang w:val="en-US" w:eastAsia="zh-CN"/>
        </w:rPr>
        <w:t xml:space="preserve"> </w:t>
      </w:r>
      <w:r>
        <w:t>特征门控调度</w:t>
      </w:r>
    </w:p>
    <w:p w14:paraId="68CAE60C">
      <w:pPr>
        <w:spacing w:before="60" w:after="60" w:line="360" w:lineRule="auto"/>
        <w:ind w:firstLine="480" w:firstLineChars="200"/>
        <w:jc w:val="left"/>
      </w:pPr>
      <w:r>
        <w:t>为控制隐藏分布风险，v195只根据实例本身可计算的统计特征决定是否触发调度。主要特征包括目标跨度比span_ratio、</w:t>
      </w:r>
      <m:oMath>
        <m:d>
          <m:dPr>
            <m:begChr m:val="|"/>
            <m:sepChr m:val=""/>
            <m:endChr m:val="|"/>
          </m:dPr>
          <m:e>
            <m:r>
              <m:rPr/>
              <m:t>h</m:t>
            </m:r>
          </m:e>
        </m:d>
      </m:oMath>
      <w:r>
        <w:t>和</w:t>
      </w:r>
      <m:oMath>
        <m:d>
          <m:dPr>
            <m:begChr m:val="|"/>
            <m:sepChr m:val=""/>
            <m:endChr m:val="|"/>
          </m:dPr>
          <m:e>
            <m:r>
              <m:rPr/>
              <m:t>J</m:t>
            </m:r>
          </m:e>
        </m:d>
      </m:oMath>
      <w:r>
        <w:t>的均值、目标系数相关性的绝对均值与有符号均值、以及</w:t>
      </w:r>
      <m:oMath>
        <m:r>
          <m:rPr/>
          <m:t>h</m:t>
        </m:r>
      </m:oMath>
      <w:r>
        <w:t>/</w:t>
      </w:r>
      <m:oMath>
        <m:r>
          <m:rPr/>
          <m:t>J</m:t>
        </m:r>
      </m:oMath>
      <w:r>
        <w:t>的尾部强度。门控影响的参数包括：</w:t>
      </w:r>
    </w:p>
    <w:p w14:paraId="57161A4C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warm_c_eff：warm-state混合强度；</w:t>
      </w:r>
    </w:p>
    <w:p w14:paraId="29063948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beta_scale_init_eff、gamma_scale_init_eff：首轮迁移角度缩放；</w:t>
      </w:r>
    </w:p>
    <w:p w14:paraId="043B58F5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shots schedule与是否启用第四轮；</w:t>
      </w:r>
    </w:p>
    <w:p w14:paraId="365BCB9D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tailboost槽位的非均匀shots；</w:t>
      </w:r>
    </w:p>
    <w:p w14:paraId="304AA3AC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high-span条件下的simplex lattice注入；</w:t>
      </w:r>
    </w:p>
    <w:p w14:paraId="438895F2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</w:pPr>
      <w:r>
        <w:t>negative-correlation/negative-span条件下的少量cold slots。</w:t>
      </w:r>
    </w:p>
    <w:p w14:paraId="5C44623D">
      <w:pPr>
        <w:spacing w:after="0" w:line="360" w:lineRule="auto"/>
        <w:ind w:left="0" w:leftChars="0" w:firstLine="480" w:firstLineChars="200"/>
        <w:jc w:val="left"/>
      </w:pPr>
      <w:r>
        <w:t>每个门控均采用窄阈值，且不依赖公开case编号。图4 与图5 分别展示公开案例的HV增益及baseline/v195的整体对比。</w:t>
      </w:r>
    </w:p>
    <w:p w14:paraId="36693D08">
      <w:pPr>
        <w:spacing w:after="0" w:line="360" w:lineRule="auto"/>
        <w:ind w:left="0" w:leftChars="0" w:firstLine="0" w:firstLineChars="0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5000" cy="2548890"/>
            <wp:effectExtent l="0" t="0" r="0" b="3810"/>
            <wp:docPr id="3" name="图片 3" descr="fig4_public_hv_gain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4_public_hv_gain_ba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C803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 xml:space="preserve">图4 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>公开10个案例的HV增益</w:t>
      </w:r>
    </w:p>
    <w:p w14:paraId="4F013275">
      <w:pPr>
        <w:spacing w:after="0" w:line="360" w:lineRule="auto"/>
        <w:ind w:firstLine="0"/>
        <w:jc w:val="center"/>
      </w:pPr>
      <w:r>
        <w:drawing>
          <wp:inline distT="0" distB="0" distL="114300" distR="114300">
            <wp:extent cx="5701665" cy="2936240"/>
            <wp:effectExtent l="0" t="0" r="635" b="10160"/>
            <wp:docPr id="49" name="Picture" descr="图 5 公开 10 个案例 baseline 与 v195 的 HV 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图 5 公开 10 个案例 baseline 与 v195 的 HV 对比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93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60ED1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图5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 xml:space="preserve"> 公开10个案例baseline与v195的HV对比</w:t>
      </w:r>
    </w:p>
    <w:bookmarkEnd w:id="17"/>
    <w:p w14:paraId="3BC47994">
      <w:pPr>
        <w:pStyle w:val="36"/>
        <w:jc w:val="left"/>
      </w:pPr>
      <w:bookmarkStart w:id="18" w:name="main2-等价前沿加速"/>
      <w:r>
        <w:t>3.6</w:t>
      </w:r>
      <w:r>
        <w:rPr>
          <w:rFonts w:hint="eastAsia"/>
          <w:lang w:val="en-US" w:eastAsia="zh-CN"/>
        </w:rPr>
        <w:t xml:space="preserve">  </w:t>
      </w:r>
      <w:r>
        <w:t>main2等价前沿加速</w:t>
      </w:r>
    </w:p>
    <w:p w14:paraId="30FC02E8">
      <w:pPr>
        <w:spacing w:after="0" w:line="360" w:lineRule="auto"/>
        <w:ind w:left="0" w:leftChars="0" w:firstLine="480" w:firstLineChars="200"/>
        <w:jc w:val="left"/>
      </w:pPr>
      <w:r>
        <w:t>main2()的原则是先保证结果等价，再优化中间计算。实现使用int8保存自旋，利用向量化pair项计算能量，并以float32原始能量进行中间候选预筛；最终对候选池重新使用float64精确计算、归一化、去重、非支配筛选、排序并计算HV。该设计避免把近似误差带入最终返回结果，同时减少中间候选数量与内存访问。</w:t>
      </w:r>
    </w:p>
    <w:p w14:paraId="01388E94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bCs/>
          <w:sz w:val="21"/>
        </w:rPr>
        <w:t>表2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bCs/>
          <w:sz w:val="21"/>
        </w:rPr>
        <w:t xml:space="preserve"> 论文方法与关键代码模块映射</w:t>
      </w:r>
    </w:p>
    <w:tbl>
      <w:tblPr>
        <w:tblStyle w:val="13"/>
        <w:tblW w:w="8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3113"/>
        <w:gridCol w:w="3175"/>
      </w:tblGrid>
      <w:tr w14:paraId="34A0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89B0C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模块/函数</w:t>
            </w:r>
          </w:p>
        </w:tc>
        <w:tc>
          <w:tcPr>
            <w:tcW w:w="31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BB239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作用</w:t>
            </w:r>
          </w:p>
        </w:tc>
        <w:tc>
          <w:tcPr>
            <w:tcW w:w="31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B1309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论文对应内容</w:t>
            </w:r>
          </w:p>
        </w:tc>
      </w:tr>
      <w:tr w14:paraId="0F0C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3BEC9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main1</w:t>
            </w:r>
          </w:p>
        </w:tc>
        <w:tc>
          <w:tcPr>
            <w:tcW w:w="31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67934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固定预算小规模量子采样入口</w:t>
            </w:r>
          </w:p>
        </w:tc>
        <w:tc>
          <w:tcPr>
            <w:tcW w:w="31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E0EB8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多轮特征门控Warm-start QAOA</w:t>
            </w:r>
          </w:p>
        </w:tc>
      </w:tr>
      <w:tr w14:paraId="07FC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90146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_select_projected_diverse_pool_ids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3156D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投影Ising空间最远点权重选择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17357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Hamiltonian方向多样性</w:t>
            </w:r>
          </w:p>
        </w:tc>
      </w:tr>
      <w:tr w14:paraId="14D2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92CAA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_simplex_lattice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D7F64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生成结构化lattice权重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6C8FC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high-span/neg-span补充</w:t>
            </w:r>
          </w:p>
        </w:tc>
      </w:tr>
      <w:tr w14:paraId="4DCD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4D6B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_select_frontier_seeds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324A9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非支配前沿精英种子选择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15A49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锚点、拥挤距离、lambda cap</w:t>
            </w:r>
          </w:p>
        </w:tc>
      </w:tr>
      <w:tr w14:paraId="0177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38731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_sample_unique_spins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EF925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调用量子模拟器并统计样本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14AD2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确保样本来自量子线路</w:t>
            </w:r>
          </w:p>
        </w:tc>
      </w:tr>
      <w:tr w14:paraId="7552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E2B04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_fast_random_frontier_hv</w:t>
            </w:r>
          </w:p>
        </w:tc>
        <w:tc>
          <w:tcPr>
            <w:tcW w:w="31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48221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大规模前沿维护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8D390">
            <w:pPr>
              <w:spacing w:before="0" w:after="0" w:line="36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预筛与float64精算</w:t>
            </w:r>
          </w:p>
        </w:tc>
      </w:tr>
      <w:bookmarkEnd w:id="10"/>
      <w:bookmarkEnd w:id="18"/>
    </w:tbl>
    <w:p w14:paraId="49514376">
      <w:pPr>
        <w:pStyle w:val="35"/>
        <w:jc w:val="left"/>
      </w:pPr>
      <w:bookmarkStart w:id="19" w:name="结果与分析"/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t>结果与分析</w:t>
      </w:r>
    </w:p>
    <w:p w14:paraId="22626EB8">
      <w:pPr>
        <w:pStyle w:val="36"/>
        <w:jc w:val="left"/>
      </w:pPr>
      <w:bookmarkStart w:id="20" w:name="实验设置"/>
      <w:r>
        <w:t xml:space="preserve">4.1 </w:t>
      </w:r>
      <w:r>
        <w:rPr>
          <w:rFonts w:hint="eastAsia"/>
          <w:lang w:val="en-US" w:eastAsia="zh-CN"/>
        </w:rPr>
        <w:t xml:space="preserve"> </w:t>
      </w:r>
      <w:r>
        <w:t>实验设置</w:t>
      </w:r>
    </w:p>
    <w:p w14:paraId="1CEA7DDC">
      <w:pPr>
        <w:spacing w:before="60" w:after="60" w:line="360" w:lineRule="auto"/>
        <w:ind w:firstLine="480" w:firstLineChars="200"/>
        <w:jc w:val="left"/>
      </w:pPr>
      <w:r>
        <w:t>公</w:t>
      </w:r>
      <w:r>
        <w:rPr>
          <w:i w:val="0"/>
          <w:iCs w:val="0"/>
        </w:rPr>
        <w:t>开小规模实验覆盖k5_grid4x5_00至k5_grid4x5_09共10个案例，均使用官方精确上下界和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Times New Roman" w:hAnsi="Times New Roman"/>
          </w:rPr>
          <m:t>r</m:t>
        </m:r>
        <m:r>
          <m:rPr>
            <m:sty m:val="p"/>
          </m:rPr>
          <w:rPr>
            <w:rFonts w:ascii="Times New Roman" w:hAnsi="Times New Roman"/>
          </w:rPr>
          <m:t>=1.01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 xml:space="preserve"> </m:t>
        </m:r>
      </m:oMath>
      <w:r>
        <w:rPr>
          <w:i w:val="0"/>
          <w:iCs w:val="0"/>
        </w:rPr>
        <w:t>计算HV。所有案例的sample_used均为</w:t>
      </w:r>
      <m:oMath>
        <m:r>
          <m:rPr>
            <m:sty m:val="p"/>
          </m:rPr>
          <w:rPr>
            <w:rFonts w:ascii="Times New Roman" w:hAnsi="Times New Roman"/>
          </w:rPr>
          <m:t>100000</m:t>
        </m:r>
      </m:oMath>
      <w:r>
        <w:rPr>
          <w:i w:val="0"/>
          <w:iCs w:val="0"/>
        </w:rPr>
        <w:t>。大规模实验覆盖large_k5_grid40x50_00至09，使用</w:t>
      </w:r>
      <m:oMath>
        <m:r>
          <m:rPr>
            <m:sty m:val="p"/>
          </m:rPr>
          <w:rPr>
            <w:rFonts w:ascii="Times New Roman" w:hAnsi="Times New Roman"/>
          </w:rPr>
          <m:t>200000</m:t>
        </m:r>
      </m:oMath>
      <w:r>
        <w:rPr>
          <w:i w:val="0"/>
          <w:iCs w:val="0"/>
        </w:rPr>
        <w:t>随机样本，并逐项核验HV、前沿数组和非支配点数。表中运行时间为材料包中保留的真实日志结果；因比赛评测环境可能存在负载差异，论文将时间数据用于同环境内相对比较，而不外推到其他硬件。</w:t>
      </w:r>
    </w:p>
    <w:bookmarkEnd w:id="20"/>
    <w:p w14:paraId="30305219">
      <w:pPr>
        <w:pStyle w:val="36"/>
        <w:jc w:val="left"/>
      </w:pPr>
      <w:bookmarkStart w:id="21" w:name="public-10-case-主实验"/>
      <w:r>
        <w:t>4.2</w:t>
      </w:r>
      <w:r>
        <w:rPr>
          <w:rFonts w:hint="eastAsia"/>
          <w:lang w:val="en-US" w:eastAsia="zh-CN"/>
        </w:rPr>
        <w:t xml:space="preserve">  </w:t>
      </w:r>
      <w:r>
        <w:t>public 10 case主实验</w:t>
      </w:r>
    </w:p>
    <w:p w14:paraId="0E236F0F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bCs/>
          <w:sz w:val="21"/>
        </w:rPr>
        <w:t xml:space="preserve">表3 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bCs/>
          <w:sz w:val="21"/>
        </w:rPr>
        <w:t>v195在公开10个小规模案例上的HV结果</w:t>
      </w:r>
    </w:p>
    <w:tbl>
      <w:tblPr>
        <w:tblStyle w:val="13"/>
        <w:tblW w:w="80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570"/>
        <w:gridCol w:w="1520"/>
        <w:gridCol w:w="1470"/>
        <w:gridCol w:w="1370"/>
        <w:gridCol w:w="1161"/>
      </w:tblGrid>
      <w:tr w14:paraId="00FD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C88B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Case</w:t>
            </w:r>
          </w:p>
        </w:tc>
        <w:tc>
          <w:tcPr>
            <w:tcW w:w="1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09C1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m:t>base</m:t>
                    </m: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5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2246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/>
                        <w:color w:val="000000"/>
                        <w:sz w:val="21"/>
                        <w:szCs w:val="21"/>
                      </w:rPr>
                      <m:t>v195</m:t>
                    </m:r>
                    <m:ctrlPr>
                      <w:rPr>
                        <w:rFonts w:ascii="Cambria Math" w:hAnsi="Cambria Math"/>
                        <w:b w:val="0"/>
                        <w:color w:val="00000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43E2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HV Gain</w:t>
            </w:r>
          </w:p>
        </w:tc>
        <w:tc>
          <w:tcPr>
            <w:tcW w:w="13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7B03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Score Case</w:t>
            </w:r>
          </w:p>
        </w:tc>
        <w:tc>
          <w:tcPr>
            <w:tcW w:w="1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0AB9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时间/s</w:t>
            </w:r>
          </w:p>
        </w:tc>
      </w:tr>
      <w:tr w14:paraId="3242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11A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00</w:t>
            </w:r>
          </w:p>
        </w:tc>
        <w:tc>
          <w:tcPr>
            <w:tcW w:w="1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C5F9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0.587556164</w:t>
            </w:r>
          </w:p>
        </w:tc>
        <w:tc>
          <w:tcPr>
            <w:tcW w:w="15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446E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0.592539780</w:t>
            </w:r>
          </w:p>
        </w:tc>
        <w:tc>
          <w:tcPr>
            <w:tcW w:w="14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007A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0.004983616</w:t>
            </w:r>
          </w:p>
        </w:tc>
        <w:tc>
          <w:tcPr>
            <w:tcW w:w="13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19D3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498.362</w:t>
            </w:r>
          </w:p>
        </w:tc>
        <w:tc>
          <w:tcPr>
            <w:tcW w:w="1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1780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169.15</w:t>
            </w:r>
          </w:p>
        </w:tc>
      </w:tr>
      <w:tr w14:paraId="28EE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78D1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01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6F6D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0.485332173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5235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0.486338172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3063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0.001005999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68DF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100.600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B447B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169.28</w:t>
            </w:r>
          </w:p>
        </w:tc>
      </w:tr>
      <w:tr w14:paraId="26B1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D515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02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7CC1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0.634522332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816F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0.636976781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1528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0.002454448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5F1A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245.445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61C0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176.46</w:t>
            </w:r>
          </w:p>
        </w:tc>
      </w:tr>
      <w:tr w14:paraId="0A5F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60EF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03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4A40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0.638963767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1D32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0.642024204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9F97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0.003060437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536C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306.044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8AA2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167.41</w:t>
            </w:r>
          </w:p>
        </w:tc>
      </w:tr>
      <w:tr w14:paraId="0356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CA7E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04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E1DA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0.556404791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9C29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0.559170958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57A4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0.002766167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8960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276.617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8E8C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142.18</w:t>
            </w:r>
          </w:p>
        </w:tc>
      </w:tr>
      <w:tr w14:paraId="74391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D04C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05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65D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0.638246592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C2C0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0.639671048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C263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0.001424456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2C2E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142.446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F836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128.14</w:t>
            </w:r>
          </w:p>
        </w:tc>
      </w:tr>
      <w:tr w14:paraId="494E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0427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06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5162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0.574836031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0FA6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0.577447086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A235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0.002611055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B27F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261.105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D574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162.89</w:t>
            </w:r>
          </w:p>
        </w:tc>
      </w:tr>
      <w:tr w14:paraId="1905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A33F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07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6491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0.685741594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F43F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0.687605632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9859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0.001864038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83EF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186.404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29D7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199.48</w:t>
            </w:r>
          </w:p>
        </w:tc>
      </w:tr>
      <w:tr w14:paraId="6E5B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2435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08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8D28B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0.630828891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12CF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0.631911951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14C0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0.001083060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81B1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108.306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EC3E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200.21</w:t>
            </w:r>
          </w:p>
        </w:tc>
      </w:tr>
      <w:tr w14:paraId="57D9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BFAA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09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0DA4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0.529071466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59D9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0.530919306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2779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0.001847841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DD60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184.784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EFB2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153.41</w:t>
            </w:r>
          </w:p>
        </w:tc>
      </w:tr>
      <w:tr w14:paraId="2E8C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D5CE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1"/>
                <w:szCs w:val="21"/>
              </w:rPr>
              <w:t>平均</w:t>
            </w:r>
          </w:p>
        </w:tc>
        <w:tc>
          <w:tcPr>
            <w:tcW w:w="1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D0D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A5B4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</w:t>
            </w:r>
          </w:p>
        </w:tc>
        <w:tc>
          <w:tcPr>
            <w:tcW w:w="14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7847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1"/>
                <w:szCs w:val="21"/>
              </w:rPr>
              <w:t>0.002310112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57D7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1"/>
                <w:szCs w:val="21"/>
              </w:rPr>
              <w:t>231.011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13A7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1"/>
                <w:szCs w:val="21"/>
              </w:rPr>
              <w:t>166.86</w:t>
            </w:r>
          </w:p>
        </w:tc>
      </w:tr>
    </w:tbl>
    <w:p w14:paraId="5C74065D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10个案例均取得正增益，说明改进并非由少数单例主导。case 00的增益最大，达到</w:t>
      </w:r>
      <m:oMath>
        <m:r>
          <m:rPr>
            <m:sty m:val="p"/>
          </m:rPr>
          <w:rPr>
            <w:rFonts w:ascii="Times New Roman" w:hAnsi="Times New Roman"/>
          </w:rPr>
          <m:t>0.004983616</m:t>
        </m:r>
      </m:oMath>
      <w:r>
        <w:rPr>
          <w:i w:val="0"/>
          <w:iCs w:val="0"/>
        </w:rPr>
        <w:t>；增益较小的case 01、08仍保持非负。平均相对HV提升约为</w:t>
      </w:r>
      <m:oMath>
        <m:r>
          <m:rPr>
            <m:sty m:val="p"/>
          </m:rPr>
          <w:rPr>
            <w:rFonts w:ascii="Times New Roman" w:hAnsi="Times New Roman"/>
          </w:rPr>
          <m:t>0.389%</m:t>
        </m:r>
      </m:oMath>
      <w:r>
        <w:rPr>
          <w:i w:val="0"/>
          <w:iCs w:val="0"/>
        </w:rPr>
        <w:t>。由于五维HV对前沿边界和稀疏区域较敏感，这一幅度对应了稳定的计分提升。</w:t>
      </w:r>
    </w:p>
    <w:p w14:paraId="7A311C5F">
      <w:pPr>
        <w:spacing w:before="0" w:after="0" w:line="360" w:lineRule="auto"/>
        <w:ind w:left="0" w:leftChars="0"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图6 给出case 00的五目标非支配前沿平行坐标视图。与只关注单一低能量点不同，v195的改进主要体现在多目标折中方向的联合覆盖。</w:t>
      </w:r>
    </w:p>
    <w:p w14:paraId="74359337">
      <w:pPr>
        <w:spacing w:after="0" w:line="360" w:lineRule="auto"/>
        <w:ind w:firstLine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3100" cy="3099435"/>
            <wp:effectExtent l="0" t="0" r="0" b="12065"/>
            <wp:docPr id="6" name="图片 6" descr="fig5_frontier_parallel_k5_grid4x5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5_frontier_parallel_k5_grid4x5_0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7D19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图6</w:t>
      </w:r>
      <w:r>
        <w:rPr>
          <w:rFonts w:hint="eastAsia"/>
          <w:b/>
          <w:sz w:val="21"/>
          <w:lang w:val="en-US" w:eastAsia="zh-CN"/>
        </w:rPr>
        <w:t xml:space="preserve">  </w:t>
      </w:r>
      <w:r>
        <w:rPr>
          <w:rFonts w:ascii="Times New Roman" w:hAnsi="Times New Roman" w:eastAsia="宋体"/>
          <w:b/>
          <w:sz w:val="21"/>
        </w:rPr>
        <w:t>case 00五目标前沿平行坐标图</w:t>
      </w:r>
    </w:p>
    <w:bookmarkEnd w:id="21"/>
    <w:p w14:paraId="1B498C7C">
      <w:pPr>
        <w:pStyle w:val="36"/>
        <w:jc w:val="left"/>
      </w:pPr>
      <w:bookmarkStart w:id="22" w:name="多轮反馈贡献"/>
      <w:r>
        <w:t xml:space="preserve">4.3 </w:t>
      </w:r>
      <w:r>
        <w:rPr>
          <w:rFonts w:hint="eastAsia"/>
          <w:lang w:val="en-US" w:eastAsia="zh-CN"/>
        </w:rPr>
        <w:t xml:space="preserve"> </w:t>
      </w:r>
      <w:r>
        <w:t>多轮反馈贡献</w:t>
      </w:r>
    </w:p>
    <w:p w14:paraId="66A387CE">
      <w:pPr>
        <w:spacing w:before="60" w:after="60" w:line="360" w:lineRule="auto"/>
        <w:ind w:firstLine="480" w:firstLineChars="200"/>
        <w:jc w:val="left"/>
      </w:pPr>
      <w:r>
        <w:rPr>
          <w:i w:val="0"/>
          <w:iCs w:val="0"/>
        </w:rPr>
        <w:t>以case 00、04、08为代表，首轮</w:t>
      </w:r>
      <m:oMath>
        <m:r>
          <m:rPr>
            <m:sty m:val="p"/>
          </m:rPr>
          <w:rPr>
            <w:rFonts w:ascii="Times New Roman" w:hAnsi="Times New Roman"/>
          </w:rPr>
          <m:t>65000</m:t>
        </m:r>
      </m:oMath>
      <w:r>
        <w:rPr>
          <w:i w:val="0"/>
          <w:iCs w:val="0"/>
        </w:rPr>
        <w:t xml:space="preserve"> shots已形成主体前沿，后续warm轮继续带来正增益。case 00的计分项由首轮</w:t>
      </w:r>
      <m:oMath>
        <m:r>
          <m:rPr>
            <m:sty m:val="p"/>
          </m:rPr>
          <w:rPr>
            <w:rFonts w:ascii="Times New Roman" w:hAnsi="Times New Roman"/>
          </w:rPr>
          <m:t>483.855</m:t>
        </m:r>
      </m:oMath>
      <w:r>
        <w:rPr>
          <w:i w:val="0"/>
          <w:iCs w:val="0"/>
        </w:rPr>
        <w:t>增至最终</w:t>
      </w:r>
      <m:oMath>
        <m:r>
          <m:rPr>
            <m:sty m:val="p"/>
          </m:rPr>
          <w:rPr>
            <w:rFonts w:ascii="Times New Roman" w:hAnsi="Times New Roman"/>
          </w:rPr>
          <m:t>498.362</m:t>
        </m:r>
      </m:oMath>
      <w:r>
        <w:rPr>
          <w:i w:val="0"/>
          <w:iCs w:val="0"/>
        </w:rPr>
        <w:t>；case 04由</w:t>
      </w:r>
      <m:oMath>
        <m:r>
          <m:rPr>
            <m:sty m:val="p"/>
          </m:rPr>
          <w:rPr>
            <w:rFonts w:ascii="Times New Roman" w:hAnsi="Times New Roman"/>
          </w:rPr>
          <m:t>248.767</m:t>
        </m:r>
      </m:oMath>
      <w:r>
        <w:rPr>
          <w:i w:val="0"/>
          <w:iCs w:val="0"/>
        </w:rPr>
        <w:t>增至</w:t>
      </w:r>
      <m:oMath>
        <m:r>
          <m:rPr>
            <m:sty m:val="p"/>
          </m:rPr>
          <w:rPr>
            <w:rFonts w:ascii="Times New Roman" w:hAnsi="Times New Roman"/>
          </w:rPr>
          <m:t>276.617</m:t>
        </m:r>
      </m:oMath>
      <w:r>
        <w:rPr>
          <w:i w:val="0"/>
          <w:iCs w:val="0"/>
        </w:rPr>
        <w:t>；case 08由</w:t>
      </w:r>
      <m:oMath>
        <m:r>
          <m:rPr>
            <m:sty m:val="p"/>
          </m:rPr>
          <w:rPr>
            <w:rFonts w:ascii="Times New Roman" w:hAnsi="Times New Roman"/>
          </w:rPr>
          <m:t>95.093</m:t>
        </m:r>
      </m:oMath>
      <w:r>
        <w:rPr>
          <w:i w:val="0"/>
          <w:iCs w:val="0"/>
        </w:rPr>
        <w:t>增至</w:t>
      </w:r>
      <m:oMath>
        <m:r>
          <m:rPr>
            <m:sty m:val="p"/>
          </m:rPr>
          <w:rPr>
            <w:rFonts w:ascii="Times New Roman" w:hAnsi="Times New Roman"/>
          </w:rPr>
          <m:t>108.306</m:t>
        </m:r>
      </m:oMath>
      <w:r>
        <w:rPr>
          <w:i w:val="0"/>
          <w:iCs w:val="0"/>
        </w:rPr>
        <w:t>。这表明后续轮并非简单重复首轮，而是在累计前沿指导下持续补充稀疏区域</w:t>
      </w:r>
      <w:r>
        <w:t>。</w:t>
      </w:r>
    </w:p>
    <w:p w14:paraId="2F884FC5">
      <w:pPr>
        <w:spacing w:after="0" w:line="360" w:lineRule="auto"/>
        <w:ind w:firstLine="0"/>
        <w:jc w:val="left"/>
      </w:pPr>
      <w:r>
        <w:drawing>
          <wp:inline distT="0" distB="0" distL="114300" distR="114300">
            <wp:extent cx="5772150" cy="2971800"/>
            <wp:effectExtent l="0" t="0" r="6350" b="0"/>
            <wp:docPr id="60" name="Picture" descr="图 7 main2 等价结果下的运行时间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图 7 main2 等价结果下的运行时间对比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241CB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图7</w:t>
      </w:r>
      <w:r>
        <w:rPr>
          <w:rFonts w:hint="eastAsia"/>
          <w:b/>
          <w:sz w:val="21"/>
          <w:lang w:val="en-US" w:eastAsia="zh-CN"/>
        </w:rPr>
        <w:t xml:space="preserve">  </w:t>
      </w:r>
      <w:r>
        <w:rPr>
          <w:rFonts w:ascii="Times New Roman" w:hAnsi="Times New Roman" w:eastAsia="宋体"/>
          <w:b/>
          <w:sz w:val="21"/>
        </w:rPr>
        <w:t>main2等价结果下的运行时间对比</w:t>
      </w:r>
    </w:p>
    <w:bookmarkEnd w:id="22"/>
    <w:p w14:paraId="380C4BFC">
      <w:pPr>
        <w:pStyle w:val="36"/>
        <w:jc w:val="left"/>
      </w:pPr>
      <w:bookmarkStart w:id="23" w:name="main2-正确性与速度"/>
      <w:r>
        <w:t xml:space="preserve">4.4 </w:t>
      </w:r>
      <w:r>
        <w:rPr>
          <w:rFonts w:hint="eastAsia"/>
          <w:lang w:val="en-US" w:eastAsia="zh-CN"/>
        </w:rPr>
        <w:t xml:space="preserve"> </w:t>
      </w:r>
      <w:r>
        <w:t>main2正确性与速度</w:t>
      </w:r>
    </w:p>
    <w:p w14:paraId="671B7857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bCs/>
          <w:sz w:val="21"/>
        </w:rPr>
        <w:t xml:space="preserve">表4 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bCs/>
          <w:sz w:val="21"/>
        </w:rPr>
        <w:t>main2大规模案例正确性与速度对比</w:t>
      </w:r>
    </w:p>
    <w:tbl>
      <w:tblPr>
        <w:tblStyle w:val="13"/>
        <w:tblW w:w="85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1277"/>
        <w:gridCol w:w="1013"/>
        <w:gridCol w:w="1280"/>
        <w:gridCol w:w="1210"/>
        <w:gridCol w:w="1330"/>
        <w:gridCol w:w="1552"/>
      </w:tblGrid>
      <w:tr w14:paraId="0ED7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F5C9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Case</w:t>
            </w:r>
          </w:p>
        </w:tc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B06A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HV差值</w:t>
            </w:r>
          </w:p>
        </w:tc>
        <w:tc>
          <w:tcPr>
            <w:tcW w:w="10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197E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前沿一致</w:t>
            </w:r>
          </w:p>
        </w:tc>
        <w:tc>
          <w:tcPr>
            <w:tcW w:w="12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FA30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ND数一致</w:t>
            </w:r>
          </w:p>
        </w:tc>
        <w:tc>
          <w:tcPr>
            <w:tcW w:w="12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F87C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Baseline/s</w:t>
            </w:r>
          </w:p>
        </w:tc>
        <w:tc>
          <w:tcPr>
            <w:tcW w:w="13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93BB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Candidate/s</w:t>
            </w:r>
          </w:p>
        </w:tc>
        <w:tc>
          <w:tcPr>
            <w:tcW w:w="155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660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时间降低率</w:t>
            </w:r>
          </w:p>
        </w:tc>
      </w:tr>
      <w:tr w14:paraId="04D3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D803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00</w:t>
            </w:r>
          </w:p>
        </w:tc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2CAF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8DCB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5C20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D018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22.7036</w:t>
            </w:r>
          </w:p>
        </w:tc>
        <w:tc>
          <w:tcPr>
            <w:tcW w:w="13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BD65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20.2642</w:t>
            </w:r>
          </w:p>
        </w:tc>
        <w:tc>
          <w:tcPr>
            <w:tcW w:w="155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E9F8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10.74%</w:t>
            </w:r>
          </w:p>
        </w:tc>
      </w:tr>
      <w:tr w14:paraId="3136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6E9AB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01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494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D40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3A4C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B2D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21.2986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431B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15.7175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C4DD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26.20%</w:t>
            </w:r>
          </w:p>
        </w:tc>
      </w:tr>
      <w:tr w14:paraId="10CE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931D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014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4485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222E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8AFD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27.3619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B8C2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21.5497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00D9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21.24%</w:t>
            </w:r>
          </w:p>
        </w:tc>
      </w:tr>
      <w:tr w14:paraId="6DE0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501C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1AE4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11F9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11D5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B8E6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31.0224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394D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24.3491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E1F4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21.51%</w:t>
            </w:r>
          </w:p>
        </w:tc>
      </w:tr>
      <w:tr w14:paraId="2A7B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2F56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9DF6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1449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02C9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AB4B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30.1573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B558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23.9634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5330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20.54%</w:t>
            </w:r>
          </w:p>
        </w:tc>
      </w:tr>
      <w:tr w14:paraId="7463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6FDC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05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D703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C978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1737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2CD8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30.6224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CA7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24.4658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D7A5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20.10%</w:t>
            </w:r>
          </w:p>
        </w:tc>
      </w:tr>
      <w:tr w14:paraId="72E2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5DB9B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1D4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2551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D772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AB0D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28.1052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CCAA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21.2103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AA5E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24.53%</w:t>
            </w:r>
          </w:p>
        </w:tc>
      </w:tr>
      <w:tr w14:paraId="6A6D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B64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07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48CE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DFC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3F574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17FA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25.2221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DD24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21.0917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7A12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16.38%</w:t>
            </w:r>
          </w:p>
        </w:tc>
      </w:tr>
      <w:tr w14:paraId="305F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2EE1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D479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7F1D8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8CF6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6FE8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31.2813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BA9F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24.6474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8435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21.21%</w:t>
            </w:r>
          </w:p>
        </w:tc>
      </w:tr>
      <w:tr w14:paraId="5920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5294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09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0E25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/>
                    <w:color w:val="000000"/>
                    <w:sz w:val="21"/>
                    <w:szCs w:val="21"/>
                  </w:rPr>
                  <m:t>0</m:t>
                </m:r>
              </m:oMath>
            </m:oMathPara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3235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BF6D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810F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23.7583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E0F0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18.1479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126A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color w:val="000000"/>
                <w:sz w:val="21"/>
                <w:szCs w:val="21"/>
              </w:rPr>
              <w:t>23.61%</w:t>
            </w:r>
          </w:p>
        </w:tc>
      </w:tr>
      <w:tr w14:paraId="5EAA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3873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平均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8D47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889A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B2BB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D25C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27.1533</w:t>
            </w:r>
          </w:p>
        </w:tc>
        <w:tc>
          <w:tcPr>
            <w:tcW w:w="13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B821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21.5407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4F93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i w:val="0"/>
                <w:i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bCs/>
                <w:i w:val="0"/>
                <w:iCs w:val="0"/>
                <w:color w:val="000000"/>
                <w:sz w:val="21"/>
                <w:szCs w:val="21"/>
              </w:rPr>
              <w:t>20.67%</w:t>
            </w:r>
          </w:p>
        </w:tc>
      </w:tr>
    </w:tbl>
    <w:p w14:paraId="763F8E1F">
      <w:pPr>
        <w:spacing w:before="60" w:after="60" w:line="360" w:lineRule="auto"/>
        <w:ind w:firstLine="480" w:firstLineChars="200"/>
        <w:jc w:val="left"/>
        <w:rPr>
          <w:i w:val="0"/>
          <w:iCs w:val="0"/>
        </w:rPr>
      </w:pPr>
      <w:r>
        <w:rPr>
          <w:i w:val="0"/>
          <w:iCs w:val="0"/>
        </w:rPr>
        <w:t>全部案例的HV绝对差为零，前沿和非支配点数均通过一致性检查；候选实现平均运行时间由</w:t>
      </w:r>
      <m:oMath>
        <m:r>
          <m:rPr>
            <m:sty m:val="p"/>
          </m:rPr>
          <w:rPr>
            <w:rFonts w:ascii="Times New Roman" w:hAnsi="Times New Roman"/>
          </w:rPr>
          <m:t>27.1533</m:t>
        </m:r>
      </m:oMath>
      <w:r>
        <w:rPr>
          <w:rFonts w:hint="eastAsia" w:hAnsi="Times New Roman"/>
          <w:i w:val="0"/>
          <w:iCs w:val="0"/>
          <w:lang w:val="en-US" w:eastAsia="zh-CN"/>
        </w:rPr>
        <w:t xml:space="preserve"> </w:t>
      </w:r>
      <w:r>
        <w:rPr>
          <w:i w:val="0"/>
          <w:iCs w:val="0"/>
        </w:rPr>
        <w:t>s降至</w:t>
      </w:r>
      <m:oMath>
        <m:r>
          <m:rPr>
            <m:sty m:val="p"/>
          </m:rPr>
          <w:rPr>
            <w:rFonts w:ascii="Times New Roman" w:hAnsi="Times New Roman"/>
          </w:rPr>
          <m:t>21.5407</m:t>
        </m:r>
      </m:oMath>
      <w:r>
        <w:rPr>
          <w:i w:val="0"/>
          <w:iCs w:val="0"/>
        </w:rPr>
        <w:t xml:space="preserve"> s，等价于约</w:t>
      </w:r>
      <m:oMath>
        <m:r>
          <m:rPr>
            <m:sty m:val="p"/>
          </m:rPr>
          <w:rPr>
            <w:rFonts w:ascii="Times New Roman" w:hAnsi="Times New Roman"/>
          </w:rPr>
          <m:t>1.26×</m:t>
        </m:r>
      </m:oMath>
      <w:r>
        <w:rPr>
          <w:i w:val="0"/>
          <w:iCs w:val="0"/>
        </w:rPr>
        <w:t>的整体加速。该结果支持“先预筛、后精算”的保守实现策略。</w:t>
      </w:r>
    </w:p>
    <w:bookmarkEnd w:id="23"/>
    <w:p w14:paraId="5654BB32">
      <w:pPr>
        <w:pStyle w:val="36"/>
        <w:jc w:val="left"/>
      </w:pPr>
      <w:bookmarkStart w:id="24" w:name="消融实验"/>
      <w:r>
        <w:t xml:space="preserve">4.5 </w:t>
      </w:r>
      <w:r>
        <w:rPr>
          <w:rFonts w:hint="eastAsia"/>
          <w:lang w:val="en-US" w:eastAsia="zh-CN"/>
        </w:rPr>
        <w:t xml:space="preserve"> </w:t>
      </w:r>
      <w:r>
        <w:t>消融实验</w:t>
      </w:r>
    </w:p>
    <w:p w14:paraId="42A3020C">
      <w:pPr>
        <w:spacing w:after="0" w:line="360" w:lineRule="auto"/>
        <w:ind w:left="0" w:leftChars="0" w:firstLine="480" w:firstLineChars="200"/>
        <w:jc w:val="left"/>
      </w:pPr>
      <w:r>
        <w:t>为区分主要模块的作用，材料包在public前3个案例以及扩展的前5个案例上进行了真实消融。前3个案例结果如表5。</w:t>
      </w:r>
    </w:p>
    <w:p w14:paraId="04D3F515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bCs/>
          <w:sz w:val="21"/>
        </w:rPr>
        <w:t xml:space="preserve">表5 </w:t>
      </w:r>
      <w:r>
        <w:rPr>
          <w:rFonts w:hint="eastAsia"/>
          <w:b/>
          <w:bCs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bCs/>
          <w:sz w:val="21"/>
        </w:rPr>
        <w:t>public前3个案例的消融结果</w:t>
      </w:r>
    </w:p>
    <w:tbl>
      <w:tblPr>
        <w:tblStyle w:val="13"/>
        <w:tblW w:w="87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1939"/>
        <w:gridCol w:w="1641"/>
        <w:gridCol w:w="1967"/>
      </w:tblGrid>
      <w:tr w14:paraId="40DF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8331B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方案</w:t>
            </w:r>
          </w:p>
        </w:tc>
        <w:tc>
          <w:tcPr>
            <w:tcW w:w="19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43B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平均HV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Gain</w:t>
            </w:r>
          </w:p>
        </w:tc>
        <w:tc>
          <w:tcPr>
            <w:tcW w:w="16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9DFF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Score</w:t>
            </w:r>
          </w:p>
        </w:tc>
        <w:tc>
          <w:tcPr>
            <w:tcW w:w="19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00B9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相对完整方案</w:t>
            </w:r>
          </w:p>
        </w:tc>
      </w:tr>
      <w:tr w14:paraId="1322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CD4B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v195 full</w:t>
            </w:r>
          </w:p>
        </w:tc>
        <w:tc>
          <w:tcPr>
            <w:tcW w:w="19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25E67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0.002814688</w:t>
            </w:r>
          </w:p>
        </w:tc>
        <w:tc>
          <w:tcPr>
            <w:tcW w:w="16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3EE0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281.469</w:t>
            </w:r>
          </w:p>
        </w:tc>
        <w:tc>
          <w:tcPr>
            <w:tcW w:w="19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604D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</w:t>
            </w:r>
          </w:p>
        </w:tc>
      </w:tr>
      <w:tr w14:paraId="03AB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41F7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去除结构化锚点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D5BC0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0.002737531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B602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273.753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91EA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-7.716</w:t>
            </w:r>
          </w:p>
        </w:tc>
      </w:tr>
      <w:tr w14:paraId="0E10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447B9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去除投影空间多样性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64FB6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0.002769841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7190A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276.984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C93CC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-4.485</w:t>
            </w:r>
          </w:p>
        </w:tc>
      </w:tr>
      <w:tr w14:paraId="4D26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2B87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去除warm-state反馈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0F22D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0.002794966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1461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279.497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E44C3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-1.972</w:t>
            </w:r>
          </w:p>
        </w:tc>
      </w:tr>
      <w:tr w14:paraId="33BD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6878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使用默认参数/预算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6A9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0.002803648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3C8C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280.365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E9ED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-1.104</w:t>
            </w:r>
          </w:p>
        </w:tc>
      </w:tr>
      <w:tr w14:paraId="1306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2F0B2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去除cold/lattice注入</w:t>
            </w:r>
          </w:p>
        </w:tc>
        <w:tc>
          <w:tcPr>
            <w:tcW w:w="19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7596F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0.002814688</w:t>
            </w:r>
          </w:p>
        </w:tc>
        <w:tc>
          <w:tcPr>
            <w:tcW w:w="16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1EB45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281.469</w:t>
            </w:r>
          </w:p>
        </w:tc>
        <w:tc>
          <w:tcPr>
            <w:tcW w:w="19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67CAE">
            <w:pPr>
              <w:spacing w:before="0" w:after="0" w:line="240" w:lineRule="auto"/>
              <w:ind w:left="0" w:right="0" w:firstLine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  <w:szCs w:val="21"/>
              </w:rPr>
              <w:t>0.000</w:t>
            </w:r>
          </w:p>
        </w:tc>
      </w:tr>
    </w:tbl>
    <w:p w14:paraId="2B8034A6">
      <w:pPr>
        <w:spacing w:after="0" w:line="360" w:lineRule="auto"/>
        <w:jc w:val="left"/>
      </w:pPr>
      <w:r>
        <w:t>结构化锚点的影响最大，表明前沿端点与低阶目标组合的显式覆盖是稳定基础；投影Hamiltonian多样性带来第二大贡献，说明权重空间均匀并不等价于Hamiltonian空间均匀；去除warm-state后性能进一步下降，验证了“已有量子样本反馈到下一轮量子线路”的有效性。cold/lattice在前三个公开案例上未触发或无差异，这与其窄门控定位一致，不能据此推断其对隐藏集的独立贡献。</w:t>
      </w:r>
    </w:p>
    <w:bookmarkEnd w:id="24"/>
    <w:p w14:paraId="47116F39">
      <w:pPr>
        <w:pStyle w:val="36"/>
        <w:jc w:val="left"/>
      </w:pPr>
      <w:bookmarkStart w:id="25" w:name="线上版本选择与风险控制"/>
      <w:r>
        <w:t>4.6</w:t>
      </w:r>
      <w:r>
        <w:rPr>
          <w:rFonts w:hint="eastAsia"/>
          <w:lang w:val="en-US" w:eastAsia="zh-CN"/>
        </w:rPr>
        <w:t xml:space="preserve">  </w:t>
      </w:r>
      <w:r>
        <w:t>线上版本选择与风险控制</w:t>
      </w:r>
    </w:p>
    <w:p w14:paraId="355CB311">
      <w:pPr>
        <w:spacing w:after="0" w:line="360" w:lineRule="auto"/>
        <w:ind w:firstLine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5640" cy="2526665"/>
            <wp:effectExtent l="0" t="0" r="10160" b="635"/>
            <wp:docPr id="9" name="图片 9" descr="fig7_online_score_milest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7_online_score_mileston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533E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>图8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 xml:space="preserve"> 代表性线上提交分数演进</w:t>
      </w:r>
    </w:p>
    <w:p w14:paraId="4879104C">
      <w:pPr>
        <w:spacing w:before="60" w:after="60" w:line="360" w:lineRule="auto"/>
        <w:ind w:firstLine="480" w:firstLineChars="200"/>
        <w:jc w:val="left"/>
      </w:pPr>
      <w:r>
        <w:rPr>
          <w:i w:val="0"/>
          <w:iCs w:val="0"/>
        </w:rPr>
        <w:t>最终版本v195的线上分数为</w:t>
      </w:r>
      <m:oMath>
        <m:r>
          <m:rPr>
            <m:sty m:val="p"/>
          </m:rPr>
          <w:rPr>
            <w:rFonts w:ascii="Times New Roman" w:hAnsi="Times New Roman"/>
          </w:rPr>
          <m:t>206.70306</m:t>
        </m:r>
      </m:oMath>
      <w:r>
        <w:rPr>
          <w:i w:val="0"/>
          <w:iCs w:val="0"/>
        </w:rPr>
        <w:t>，高于相邻强版本v194（</w:t>
      </w:r>
      <m:oMath>
        <m:r>
          <m:rPr>
            <m:sty m:val="p"/>
          </m:rPr>
          <w:rPr>
            <w:rFonts w:ascii="Times New Roman" w:hAnsi="Times New Roman"/>
          </w:rPr>
          <m:t>206.68744</m:t>
        </m:r>
      </m:oMath>
      <w:r>
        <w:rPr>
          <w:i w:val="0"/>
          <w:iCs w:val="0"/>
        </w:rPr>
        <w:t>）和v211（</w:t>
      </w:r>
      <m:oMath>
        <m:r>
          <m:rPr>
            <m:sty m:val="p"/>
          </m:rPr>
          <w:rPr>
            <w:rFonts w:ascii="Times New Roman" w:hAnsi="Times New Roman"/>
          </w:rPr>
          <m:t>206.68716</m:t>
        </m:r>
      </m:oMath>
      <w:r>
        <w:rPr>
          <w:i w:val="0"/>
          <w:iCs w:val="0"/>
        </w:rPr>
        <w:t>）。与此同时，v264和v270尽管在部分本地压力样本上表现突出，线上分别退化至</w:t>
      </w:r>
      <m:oMath>
        <m:r>
          <m:rPr>
            <m:sty m:val="p"/>
          </m:rPr>
          <w:rPr>
            <w:rFonts w:ascii="Times New Roman" w:hAnsi="Times New Roman"/>
          </w:rPr>
          <m:t>204.99565</m:t>
        </m:r>
      </m:oMath>
      <w:r>
        <w:rPr>
          <w:i w:val="0"/>
          <w:iCs w:val="0"/>
        </w:rPr>
        <w:t>与</w:t>
      </w:r>
      <m:oMath>
        <m:r>
          <m:rPr>
            <m:sty m:val="p"/>
          </m:rPr>
          <w:rPr>
            <w:rFonts w:ascii="Times New Roman" w:hAnsi="Times New Roman"/>
          </w:rPr>
          <m:t>204.80509</m:t>
        </m:r>
      </m:oMath>
      <w:r>
        <w:rPr>
          <w:i w:val="0"/>
          <w:iCs w:val="0"/>
        </w:rPr>
        <w:t>。最终选型不是追求最多模块叠加，而是选择线上最强、公开集全正、main2等价且触发逻辑可解释的版本。</w:t>
      </w:r>
    </w:p>
    <w:p w14:paraId="5D3B145A">
      <w:pPr>
        <w:spacing w:after="0" w:line="360" w:lineRule="auto"/>
        <w:ind w:firstLine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56910" cy="3936365"/>
            <wp:effectExtent l="0" t="0" r="8890" b="635"/>
            <wp:docPr id="8" name="图片 8" descr="fig8_feature_gate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8_feature_gate_heatmap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D704">
      <w:pPr>
        <w:spacing w:before="40" w:after="40" w:line="320" w:lineRule="exact"/>
        <w:ind w:firstLine="0"/>
        <w:jc w:val="center"/>
      </w:pPr>
      <w:r>
        <w:rPr>
          <w:rFonts w:ascii="Times New Roman" w:hAnsi="Times New Roman" w:eastAsia="宋体"/>
          <w:b/>
          <w:sz w:val="21"/>
        </w:rPr>
        <w:t xml:space="preserve">图9 </w:t>
      </w:r>
      <w:r>
        <w:rPr>
          <w:rFonts w:hint="eastAsia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b/>
          <w:sz w:val="21"/>
        </w:rPr>
        <w:t>特征门控在不同公开案例上的触发概览</w:t>
      </w:r>
    </w:p>
    <w:p w14:paraId="4E491CD6">
      <w:pPr>
        <w:spacing w:before="0" w:after="0" w:line="360" w:lineRule="auto"/>
        <w:ind w:left="0" w:leftChars="0" w:firstLine="480" w:firstLineChars="200"/>
        <w:jc w:val="left"/>
      </w:pPr>
      <w:r>
        <w:rPr>
          <w:rFonts w:ascii="Times New Roman" w:hAnsi="Times New Roman" w:eastAsia="宋体"/>
          <w:b w:val="0"/>
          <w:sz w:val="24"/>
        </w:rPr>
        <w:t>图9 仅用于说明门控由可计算特征决定，不代表隐藏集上无过拟合。隐藏测试仅返回线上总分，因此本文不报告任何不可核验的hidden分case结果。</w:t>
      </w:r>
    </w:p>
    <w:bookmarkEnd w:id="19"/>
    <w:bookmarkEnd w:id="25"/>
    <w:p w14:paraId="68C70603">
      <w:pPr>
        <w:pStyle w:val="35"/>
        <w:jc w:val="left"/>
      </w:pPr>
      <w:bookmarkStart w:id="26" w:name="创新点总结"/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t>创新点总结</w:t>
      </w:r>
    </w:p>
    <w:p w14:paraId="2A5713F9">
      <w:pPr>
        <w:numPr>
          <w:ilvl w:val="0"/>
          <w:numId w:val="0"/>
        </w:numPr>
        <w:spacing w:after="0" w:line="360" w:lineRule="auto"/>
        <w:ind w:firstLine="482" w:firstLineChars="200"/>
        <w:jc w:val="left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面向HV的结构化权重覆盖与投影Hamiltonian多样性联合设计。</w:t>
      </w:r>
      <w:r>
        <w:t>方法同时保留单目标与低阶目标组合锚点，并在实际投影Ising系数空间补足最远点方向，避免只在simplex几何上“看似均匀”。</w:t>
      </w:r>
    </w:p>
    <w:p w14:paraId="037BC82B">
      <w:pPr>
        <w:numPr>
          <w:ilvl w:val="0"/>
          <w:numId w:val="0"/>
        </w:numPr>
        <w:spacing w:after="0" w:line="360" w:lineRule="auto"/>
        <w:ind w:firstLine="482" w:firstLineChars="200"/>
        <w:jc w:val="left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基于累计非支配前沿的精英warm-state反馈。</w:t>
      </w:r>
      <w:r>
        <w:t>后续轮的种子来自前轮真实量子样本，通过目标轴锚点、拥挤距离、lambda cap与距离阈值兼顾收敛性和多样性，在不增加总shots的条件下继续提高前沿质量。</w:t>
      </w:r>
    </w:p>
    <w:p w14:paraId="0AD5FC77">
      <w:pPr>
        <w:numPr>
          <w:ilvl w:val="0"/>
          <w:numId w:val="0"/>
        </w:numPr>
        <w:spacing w:after="0" w:line="360" w:lineRule="auto"/>
        <w:ind w:firstLine="482" w:firstLineChars="200"/>
        <w:jc w:val="left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基于实例统计特征的窄门控调度。</w:t>
      </w:r>
      <w:r>
        <w:t>使用尺度、耦合强度、目标相关性和尾部统计量调度shots、warm强度、角度缩放及少量cold/lattice槽位；门控不依赖公开case编号，并以线上反例约束触发范围。</w:t>
      </w:r>
    </w:p>
    <w:p w14:paraId="66932682">
      <w:pPr>
        <w:numPr>
          <w:ilvl w:val="0"/>
          <w:numId w:val="0"/>
        </w:numPr>
        <w:spacing w:after="0" w:line="360" w:lineRule="auto"/>
        <w:ind w:firstLine="482" w:firstLineChars="200"/>
        <w:jc w:val="left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保持最终前沿严格一致的main2加速。</w:t>
      </w:r>
      <w:r>
        <w:t>通过低精度中间预筛与float64最终精算降低计算开销，在10个large案例上保持HV、前沿和ND数完全一致。</w:t>
      </w:r>
    </w:p>
    <w:p w14:paraId="433DBBB0">
      <w:pPr>
        <w:spacing w:after="0" w:line="360" w:lineRule="auto"/>
        <w:ind w:left="0" w:leftChars="0" w:firstLine="480" w:firstLineChars="200"/>
        <w:jc w:val="left"/>
      </w:pPr>
      <w:r>
        <w:t>总体而言，v195的提升来自多个可追溯、可消融且相互克制的机制，而不是单一参数搜索。其局限在于当前量子部分采用模拟器和迁移角度，隐藏集只能通过总分间接验证；未来工作可研究面向真实量子噪声的鲁棒warm-start、基于在线HV边际贡献的安全预算调度，以及更强的一致性前沿维护算法。</w:t>
      </w:r>
    </w:p>
    <w:bookmarkEnd w:id="26"/>
    <w:p w14:paraId="65247C8D">
      <w:pPr>
        <w:pStyle w:val="35"/>
        <w:jc w:val="left"/>
      </w:pPr>
      <w:bookmarkStart w:id="27" w:name="参考文献"/>
      <w:r>
        <w:t xml:space="preserve">6 </w:t>
      </w:r>
      <w:r>
        <w:rPr>
          <w:rFonts w:hint="eastAsia"/>
          <w:lang w:val="en-US" w:eastAsia="zh-CN"/>
        </w:rPr>
        <w:t xml:space="preserve"> </w:t>
      </w:r>
      <w:r>
        <w:t>参考文献</w:t>
      </w:r>
    </w:p>
    <w:p w14:paraId="2FB173EB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[1] Emmerich M T M, Deutz A H. A tutorial on multiobjective optimization: Fundamentals and evolutionary methods[J]. Natural Computing, 2018, 17: 585-609.</w:t>
      </w:r>
    </w:p>
    <w:p w14:paraId="7D390AB7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[2]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</w:rPr>
        <w:t>Zitzler E, Thiele L. Multiobjective evolutionary algorithms: A comparative case study and the strength Pareto approach[J]. IEEE Transactions on Evolutionary Computation, 1999, 3(4): 257-271.</w:t>
      </w:r>
    </w:p>
    <w:p w14:paraId="44E00642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[3]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</w:rPr>
        <w:t>Lucas A. Ising formulations of many NP problems[J]. Frontiers in Physics, 2014, 2: 5.</w:t>
      </w:r>
    </w:p>
    <w:p w14:paraId="60B929DC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[4] Farhi E, Goldstone J, Gutmann S. A quantum approximate optimization algorithm[EB/OL]. arXiv:1411.4028, 2014.</w:t>
      </w:r>
    </w:p>
    <w:p w14:paraId="4A9413A6">
      <w:pPr>
        <w:spacing w:line="360" w:lineRule="auto"/>
        <w:ind w:left="0" w:firstLine="0"/>
        <w:jc w:val="left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[5] Cerezo M, Arrasmith A, Babbush R, et al. Variational quantum algorithms[J]. Nature Reviews Physics, 2021, 3: 625-644.</w:t>
      </w:r>
    </w:p>
    <w:p w14:paraId="41D2C658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[6]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ascii="Times New Roman" w:hAnsi="Times New Roman" w:eastAsia="宋体"/>
          <w:sz w:val="21"/>
        </w:rPr>
        <w:t>Egger D J, Mareček J, Woerner S. Warm-starting quantum optimization[J]. Quantum, 2021, 5: 479.</w:t>
      </w:r>
    </w:p>
    <w:p w14:paraId="1F2C8DFC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[7] Deb K, Pratap A, Agarwal S, Meyarivan T. A fast and elitist multiobjective genetic algorithm: NSGA-II[J]. IEEE Transactions on Evolutionary Computation, 2002, 6(2): 182-197.</w:t>
      </w:r>
    </w:p>
    <w:p w14:paraId="7F912B97">
      <w:pPr>
        <w:spacing w:line="360" w:lineRule="auto"/>
        <w:ind w:left="0" w:firstLine="0"/>
        <w:jc w:val="left"/>
      </w:pPr>
      <w:r>
        <w:rPr>
          <w:rFonts w:ascii="Times New Roman" w:hAnsi="Times New Roman" w:eastAsia="宋体"/>
          <w:sz w:val="21"/>
        </w:rPr>
        <w:t>[8] MindSpore Quantum SIG. MindSpore Quantum documentation and programming guide[EB/OL].</w:t>
      </w:r>
    </w:p>
    <w:bookmarkEnd w:id="27"/>
    <w:p w14:paraId="78BD35B9">
      <w:pPr>
        <w:pStyle w:val="35"/>
        <w:jc w:val="left"/>
      </w:pPr>
      <w:bookmarkStart w:id="28" w:name="附录-a-复现与提交说明"/>
      <w:r>
        <w:t>附录A 复现</w:t>
      </w:r>
      <w:r>
        <w:rPr>
          <w:rFonts w:hint="eastAsia"/>
          <w:lang w:val="en-US" w:eastAsia="zh-CN"/>
        </w:rPr>
        <w:t>实验</w:t>
      </w:r>
      <w:r>
        <w:t>与</w:t>
      </w:r>
      <w:r>
        <w:rPr>
          <w:rFonts w:hint="eastAsia"/>
          <w:lang w:val="en-US" w:eastAsia="zh-CN"/>
        </w:rPr>
        <w:t>结果</w:t>
      </w:r>
      <w:r>
        <w:t>说明</w:t>
      </w:r>
    </w:p>
    <w:p w14:paraId="34F154BE">
      <w:pPr>
        <w:pStyle w:val="36"/>
        <w:jc w:val="left"/>
        <w:rPr>
          <w:rFonts w:hint="default"/>
          <w:lang w:val="en-US"/>
        </w:rPr>
      </w:pPr>
      <w:bookmarkStart w:id="29" w:name="a.1-文件结构"/>
      <w:r>
        <w:t xml:space="preserve">A.1 </w:t>
      </w:r>
      <w:r>
        <w:rPr>
          <w:rFonts w:hint="eastAsia"/>
          <w:lang w:val="en-US" w:eastAsia="zh-CN"/>
        </w:rPr>
        <w:t xml:space="preserve"> 复现实验环境</w:t>
      </w:r>
    </w:p>
    <w:p w14:paraId="4A8B02E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420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算法按照官方评测环境约束实现，核心量子采样基于MindSpore Quantum 0.12.0[</w:t>
      </w:r>
      <w:r>
        <w:rPr>
          <w:rFonts w:hint="eastAs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]，经典处理依赖NumPy与pygmo。复现时，将answer.py与官方run.py、utils.py、transfer_data.csv置于同一目录；main1保持100000 shots总预算，main2使用200000 shots。</w:t>
      </w:r>
    </w:p>
    <w:bookmarkEnd w:id="29"/>
    <w:p w14:paraId="0518291C">
      <w:pPr>
        <w:pStyle w:val="36"/>
        <w:jc w:val="left"/>
        <w:rPr>
          <w:rFonts w:hint="default"/>
          <w:lang w:val="en-US"/>
        </w:rPr>
      </w:pPr>
      <w:bookmarkStart w:id="30" w:name="a.2-运行要求"/>
      <w:r>
        <w:t xml:space="preserve">A.2 </w:t>
      </w:r>
      <w:r>
        <w:rPr>
          <w:rFonts w:hint="eastAsia"/>
          <w:lang w:val="en-US" w:eastAsia="zh-CN"/>
        </w:rPr>
        <w:t xml:space="preserve"> 复现流程</w:t>
      </w:r>
    </w:p>
    <w:p w14:paraId="529186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42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公开集与完整评测可分别使用下列命令执行。运行结束后核对各测试案例的HV、HV gain、非支配点数量和耗时；main2还应满足前沿一致且HV绝对差为0。</w:t>
      </w:r>
      <w:r>
        <w:t>评测命令为：</w:t>
      </w:r>
    </w:p>
    <w:p w14:paraId="520A5A48">
      <w:pPr>
        <w:pStyle w:val="41"/>
        <w:jc w:val="left"/>
      </w:pPr>
      <w:r>
        <w:rPr>
          <w:rStyle w:val="64"/>
        </w:rPr>
        <w:t>python</w:t>
      </w:r>
      <w:r>
        <w:rPr>
          <w:rStyle w:val="72"/>
        </w:rPr>
        <w:t xml:space="preserve"> run.py </w:t>
      </w:r>
      <w:r>
        <w:rPr>
          <w:rStyle w:val="66"/>
        </w:rPr>
        <w:t>--split</w:t>
      </w:r>
      <w:r>
        <w:rPr>
          <w:rStyle w:val="72"/>
        </w:rPr>
        <w:t xml:space="preserve"> public </w:t>
      </w:r>
      <w:r>
        <w:rPr>
          <w:rStyle w:val="66"/>
        </w:rPr>
        <w:t>--out</w:t>
      </w:r>
      <w:r>
        <w:rPr>
          <w:rStyle w:val="72"/>
        </w:rPr>
        <w:t xml:space="preserve"> results/latest_score_public.json</w:t>
      </w:r>
      <w:r>
        <w:br w:type="textWrapping"/>
      </w:r>
      <w:r>
        <w:rPr>
          <w:rStyle w:val="64"/>
        </w:rPr>
        <w:t>python</w:t>
      </w:r>
      <w:r>
        <w:rPr>
          <w:rStyle w:val="72"/>
        </w:rPr>
        <w:t xml:space="preserve"> run.py </w:t>
      </w:r>
      <w:r>
        <w:rPr>
          <w:rStyle w:val="66"/>
        </w:rPr>
        <w:t>--split</w:t>
      </w:r>
      <w:r>
        <w:rPr>
          <w:rStyle w:val="72"/>
        </w:rPr>
        <w:t xml:space="preserve"> all </w:t>
      </w:r>
      <w:r>
        <w:rPr>
          <w:rStyle w:val="66"/>
        </w:rPr>
        <w:t>--large-shots</w:t>
      </w:r>
      <w:r>
        <w:rPr>
          <w:rStyle w:val="72"/>
        </w:rPr>
        <w:t xml:space="preserve"> 200000 </w:t>
      </w:r>
      <w:r>
        <w:rPr>
          <w:rStyle w:val="66"/>
        </w:rPr>
        <w:t>--out</w:t>
      </w:r>
      <w:r>
        <w:rPr>
          <w:rStyle w:val="72"/>
        </w:rPr>
        <w:t xml:space="preserve"> results/latest_score_all.json</w:t>
      </w:r>
    </w:p>
    <w:bookmarkEnd w:id="30"/>
    <w:p w14:paraId="4F3307AB">
      <w:pPr>
        <w:pStyle w:val="36"/>
        <w:jc w:val="left"/>
        <w:rPr>
          <w:rFonts w:hint="default"/>
          <w:lang w:val="en-US"/>
        </w:rPr>
      </w:pPr>
      <w:bookmarkStart w:id="31" w:name="a.3-事实边界"/>
      <w:r>
        <w:t xml:space="preserve">A.3 </w:t>
      </w:r>
      <w:r>
        <w:rPr>
          <w:rFonts w:hint="eastAsia"/>
          <w:lang w:val="en-US" w:eastAsia="zh-CN"/>
        </w:rPr>
        <w:t xml:space="preserve"> 结果来源与解释口径</w:t>
      </w:r>
    </w:p>
    <w:p w14:paraId="5103B3B8">
      <w:pPr>
        <w:numPr>
          <w:ilvl w:val="0"/>
          <w:numId w:val="4"/>
        </w:numPr>
        <w:spacing w:before="60" w:after="60" w:line="360" w:lineRule="auto"/>
        <w:ind w:left="480" w:leftChars="0" w:firstLine="0" w:firstLineChars="0"/>
        <w:jc w:val="left"/>
        <w:rPr>
          <w:i w:val="0"/>
          <w:iCs/>
        </w:rPr>
      </w:pPr>
      <m:oMath>
        <m:r>
          <m:rPr>
            <m:sty m:val="p"/>
          </m:rPr>
          <w:rPr>
            <w:rFonts w:ascii="Times New Roman" w:hAnsi="Times New Roman"/>
          </w:rPr>
          <m:t>206.70306</m:t>
        </m:r>
      </m:oMath>
      <w:r>
        <w:rPr>
          <w:i w:val="0"/>
          <w:iCs/>
        </w:rPr>
        <w:t>为最终v195的线上</w:t>
      </w:r>
      <w:r>
        <w:rPr>
          <w:rFonts w:hint="eastAsia"/>
          <w:i w:val="0"/>
          <w:iCs/>
          <w:lang w:val="en-US" w:eastAsia="zh-CN"/>
        </w:rPr>
        <w:t>评测</w:t>
      </w:r>
      <w:r>
        <w:rPr>
          <w:i w:val="0"/>
          <w:iCs/>
        </w:rPr>
        <w:t>总分，不等同于本地public分数。</w:t>
      </w:r>
    </w:p>
    <w:p w14:paraId="1EA37291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  <w:rPr>
          <w:i w:val="0"/>
          <w:iCs/>
        </w:rPr>
      </w:pPr>
      <w:r>
        <w:rPr>
          <w:i w:val="0"/>
          <w:iCs/>
        </w:rPr>
        <w:t>本地public 10 case结果来自官方评测辅助代码和保留日志。</w:t>
      </w:r>
    </w:p>
    <w:p w14:paraId="4C45C976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  <w:rPr>
          <w:i w:val="0"/>
          <w:iCs/>
        </w:rPr>
      </w:pPr>
      <w:r>
        <w:rPr>
          <w:i w:val="0"/>
          <w:iCs/>
        </w:rPr>
        <w:t>hidden数据仅有线上总分反馈，本文不声称任何hidden分案例或模块增益。</w:t>
      </w:r>
    </w:p>
    <w:p w14:paraId="05C18829">
      <w:pPr>
        <w:numPr>
          <w:ilvl w:val="0"/>
          <w:numId w:val="4"/>
        </w:numPr>
        <w:spacing w:after="0" w:line="360" w:lineRule="auto"/>
        <w:ind w:left="480" w:leftChars="0" w:firstLine="0" w:firstLineChars="0"/>
        <w:jc w:val="left"/>
        <w:rPr>
          <w:i w:val="0"/>
          <w:iCs/>
        </w:rPr>
      </w:pPr>
      <w:r>
        <w:rPr>
          <w:i w:val="0"/>
          <w:iCs/>
        </w:rPr>
        <w:t>synthetic压力测试</w:t>
      </w:r>
      <w:r>
        <w:rPr>
          <w:rFonts w:hint="eastAsia"/>
          <w:i w:val="0"/>
          <w:iCs/>
          <w:lang w:val="en-US" w:eastAsia="zh-CN"/>
        </w:rPr>
        <w:t>仅</w:t>
      </w:r>
      <w:r>
        <w:rPr>
          <w:i w:val="0"/>
          <w:iCs/>
        </w:rPr>
        <w:t>用于</w:t>
      </w:r>
      <w:r>
        <w:rPr>
          <w:rFonts w:hint="eastAsia"/>
          <w:i w:val="0"/>
          <w:iCs/>
          <w:lang w:val="en-US" w:eastAsia="zh-CN"/>
        </w:rPr>
        <w:t>边界与鲁棒性</w:t>
      </w:r>
      <w:r>
        <w:rPr>
          <w:i w:val="0"/>
          <w:iCs/>
        </w:rPr>
        <w:t>诊断，</w:t>
      </w:r>
      <w:r>
        <w:rPr>
          <w:rFonts w:hint="eastAsia"/>
          <w:i w:val="0"/>
          <w:iCs/>
          <w:lang w:val="en-US" w:eastAsia="zh-CN"/>
        </w:rPr>
        <w:t>不纳入官方性能对比。</w:t>
      </w:r>
    </w:p>
    <w:bookmarkEnd w:id="28"/>
    <w:bookmarkEnd w:id="31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17" w:right="1417" w:bottom="1417" w:left="1417" w:header="709" w:footer="709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48DFC">
    <w:pPr>
      <w:ind w:firstLine="0"/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03396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600C9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ADAE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CC170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480" w:hanging="480"/>
      </w:pPr>
    </w:lvl>
    <w:lvl w:ilvl="1" w:tentative="0">
      <w:start w:val="0"/>
      <w:numFmt w:val="bullet"/>
      <w:lvlText w:val="–"/>
      <w:lvlJc w:val="left"/>
      <w:pPr>
        <w:ind w:left="1200" w:hanging="480"/>
      </w:pPr>
    </w:lvl>
    <w:lvl w:ilvl="2" w:tentative="0">
      <w:start w:val="0"/>
      <w:numFmt w:val="bullet"/>
      <w:lvlText w:val="•"/>
      <w:lvlJc w:val="left"/>
      <w:pPr>
        <w:ind w:left="1920" w:hanging="480"/>
      </w:pPr>
    </w:lvl>
    <w:lvl w:ilvl="3" w:tentative="0">
      <w:start w:val="0"/>
      <w:numFmt w:val="bullet"/>
      <w:lvlText w:val="–"/>
      <w:lvlJc w:val="left"/>
      <w:pPr>
        <w:ind w:left="2640" w:hanging="480"/>
      </w:pPr>
    </w:lvl>
    <w:lvl w:ilvl="4" w:tentative="0">
      <w:start w:val="0"/>
      <w:numFmt w:val="bullet"/>
      <w:lvlText w:val="•"/>
      <w:lvlJc w:val="left"/>
      <w:pPr>
        <w:ind w:left="3360" w:hanging="480"/>
      </w:pPr>
    </w:lvl>
    <w:lvl w:ilvl="5" w:tentative="0">
      <w:start w:val="0"/>
      <w:numFmt w:val="bullet"/>
      <w:lvlText w:val="–"/>
      <w:lvlJc w:val="left"/>
      <w:pPr>
        <w:ind w:left="4080" w:hanging="480"/>
      </w:pPr>
    </w:lvl>
    <w:lvl w:ilvl="6" w:tentative="0">
      <w:start w:val="0"/>
      <w:numFmt w:val="bullet"/>
      <w:lvlText w:val="•"/>
      <w:lvlJc w:val="left"/>
      <w:pPr>
        <w:ind w:left="4800" w:hanging="480"/>
      </w:pPr>
    </w:lvl>
    <w:lvl w:ilvl="7" w:tentative="0">
      <w:start w:val="0"/>
      <w:numFmt w:val="bullet"/>
      <w:lvlText w:val="–"/>
      <w:lvlJc w:val="left"/>
      <w:pPr>
        <w:ind w:left="5520" w:hanging="480"/>
      </w:pPr>
    </w:lvl>
    <w:lvl w:ilvl="8" w:tentative="0">
      <w:start w:val="0"/>
      <w:numFmt w:val="bullet"/>
      <w:lvlText w:val="•"/>
      <w:lvlJc w:val="left"/>
      <w:pPr>
        <w:ind w:left="624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decimal"/>
      <w:lvlText w:val="%2."/>
      <w:lvlJc w:val="left"/>
      <w:pPr>
        <w:ind w:left="1200" w:hanging="480"/>
      </w:pPr>
    </w:lvl>
    <w:lvl w:ilvl="2" w:tentative="0">
      <w:start w:val="1"/>
      <w:numFmt w:val="decimal"/>
      <w:lvlText w:val="%3."/>
      <w:lvlJc w:val="left"/>
      <w:pPr>
        <w:ind w:left="1920" w:hanging="480"/>
      </w:pPr>
    </w:lvl>
    <w:lvl w:ilvl="3" w:tentative="0">
      <w:start w:val="1"/>
      <w:numFmt w:val="decimal"/>
      <w:lvlText w:val="%4."/>
      <w:lvlJc w:val="left"/>
      <w:pPr>
        <w:ind w:left="2640" w:hanging="480"/>
      </w:pPr>
    </w:lvl>
    <w:lvl w:ilvl="4" w:tentative="0">
      <w:start w:val="1"/>
      <w:numFmt w:val="decimal"/>
      <w:lvlText w:val="%5."/>
      <w:lvlJc w:val="left"/>
      <w:pPr>
        <w:ind w:left="3360" w:hanging="480"/>
      </w:pPr>
    </w:lvl>
    <w:lvl w:ilvl="5" w:tentative="0">
      <w:start w:val="1"/>
      <w:numFmt w:val="decimal"/>
      <w:lvlText w:val="%6."/>
      <w:lvlJc w:val="left"/>
      <w:pPr>
        <w:ind w:left="4080" w:hanging="480"/>
      </w:pPr>
    </w:lvl>
    <w:lvl w:ilvl="6" w:tentative="0">
      <w:start w:val="1"/>
      <w:numFmt w:val="decimal"/>
      <w:lvlText w:val="%7."/>
      <w:lvlJc w:val="left"/>
      <w:pPr>
        <w:ind w:left="4800" w:hanging="480"/>
      </w:pPr>
    </w:lvl>
    <w:lvl w:ilvl="7" w:tentative="0">
      <w:start w:val="1"/>
      <w:numFmt w:val="decimal"/>
      <w:lvlText w:val="%8."/>
      <w:lvlJc w:val="left"/>
      <w:pPr>
        <w:ind w:left="5520" w:hanging="480"/>
      </w:pPr>
    </w:lvl>
    <w:lvl w:ilvl="8" w:tentative="0">
      <w:start w:val="1"/>
      <w:numFmt w:val="decimal"/>
      <w:lvlText w:val="%9."/>
      <w:lvlJc w:val="left"/>
      <w:pPr>
        <w:ind w:left="6240" w:hanging="48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21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7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F5"/>
    <w:rsid w:val="00035469"/>
    <w:rsid w:val="00065FF5"/>
    <w:rsid w:val="00067FAB"/>
    <w:rsid w:val="000C2A8F"/>
    <w:rsid w:val="000F3540"/>
    <w:rsid w:val="0011404C"/>
    <w:rsid w:val="0011787A"/>
    <w:rsid w:val="00152B8F"/>
    <w:rsid w:val="00195982"/>
    <w:rsid w:val="00231A7A"/>
    <w:rsid w:val="00273964"/>
    <w:rsid w:val="002D6919"/>
    <w:rsid w:val="003055E4"/>
    <w:rsid w:val="003056AC"/>
    <w:rsid w:val="00307760"/>
    <w:rsid w:val="00322726"/>
    <w:rsid w:val="003228FA"/>
    <w:rsid w:val="003D0463"/>
    <w:rsid w:val="00425F62"/>
    <w:rsid w:val="0049395B"/>
    <w:rsid w:val="00540661"/>
    <w:rsid w:val="00634265"/>
    <w:rsid w:val="00691C81"/>
    <w:rsid w:val="006A399A"/>
    <w:rsid w:val="006A5676"/>
    <w:rsid w:val="006C6667"/>
    <w:rsid w:val="00730D96"/>
    <w:rsid w:val="00737760"/>
    <w:rsid w:val="0075012D"/>
    <w:rsid w:val="00772143"/>
    <w:rsid w:val="00775BB5"/>
    <w:rsid w:val="00780144"/>
    <w:rsid w:val="007D2D27"/>
    <w:rsid w:val="007F4E9C"/>
    <w:rsid w:val="008166F0"/>
    <w:rsid w:val="0082713E"/>
    <w:rsid w:val="00835D7D"/>
    <w:rsid w:val="00920015"/>
    <w:rsid w:val="0098699C"/>
    <w:rsid w:val="00A5329C"/>
    <w:rsid w:val="00A641F4"/>
    <w:rsid w:val="00AD2E8E"/>
    <w:rsid w:val="00AE6538"/>
    <w:rsid w:val="00AF6ED1"/>
    <w:rsid w:val="00BE3A5F"/>
    <w:rsid w:val="00C0221F"/>
    <w:rsid w:val="00C216AC"/>
    <w:rsid w:val="00C53AFA"/>
    <w:rsid w:val="00C612C0"/>
    <w:rsid w:val="00D16C4C"/>
    <w:rsid w:val="00D87114"/>
    <w:rsid w:val="00DE12AC"/>
    <w:rsid w:val="00DE49C5"/>
    <w:rsid w:val="00E038A2"/>
    <w:rsid w:val="00E17962"/>
    <w:rsid w:val="00E37279"/>
    <w:rsid w:val="00E472A7"/>
    <w:rsid w:val="00E71FF7"/>
    <w:rsid w:val="00EC0CF9"/>
    <w:rsid w:val="00EE2438"/>
    <w:rsid w:val="00EE58DB"/>
    <w:rsid w:val="00F00FEF"/>
    <w:rsid w:val="00FB558E"/>
    <w:rsid w:val="00FC5B49"/>
    <w:rsid w:val="00FF77C6"/>
    <w:rsid w:val="0C6E5103"/>
    <w:rsid w:val="351508C3"/>
    <w:rsid w:val="3F523A2E"/>
    <w:rsid w:val="3FB240EC"/>
    <w:rsid w:val="44986F84"/>
    <w:rsid w:val="7AED3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360" w:lineRule="auto"/>
      <w:ind w:firstLine="420"/>
    </w:pPr>
    <w:rPr>
      <w:rFonts w:ascii="Times New Roman" w:hAnsi="Times New Roman" w:eastAsia="宋体" w:cs="Times New Roman"/>
      <w:snapToGrid w:val="0"/>
      <w:sz w:val="24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120" w:after="0" w:line="360" w:lineRule="auto"/>
      <w:ind w:firstLine="0"/>
      <w:jc w:val="left"/>
      <w:outlineLvl w:val="0"/>
    </w:pPr>
    <w:rPr>
      <w:rFonts w:ascii="Arial" w:hAnsi="Arial" w:eastAsia="微软雅黑" w:cs="Times New Roman"/>
      <w:b/>
      <w:sz w:val="28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60" w:after="0" w:line="360" w:lineRule="auto"/>
      <w:ind w:firstLine="0"/>
      <w:jc w:val="both"/>
      <w:outlineLvl w:val="1"/>
    </w:pPr>
    <w:rPr>
      <w:rFonts w:ascii="Arial" w:hAnsi="Arial" w:eastAsia="微软雅黑" w:cs="Times New Roman"/>
      <w:b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60" w:after="0" w:line="360" w:lineRule="auto"/>
      <w:ind w:firstLine="0"/>
      <w:jc w:val="both"/>
      <w:outlineLvl w:val="2"/>
    </w:pPr>
    <w:rPr>
      <w:rFonts w:ascii="Times New Roman" w:hAnsi="Times New Roman" w:eastAsia="宋体"/>
      <w:b/>
      <w:bCs/>
      <w:kern w:val="2"/>
      <w:sz w:val="24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3"/>
    <w:semiHidden/>
    <w:unhideWhenUsed/>
    <w:qFormat/>
    <w:uiPriority w:val="0"/>
  </w:style>
  <w:style w:type="paragraph" w:styleId="6">
    <w:name w:val="Balloon Text"/>
    <w:basedOn w:val="1"/>
    <w:link w:val="30"/>
    <w:qFormat/>
    <w:uiPriority w:val="0"/>
    <w:pPr>
      <w:spacing w:line="240" w:lineRule="auto"/>
    </w:pPr>
    <w:rPr>
      <w:sz w:val="18"/>
      <w:szCs w:val="18"/>
    </w:rPr>
  </w:style>
  <w:style w:type="paragraph" w:styleId="7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8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9">
    <w:name w:val="Normal (Web)"/>
    <w:basedOn w:val="1"/>
    <w:semiHidden/>
    <w:unhideWhenUsed/>
    <w:qFormat/>
    <w:uiPriority w:val="0"/>
    <w:rPr>
      <w:sz w:val="24"/>
    </w:rPr>
  </w:style>
  <w:style w:type="paragraph" w:styleId="10">
    <w:name w:val="Title"/>
    <w:basedOn w:val="1"/>
    <w:next w:val="1"/>
    <w:link w:val="32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annotation subject"/>
    <w:basedOn w:val="5"/>
    <w:next w:val="5"/>
    <w:link w:val="34"/>
    <w:semiHidden/>
    <w:unhideWhenUsed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  <w:bCs/>
    </w:rPr>
  </w:style>
  <w:style w:type="character" w:styleId="16">
    <w:name w:val="annotation reference"/>
    <w:basedOn w:val="14"/>
    <w:semiHidden/>
    <w:unhideWhenUsed/>
    <w:qFormat/>
    <w:uiPriority w:val="0"/>
    <w:rPr>
      <w:sz w:val="21"/>
      <w:szCs w:val="21"/>
    </w:rPr>
  </w:style>
  <w:style w:type="paragraph" w:customStyle="1" w:styleId="17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8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9">
    <w:name w:val="表头文本"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20">
    <w:name w:val="表样式"/>
    <w:basedOn w:val="12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21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2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23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24">
    <w:name w:val="正文（首行不缩进）"/>
    <w:basedOn w:val="1"/>
    <w:qFormat/>
    <w:uiPriority w:val="0"/>
  </w:style>
  <w:style w:type="paragraph" w:customStyle="1" w:styleId="25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26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27">
    <w:name w:val="编写建议"/>
    <w:basedOn w:val="1"/>
    <w:qFormat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28">
    <w:name w:val="样式一"/>
    <w:basedOn w:val="14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29">
    <w:name w:val="样式二"/>
    <w:basedOn w:val="28"/>
    <w:uiPriority w:val="0"/>
    <w:rPr>
      <w:rFonts w:ascii="宋体" w:hAnsi="宋体"/>
      <w:color w:val="000000"/>
      <w:sz w:val="36"/>
    </w:rPr>
  </w:style>
  <w:style w:type="character" w:customStyle="1" w:styleId="30">
    <w:name w:val="批注框文本 字符"/>
    <w:basedOn w:val="14"/>
    <w:link w:val="6"/>
    <w:qFormat/>
    <w:uiPriority w:val="0"/>
    <w:rPr>
      <w:snapToGrid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标题 字符"/>
    <w:basedOn w:val="14"/>
    <w:link w:val="10"/>
    <w:qFormat/>
    <w:uiPriority w:val="0"/>
    <w:rPr>
      <w:rFonts w:asciiTheme="majorHAnsi" w:hAnsiTheme="majorHAnsi" w:eastAsiaTheme="majorEastAsia" w:cstheme="majorBidi"/>
      <w:b/>
      <w:bCs/>
      <w:snapToGrid w:val="0"/>
      <w:sz w:val="32"/>
      <w:szCs w:val="32"/>
    </w:rPr>
  </w:style>
  <w:style w:type="character" w:customStyle="1" w:styleId="33">
    <w:name w:val="批注文字 字符"/>
    <w:basedOn w:val="14"/>
    <w:link w:val="5"/>
    <w:semiHidden/>
    <w:qFormat/>
    <w:uiPriority w:val="0"/>
    <w:rPr>
      <w:snapToGrid w:val="0"/>
      <w:sz w:val="21"/>
      <w:szCs w:val="21"/>
    </w:rPr>
  </w:style>
  <w:style w:type="character" w:customStyle="1" w:styleId="34">
    <w:name w:val="批注主题 字符"/>
    <w:basedOn w:val="33"/>
    <w:link w:val="11"/>
    <w:semiHidden/>
    <w:uiPriority w:val="0"/>
    <w:rPr>
      <w:b/>
      <w:bCs/>
      <w:snapToGrid w:val="0"/>
      <w:sz w:val="21"/>
      <w:szCs w:val="21"/>
    </w:rPr>
  </w:style>
  <w:style w:type="paragraph" w:customStyle="1" w:styleId="35">
    <w:name w:val="一级标题"/>
    <w:basedOn w:val="1"/>
    <w:next w:val="1"/>
    <w:link w:val="37"/>
    <w:qFormat/>
    <w:uiPriority w:val="0"/>
    <w:pPr>
      <w:spacing w:before="120" w:after="0" w:line="360" w:lineRule="auto"/>
      <w:ind w:firstLine="0"/>
      <w:jc w:val="left"/>
      <w:outlineLvl w:val="0"/>
    </w:pPr>
    <w:rPr>
      <w:rFonts w:ascii="Arial" w:hAnsi="Arial" w:eastAsia="微软雅黑"/>
      <w:b/>
      <w:sz w:val="28"/>
    </w:rPr>
  </w:style>
  <w:style w:type="paragraph" w:customStyle="1" w:styleId="36">
    <w:name w:val="二级标题"/>
    <w:basedOn w:val="1"/>
    <w:next w:val="1"/>
    <w:link w:val="39"/>
    <w:qFormat/>
    <w:uiPriority w:val="0"/>
    <w:pPr>
      <w:spacing w:before="60" w:after="0" w:line="360" w:lineRule="auto"/>
      <w:ind w:firstLine="0"/>
      <w:outlineLvl w:val="1"/>
    </w:pPr>
    <w:rPr>
      <w:rFonts w:ascii="Arial" w:hAnsi="Arial" w:eastAsia="微软雅黑"/>
      <w:b/>
      <w:sz w:val="24"/>
    </w:rPr>
  </w:style>
  <w:style w:type="character" w:customStyle="1" w:styleId="37">
    <w:name w:val="一级标题 字符"/>
    <w:basedOn w:val="32"/>
    <w:link w:val="35"/>
    <w:uiPriority w:val="0"/>
    <w:rPr>
      <w:rFonts w:ascii="Arial" w:hAnsi="Arial" w:eastAsia="微软雅黑" w:cstheme="majorBidi"/>
      <w:bCs w:val="0"/>
      <w:snapToGrid w:val="0"/>
      <w:sz w:val="28"/>
      <w:szCs w:val="21"/>
    </w:rPr>
  </w:style>
  <w:style w:type="paragraph" w:customStyle="1" w:styleId="38">
    <w:name w:val="三级标题"/>
    <w:basedOn w:val="1"/>
    <w:next w:val="1"/>
    <w:link w:val="40"/>
    <w:qFormat/>
    <w:uiPriority w:val="0"/>
    <w:pPr>
      <w:spacing w:before="60" w:after="0" w:line="360" w:lineRule="auto"/>
      <w:ind w:firstLine="0"/>
      <w:outlineLvl w:val="2"/>
    </w:pPr>
    <w:rPr>
      <w:rFonts w:ascii="Times New Roman" w:hAnsi="Times New Roman" w:eastAsia="宋体"/>
      <w:b/>
      <w:sz w:val="24"/>
    </w:rPr>
  </w:style>
  <w:style w:type="character" w:customStyle="1" w:styleId="39">
    <w:name w:val="二级标题 字符"/>
    <w:basedOn w:val="14"/>
    <w:link w:val="36"/>
    <w:qFormat/>
    <w:uiPriority w:val="0"/>
    <w:rPr>
      <w:rFonts w:ascii="Arial" w:hAnsi="Arial" w:eastAsia="微软雅黑"/>
      <w:b/>
      <w:snapToGrid w:val="0"/>
      <w:sz w:val="24"/>
      <w:szCs w:val="21"/>
    </w:rPr>
  </w:style>
  <w:style w:type="character" w:customStyle="1" w:styleId="40">
    <w:name w:val="三级标题 字符"/>
    <w:basedOn w:val="14"/>
    <w:link w:val="38"/>
    <w:qFormat/>
    <w:uiPriority w:val="0"/>
    <w:rPr>
      <w:b/>
      <w:snapToGrid w:val="0"/>
      <w:sz w:val="24"/>
      <w:szCs w:val="21"/>
    </w:rPr>
  </w:style>
  <w:style w:type="paragraph" w:customStyle="1" w:styleId="41">
    <w:name w:val="Source Code"/>
    <w:uiPriority w:val="0"/>
    <w:pPr>
      <w:wordWrap w:val="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uiPriority w:val="0"/>
    <w:rPr>
      <w:color w:val="880000"/>
    </w:rPr>
  </w:style>
  <w:style w:type="character" w:customStyle="1" w:styleId="48">
    <w:name w:val="CharTok"/>
    <w:uiPriority w:val="0"/>
    <w:rPr>
      <w:color w:val="4070A0"/>
    </w:rPr>
  </w:style>
  <w:style w:type="character" w:customStyle="1" w:styleId="49">
    <w:name w:val="SpecialCharTok"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uiPriority w:val="0"/>
    <w:rPr>
      <w:b/>
      <w:color w:val="008000"/>
    </w:rPr>
  </w:style>
  <w:style w:type="character" w:customStyle="1" w:styleId="54">
    <w:name w:val="CommentTok"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uiPriority w:val="0"/>
    <w:rPr>
      <w:b/>
      <w:color w:val="007020"/>
    </w:rPr>
  </w:style>
  <w:style w:type="character" w:customStyle="1" w:styleId="62">
    <w:name w:val="OperatorTok"/>
    <w:uiPriority w:val="0"/>
    <w:rPr>
      <w:color w:val="666666"/>
    </w:rPr>
  </w:style>
  <w:style w:type="character" w:customStyle="1" w:styleId="63">
    <w:name w:val="BuiltInTok"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uiPriority w:val="0"/>
    <w:rPr>
      <w:color w:val="BC7A00"/>
    </w:rPr>
  </w:style>
  <w:style w:type="character" w:customStyle="1" w:styleId="66">
    <w:name w:val="AttributeTok"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2458</Words>
  <Characters>3242</Characters>
  <Lines>5</Lines>
  <Paragraphs>1</Paragraphs>
  <TotalTime>11</TotalTime>
  <ScaleCrop>false</ScaleCrop>
  <LinksUpToDate>false</LinksUpToDate>
  <CharactersWithSpaces>3337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2026-07-12T01:44:00Z</dcterms:created>
  <dc:creator>星韧团队</dc:creator>
  <cp:keywords>QAOA, 多目标Ising, HyperVolume, Warm-start, MindSpore Quantum</cp:keywords>
  <cp:lastModifiedBy>Lillian</cp:lastModifiedBy>
  <dcterms:modified xsi:type="dcterms:W3CDTF">2026-07-12T15:59:11Z</dcterms:modified>
  <dc:subject>2026年度CCF量子计算编程挑战赛决赛论文</dc:subject>
  <dc:title>基于特征门控非支配反馈 Warm-start QAOA 的量子多目标 Ising 组合优化方法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eyJoZGlkIjoiZGE0NGJjYTBiMWE2NDlkMjhkMjA2ZDU2MzdjYWM0MjQiLCJ1c2VySWQiOiI0ODgxNjM4NjYifQ==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4ECD40691BBD4DA28EA2EB1859C6FF2B_12</vt:lpwstr>
  </property>
</Properties>
</file>