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10F5" w:rsidP="002510F5" w:rsidRDefault="002510F5" w14:paraId="6DA1D80A" w14:textId="77777777">
      <w:pPr>
        <w:jc w:val="both"/>
        <w:rPr>
          <w:b/>
          <w:bCs/>
        </w:rPr>
      </w:pPr>
      <w:r w:rsidRPr="002510F5">
        <w:rPr>
          <w:b/>
          <w:bCs/>
        </w:rPr>
        <w:t>GALIMYBIŲ STUDIJOS RENGIMO METODIKA</w:t>
      </w:r>
    </w:p>
    <w:p w:rsidRPr="002510F5" w:rsidR="00490FE7" w:rsidP="002510F5" w:rsidRDefault="00490FE7" w14:paraId="418D65C7" w14:textId="3078C87A">
      <w:pPr>
        <w:jc w:val="both"/>
        <w:rPr>
          <w:color w:val="EE0000"/>
        </w:rPr>
      </w:pPr>
      <w:r w:rsidRPr="00490FE7">
        <w:rPr>
          <w:color w:val="EE0000"/>
        </w:rPr>
        <w:t>Darius</w:t>
      </w:r>
    </w:p>
    <w:p w:rsidRPr="002510F5" w:rsidR="002510F5" w:rsidP="002510F5" w:rsidRDefault="002510F5" w14:paraId="74E9E660" w14:textId="77777777">
      <w:pPr>
        <w:jc w:val="both"/>
        <w:rPr>
          <w:b/>
          <w:bCs/>
        </w:rPr>
      </w:pPr>
      <w:r w:rsidRPr="002510F5">
        <w:rPr>
          <w:b/>
          <w:bCs/>
        </w:rPr>
        <w:t>1. Bendras metodologinis požiūris</w:t>
      </w:r>
    </w:p>
    <w:p w:rsidRPr="002510F5" w:rsidR="002510F5" w:rsidP="002510F5" w:rsidRDefault="002510F5" w14:paraId="4C37DCB2" w14:textId="77777777">
      <w:pPr>
        <w:jc w:val="both"/>
      </w:pPr>
      <w:r w:rsidRPr="002510F5">
        <w:t xml:space="preserve">Šios galimybių studijos rengimas grindžiamas sekvenciniu mišrių metodų tyrimo dizainu (angl. </w:t>
      </w:r>
      <w:r w:rsidRPr="002510F5">
        <w:rPr>
          <w:i/>
          <w:iCs/>
        </w:rPr>
        <w:t>sequential mixed-methods design</w:t>
      </w:r>
      <w:r w:rsidRPr="002510F5">
        <w:t>), kuris sistemiškai jungia teorinę-normatyvinę analizę, esamos situacijos auditą ir strateginį scenarijų modeliavimą. Pasirinktas požiūris, remiantis Creswell ir Plano Clark (2017), leidžia integruoti skirtingus duomenų šaltinius per trianguliacijos principą (Noble ir Heale, 2019), užtikrinant, kad techniniai infrastruktūros parametrai būtų vertinami kartu su socialiniais-vadybiniais veiksniais. Tyrimas orientuotas į Lietuvos mokslinių tyrimų duomenų (MTD) ekosistemos parengtumą integracijai į Europos atvirojo mokslo debesiją (EOSC). Kiekvienas tyrimo etapas informuoja sekantįjį: pavyzdžiui, teorinėje analizėje identifikuoti EOSC-IF reikalavimai tampa vertinimo kriterijais empiriniam auditui, o audito rezultatai nurodo kryptis scenarijų modeliavimui.</w:t>
      </w:r>
    </w:p>
    <w:p w:rsidRPr="002510F5" w:rsidR="002510F5" w:rsidP="002510F5" w:rsidRDefault="002510F5" w14:paraId="161A8131" w14:textId="77777777">
      <w:pPr>
        <w:jc w:val="both"/>
        <w:rPr>
          <w:b/>
          <w:bCs/>
        </w:rPr>
      </w:pPr>
      <w:r w:rsidRPr="002510F5">
        <w:rPr>
          <w:b/>
          <w:bCs/>
        </w:rPr>
        <w:t>2. Teorinė-normatyvinė analizė</w:t>
      </w:r>
    </w:p>
    <w:p w:rsidRPr="002510F5" w:rsidR="002510F5" w:rsidP="002510F5" w:rsidRDefault="002510F5" w14:paraId="11DAF731" w14:textId="2E728540">
      <w:pPr>
        <w:jc w:val="both"/>
      </w:pPr>
      <w:r w:rsidRPr="002510F5">
        <w:t>Pirmasis etapas apima sisteminę ne mažiau kaip 30 strateginių dokumentų, teisės aktų ir techninių standartų analizę. Šaltiniai atrenkami tikslingumo principu, siekiant apimti keturias pagrindines dimensijas: (1) ES ir Lietuvos politinę-teisinę aplinką (pvz., EOSC deklaracija, nacionaliniai atvirojo mokslo planai), (2) EOSC technologinę architektūrą ir sąveikumo standartus (EOSC-IF, EOSC), (3) gerosios praktikos pavyzdžius iš kitų ES šalių (Šiaurės šalių, Nyderlandų, Vokietijos nacionaliniai mazgai), (4) duomenų principų – FAIR, CARE, TRUST – praktinį operacionalizavimą.</w:t>
      </w:r>
    </w:p>
    <w:p w:rsidRPr="002510F5" w:rsidR="002510F5" w:rsidP="002510F5" w:rsidRDefault="002510F5" w14:paraId="1849C3BB" w14:textId="3810EF47">
      <w:pPr>
        <w:jc w:val="both"/>
      </w:pPr>
      <w:r w:rsidR="002510F5">
        <w:rPr/>
        <w:t xml:space="preserve">Naudojamas lyginamasis politikos vertinimas (angl. </w:t>
      </w:r>
      <w:r w:rsidRPr="5AEFB326" w:rsidR="002510F5">
        <w:rPr>
          <w:i w:val="1"/>
          <w:iCs w:val="1"/>
        </w:rPr>
        <w:t>comparative</w:t>
      </w:r>
      <w:r w:rsidRPr="5AEFB326" w:rsidR="002510F5">
        <w:rPr>
          <w:i w:val="1"/>
          <w:iCs w:val="1"/>
        </w:rPr>
        <w:t xml:space="preserve"> </w:t>
      </w:r>
      <w:r w:rsidRPr="5AEFB326" w:rsidR="002510F5">
        <w:rPr>
          <w:i w:val="1"/>
          <w:iCs w:val="1"/>
        </w:rPr>
        <w:t>policy</w:t>
      </w:r>
      <w:r w:rsidRPr="5AEFB326" w:rsidR="002510F5">
        <w:rPr>
          <w:i w:val="1"/>
          <w:iCs w:val="1"/>
        </w:rPr>
        <w:t xml:space="preserve"> </w:t>
      </w:r>
      <w:r w:rsidRPr="5AEFB326" w:rsidR="002510F5">
        <w:rPr>
          <w:i w:val="1"/>
          <w:iCs w:val="1"/>
        </w:rPr>
        <w:t>analysis</w:t>
      </w:r>
      <w:r w:rsidR="002510F5">
        <w:rPr/>
        <w:t xml:space="preserve">) Lietuvos reguliacinės aplinkos suderinamumui su ES gairėmis nustatyti. Esminis analitinis rėmas – EOSC sąveikumo </w:t>
      </w:r>
      <w:r w:rsidR="00490FE7">
        <w:rPr/>
        <w:t>sistema</w:t>
      </w:r>
      <w:r w:rsidR="002510F5">
        <w:rPr/>
        <w:t xml:space="preserve"> (angl. </w:t>
      </w:r>
      <w:r w:rsidRPr="5AEFB326" w:rsidR="002510F5">
        <w:rPr>
          <w:i w:val="1"/>
          <w:iCs w:val="1"/>
        </w:rPr>
        <w:t xml:space="preserve">EOSC </w:t>
      </w:r>
      <w:r w:rsidRPr="5AEFB326" w:rsidR="002510F5">
        <w:rPr>
          <w:i w:val="1"/>
          <w:iCs w:val="1"/>
        </w:rPr>
        <w:t>Interoperability</w:t>
      </w:r>
      <w:r w:rsidRPr="5AEFB326" w:rsidR="002510F5">
        <w:rPr>
          <w:i w:val="1"/>
          <w:iCs w:val="1"/>
        </w:rPr>
        <w:t xml:space="preserve"> </w:t>
      </w:r>
      <w:r w:rsidRPr="5AEFB326" w:rsidR="002510F5">
        <w:rPr>
          <w:i w:val="1"/>
          <w:iCs w:val="1"/>
        </w:rPr>
        <w:t>Framework</w:t>
      </w:r>
      <w:r w:rsidR="002510F5">
        <w:rPr/>
        <w:t>), apimant</w:t>
      </w:r>
      <w:r w:rsidR="00490FE7">
        <w:rPr/>
        <w:t>i</w:t>
      </w:r>
      <w:r w:rsidR="002510F5">
        <w:rPr/>
        <w:t xml:space="preserve"> teisinį, organizacinį, semantinį ir technologinį lygmenis (</w:t>
      </w:r>
      <w:r w:rsidR="002510F5">
        <w:rPr/>
        <w:t>European</w:t>
      </w:r>
      <w:r w:rsidR="002510F5">
        <w:rPr/>
        <w:t xml:space="preserve"> </w:t>
      </w:r>
      <w:r w:rsidR="002510F5">
        <w:rPr/>
        <w:t>Commission</w:t>
      </w:r>
      <w:r w:rsidR="002510F5">
        <w:rPr/>
        <w:t>, 2021). FAIR, CARE ir TRUST principai (</w:t>
      </w:r>
      <w:r w:rsidR="002510F5">
        <w:rPr/>
        <w:t>Wilkinson</w:t>
      </w:r>
      <w:r w:rsidR="002510F5">
        <w:rPr/>
        <w:t xml:space="preserve"> et al., 2016; </w:t>
      </w:r>
      <w:r w:rsidR="002510F5">
        <w:rPr/>
        <w:t>Lin</w:t>
      </w:r>
      <w:r w:rsidR="002510F5">
        <w:rPr/>
        <w:t xml:space="preserve"> et al., 2020; </w:t>
      </w:r>
      <w:r w:rsidR="002510F5">
        <w:rPr/>
        <w:t>Carroll</w:t>
      </w:r>
      <w:r w:rsidR="002510F5">
        <w:rPr/>
        <w:t xml:space="preserve"> et al., 2020) </w:t>
      </w:r>
      <w:r w:rsidR="002510F5">
        <w:rPr/>
        <w:t>operacionalizuojami</w:t>
      </w:r>
      <w:r w:rsidR="002510F5">
        <w:rPr/>
        <w:t xml:space="preserve"> kaip vertinimo kriterijai vėlesniam duomenų kokybės auditui – pavyzdžiui, FAIR principas "</w:t>
      </w:r>
      <w:r w:rsidR="002510F5">
        <w:rPr/>
        <w:t>Findable</w:t>
      </w:r>
      <w:r w:rsidR="002510F5">
        <w:rPr/>
        <w:t xml:space="preserve">" konvertuojamas į konkretų klausimą apie </w:t>
      </w:r>
      <w:r w:rsidR="00490FE7">
        <w:rPr/>
        <w:t>stabil</w:t>
      </w:r>
      <w:r w:rsidR="7F1467D5">
        <w:rPr/>
        <w:t>iu</w:t>
      </w:r>
      <w:r w:rsidR="00490FE7">
        <w:rPr/>
        <w:t>s</w:t>
      </w:r>
      <w:r w:rsidR="002510F5">
        <w:rPr/>
        <w:t xml:space="preserve"> identifikatorius (DOI, </w:t>
      </w:r>
      <w:r w:rsidR="002510F5">
        <w:rPr/>
        <w:t>Handle</w:t>
      </w:r>
      <w:r w:rsidR="002510F5">
        <w:rPr/>
        <w:t>).</w:t>
      </w:r>
    </w:p>
    <w:p w:rsidRPr="002510F5" w:rsidR="002510F5" w:rsidP="002510F5" w:rsidRDefault="002510F5" w14:paraId="60E6A7DC" w14:textId="77777777">
      <w:pPr>
        <w:jc w:val="both"/>
        <w:rPr>
          <w:b/>
          <w:bCs/>
        </w:rPr>
      </w:pPr>
      <w:r w:rsidRPr="002510F5">
        <w:rPr>
          <w:b/>
          <w:bCs/>
        </w:rPr>
        <w:t>3. Esamos situacijos auditas</w:t>
      </w:r>
    </w:p>
    <w:p w:rsidRPr="002510F5" w:rsidR="002510F5" w:rsidP="002510F5" w:rsidRDefault="002510F5" w14:paraId="0BC29557" w14:textId="77777777">
      <w:pPr>
        <w:jc w:val="both"/>
      </w:pPr>
      <w:r w:rsidRPr="002510F5">
        <w:t>Empirinė tyrimo dalis struktūruojama į tris tarpusavyje susijusius komponentus:</w:t>
      </w:r>
    </w:p>
    <w:p w:rsidRPr="002510F5" w:rsidR="002510F5" w:rsidP="002510F5" w:rsidRDefault="002510F5" w14:paraId="42E7EC18" w14:textId="770200EA">
      <w:pPr>
        <w:jc w:val="both"/>
        <w:rPr>
          <w:b/>
          <w:bCs/>
        </w:rPr>
      </w:pPr>
      <w:r w:rsidRPr="002510F5">
        <w:rPr>
          <w:b/>
          <w:bCs/>
        </w:rPr>
        <w:t xml:space="preserve">3.1. Duomenų </w:t>
      </w:r>
      <w:r w:rsidR="007626A5">
        <w:rPr>
          <w:b/>
          <w:bCs/>
        </w:rPr>
        <w:t xml:space="preserve">išteklių </w:t>
      </w:r>
      <w:r w:rsidRPr="002510F5">
        <w:rPr>
          <w:b/>
          <w:bCs/>
        </w:rPr>
        <w:t>inventorizacija</w:t>
      </w:r>
    </w:p>
    <w:p w:rsidRPr="002510F5" w:rsidR="002510F5" w:rsidP="002510F5" w:rsidRDefault="002510F5" w14:paraId="5659251E" w14:textId="6C82AF97">
      <w:pPr>
        <w:jc w:val="both"/>
      </w:pPr>
      <w:r w:rsidRPr="002510F5">
        <w:t xml:space="preserve">Taikoma duomenų audito metodika (angl. </w:t>
      </w:r>
      <w:r w:rsidRPr="002510F5">
        <w:rPr>
          <w:i/>
          <w:iCs/>
        </w:rPr>
        <w:t>Data Audit Framework</w:t>
      </w:r>
      <w:r w:rsidRPr="002510F5">
        <w:t xml:space="preserve">), siekiant identifikuoti Lietuvos MSI turimą duomenų </w:t>
      </w:r>
      <w:r w:rsidR="007626A5">
        <w:t>išteklių</w:t>
      </w:r>
      <w:r w:rsidRPr="002510F5">
        <w:t xml:space="preserve"> (angl. </w:t>
      </w:r>
      <w:r w:rsidRPr="002510F5">
        <w:rPr>
          <w:i/>
          <w:iCs/>
        </w:rPr>
        <w:t>data assets</w:t>
      </w:r>
      <w:r w:rsidRPr="002510F5">
        <w:t>). Vertinami trys aspektai:</w:t>
      </w:r>
    </w:p>
    <w:p w:rsidRPr="002510F5" w:rsidR="002510F5" w:rsidP="002510F5" w:rsidRDefault="002510F5" w14:paraId="34F1C5EB" w14:textId="72402A98">
      <w:pPr>
        <w:numPr>
          <w:ilvl w:val="0"/>
          <w:numId w:val="9"/>
        </w:numPr>
        <w:jc w:val="both"/>
        <w:rPr/>
      </w:pPr>
      <w:commentRangeStart w:id="2031246205"/>
      <w:r w:rsidRPr="067A20BB" w:rsidR="470AE082">
        <w:rPr>
          <w:b w:val="1"/>
          <w:bCs w:val="1"/>
        </w:rPr>
        <w:t>Duomenų apimtys</w:t>
      </w:r>
      <w:commentRangeEnd w:id="2031246205"/>
      <w:r>
        <w:rPr>
          <w:rStyle w:val="CommentReference"/>
        </w:rPr>
        <w:commentReference w:id="2031246205"/>
      </w:r>
      <w:r w:rsidRPr="067A20BB" w:rsidR="470AE082">
        <w:rPr>
          <w:b w:val="1"/>
          <w:bCs w:val="1"/>
        </w:rPr>
        <w:t xml:space="preserve"> ir tipologija</w:t>
      </w:r>
      <w:r w:rsidR="470AE082">
        <w:rPr/>
        <w:t xml:space="preserve">: Kiekybiškai įvertinami generuojamų duomenų kiekiai (nuo MB iki PB skalėje) ir jų pobūdis – </w:t>
      </w:r>
      <w:r w:rsidR="692AF83B">
        <w:rPr/>
        <w:t>tekstynai</w:t>
      </w:r>
      <w:r w:rsidR="470AE082">
        <w:rPr/>
        <w:t xml:space="preserve">, </w:t>
      </w:r>
      <w:r w:rsidR="692AF83B">
        <w:rPr/>
        <w:t>garsynai</w:t>
      </w:r>
      <w:r w:rsidR="470AE082">
        <w:rPr/>
        <w:t xml:space="preserve">, jutiklių duomenys, skaitmeniniai </w:t>
      </w:r>
      <w:r w:rsidR="692AF83B">
        <w:rPr/>
        <w:t xml:space="preserve">vaizdų </w:t>
      </w:r>
      <w:r w:rsidR="692AF83B">
        <w:rPr/>
        <w:t>duomenynai</w:t>
      </w:r>
      <w:r w:rsidR="692AF83B">
        <w:rPr/>
        <w:t>, t.t.</w:t>
      </w:r>
      <w:r w:rsidR="470AE082">
        <w:rPr/>
        <w:t xml:space="preserve"> Tai leidžia prognozuoti infrastruktūros poreikius (skaičiavimo resursai, saugyklų talpa).</w:t>
      </w:r>
    </w:p>
    <w:p w:rsidRPr="002510F5" w:rsidR="002510F5" w:rsidP="002510F5" w:rsidRDefault="002510F5" w14:paraId="3A428FEE" w14:textId="25F9E253">
      <w:pPr>
        <w:numPr>
          <w:ilvl w:val="0"/>
          <w:numId w:val="9"/>
        </w:numPr>
        <w:jc w:val="both"/>
      </w:pPr>
      <w:r w:rsidRPr="002510F5">
        <w:rPr>
          <w:b/>
          <w:bCs/>
        </w:rPr>
        <w:t>Formatai ir standartizacija</w:t>
      </w:r>
      <w:r w:rsidRPr="002510F5">
        <w:t xml:space="preserve">: Analizuojamas atvirųjų (pvz., CSV, JSON, HDF5) ir </w:t>
      </w:r>
      <w:r w:rsidR="00156471">
        <w:t>uždarųjų</w:t>
      </w:r>
      <w:r w:rsidRPr="002510F5">
        <w:t xml:space="preserve"> formatų santykis. Remiantis Mons et al. (2017), duomenų mašininis apdorojamumas (angl. </w:t>
      </w:r>
      <w:r w:rsidRPr="002510F5">
        <w:rPr>
          <w:i/>
          <w:iCs/>
        </w:rPr>
        <w:t>machine-actionability</w:t>
      </w:r>
      <w:r w:rsidRPr="002510F5">
        <w:t xml:space="preserve">) – tai gebėjimas automatizuotai skaityti ir interpretuoti duomenis be </w:t>
      </w:r>
      <w:r w:rsidRPr="002510F5">
        <w:lastRenderedPageBreak/>
        <w:t>žmogiškosios intervencijos – yra kritinis EOSC integracijos veiksnys. Todėl vertinama, kiek naudojami formatai atitinka tarptautinius standartus ir ontologijas.</w:t>
      </w:r>
    </w:p>
    <w:p w:rsidRPr="002510F5" w:rsidR="002510F5" w:rsidP="002510F5" w:rsidRDefault="002510F5" w14:paraId="269862D9" w14:textId="0BA58D43">
      <w:pPr>
        <w:numPr>
          <w:ilvl w:val="0"/>
          <w:numId w:val="9"/>
        </w:numPr>
        <w:jc w:val="both"/>
      </w:pPr>
      <w:r w:rsidRPr="002510F5">
        <w:rPr>
          <w:b/>
          <w:bCs/>
        </w:rPr>
        <w:t>Technologinis pasirengimas</w:t>
      </w:r>
      <w:r w:rsidRPr="002510F5">
        <w:t>: Inventorizuojamos MSI saugyklos (repo</w:t>
      </w:r>
      <w:r w:rsidR="00156471">
        <w:t>z</w:t>
      </w:r>
      <w:r w:rsidRPr="002510F5">
        <w:t>itorijos), jų techninės charakteristikos (talpa, prieigos protokolai), API sąsajos ir integracija su tarptautiniais tinklais.</w:t>
      </w:r>
    </w:p>
    <w:p w:rsidRPr="002510F5" w:rsidR="002510F5" w:rsidP="002510F5" w:rsidRDefault="002510F5" w14:paraId="3F14D9F3" w14:textId="77777777">
      <w:pPr>
        <w:jc w:val="both"/>
        <w:rPr>
          <w:b/>
          <w:bCs/>
        </w:rPr>
      </w:pPr>
      <w:r w:rsidRPr="002510F5">
        <w:rPr>
          <w:b/>
          <w:bCs/>
        </w:rPr>
        <w:t>3.2. Valdysenos ir kompetencijų vertinimas</w:t>
      </w:r>
    </w:p>
    <w:p w:rsidRPr="002510F5" w:rsidR="002510F5" w:rsidP="002510F5" w:rsidRDefault="002510F5" w14:paraId="1DFA252F" w14:textId="77777777">
      <w:pPr>
        <w:jc w:val="both"/>
      </w:pPr>
      <w:r w:rsidRPr="002510F5">
        <w:t xml:space="preserve">Ypatingas dėmesys skiriamas "minkštajai" infrastruktūrai – institucinėms taisyklėms ir žmogiškiesiems ištekliams. Tyrimas remiasi mokslo duomenų valdymo brandos modeliu (angl. </w:t>
      </w:r>
      <w:r w:rsidRPr="002510F5">
        <w:rPr>
          <w:i/>
          <w:iCs/>
        </w:rPr>
        <w:t>Research Data Management Maturity Model</w:t>
      </w:r>
      <w:r w:rsidRPr="002510F5">
        <w:t>), vertinant:</w:t>
      </w:r>
    </w:p>
    <w:p w:rsidRPr="002510F5" w:rsidR="002510F5" w:rsidP="002510F5" w:rsidRDefault="002510F5" w14:paraId="207130C0" w14:textId="77777777">
      <w:pPr>
        <w:numPr>
          <w:ilvl w:val="0"/>
          <w:numId w:val="10"/>
        </w:numPr>
        <w:jc w:val="both"/>
      </w:pPr>
      <w:r w:rsidRPr="002510F5">
        <w:rPr>
          <w:b/>
          <w:bCs/>
        </w:rPr>
        <w:t>Duomenų valdysena</w:t>
      </w:r>
      <w:r w:rsidRPr="002510F5">
        <w:t xml:space="preserve"> (angl. </w:t>
      </w:r>
      <w:r w:rsidRPr="002510F5">
        <w:rPr>
          <w:i/>
          <w:iCs/>
        </w:rPr>
        <w:t>Data Governance</w:t>
      </w:r>
      <w:r w:rsidRPr="002510F5">
        <w:t>): Institucinių politikų (duomenų valdymo planai, atvirosios prieigos mandatai), etikos gairių ir praktinio jų taikymo lygis. Vertinama atitiktis OECD (2021) rekomendacijoms dėl prieigos prie viešai finansuojamų tyrimų duomenų.</w:t>
      </w:r>
    </w:p>
    <w:p w:rsidRPr="002510F5" w:rsidR="002510F5" w:rsidP="002510F5" w:rsidRDefault="002510F5" w14:paraId="316803D4" w14:textId="69290C65">
      <w:pPr>
        <w:numPr>
          <w:ilvl w:val="0"/>
          <w:numId w:val="10"/>
        </w:numPr>
        <w:jc w:val="both"/>
      </w:pPr>
      <w:r w:rsidRPr="002510F5">
        <w:rPr>
          <w:b/>
          <w:bCs/>
        </w:rPr>
        <w:t>Kompetencijų žemėlapis</w:t>
      </w:r>
      <w:r w:rsidRPr="002510F5">
        <w:t xml:space="preserve">: Identifikuojamas duomenų vadybininkų (angl. </w:t>
      </w:r>
      <w:r w:rsidRPr="002510F5">
        <w:rPr>
          <w:i/>
          <w:iCs/>
        </w:rPr>
        <w:t>Data Stewards</w:t>
      </w:r>
      <w:r w:rsidRPr="002510F5">
        <w:t>) poreikis bei esamas jų skaičius MSI. Remiantis Wildgaard et al. (2020) kompetencijų rėmais, vertinamas atotrūkis tarp tyrėjų gebėjimų (pvz., gebėjimo parengti duomenų valdymo planus) ir EOSC keliamų standartų. Tai sudaro pagrindą nacionalinės mokymų programos rekomendacijoms.</w:t>
      </w:r>
    </w:p>
    <w:p w:rsidRPr="002510F5" w:rsidR="002510F5" w:rsidP="002510F5" w:rsidRDefault="002510F5" w14:paraId="7E6799D4" w14:textId="77777777">
      <w:pPr>
        <w:jc w:val="both"/>
        <w:rPr>
          <w:b/>
          <w:bCs/>
        </w:rPr>
      </w:pPr>
      <w:r w:rsidRPr="002510F5">
        <w:rPr>
          <w:b/>
          <w:bCs/>
        </w:rPr>
        <w:t>3.3. Kiekybinė apklausa ir kartografavimas</w:t>
      </w:r>
    </w:p>
    <w:p w:rsidRPr="002510F5" w:rsidR="002510F5" w:rsidP="002510F5" w:rsidRDefault="002510F5" w14:paraId="67855499" w14:textId="2242D4AE">
      <w:pPr>
        <w:numPr>
          <w:ilvl w:val="0"/>
          <w:numId w:val="11"/>
        </w:numPr>
        <w:jc w:val="both"/>
      </w:pPr>
      <w:r w:rsidRPr="002510F5">
        <w:rPr>
          <w:b/>
          <w:bCs/>
        </w:rPr>
        <w:t>Apklausa</w:t>
      </w:r>
      <w:r w:rsidRPr="002510F5">
        <w:t xml:space="preserve">: </w:t>
      </w:r>
      <w:r w:rsidRPr="00F50492" w:rsidR="00F50492">
        <w:rPr>
          <w:color w:val="EE0000"/>
        </w:rPr>
        <w:t>[aprašoma kitame poskyryje]</w:t>
      </w:r>
    </w:p>
    <w:p w:rsidRPr="002510F5" w:rsidR="002510F5" w:rsidP="002510F5" w:rsidRDefault="002510F5" w14:paraId="010B51B8" w14:textId="0CA350EE">
      <w:pPr>
        <w:numPr>
          <w:ilvl w:val="0"/>
          <w:numId w:val="11"/>
        </w:numPr>
        <w:jc w:val="both"/>
      </w:pPr>
      <w:r w:rsidRPr="002510F5">
        <w:rPr>
          <w:b/>
          <w:bCs/>
        </w:rPr>
        <w:t>Kokybiniai interviu</w:t>
      </w:r>
      <w:r w:rsidRPr="002510F5">
        <w:t xml:space="preserve">: </w:t>
      </w:r>
      <w:r w:rsidRPr="00F50492" w:rsidR="00F50492">
        <w:rPr>
          <w:color w:val="EE0000"/>
        </w:rPr>
        <w:t>[aprašoma kitame poskyryje]</w:t>
      </w:r>
      <w:r w:rsidRPr="002510F5">
        <w:t>.</w:t>
      </w:r>
    </w:p>
    <w:p w:rsidRPr="002510F5" w:rsidR="002510F5" w:rsidP="002510F5" w:rsidRDefault="002510F5" w14:paraId="2A4AB50B" w14:textId="596CCFC1">
      <w:pPr>
        <w:numPr>
          <w:ilvl w:val="0"/>
          <w:numId w:val="11"/>
        </w:numPr>
        <w:jc w:val="both"/>
        <w:rPr/>
      </w:pPr>
      <w:r w:rsidRPr="7AD325EB" w:rsidR="50F4B13F">
        <w:rPr>
          <w:b w:val="1"/>
          <w:bCs w:val="1"/>
        </w:rPr>
        <w:t>Ekosistemos kartografavimas</w:t>
      </w:r>
      <w:r w:rsidR="50F4B13F">
        <w:rPr/>
        <w:t xml:space="preserve">: </w:t>
      </w:r>
      <w:r w:rsidRPr="7AD325EB" w:rsidR="75628A2D">
        <w:rPr>
          <w:color w:val="EE0000"/>
        </w:rPr>
        <w:t>[aprašoma kitame poskyryje]</w:t>
      </w:r>
      <w:r w:rsidR="50F4B13F">
        <w:rPr/>
        <w:t>.</w:t>
      </w:r>
    </w:p>
    <w:p w:rsidR="191C828A" w:rsidP="7AD325EB" w:rsidRDefault="191C828A" w14:paraId="389A1055" w14:textId="23EECBCA">
      <w:pPr>
        <w:spacing w:before="0" w:beforeAutospacing="off" w:after="160" w:afterAutospacing="off" w:line="257" w:lineRule="auto"/>
        <w:jc w:val="both"/>
      </w:pPr>
      <w:r w:rsidRPr="7AD325EB" w:rsidR="191C828A">
        <w:rPr>
          <w:rFonts w:ascii="Aptos" w:hAnsi="Aptos" w:eastAsia="Aptos" w:cs="Aptos"/>
          <w:b w:val="1"/>
          <w:bCs w:val="1"/>
          <w:noProof w:val="0"/>
          <w:sz w:val="22"/>
          <w:szCs w:val="22"/>
          <w:lang w:val="lt-LT"/>
        </w:rPr>
        <w:t>4. Analitinė sintezė ir strateginis modeliavimas</w:t>
      </w:r>
    </w:p>
    <w:p w:rsidR="191C828A" w:rsidP="7AD325EB" w:rsidRDefault="191C828A" w14:paraId="4EFBAEEB" w14:textId="37C9DA88">
      <w:pPr>
        <w:spacing w:before="0" w:beforeAutospacing="off" w:after="160" w:afterAutospacing="off" w:line="257" w:lineRule="auto"/>
        <w:jc w:val="both"/>
      </w:pPr>
      <w:r w:rsidRPr="7AD325EB" w:rsidR="191C828A">
        <w:rPr>
          <w:rFonts w:ascii="Aptos" w:hAnsi="Aptos" w:eastAsia="Aptos" w:cs="Aptos"/>
          <w:noProof w:val="0"/>
          <w:sz w:val="22"/>
          <w:szCs w:val="22"/>
          <w:lang w:val="lt-LT"/>
        </w:rPr>
        <w:t>Visi empirinio tyrimo metu surinkti duomenys (infrastruktūros apimtys, duomenų formatai, kompetencijų lygis ir valdysenos spragos) apdorojami ir interpretuojami trimis etapais, užtikrinant perėjimą nuo esamos būklės fiksavimo prie strateginių rekomendacijų formavimo:</w:t>
      </w:r>
    </w:p>
    <w:p w:rsidR="191C828A" w:rsidP="7AD325EB" w:rsidRDefault="191C828A" w14:paraId="4CF3C5DA" w14:textId="526399F1">
      <w:pPr>
        <w:spacing w:before="0" w:beforeAutospacing="off" w:after="160" w:afterAutospacing="off" w:line="257" w:lineRule="auto"/>
        <w:jc w:val="both"/>
      </w:pPr>
      <w:r w:rsidRPr="7AD325EB" w:rsidR="191C828A">
        <w:rPr>
          <w:rFonts w:ascii="Aptos" w:hAnsi="Aptos" w:eastAsia="Aptos" w:cs="Aptos"/>
          <w:b w:val="1"/>
          <w:bCs w:val="1"/>
          <w:noProof w:val="0"/>
          <w:sz w:val="22"/>
          <w:szCs w:val="22"/>
          <w:lang w:val="lt-LT"/>
        </w:rPr>
        <w:t>4.1. Duomenų analizė ir sisteminimas.</w:t>
      </w:r>
      <w:r w:rsidRPr="7AD325EB" w:rsidR="191C828A">
        <w:rPr>
          <w:rFonts w:ascii="Aptos" w:hAnsi="Aptos" w:eastAsia="Aptos" w:cs="Aptos"/>
          <w:noProof w:val="0"/>
          <w:sz w:val="22"/>
          <w:szCs w:val="22"/>
          <w:lang w:val="lt-LT"/>
        </w:rPr>
        <w:t xml:space="preserve"> Statistiniai apklausos duomenys apdorojami atliekant aprašomąją statistiką ir lyginamuosius pjūvius pagal institucijų pobūdį, dydį bei mokslo sritis (naudojant SPSS / R programinę įrangą). Kokybinio tyrimo (interviu) duomenys integruojami taikant teminę analizę, kas leidžia interpretuoti statistines tendencijas per institucinės kultūros ir specifinių barjerų prizmę. Rezultatai iliustruojami vaizdinėmis priemonėmis – grafikais, lentelėmis ir ekosistemos ryšių žemėlapiais.</w:t>
      </w:r>
    </w:p>
    <w:p w:rsidR="191C828A" w:rsidP="067A20BB" w:rsidRDefault="191C828A" w14:paraId="76E1090A" w14:textId="774F846F">
      <w:pPr>
        <w:spacing w:before="0" w:beforeAutospacing="off" w:after="160" w:afterAutospacing="off" w:line="257" w:lineRule="auto"/>
        <w:jc w:val="both"/>
        <w:rPr>
          <w:rFonts w:ascii="Aptos" w:hAnsi="Aptos" w:eastAsia="Aptos" w:cs="Aptos"/>
          <w:noProof w:val="0"/>
          <w:sz w:val="22"/>
          <w:szCs w:val="22"/>
          <w:lang w:val="lt-LT"/>
        </w:rPr>
      </w:pPr>
      <w:r w:rsidRPr="067A20BB" w:rsidR="57A9C494">
        <w:rPr>
          <w:rFonts w:ascii="Aptos" w:hAnsi="Aptos" w:eastAsia="Aptos" w:cs="Aptos"/>
          <w:b w:val="1"/>
          <w:bCs w:val="1"/>
          <w:noProof w:val="0"/>
          <w:sz w:val="22"/>
          <w:szCs w:val="22"/>
          <w:lang w:val="lt-LT"/>
        </w:rPr>
        <w:t xml:space="preserve">4.2. Spragų analizė (angl. </w:t>
      </w:r>
      <w:r w:rsidRPr="067A20BB" w:rsidR="57A9C494">
        <w:rPr>
          <w:rFonts w:ascii="Aptos" w:hAnsi="Aptos" w:eastAsia="Aptos" w:cs="Aptos"/>
          <w:b w:val="1"/>
          <w:bCs w:val="1"/>
          <w:i w:val="1"/>
          <w:iCs w:val="1"/>
          <w:noProof w:val="0"/>
          <w:sz w:val="22"/>
          <w:szCs w:val="22"/>
          <w:lang w:val="lt-LT"/>
        </w:rPr>
        <w:t>Gap</w:t>
      </w:r>
      <w:r w:rsidRPr="067A20BB" w:rsidR="57A9C494">
        <w:rPr>
          <w:rFonts w:ascii="Aptos" w:hAnsi="Aptos" w:eastAsia="Aptos" w:cs="Aptos"/>
          <w:b w:val="1"/>
          <w:bCs w:val="1"/>
          <w:i w:val="1"/>
          <w:iCs w:val="1"/>
          <w:noProof w:val="0"/>
          <w:sz w:val="22"/>
          <w:szCs w:val="22"/>
          <w:lang w:val="lt-LT"/>
        </w:rPr>
        <w:t xml:space="preserve"> </w:t>
      </w:r>
      <w:r w:rsidRPr="067A20BB" w:rsidR="57A9C494">
        <w:rPr>
          <w:rFonts w:ascii="Aptos" w:hAnsi="Aptos" w:eastAsia="Aptos" w:cs="Aptos"/>
          <w:b w:val="1"/>
          <w:bCs w:val="1"/>
          <w:i w:val="1"/>
          <w:iCs w:val="1"/>
          <w:noProof w:val="0"/>
          <w:sz w:val="22"/>
          <w:szCs w:val="22"/>
          <w:lang w:val="lt-LT"/>
        </w:rPr>
        <w:t>Analysis</w:t>
      </w:r>
      <w:r w:rsidRPr="067A20BB" w:rsidR="57A9C494">
        <w:rPr>
          <w:rFonts w:ascii="Aptos" w:hAnsi="Aptos" w:eastAsia="Aptos" w:cs="Aptos"/>
          <w:b w:val="1"/>
          <w:bCs w:val="1"/>
          <w:noProof w:val="0"/>
          <w:sz w:val="22"/>
          <w:szCs w:val="22"/>
          <w:lang w:val="lt-LT"/>
        </w:rPr>
        <w:t>) ir SSGG vertinimas.</w:t>
      </w:r>
      <w:r w:rsidRPr="067A20BB" w:rsidR="57A9C494">
        <w:rPr>
          <w:rFonts w:ascii="Aptos" w:hAnsi="Aptos" w:eastAsia="Aptos" w:cs="Aptos"/>
          <w:noProof w:val="0"/>
          <w:sz w:val="22"/>
          <w:szCs w:val="22"/>
          <w:lang w:val="lt-LT"/>
        </w:rPr>
        <w:t xml:space="preserve"> Remiantis surinktais duomenimis, atliekamas sisteminis Lietuvos situacijos palyginimas su EOSC-IF idealiojo modelio reikalavimais. Identifikuojamos kritinės spragos teisiniame, organizaciniame, semantiniame ir technologiniame lygmenyse. Strateginiam vertinimui taikoma SSGG (SWOT) analizė (</w:t>
      </w:r>
      <w:r w:rsidRPr="067A20BB" w:rsidR="57A9C494">
        <w:rPr>
          <w:rFonts w:ascii="Aptos" w:hAnsi="Aptos" w:eastAsia="Aptos" w:cs="Aptos"/>
          <w:noProof w:val="0"/>
          <w:sz w:val="22"/>
          <w:szCs w:val="22"/>
          <w:lang w:val="lt-LT"/>
        </w:rPr>
        <w:t>Dyson</w:t>
      </w:r>
      <w:r w:rsidRPr="067A20BB" w:rsidR="57A9C494">
        <w:rPr>
          <w:rFonts w:ascii="Aptos" w:hAnsi="Aptos" w:eastAsia="Aptos" w:cs="Aptos"/>
          <w:noProof w:val="0"/>
          <w:sz w:val="22"/>
          <w:szCs w:val="22"/>
          <w:lang w:val="lt-LT"/>
        </w:rPr>
        <w:t xml:space="preserve">, 2004), kurios pagrindu identifikuojamos vidinės stiprybės ir išorinės galimybės, būtinos sėkmingai integracijai į EOSC. Šio vertinimo pagrindu formuluojami keturi integracijos scenarijai: </w:t>
      </w:r>
      <w:commentRangeStart w:id="2041562214"/>
      <w:r w:rsidRPr="067A20BB" w:rsidR="57A9C494">
        <w:rPr>
          <w:rFonts w:ascii="Aptos" w:hAnsi="Aptos" w:eastAsia="Aptos" w:cs="Aptos"/>
          <w:noProof w:val="0"/>
          <w:sz w:val="22"/>
          <w:szCs w:val="22"/>
          <w:lang w:val="lt-LT"/>
        </w:rPr>
        <w:t>(1) nacionalinis mazgas, (2) regioninis mazgas, (3) decentralizuotas vystymasis (</w:t>
      </w:r>
      <w:r w:rsidRPr="067A20BB" w:rsidR="57A9C494">
        <w:rPr>
          <w:rFonts w:ascii="Aptos" w:hAnsi="Aptos" w:eastAsia="Aptos" w:cs="Aptos"/>
          <w:i w:val="1"/>
          <w:iCs w:val="1"/>
          <w:noProof w:val="0"/>
          <w:sz w:val="22"/>
          <w:szCs w:val="22"/>
          <w:lang w:val="lt-LT"/>
        </w:rPr>
        <w:t>status quo</w:t>
      </w:r>
      <w:r w:rsidRPr="067A20BB" w:rsidR="57A9C494">
        <w:rPr>
          <w:rFonts w:ascii="Aptos" w:hAnsi="Aptos" w:eastAsia="Aptos" w:cs="Aptos"/>
          <w:noProof w:val="0"/>
          <w:sz w:val="22"/>
          <w:szCs w:val="22"/>
          <w:lang w:val="lt-LT"/>
        </w:rPr>
        <w:t>) ir (4) nacionalinis duomenų portalas kaip produktas.</w:t>
      </w:r>
      <w:commentRangeEnd w:id="2041562214"/>
      <w:r>
        <w:rPr>
          <w:rStyle w:val="CommentReference"/>
        </w:rPr>
        <w:commentReference w:id="2041562214"/>
      </w:r>
    </w:p>
    <w:p w:rsidR="191C828A" w:rsidP="7AD325EB" w:rsidRDefault="191C828A" w14:paraId="3938FF25" w14:textId="674FA8A8">
      <w:pPr>
        <w:spacing w:before="0" w:beforeAutospacing="off" w:after="160" w:afterAutospacing="off" w:line="257" w:lineRule="auto"/>
        <w:jc w:val="both"/>
      </w:pPr>
      <w:r w:rsidRPr="7AD325EB" w:rsidR="191C828A">
        <w:rPr>
          <w:rFonts w:ascii="Aptos" w:hAnsi="Aptos" w:eastAsia="Aptos" w:cs="Aptos"/>
          <w:b w:val="1"/>
          <w:bCs w:val="1"/>
          <w:noProof w:val="0"/>
          <w:sz w:val="22"/>
          <w:szCs w:val="22"/>
          <w:lang w:val="lt-LT"/>
        </w:rPr>
        <w:t>4.3. Finansinis pagrindimas ir investicijų poreikio vertinimas.</w:t>
      </w:r>
      <w:r w:rsidRPr="7AD325EB" w:rsidR="191C828A">
        <w:rPr>
          <w:rFonts w:ascii="Aptos" w:hAnsi="Aptos" w:eastAsia="Aptos" w:cs="Aptos"/>
          <w:noProof w:val="0"/>
          <w:sz w:val="22"/>
          <w:szCs w:val="22"/>
          <w:lang w:val="lt-LT"/>
        </w:rPr>
        <w:t xml:space="preserve"> Kiekvienas scenarijus vertinamas taikant kaštų ir naudos analizės (angl. </w:t>
      </w:r>
      <w:r w:rsidRPr="7AD325EB" w:rsidR="191C828A">
        <w:rPr>
          <w:rFonts w:ascii="Aptos" w:hAnsi="Aptos" w:eastAsia="Aptos" w:cs="Aptos"/>
          <w:i w:val="1"/>
          <w:iCs w:val="1"/>
          <w:noProof w:val="0"/>
          <w:sz w:val="22"/>
          <w:szCs w:val="22"/>
          <w:lang w:val="lt-LT"/>
        </w:rPr>
        <w:t>Cost-Benefit Analysis</w:t>
      </w:r>
      <w:r w:rsidRPr="7AD325EB" w:rsidR="191C828A">
        <w:rPr>
          <w:rFonts w:ascii="Aptos" w:hAnsi="Aptos" w:eastAsia="Aptos" w:cs="Aptos"/>
          <w:noProof w:val="0"/>
          <w:sz w:val="22"/>
          <w:szCs w:val="22"/>
          <w:lang w:val="lt-LT"/>
        </w:rPr>
        <w:t>) principus. Metodika numato ne tik tiesioginių investicijų (techninė įranga, licencijos) poreikio nustatymą, bet ir socio-ekonominės bei mokslinės naudos modeliavimą (pvz., laiko sutaupymas, pakartotinis duomenų naudojimas, inovacijų potencialas). Investicijų poreikis skirstomas į trumpalaikį (projekto įgyvendinimo) ir tęstinį (tvarumo užtikrinimo), vertinant galimus finansavimo šaltinius (ES fondai, nacionalinis biudžetas).</w:t>
      </w:r>
    </w:p>
    <w:p w:rsidR="191C828A" w:rsidP="7AD325EB" w:rsidRDefault="191C828A" w14:paraId="3B5160FF" w14:textId="10D8D5E6">
      <w:pPr>
        <w:pStyle w:val="Normal"/>
        <w:jc w:val="both"/>
      </w:pPr>
      <w:r w:rsidRPr="7AD325EB" w:rsidR="191C828A">
        <w:rPr>
          <w:rFonts w:ascii="Aptos" w:hAnsi="Aptos" w:eastAsia="Aptos" w:cs="Aptos"/>
          <w:b w:val="1"/>
          <w:bCs w:val="1"/>
          <w:noProof w:val="0"/>
          <w:sz w:val="22"/>
          <w:szCs w:val="22"/>
          <w:lang w:val="lt-LT"/>
        </w:rPr>
        <w:t>4.4. Įgyvendinimo plano ir organizacinės struktūros projektavimas.</w:t>
      </w:r>
      <w:r w:rsidRPr="7AD325EB" w:rsidR="191C828A">
        <w:rPr>
          <w:rFonts w:ascii="Aptos" w:hAnsi="Aptos" w:eastAsia="Aptos" w:cs="Aptos"/>
          <w:noProof w:val="0"/>
          <w:sz w:val="22"/>
          <w:szCs w:val="22"/>
          <w:lang w:val="lt-LT"/>
        </w:rPr>
        <w:t xml:space="preserve"> Strateginis veiksmų planas (angl. </w:t>
      </w:r>
      <w:r w:rsidRPr="7AD325EB" w:rsidR="191C828A">
        <w:rPr>
          <w:rFonts w:ascii="Aptos" w:hAnsi="Aptos" w:eastAsia="Aptos" w:cs="Aptos"/>
          <w:i w:val="1"/>
          <w:iCs w:val="1"/>
          <w:noProof w:val="0"/>
          <w:sz w:val="22"/>
          <w:szCs w:val="22"/>
          <w:lang w:val="lt-LT"/>
        </w:rPr>
        <w:t>Roadmap</w:t>
      </w:r>
      <w:r w:rsidRPr="7AD325EB" w:rsidR="191C828A">
        <w:rPr>
          <w:rFonts w:ascii="Aptos" w:hAnsi="Aptos" w:eastAsia="Aptos" w:cs="Aptos"/>
          <w:noProof w:val="0"/>
          <w:sz w:val="22"/>
          <w:szCs w:val="22"/>
          <w:lang w:val="lt-LT"/>
        </w:rPr>
        <w:t xml:space="preserve">) kuriamas remiantis loginės sekos principu, išskiriant trumpalaikes, vidutinės trukmės ir ilgalaikes veiklas. Siekiant užtikrinti plano įgyvendinamumą, taikomas RACI (angl. </w:t>
      </w:r>
      <w:r w:rsidRPr="7AD325EB" w:rsidR="191C828A">
        <w:rPr>
          <w:rFonts w:ascii="Aptos" w:hAnsi="Aptos" w:eastAsia="Aptos" w:cs="Aptos"/>
          <w:i w:val="1"/>
          <w:iCs w:val="1"/>
          <w:noProof w:val="0"/>
          <w:sz w:val="22"/>
          <w:szCs w:val="22"/>
          <w:lang w:val="lt-LT"/>
        </w:rPr>
        <w:t>Responsible, Accountable, Consulted, Informed</w:t>
      </w:r>
      <w:r w:rsidRPr="7AD325EB" w:rsidR="191C828A">
        <w:rPr>
          <w:rFonts w:ascii="Aptos" w:hAnsi="Aptos" w:eastAsia="Aptos" w:cs="Aptos"/>
          <w:noProof w:val="0"/>
          <w:sz w:val="22"/>
          <w:szCs w:val="22"/>
          <w:lang w:val="lt-LT"/>
        </w:rPr>
        <w:t>) atsakomybių matricos modelis, identifikuojantis pagrindinių suinteresuotų šalių (ŠMSM, LMT, MSI, kt.) vaidmenis ir funkcijas nacionalinėje MTD valdysenos struktūroje. Rizikos vertinamos taikant tikimybės-poveikio matricą pagal ISO 31000 standartą.</w:t>
      </w:r>
    </w:p>
    <w:p w:rsidRPr="002510F5" w:rsidR="002510F5" w:rsidP="002510F5" w:rsidRDefault="002510F5" w14:paraId="1B442104" w14:textId="77777777">
      <w:pPr>
        <w:jc w:val="both"/>
        <w:rPr>
          <w:b/>
          <w:bCs/>
        </w:rPr>
      </w:pPr>
      <w:r w:rsidRPr="002510F5">
        <w:rPr>
          <w:b/>
          <w:bCs/>
        </w:rPr>
        <w:t>5. Kokybės užtikrinimas ir etika</w:t>
      </w:r>
    </w:p>
    <w:p w:rsidRPr="002510F5" w:rsidR="002510F5" w:rsidP="002510F5" w:rsidRDefault="00F50492" w14:paraId="1FB360A2" w14:textId="18A4977C">
      <w:pPr>
        <w:jc w:val="both"/>
      </w:pPr>
      <w:r w:rsidR="00F50492">
        <w:rPr/>
        <w:t>Siekiant užtikrinti t</w:t>
      </w:r>
      <w:r w:rsidR="002510F5">
        <w:rPr/>
        <w:t>yrimo validum</w:t>
      </w:r>
      <w:r w:rsidR="00F50492">
        <w:rPr/>
        <w:t xml:space="preserve">ą, taikoma </w:t>
      </w:r>
      <w:r w:rsidR="002510F5">
        <w:rPr/>
        <w:t xml:space="preserve">metodų </w:t>
      </w:r>
      <w:r w:rsidR="002510F5">
        <w:rPr/>
        <w:t>trianguliacij</w:t>
      </w:r>
      <w:r w:rsidR="00F50492">
        <w:rPr/>
        <w:t>a</w:t>
      </w:r>
      <w:r w:rsidR="002510F5">
        <w:rPr/>
        <w:t xml:space="preserve"> (kiekybinių ir kokybinių duomenų derinimas), ekspertin</w:t>
      </w:r>
      <w:r w:rsidR="00F50492">
        <w:rPr/>
        <w:t>is</w:t>
      </w:r>
      <w:r w:rsidR="002510F5">
        <w:rPr/>
        <w:t xml:space="preserve"> vertinim</w:t>
      </w:r>
      <w:r w:rsidR="00F50492">
        <w:rPr/>
        <w:t>as</w:t>
      </w:r>
      <w:r w:rsidR="002510F5">
        <w:rPr/>
        <w:t xml:space="preserve"> (konsultacijos su Lietuvos mokslo tarybos komitetais) ir </w:t>
      </w:r>
      <w:r w:rsidR="002510F5">
        <w:rPr/>
        <w:t>vieš</w:t>
      </w:r>
      <w:r w:rsidR="03347187">
        <w:rPr/>
        <w:t>o</w:t>
      </w:r>
      <w:r w:rsidR="002510F5">
        <w:rPr/>
        <w:t>si</w:t>
      </w:r>
      <w:r w:rsidR="00F50492">
        <w:rPr/>
        <w:t>os</w:t>
      </w:r>
      <w:r w:rsidR="002510F5">
        <w:rPr/>
        <w:t xml:space="preserve"> konsultacij</w:t>
      </w:r>
      <w:r w:rsidR="00F50492">
        <w:rPr/>
        <w:t>os</w:t>
      </w:r>
      <w:r w:rsidR="002510F5">
        <w:rPr/>
        <w:t xml:space="preserve"> (du forumai su mokslo bendruomene ir politikos formuotojais studijos procesui ir rezultatams aptarti).</w:t>
      </w:r>
    </w:p>
    <w:p w:rsidRPr="002510F5" w:rsidR="002510F5" w:rsidP="002510F5" w:rsidRDefault="002510F5" w14:paraId="3F8EF9F3" w14:textId="4FFF6996">
      <w:pPr>
        <w:jc w:val="both"/>
      </w:pPr>
      <w:r w:rsidRPr="002510F5">
        <w:t xml:space="preserve">Etiniai aspektai griežtai atitinka BDAR reikalavimus: visi apklausų duomenys nuasmeninami, interviu </w:t>
      </w:r>
      <w:r w:rsidR="00F50492">
        <w:t>tekstai</w:t>
      </w:r>
      <w:r w:rsidRPr="002510F5">
        <w:t xml:space="preserve"> </w:t>
      </w:r>
      <w:r w:rsidR="00F50492">
        <w:t>nuasmeninami</w:t>
      </w:r>
      <w:r w:rsidRPr="002510F5">
        <w:t>, surinkti duomenys naudojami tik apibendrinta forma ir išskirtinai studijos tikslams, užtikrinant konfidencialumą ir duomenų apsaugą.</w:t>
      </w:r>
    </w:p>
    <w:p w:rsidRPr="002510F5" w:rsidR="002510F5" w:rsidP="002510F5" w:rsidRDefault="002510F5" w14:paraId="6B17A39C" w14:textId="3E6AF728">
      <w:pPr>
        <w:jc w:val="both"/>
      </w:pPr>
    </w:p>
    <w:p w:rsidRPr="002510F5" w:rsidR="002510F5" w:rsidP="002510F5" w:rsidRDefault="002510F5" w14:paraId="04EC8AB1" w14:textId="77777777">
      <w:pPr>
        <w:jc w:val="both"/>
        <w:rPr>
          <w:b/>
          <w:bCs/>
        </w:rPr>
      </w:pPr>
      <w:r w:rsidRPr="002510F5">
        <w:rPr>
          <w:b/>
          <w:bCs/>
        </w:rPr>
        <w:t>Šaltiniai</w:t>
      </w:r>
    </w:p>
    <w:p w:rsidRPr="002510F5" w:rsidR="002510F5" w:rsidP="002510F5" w:rsidRDefault="002510F5" w14:paraId="019154E3" w14:textId="77777777">
      <w:pPr>
        <w:numPr>
          <w:ilvl w:val="0"/>
          <w:numId w:val="13"/>
        </w:numPr>
        <w:jc w:val="both"/>
      </w:pPr>
      <w:r w:rsidRPr="002510F5">
        <w:t xml:space="preserve">Carroll, S. R., et al. (2020). The CARE Principles for Indigenous Data Governance. </w:t>
      </w:r>
      <w:r w:rsidRPr="002510F5">
        <w:rPr>
          <w:i/>
          <w:iCs/>
        </w:rPr>
        <w:t>Data Science Journal</w:t>
      </w:r>
      <w:r w:rsidRPr="002510F5">
        <w:t>, 19(1), 43.</w:t>
      </w:r>
    </w:p>
    <w:p w:rsidRPr="002510F5" w:rsidR="002510F5" w:rsidP="002510F5" w:rsidRDefault="002510F5" w14:paraId="3F723EDD" w14:textId="77777777">
      <w:pPr>
        <w:numPr>
          <w:ilvl w:val="0"/>
          <w:numId w:val="13"/>
        </w:numPr>
        <w:jc w:val="both"/>
      </w:pPr>
      <w:r w:rsidRPr="002510F5">
        <w:t xml:space="preserve">Creswell, J. W., &amp; Plano Clark, V. L. (2017). </w:t>
      </w:r>
      <w:r w:rsidRPr="002510F5">
        <w:rPr>
          <w:i/>
          <w:iCs/>
        </w:rPr>
        <w:t>Designing and Conducting Mixed Methods Research</w:t>
      </w:r>
      <w:r w:rsidRPr="002510F5">
        <w:t xml:space="preserve"> (3rd ed.). Sage.</w:t>
      </w:r>
    </w:p>
    <w:p w:rsidRPr="002510F5" w:rsidR="002510F5" w:rsidP="002510F5" w:rsidRDefault="002510F5" w14:paraId="1CE2792F" w14:textId="77777777">
      <w:pPr>
        <w:numPr>
          <w:ilvl w:val="0"/>
          <w:numId w:val="13"/>
        </w:numPr>
        <w:jc w:val="both"/>
      </w:pPr>
      <w:r w:rsidRPr="002510F5">
        <w:t xml:space="preserve">Dyson, R. G. (2004). Strategic development and SWOT analysis at the University of Warwick. </w:t>
      </w:r>
      <w:r w:rsidRPr="002510F5">
        <w:rPr>
          <w:i/>
          <w:iCs/>
        </w:rPr>
        <w:t>European Journal of Operational Research</w:t>
      </w:r>
      <w:r w:rsidRPr="002510F5">
        <w:t>, 152(3), 631–640.</w:t>
      </w:r>
    </w:p>
    <w:p w:rsidRPr="002510F5" w:rsidR="002510F5" w:rsidP="002510F5" w:rsidRDefault="002510F5" w14:paraId="374FB74C" w14:textId="77777777">
      <w:pPr>
        <w:numPr>
          <w:ilvl w:val="0"/>
          <w:numId w:val="13"/>
        </w:numPr>
        <w:jc w:val="both"/>
      </w:pPr>
      <w:r w:rsidRPr="002510F5">
        <w:t xml:space="preserve">European Commission (2021). </w:t>
      </w:r>
      <w:r w:rsidRPr="002510F5">
        <w:rPr>
          <w:i/>
          <w:iCs/>
        </w:rPr>
        <w:t>EOSC Interoperability Framework</w:t>
      </w:r>
      <w:r w:rsidRPr="002510F5">
        <w:t>. Report from the EOSC Executive Board Working Group.</w:t>
      </w:r>
    </w:p>
    <w:p w:rsidRPr="002510F5" w:rsidR="002510F5" w:rsidP="002510F5" w:rsidRDefault="002510F5" w14:paraId="0837B36F" w14:textId="77777777">
      <w:pPr>
        <w:numPr>
          <w:ilvl w:val="0"/>
          <w:numId w:val="13"/>
        </w:numPr>
        <w:jc w:val="both"/>
      </w:pPr>
      <w:r w:rsidRPr="002510F5">
        <w:t xml:space="preserve">European Commission (2021). </w:t>
      </w:r>
      <w:r w:rsidRPr="002510F5">
        <w:rPr>
          <w:i/>
          <w:iCs/>
        </w:rPr>
        <w:t>EOSC Strategic Research and Innovation Agenda</w:t>
      </w:r>
      <w:r w:rsidRPr="002510F5">
        <w:t xml:space="preserve"> (SRIA). EOSC Association.</w:t>
      </w:r>
    </w:p>
    <w:p w:rsidRPr="002510F5" w:rsidR="002510F5" w:rsidP="002510F5" w:rsidRDefault="002510F5" w14:paraId="5BEB4E1D" w14:textId="77777777">
      <w:pPr>
        <w:numPr>
          <w:ilvl w:val="0"/>
          <w:numId w:val="13"/>
        </w:numPr>
        <w:jc w:val="both"/>
      </w:pPr>
      <w:r w:rsidRPr="002510F5">
        <w:t xml:space="preserve">Lin, D., et al. (2020). The TRUST Principles for digital repositories. </w:t>
      </w:r>
      <w:r w:rsidRPr="002510F5">
        <w:rPr>
          <w:i/>
          <w:iCs/>
        </w:rPr>
        <w:t>Scientific Data</w:t>
      </w:r>
      <w:r w:rsidRPr="002510F5">
        <w:t>, 7(1), 144.</w:t>
      </w:r>
    </w:p>
    <w:p w:rsidRPr="002510F5" w:rsidR="002510F5" w:rsidP="002510F5" w:rsidRDefault="002510F5" w14:paraId="6D208F7D" w14:textId="77777777">
      <w:pPr>
        <w:numPr>
          <w:ilvl w:val="0"/>
          <w:numId w:val="13"/>
        </w:numPr>
        <w:jc w:val="both"/>
      </w:pPr>
      <w:r w:rsidRPr="002510F5">
        <w:t xml:space="preserve">Mons, B., et al. (2017). Cloudy, increasingly FAIR; revisiting the FAIR Data guiding principles for research data. </w:t>
      </w:r>
      <w:r w:rsidRPr="002510F5">
        <w:rPr>
          <w:i/>
          <w:iCs/>
        </w:rPr>
        <w:t>Information Services &amp; Use</w:t>
      </w:r>
      <w:r w:rsidRPr="002510F5">
        <w:t>, 37(1), 49–56.</w:t>
      </w:r>
    </w:p>
    <w:p w:rsidRPr="002510F5" w:rsidR="002510F5" w:rsidP="002510F5" w:rsidRDefault="002510F5" w14:paraId="152DB044" w14:textId="77777777">
      <w:pPr>
        <w:numPr>
          <w:ilvl w:val="0"/>
          <w:numId w:val="13"/>
        </w:numPr>
        <w:jc w:val="both"/>
      </w:pPr>
      <w:r w:rsidRPr="002510F5">
        <w:t xml:space="preserve">Noble, H., &amp; Heale, R. (2019). Triangulation in research, with examples. </w:t>
      </w:r>
      <w:r w:rsidRPr="002510F5">
        <w:rPr>
          <w:i/>
          <w:iCs/>
        </w:rPr>
        <w:t>Evidence-Based Nursing</w:t>
      </w:r>
      <w:r w:rsidRPr="002510F5">
        <w:t>, 22(3), 67–68.</w:t>
      </w:r>
    </w:p>
    <w:p w:rsidRPr="002510F5" w:rsidR="002510F5" w:rsidP="002510F5" w:rsidRDefault="002510F5" w14:paraId="14CFCBF1" w14:textId="77777777">
      <w:pPr>
        <w:numPr>
          <w:ilvl w:val="0"/>
          <w:numId w:val="13"/>
        </w:numPr>
        <w:jc w:val="both"/>
      </w:pPr>
      <w:r w:rsidRPr="002510F5">
        <w:t xml:space="preserve">OECD (2021). </w:t>
      </w:r>
      <w:r w:rsidRPr="002510F5">
        <w:rPr>
          <w:i/>
          <w:iCs/>
        </w:rPr>
        <w:t>Recommendation of the Council concerning Access to Research Data from Public Funding</w:t>
      </w:r>
      <w:r w:rsidRPr="002510F5">
        <w:t>. OECD Legal Instruments.</w:t>
      </w:r>
    </w:p>
    <w:p w:rsidRPr="002510F5" w:rsidR="002510F5" w:rsidP="002510F5" w:rsidRDefault="002510F5" w14:paraId="02CF889D" w14:textId="77777777">
      <w:pPr>
        <w:numPr>
          <w:ilvl w:val="0"/>
          <w:numId w:val="13"/>
        </w:numPr>
        <w:jc w:val="both"/>
      </w:pPr>
      <w:r w:rsidRPr="002510F5">
        <w:lastRenderedPageBreak/>
        <w:t xml:space="preserve">Wilkinson, M. D., et al. (2016). The FAIR Guiding Principles for scientific data management and stewardship. </w:t>
      </w:r>
      <w:r w:rsidRPr="002510F5">
        <w:rPr>
          <w:i/>
          <w:iCs/>
        </w:rPr>
        <w:t>Scientific Data</w:t>
      </w:r>
      <w:r w:rsidRPr="002510F5">
        <w:t>, 3, 160018.</w:t>
      </w:r>
    </w:p>
    <w:p w:rsidRPr="002510F5" w:rsidR="002510F5" w:rsidP="002510F5" w:rsidRDefault="002510F5" w14:paraId="6EB89B04" w14:textId="77777777">
      <w:pPr>
        <w:numPr>
          <w:ilvl w:val="0"/>
          <w:numId w:val="13"/>
        </w:numPr>
        <w:jc w:val="both"/>
      </w:pPr>
      <w:r w:rsidRPr="002510F5">
        <w:t xml:space="preserve">Wildgaard, L., et al. (2020). Data Stewardship Revisited: A Study on Roles and Responsibilities. </w:t>
      </w:r>
      <w:r w:rsidRPr="002510F5">
        <w:rPr>
          <w:i/>
          <w:iCs/>
        </w:rPr>
        <w:t>Publications</w:t>
      </w:r>
      <w:r w:rsidRPr="002510F5">
        <w:t>, 8(3), 42.</w:t>
      </w:r>
    </w:p>
    <w:p w:rsidR="002510F5" w:rsidP="003D5CF7" w:rsidRDefault="002510F5" w14:paraId="0F5D877F" w14:textId="77777777">
      <w:pPr>
        <w:jc w:val="both"/>
      </w:pPr>
    </w:p>
    <w:sectPr w:rsidR="002510F5" w:rsidSect="009C0E85">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u" w:author="ruta.petrauskaite@vdu.lt" w:date="2026-01-15T14:55:51" w:id="2031246205">
    <w:p xmlns:w14="http://schemas.microsoft.com/office/word/2010/wordml" xmlns:w="http://schemas.openxmlformats.org/wordprocessingml/2006/main" w:rsidR="7E8C8E74" w:rsidRDefault="7C64059B" w14:paraId="5796B74F" w14:textId="7096922D">
      <w:pPr>
        <w:pStyle w:val="CommentText"/>
      </w:pPr>
      <w:r>
        <w:rPr>
          <w:rStyle w:val="CommentReference"/>
        </w:rPr>
        <w:annotationRef/>
      </w:r>
      <w:r w:rsidRPr="122CFC3D" w:rsidR="546853D3">
        <w:t>Nežinau, ar galima kalbėti apie visus duomenis apskritai, be jų institucinės priklausomybės</w:t>
      </w:r>
    </w:p>
  </w:comment>
  <w:comment xmlns:w="http://schemas.openxmlformats.org/wordprocessingml/2006/main" w:initials="ru" w:author="ruta.petrauskaite@vdu.lt" w:date="2026-01-15T15:09:07" w:id="2041562214">
    <w:p xmlns:w14="http://schemas.microsoft.com/office/word/2010/wordml" xmlns:w="http://schemas.openxmlformats.org/wordprocessingml/2006/main" w:rsidR="59C80843" w:rsidRDefault="24D374AE" w14:paraId="78CE3BBD" w14:textId="64B9001F">
      <w:pPr>
        <w:pStyle w:val="CommentText"/>
      </w:pPr>
      <w:r>
        <w:rPr>
          <w:rStyle w:val="CommentReference"/>
        </w:rPr>
        <w:annotationRef/>
      </w:r>
      <w:r w:rsidRPr="14CC78A3" w:rsidR="6F882649">
        <w:t>Kol kas nelabai aiškūs - kuo mazgas skiriasi nuo portalo, ar decentralizuotas vystymasis palieka galimybę įsijungti į EOSCą per tarptautines MT, ar regioninis mazgas būtų formuojamas su centru LT, ar LT jungtųsi prie kito mazgo</w:t>
      </w:r>
    </w:p>
  </w:comment>
</w:comments>
</file>

<file path=word/commentsExtended.xml><?xml version="1.0" encoding="utf-8"?>
<w15:commentsEx xmlns:mc="http://schemas.openxmlformats.org/markup-compatibility/2006" xmlns:w15="http://schemas.microsoft.com/office/word/2012/wordml" mc:Ignorable="w15">
  <w15:commentEx w15:done="0" w15:paraId="5796B74F"/>
  <w15:commentEx w15:done="0" w15:paraId="78CE3BB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0FCA3E" w16cex:dateUtc="2026-01-15T12:55:51.752Z"/>
  <w16cex:commentExtensible w16cex:durableId="147A0A83" w16cex:dateUtc="2026-01-15T13:09:07.287Z"/>
</w16cex:commentsExtensible>
</file>

<file path=word/commentsIds.xml><?xml version="1.0" encoding="utf-8"?>
<w16cid:commentsIds xmlns:mc="http://schemas.openxmlformats.org/markup-compatibility/2006" xmlns:w16cid="http://schemas.microsoft.com/office/word/2016/wordml/cid" mc:Ignorable="w16cid">
  <w16cid:commentId w16cid:paraId="5796B74F" w16cid:durableId="680FCA3E"/>
  <w16cid:commentId w16cid:paraId="78CE3BBD" w16cid:durableId="147A0A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9D7"/>
    <w:multiLevelType w:val="multilevel"/>
    <w:tmpl w:val="E3B07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F4134F"/>
    <w:multiLevelType w:val="multilevel"/>
    <w:tmpl w:val="FD7AB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7271ED"/>
    <w:multiLevelType w:val="multilevel"/>
    <w:tmpl w:val="CB4EF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B923403"/>
    <w:multiLevelType w:val="multilevel"/>
    <w:tmpl w:val="1646F5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B992520"/>
    <w:multiLevelType w:val="multilevel"/>
    <w:tmpl w:val="E70EB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64A4CE9"/>
    <w:multiLevelType w:val="multilevel"/>
    <w:tmpl w:val="B9661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6B0052A"/>
    <w:multiLevelType w:val="multilevel"/>
    <w:tmpl w:val="A878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30EB2"/>
    <w:multiLevelType w:val="multilevel"/>
    <w:tmpl w:val="0780F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C3B2E2A"/>
    <w:multiLevelType w:val="multilevel"/>
    <w:tmpl w:val="54CA4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DB5DAE"/>
    <w:multiLevelType w:val="multilevel"/>
    <w:tmpl w:val="725E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F6A10"/>
    <w:multiLevelType w:val="multilevel"/>
    <w:tmpl w:val="7D581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0732FCD"/>
    <w:multiLevelType w:val="multilevel"/>
    <w:tmpl w:val="26CCA9B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40E193A"/>
    <w:multiLevelType w:val="multilevel"/>
    <w:tmpl w:val="F7C00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83781776">
    <w:abstractNumId w:val="3"/>
  </w:num>
  <w:num w:numId="2" w16cid:durableId="204686502">
    <w:abstractNumId w:val="12"/>
  </w:num>
  <w:num w:numId="3" w16cid:durableId="1005327060">
    <w:abstractNumId w:val="9"/>
  </w:num>
  <w:num w:numId="4" w16cid:durableId="1888178346">
    <w:abstractNumId w:val="1"/>
  </w:num>
  <w:num w:numId="5" w16cid:durableId="478501588">
    <w:abstractNumId w:val="10"/>
  </w:num>
  <w:num w:numId="6" w16cid:durableId="2127460331">
    <w:abstractNumId w:val="8"/>
  </w:num>
  <w:num w:numId="7" w16cid:durableId="230116238">
    <w:abstractNumId w:val="6"/>
  </w:num>
  <w:num w:numId="8" w16cid:durableId="974720733">
    <w:abstractNumId w:val="4"/>
  </w:num>
  <w:num w:numId="9" w16cid:durableId="1986354225">
    <w:abstractNumId w:val="7"/>
  </w:num>
  <w:num w:numId="10" w16cid:durableId="301355108">
    <w:abstractNumId w:val="0"/>
  </w:num>
  <w:num w:numId="11" w16cid:durableId="866603553">
    <w:abstractNumId w:val="5"/>
  </w:num>
  <w:num w:numId="12" w16cid:durableId="451485114">
    <w:abstractNumId w:val="11"/>
  </w:num>
  <w:num w:numId="13" w16cid:durableId="1729766987">
    <w:abstractNumId w:val="2"/>
  </w:num>
</w:numbering>
</file>

<file path=word/people.xml><?xml version="1.0" encoding="utf-8"?>
<w15:people xmlns:mc="http://schemas.openxmlformats.org/markup-compatibility/2006" xmlns:w15="http://schemas.microsoft.com/office/word/2012/wordml" mc:Ignorable="w15">
  <w15:person w15:author="ruta.petrauskaite@vdu.lt">
    <w15:presenceInfo w15:providerId="AD" w15:userId="S::urn:spo:guest#ruta.petrauskaite@vdu.l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C4"/>
    <w:rsid w:val="00156471"/>
    <w:rsid w:val="001B0204"/>
    <w:rsid w:val="002510F5"/>
    <w:rsid w:val="00252721"/>
    <w:rsid w:val="002D71C4"/>
    <w:rsid w:val="002E59EF"/>
    <w:rsid w:val="003D5CF7"/>
    <w:rsid w:val="00490FE7"/>
    <w:rsid w:val="007626A5"/>
    <w:rsid w:val="008E51BE"/>
    <w:rsid w:val="00962E92"/>
    <w:rsid w:val="009C0E85"/>
    <w:rsid w:val="00EE58D7"/>
    <w:rsid w:val="00F16AED"/>
    <w:rsid w:val="00F50492"/>
    <w:rsid w:val="00FD0DB7"/>
    <w:rsid w:val="03347187"/>
    <w:rsid w:val="038A6F2D"/>
    <w:rsid w:val="067A20BB"/>
    <w:rsid w:val="191C828A"/>
    <w:rsid w:val="470AE082"/>
    <w:rsid w:val="50F4B13F"/>
    <w:rsid w:val="57A9C494"/>
    <w:rsid w:val="5AEFB326"/>
    <w:rsid w:val="692AF83B"/>
    <w:rsid w:val="75628A2D"/>
    <w:rsid w:val="7906C5BF"/>
    <w:rsid w:val="7AD325EB"/>
    <w:rsid w:val="7F1467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B8DA3"/>
  <w15:chartTrackingRefBased/>
  <w15:docId w15:val="{9D5CF198-4214-4ACC-9A76-A1EB92E5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D71C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1C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C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D71C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D71C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D71C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D71C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D71C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D71C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D71C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D71C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D71C4"/>
    <w:rPr>
      <w:rFonts w:eastAsiaTheme="majorEastAsia" w:cstheme="majorBidi"/>
      <w:color w:val="272727" w:themeColor="text1" w:themeTint="D8"/>
    </w:rPr>
  </w:style>
  <w:style w:type="paragraph" w:styleId="Title">
    <w:name w:val="Title"/>
    <w:basedOn w:val="Normal"/>
    <w:next w:val="Normal"/>
    <w:link w:val="TitleChar"/>
    <w:uiPriority w:val="10"/>
    <w:qFormat/>
    <w:rsid w:val="002D71C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D71C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D71C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D7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C4"/>
    <w:pPr>
      <w:spacing w:before="160"/>
      <w:jc w:val="center"/>
    </w:pPr>
    <w:rPr>
      <w:i/>
      <w:iCs/>
      <w:color w:val="404040" w:themeColor="text1" w:themeTint="BF"/>
    </w:rPr>
  </w:style>
  <w:style w:type="character" w:styleId="QuoteChar" w:customStyle="1">
    <w:name w:val="Quote Char"/>
    <w:basedOn w:val="DefaultParagraphFont"/>
    <w:link w:val="Quote"/>
    <w:uiPriority w:val="29"/>
    <w:rsid w:val="002D71C4"/>
    <w:rPr>
      <w:i/>
      <w:iCs/>
      <w:color w:val="404040" w:themeColor="text1" w:themeTint="BF"/>
    </w:rPr>
  </w:style>
  <w:style w:type="paragraph" w:styleId="ListParagraph">
    <w:name w:val="List Paragraph"/>
    <w:basedOn w:val="Normal"/>
    <w:uiPriority w:val="34"/>
    <w:qFormat/>
    <w:rsid w:val="002D71C4"/>
    <w:pPr>
      <w:ind w:left="720"/>
      <w:contextualSpacing/>
    </w:pPr>
  </w:style>
  <w:style w:type="character" w:styleId="IntenseEmphasis">
    <w:name w:val="Intense Emphasis"/>
    <w:basedOn w:val="DefaultParagraphFont"/>
    <w:uiPriority w:val="21"/>
    <w:qFormat/>
    <w:rsid w:val="002D71C4"/>
    <w:rPr>
      <w:i/>
      <w:iCs/>
      <w:color w:val="0F4761" w:themeColor="accent1" w:themeShade="BF"/>
    </w:rPr>
  </w:style>
  <w:style w:type="paragraph" w:styleId="IntenseQuote">
    <w:name w:val="Intense Quote"/>
    <w:basedOn w:val="Normal"/>
    <w:next w:val="Normal"/>
    <w:link w:val="IntenseQuoteChar"/>
    <w:uiPriority w:val="30"/>
    <w:qFormat/>
    <w:rsid w:val="002D71C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D71C4"/>
    <w:rPr>
      <w:i/>
      <w:iCs/>
      <w:color w:val="0F4761" w:themeColor="accent1" w:themeShade="BF"/>
    </w:rPr>
  </w:style>
  <w:style w:type="character" w:styleId="IntenseReference">
    <w:name w:val="Intense Reference"/>
    <w:basedOn w:val="DefaultParagraphFont"/>
    <w:uiPriority w:val="32"/>
    <w:qFormat/>
    <w:rsid w:val="002D7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84cc9e8ecb2c4056" /><Relationship Type="http://schemas.microsoft.com/office/2016/09/relationships/commentsIds" Target="commentsIds.xml" Id="Ra5b6b2eafc6144b6" /><Relationship Type="http://schemas.microsoft.com/office/2011/relationships/commentsExtended" Target="commentsExtended.xml" Id="R7c770f5ce7824156" /><Relationship Type="http://schemas.microsoft.com/office/2018/08/relationships/commentsExtensible" Target="commentsExtensible.xml" Id="Rd74df7930ecc4f4d" /><Relationship Type="http://schemas.microsoft.com/office/2011/relationships/people" Target="people.xml" Id="R420d533a26fa420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Darius Amilevičius</dc:creator>
  <keywords/>
  <dc:description/>
  <lastModifiedBy>Gintė Medzvieckaitė</lastModifiedBy>
  <revision>6</revision>
  <dcterms:created xsi:type="dcterms:W3CDTF">2026-01-09T19:02:00.0000000Z</dcterms:created>
  <dcterms:modified xsi:type="dcterms:W3CDTF">2026-01-29T07:06:33.6438733Z</dcterms:modified>
</coreProperties>
</file>