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D4A39" w:rsidR="00F361AF" w:rsidP="00F361AF" w:rsidRDefault="00F361AF" w14:paraId="4149F8DB" w14:textId="77777777">
      <w:pPr>
        <w:shd w:val="clear" w:color="auto" w:fill="D9F2D0" w:themeFill="accent6" w:themeFillTint="33"/>
        <w:jc w:val="both"/>
      </w:pPr>
      <w:r w:rsidRPr="00ED4A39">
        <w:t xml:space="preserve">2.4 Duomenų sąveikumo, valdysenos  ir </w:t>
      </w:r>
      <w:proofErr w:type="spellStart"/>
      <w:r w:rsidRPr="00ED4A39">
        <w:t>tvarkysenos</w:t>
      </w:r>
      <w:proofErr w:type="spellEnd"/>
      <w:r w:rsidRPr="00ED4A39">
        <w:t xml:space="preserve"> modelis-vienetas (</w:t>
      </w:r>
      <w:proofErr w:type="spellStart"/>
      <w:r w:rsidRPr="00ED4A39">
        <w:t>Node</w:t>
      </w:r>
      <w:proofErr w:type="spellEnd"/>
      <w:r w:rsidRPr="00ED4A39">
        <w:t>)</w:t>
      </w:r>
    </w:p>
    <w:p w:rsidRPr="00ED4A39" w:rsidR="00F361AF" w:rsidP="00F361AF" w:rsidRDefault="00F361AF" w14:paraId="4DDCAF51" w14:textId="77777777">
      <w:pPr>
        <w:shd w:val="clear" w:color="auto" w:fill="D9F2D0" w:themeFill="accent6" w:themeFillTint="33"/>
        <w:jc w:val="both"/>
      </w:pPr>
      <w:r w:rsidRPr="00ED4A39">
        <w:t xml:space="preserve">2.4.1 Mokslinių tyrimų duomenų sąveikumo,  valdysenos ir </w:t>
      </w:r>
      <w:proofErr w:type="spellStart"/>
      <w:r w:rsidRPr="00ED4A39">
        <w:t>tvarkysenos</w:t>
      </w:r>
      <w:proofErr w:type="spellEnd"/>
      <w:r w:rsidRPr="00ED4A39">
        <w:t xml:space="preserve"> tarptautinės praktikos</w:t>
      </w:r>
    </w:p>
    <w:p w:rsidR="00F361AF" w:rsidP="00F361AF" w:rsidRDefault="00F361AF" w14:paraId="263E9463" w14:textId="77777777">
      <w:pPr>
        <w:shd w:val="clear" w:color="auto" w:fill="D9F2D0" w:themeFill="accent6" w:themeFillTint="33"/>
        <w:jc w:val="both"/>
      </w:pPr>
      <w:r w:rsidRPr="00ED4A39">
        <w:t>•</w:t>
      </w:r>
      <w:r w:rsidRPr="00ED4A39">
        <w:tab/>
      </w:r>
      <w:r w:rsidRPr="008C6FE6">
        <w:rPr>
          <w:b/>
          <w:bCs/>
        </w:rPr>
        <w:t>mokslinių tyrimų duomenų ir sistemų sąveikumas (teisinis, technologinis, semantinis, organizacinis) (EOSC-IF) (</w:t>
      </w:r>
      <w:r w:rsidRPr="00B91AE5">
        <w:rPr>
          <w:b/>
          <w:bCs/>
          <w:color w:val="EE0000"/>
        </w:rPr>
        <w:t>Darius, Saulė</w:t>
      </w:r>
      <w:r w:rsidRPr="008C6FE6">
        <w:rPr>
          <w:b/>
          <w:bCs/>
        </w:rPr>
        <w:t>)</w:t>
      </w:r>
    </w:p>
    <w:p w:rsidRPr="00B728C9" w:rsidR="00F361AF" w:rsidP="00F361AF" w:rsidRDefault="00F361AF" w14:paraId="32ADCD90" w14:textId="77777777"/>
    <w:p w:rsidRPr="00B728C9" w:rsidR="00F361AF" w:rsidP="00F361AF" w:rsidRDefault="00F361AF" w14:paraId="50B3E175" w14:textId="77777777">
      <w:pPr>
        <w:rPr>
          <w:b/>
          <w:bCs/>
        </w:rPr>
      </w:pPr>
      <w:r w:rsidRPr="00B728C9">
        <w:rPr>
          <w:b/>
          <w:bCs/>
        </w:rPr>
        <w:t xml:space="preserve">2.4.1 Mokslinių tyrimų duomenų sąveikumo, valdysenos ir </w:t>
      </w:r>
      <w:proofErr w:type="spellStart"/>
      <w:r w:rsidRPr="00B728C9">
        <w:rPr>
          <w:b/>
          <w:bCs/>
        </w:rPr>
        <w:t>tvarkysenos</w:t>
      </w:r>
      <w:proofErr w:type="spellEnd"/>
      <w:r w:rsidRPr="00B728C9">
        <w:rPr>
          <w:b/>
          <w:bCs/>
        </w:rPr>
        <w:t xml:space="preserve"> tarptautinė praktika</w:t>
      </w:r>
    </w:p>
    <w:p w:rsidRPr="00B728C9" w:rsidR="00F361AF" w:rsidP="00F361AF" w:rsidRDefault="00F361AF" w14:paraId="1FDD1EAC" w14:textId="77777777">
      <w:pPr>
        <w:jc w:val="both"/>
      </w:pPr>
      <w:r w:rsidR="00F361AF">
        <w:rPr/>
        <w:t xml:space="preserve">Tarptautinėje erdvėje mokslinių tyrimų duomenų (MTD) valdysena evoliucionuoja nuo statiško duomenų saugojimo link dinamiško jų </w:t>
      </w:r>
      <w:r w:rsidR="00F361AF">
        <w:rPr/>
        <w:t>įveiklinimo</w:t>
      </w:r>
      <w:r w:rsidR="00F361AF">
        <w:rPr/>
        <w:t>, kurio ašis – atvirojo mokslo (</w:t>
      </w:r>
      <w:r w:rsidRPr="3D99F165" w:rsidR="00F361AF">
        <w:rPr>
          <w:i w:val="1"/>
          <w:iCs w:val="1"/>
        </w:rPr>
        <w:t>Open</w:t>
      </w:r>
      <w:r w:rsidRPr="3D99F165" w:rsidR="00F361AF">
        <w:rPr>
          <w:i w:val="1"/>
          <w:iCs w:val="1"/>
        </w:rPr>
        <w:t xml:space="preserve"> </w:t>
      </w:r>
      <w:r w:rsidRPr="3D99F165" w:rsidR="00F361AF">
        <w:rPr>
          <w:i w:val="1"/>
          <w:iCs w:val="1"/>
        </w:rPr>
        <w:t>Science</w:t>
      </w:r>
      <w:r w:rsidR="00F361AF">
        <w:rPr/>
        <w:t xml:space="preserve">) paradigma. Šis požiūris iš esmės keičia žinių kūrimo paradigmą, traktuojant mokslo duomenis kaip viešąjį gėrį, kuris turi būti ne tik prieinamas, bet ir </w:t>
      </w:r>
      <w:commentRangeStart w:id="1700486118"/>
      <w:r w:rsidR="00F361AF">
        <w:rPr/>
        <w:t xml:space="preserve">pilnai </w:t>
      </w:r>
      <w:commentRangeEnd w:id="1700486118"/>
      <w:r>
        <w:rPr>
          <w:rStyle w:val="CommentReference"/>
        </w:rPr>
        <w:commentReference w:id="1700486118"/>
      </w:r>
      <w:r w:rsidR="00F361AF">
        <w:rPr/>
        <w:t>sąveikus. Šio kokybinio lūžio politinį pamatą įtvirtina naujoji Europos duomenų sąjungos strategija (</w:t>
      </w:r>
      <w:r w:rsidRPr="3D99F165" w:rsidR="00F361AF">
        <w:rPr>
          <w:i w:val="1"/>
          <w:iCs w:val="1"/>
        </w:rPr>
        <w:t xml:space="preserve">Data </w:t>
      </w:r>
      <w:r w:rsidRPr="3D99F165" w:rsidR="00F361AF">
        <w:rPr>
          <w:i w:val="1"/>
          <w:iCs w:val="1"/>
        </w:rPr>
        <w:t>Union</w:t>
      </w:r>
      <w:r w:rsidRPr="3D99F165" w:rsidR="00F361AF">
        <w:rPr>
          <w:i w:val="1"/>
          <w:iCs w:val="1"/>
        </w:rPr>
        <w:t xml:space="preserve"> </w:t>
      </w:r>
      <w:r w:rsidRPr="3D99F165" w:rsidR="00F361AF">
        <w:rPr>
          <w:i w:val="1"/>
          <w:iCs w:val="1"/>
        </w:rPr>
        <w:t>Strategy</w:t>
      </w:r>
      <w:r w:rsidR="00F361AF">
        <w:rPr/>
        <w:t xml:space="preserve">, 2025), kurios tikslas – eliminuoti duomenų fragmentaciją ir sukurti vientisą „duomenų greitkelį“. Duomenų sąjungos vizijoje MTD </w:t>
      </w:r>
      <w:r w:rsidR="00F361AF">
        <w:rPr/>
        <w:t>pozicionuojami</w:t>
      </w:r>
      <w:r w:rsidR="00F361AF">
        <w:rPr/>
        <w:t xml:space="preserve"> kaip strateginis kuras Europos dirbtinio intelekto (DI) modeliams, pabrėžiant, kad atvirumas ir aukšta duomenų kokybė yra būtinos sąlygos mokslo proveržiui.</w:t>
      </w:r>
    </w:p>
    <w:p w:rsidRPr="00B728C9" w:rsidR="00F361AF" w:rsidP="00F361AF" w:rsidRDefault="00F361AF" w14:paraId="00EE65CF" w14:textId="77777777">
      <w:pPr>
        <w:jc w:val="both"/>
      </w:pPr>
      <w:r w:rsidRPr="00B728C9">
        <w:t>Strateginė ES kryptis, įtvirtinta Duomenų valdymo akte (</w:t>
      </w:r>
      <w:r w:rsidRPr="00B728C9">
        <w:rPr>
          <w:i/>
          <w:iCs/>
        </w:rPr>
        <w:t xml:space="preserve">Data </w:t>
      </w:r>
      <w:proofErr w:type="spellStart"/>
      <w:r w:rsidRPr="00B728C9">
        <w:rPr>
          <w:i/>
          <w:iCs/>
        </w:rPr>
        <w:t>Governance</w:t>
      </w:r>
      <w:proofErr w:type="spellEnd"/>
      <w:r w:rsidRPr="00B728C9">
        <w:rPr>
          <w:i/>
          <w:iCs/>
        </w:rPr>
        <w:t xml:space="preserve"> </w:t>
      </w:r>
      <w:proofErr w:type="spellStart"/>
      <w:r w:rsidRPr="00B728C9">
        <w:rPr>
          <w:i/>
          <w:iCs/>
        </w:rPr>
        <w:t>Act</w:t>
      </w:r>
      <w:proofErr w:type="spellEnd"/>
      <w:r w:rsidRPr="00B728C9">
        <w:t>, DGA), veikia kaip pasitikėjimo mechanizmas, įgalinantis duomenų altruizmą ir saugų dalijimąsi jautriais ištekliais. Lygiagrečiai, Sąveikios Europos aktas (</w:t>
      </w:r>
      <w:proofErr w:type="spellStart"/>
      <w:r w:rsidRPr="00B728C9">
        <w:rPr>
          <w:i/>
          <w:iCs/>
        </w:rPr>
        <w:t>Interoperable</w:t>
      </w:r>
      <w:proofErr w:type="spellEnd"/>
      <w:r w:rsidRPr="00B728C9">
        <w:rPr>
          <w:i/>
          <w:iCs/>
        </w:rPr>
        <w:t xml:space="preserve"> Europe </w:t>
      </w:r>
      <w:proofErr w:type="spellStart"/>
      <w:r w:rsidRPr="00B728C9">
        <w:rPr>
          <w:i/>
          <w:iCs/>
        </w:rPr>
        <w:t>Act</w:t>
      </w:r>
      <w:proofErr w:type="spellEnd"/>
      <w:r w:rsidRPr="00B728C9">
        <w:t>, IEA) nustato „sąveikumo pagal dizainą“ standartus, kurie užtikrina, kad mokslo infrastruktūros būtų suderinamos su bendrosiomis Europos duomenų erdvėmis. Ypatingą postūmį šiai evoliucijai suteikia Europos strategija dėl DI moksle (</w:t>
      </w:r>
      <w:r w:rsidRPr="00B728C9">
        <w:rPr>
          <w:i/>
          <w:iCs/>
        </w:rPr>
        <w:t xml:space="preserve">AI in </w:t>
      </w:r>
      <w:proofErr w:type="spellStart"/>
      <w:r w:rsidRPr="00B728C9">
        <w:rPr>
          <w:i/>
          <w:iCs/>
        </w:rPr>
        <w:t>Science</w:t>
      </w:r>
      <w:proofErr w:type="spellEnd"/>
      <w:r w:rsidRPr="00B728C9">
        <w:rPr>
          <w:i/>
          <w:iCs/>
        </w:rPr>
        <w:t xml:space="preserve"> </w:t>
      </w:r>
      <w:proofErr w:type="spellStart"/>
      <w:r w:rsidRPr="00B728C9">
        <w:rPr>
          <w:i/>
          <w:iCs/>
        </w:rPr>
        <w:t>Strategy</w:t>
      </w:r>
      <w:proofErr w:type="spellEnd"/>
      <w:r w:rsidRPr="00B728C9">
        <w:t>, 2025), nubrėžianti gaires RAISE (</w:t>
      </w:r>
      <w:proofErr w:type="spellStart"/>
      <w:r w:rsidRPr="00B728C9">
        <w:rPr>
          <w:i/>
          <w:iCs/>
        </w:rPr>
        <w:t>Resource</w:t>
      </w:r>
      <w:proofErr w:type="spellEnd"/>
      <w:r w:rsidRPr="00B728C9">
        <w:rPr>
          <w:i/>
          <w:iCs/>
        </w:rPr>
        <w:t xml:space="preserve"> </w:t>
      </w:r>
      <w:proofErr w:type="spellStart"/>
      <w:r w:rsidRPr="00B728C9">
        <w:rPr>
          <w:i/>
          <w:iCs/>
        </w:rPr>
        <w:t>for</w:t>
      </w:r>
      <w:proofErr w:type="spellEnd"/>
      <w:r w:rsidRPr="00B728C9">
        <w:rPr>
          <w:i/>
          <w:iCs/>
        </w:rPr>
        <w:t xml:space="preserve"> AI </w:t>
      </w:r>
      <w:proofErr w:type="spellStart"/>
      <w:r w:rsidRPr="00B728C9">
        <w:rPr>
          <w:i/>
          <w:iCs/>
        </w:rPr>
        <w:t>Science</w:t>
      </w:r>
      <w:proofErr w:type="spellEnd"/>
      <w:r w:rsidRPr="00B728C9">
        <w:rPr>
          <w:i/>
          <w:iCs/>
        </w:rPr>
        <w:t xml:space="preserve"> in Europe</w:t>
      </w:r>
      <w:r w:rsidRPr="00B728C9">
        <w:t>) ekosistemos kūrimui. Ši iniciatyva reikalauja, kad atvirojo mokslo valdysena būtų orientuota į „DI parengtumą“ (</w:t>
      </w:r>
      <w:r w:rsidRPr="00B728C9">
        <w:rPr>
          <w:i/>
          <w:iCs/>
        </w:rPr>
        <w:t>AI-</w:t>
      </w:r>
      <w:proofErr w:type="spellStart"/>
      <w:r w:rsidRPr="00B728C9">
        <w:rPr>
          <w:i/>
          <w:iCs/>
        </w:rPr>
        <w:t>readiness</w:t>
      </w:r>
      <w:proofErr w:type="spellEnd"/>
      <w:r w:rsidRPr="00B728C9">
        <w:t>), integruojant DI etikos ir mašininio mokymosi reikalavimus, numatytus DI taikymo strategijoje (</w:t>
      </w:r>
      <w:proofErr w:type="spellStart"/>
      <w:r w:rsidRPr="00B728C9">
        <w:rPr>
          <w:i/>
          <w:iCs/>
        </w:rPr>
        <w:t>Apply</w:t>
      </w:r>
      <w:proofErr w:type="spellEnd"/>
      <w:r w:rsidRPr="00B728C9">
        <w:rPr>
          <w:i/>
          <w:iCs/>
        </w:rPr>
        <w:t xml:space="preserve"> AI </w:t>
      </w:r>
      <w:proofErr w:type="spellStart"/>
      <w:r w:rsidRPr="00B728C9">
        <w:rPr>
          <w:i/>
          <w:iCs/>
        </w:rPr>
        <w:t>Strategy</w:t>
      </w:r>
      <w:proofErr w:type="spellEnd"/>
      <w:r w:rsidRPr="00B728C9">
        <w:t>, 2025).</w:t>
      </w:r>
    </w:p>
    <w:p w:rsidRPr="00B728C9" w:rsidR="00F361AF" w:rsidP="00F361AF" w:rsidRDefault="00F361AF" w14:paraId="54C467F3" w14:textId="77777777">
      <w:pPr>
        <w:rPr>
          <w:b/>
          <w:bCs/>
        </w:rPr>
      </w:pPr>
      <w:r w:rsidRPr="00B728C9">
        <w:rPr>
          <w:b/>
          <w:bCs/>
        </w:rPr>
        <w:t>2.4.1.1 Mokslinių tyrimų duomenų ir sistemų sąveikumas</w:t>
      </w:r>
    </w:p>
    <w:p w:rsidR="00F361AF" w:rsidP="00F361AF" w:rsidRDefault="00F361AF" w14:paraId="0DD4C680" w14:textId="77777777">
      <w:pPr>
        <w:jc w:val="both"/>
      </w:pPr>
      <w:r w:rsidRPr="00B728C9">
        <w:t xml:space="preserve">Mokslinių tyrimų duomenų ir sistemų sąveikumas </w:t>
      </w:r>
      <w:proofErr w:type="spellStart"/>
      <w:r w:rsidRPr="00B728C9">
        <w:t>operacionalizuojamas</w:t>
      </w:r>
      <w:proofErr w:type="spellEnd"/>
      <w:r w:rsidRPr="00B728C9">
        <w:t xml:space="preserve"> per Europos sąveikumo pagrindus (</w:t>
      </w:r>
      <w:proofErr w:type="spellStart"/>
      <w:r w:rsidRPr="00B728C9">
        <w:rPr>
          <w:i/>
          <w:iCs/>
        </w:rPr>
        <w:t>European</w:t>
      </w:r>
      <w:proofErr w:type="spellEnd"/>
      <w:r w:rsidRPr="00B728C9">
        <w:rPr>
          <w:i/>
          <w:iCs/>
        </w:rPr>
        <w:t xml:space="preserve"> </w:t>
      </w:r>
      <w:proofErr w:type="spellStart"/>
      <w:r w:rsidRPr="00B728C9">
        <w:rPr>
          <w:i/>
          <w:iCs/>
        </w:rPr>
        <w:t>Interoperability</w:t>
      </w:r>
      <w:proofErr w:type="spellEnd"/>
      <w:r w:rsidRPr="00B728C9">
        <w:rPr>
          <w:i/>
          <w:iCs/>
        </w:rPr>
        <w:t xml:space="preserve"> </w:t>
      </w:r>
      <w:proofErr w:type="spellStart"/>
      <w:r w:rsidRPr="00B728C9">
        <w:rPr>
          <w:i/>
          <w:iCs/>
        </w:rPr>
        <w:t>Framework</w:t>
      </w:r>
      <w:proofErr w:type="spellEnd"/>
      <w:r w:rsidRPr="00B728C9">
        <w:t xml:space="preserve">, EIF) bei specializuotą mokslo srities plėtinį – EOSC </w:t>
      </w:r>
      <w:proofErr w:type="spellStart"/>
      <w:r w:rsidRPr="00B728C9">
        <w:t>Interoperability</w:t>
      </w:r>
      <w:proofErr w:type="spellEnd"/>
      <w:r w:rsidRPr="00B728C9">
        <w:t xml:space="preserve"> </w:t>
      </w:r>
      <w:proofErr w:type="spellStart"/>
      <w:r w:rsidRPr="00B728C9">
        <w:t>Framework</w:t>
      </w:r>
      <w:proofErr w:type="spellEnd"/>
      <w:r w:rsidRPr="00B728C9">
        <w:t xml:space="preserve"> (EOSC-IF). Atsižvelgiant į 2025 m. strategines gaires, išskiriami keturi esminiai sąveikumo lygmenys:</w:t>
      </w:r>
    </w:p>
    <w:p w:rsidR="00F361AF" w:rsidP="00F361AF" w:rsidRDefault="00F361AF" w14:paraId="6E8D3856" w14:textId="77777777">
      <w:pPr>
        <w:jc w:val="both"/>
      </w:pPr>
      <w:r w:rsidR="00F361AF">
        <w:rPr/>
        <w:t xml:space="preserve">Šiame skyriuje </w:t>
      </w:r>
      <w:commentRangeStart w:id="1541023954"/>
      <w:r w:rsidR="00F361AF">
        <w:rPr/>
        <w:t xml:space="preserve">analizuosime </w:t>
      </w:r>
      <w:r w:rsidRPr="00D62118" w:rsidR="00F361AF">
        <w:rPr/>
        <w:t>EOSC sąveikumo</w:t>
      </w:r>
      <w:commentRangeEnd w:id="1541023954"/>
      <w:r>
        <w:rPr>
          <w:rStyle w:val="CommentReference"/>
        </w:rPr>
        <w:commentReference w:id="1541023954"/>
      </w:r>
      <w:r w:rsidRPr="00D62118" w:rsidR="00F361AF">
        <w:rPr/>
        <w:t xml:space="preserve"> sistem</w:t>
      </w:r>
      <w:r w:rsidR="00F361AF">
        <w:rPr/>
        <w:t xml:space="preserve">ą, trumpai aprašant keturis sąveikumo sluoksnius: techninį, organizacinį, semantinį ir teisinį. </w:t>
      </w:r>
      <w:r w:rsidRPr="00650E64" w:rsidR="00F361AF">
        <w:rPr/>
        <w:t xml:space="preserve">Europos sąveikumo </w:t>
      </w:r>
      <w:commentRangeStart w:id="433880682"/>
      <w:r w:rsidRPr="00650E64" w:rsidR="00F361AF">
        <w:rPr/>
        <w:t>sistema sąveikumą</w:t>
      </w:r>
      <w:commentRangeEnd w:id="433880682"/>
      <w:r>
        <w:rPr>
          <w:rStyle w:val="CommentReference"/>
        </w:rPr>
        <w:commentReference w:id="433880682"/>
      </w:r>
      <w:r w:rsidRPr="00650E64" w:rsidR="00F361AF">
        <w:rPr/>
        <w:t xml:space="preserve"> apibrėžia</w:t>
      </w:r>
      <w:r w:rsidR="00F361AF">
        <w:rPr/>
        <w:t>ma</w:t>
      </w:r>
      <w:r w:rsidRPr="00650E64" w:rsidR="00F361AF">
        <w:rPr/>
        <w:t xml:space="preserve"> kaip organizacijų gebėjim</w:t>
      </w:r>
      <w:r w:rsidR="00F361AF">
        <w:rPr/>
        <w:t>as</w:t>
      </w:r>
      <w:r w:rsidRPr="00650E64" w:rsidR="00F361AF">
        <w:rPr/>
        <w:t xml:space="preserve"> sąveikauti siekiant abipusiai naudingų tikslų, įskaitant informacijos ir žinių main</w:t>
      </w:r>
      <w:r w:rsidR="00F361AF">
        <w:rPr/>
        <w:t>ų</w:t>
      </w:r>
      <w:r w:rsidRPr="00650E64" w:rsidR="00F361AF">
        <w:rPr/>
        <w:t xml:space="preserve"> tarp šių organizacijų per jų palaikomus verslo procesus, keičiantis duomenimis tarp jų </w:t>
      </w:r>
      <w:r w:rsidR="00F361AF">
        <w:rPr/>
        <w:t xml:space="preserve">informacinių ir ryšių technologijų </w:t>
      </w:r>
      <w:r w:rsidRPr="00650E64" w:rsidR="00F361AF">
        <w:rPr/>
        <w:t>sistemų.</w:t>
      </w:r>
      <w:r>
        <w:rPr>
          <w:rStyle w:val="FootnoteReference"/>
        </w:rPr>
        <w:footnoteReference w:id="1"/>
      </w:r>
      <w:r w:rsidRPr="00650E64" w:rsidR="00F361AF">
        <w:rPr/>
        <w:t xml:space="preserve"> EOSC </w:t>
      </w:r>
      <w:r w:rsidR="00F361AF">
        <w:rPr/>
        <w:t>sąveikumo sistema</w:t>
      </w:r>
      <w:r w:rsidRPr="00650E64" w:rsidR="00F361AF">
        <w:rPr/>
        <w:t xml:space="preserve"> </w:t>
      </w:r>
      <w:r w:rsidR="00F361AF">
        <w:rPr/>
        <w:t>skirta</w:t>
      </w:r>
      <w:r w:rsidRPr="00650E64" w:rsidR="00F361AF">
        <w:rPr/>
        <w:t xml:space="preserve"> naudoti</w:t>
      </w:r>
      <w:r w:rsidR="00F361AF">
        <w:rPr/>
        <w:t>s</w:t>
      </w:r>
      <w:r w:rsidRPr="00650E64" w:rsidR="00F361AF">
        <w:rPr/>
        <w:t xml:space="preserve"> visi</w:t>
      </w:r>
      <w:r w:rsidR="00F361AF">
        <w:rPr/>
        <w:t>ems</w:t>
      </w:r>
      <w:r w:rsidRPr="00650E64" w:rsidR="00F361AF">
        <w:rPr/>
        <w:t xml:space="preserve"> subjekta</w:t>
      </w:r>
      <w:r w:rsidR="00F361AF">
        <w:rPr/>
        <w:t>ms</w:t>
      </w:r>
      <w:r w:rsidRPr="00650E64" w:rsidR="00F361AF">
        <w:rPr/>
        <w:t>, dalyvaujant</w:t>
      </w:r>
      <w:r w:rsidR="00F361AF">
        <w:rPr/>
        <w:t>iems</w:t>
      </w:r>
      <w:r w:rsidRPr="00650E64" w:rsidR="00F361AF">
        <w:rPr/>
        <w:t xml:space="preserve"> EOSC kūrime ir diegime, suteikiant</w:t>
      </w:r>
      <w:r w:rsidR="00F361AF">
        <w:rPr/>
        <w:t>i</w:t>
      </w:r>
      <w:r w:rsidRPr="00650E64" w:rsidR="00F361AF">
        <w:rPr/>
        <w:t xml:space="preserve"> bendrą supratimą apie reikalavimus, iššūkius ir rekomendacijas, į kurias jie turėtų atsižvelgti, taip pat bendrą principų rinkinį, kaip šias rekomendacijas galima įgyvendinti.</w:t>
      </w:r>
    </w:p>
    <w:p w:rsidRPr="00106240" w:rsidR="00F361AF" w:rsidP="00F361AF" w:rsidRDefault="00F361AF" w14:paraId="3AB73141" w14:textId="77777777">
      <w:pPr>
        <w:jc w:val="both"/>
        <w:rPr>
          <w:b/>
          <w:bCs/>
        </w:rPr>
      </w:pPr>
      <w:r w:rsidRPr="00106240">
        <w:rPr>
          <w:b/>
          <w:bCs/>
        </w:rPr>
        <w:lastRenderedPageBreak/>
        <w:t>Semantinis sąveikumas</w:t>
      </w:r>
    </w:p>
    <w:p w:rsidRPr="00106240" w:rsidR="00F361AF" w:rsidP="00F361AF" w:rsidRDefault="00F361AF" w14:paraId="20E967C0" w14:textId="77777777">
      <w:pPr>
        <w:jc w:val="both"/>
      </w:pPr>
      <w:r w:rsidRPr="00106240" w:rsidR="00F361AF">
        <w:rPr/>
        <w:t xml:space="preserve">Semantinį sąveikumą galima apibrėžti kaip „kompiuterinių sistemų gebėjimą perduoti duomenis su nedviprasmiška, bendra reikšme. Semantinis sąveikumas yra reikalavimas, leidžiantis naudoti </w:t>
      </w:r>
      <w:commentRangeStart w:id="1456563220"/>
      <w:r w:rsidRPr="00106240" w:rsidR="00F361AF">
        <w:rPr/>
        <w:t>mašininiu būdu skaičiuojamą logiką,</w:t>
      </w:r>
      <w:commentRangeEnd w:id="1456563220"/>
      <w:r>
        <w:rPr>
          <w:rStyle w:val="CommentReference"/>
        </w:rPr>
        <w:commentReference w:id="1456563220"/>
      </w:r>
      <w:r w:rsidRPr="00106240" w:rsidR="00F361AF">
        <w:rPr/>
        <w:t xml:space="preserve"> išvadas, žinių atradimą ir duomenų federaciją tarp informacinių sistemų“.</w:t>
      </w:r>
      <w:r w:rsidRPr="00106240">
        <w:rPr>
          <w:rStyle w:val="FootnoteReference"/>
        </w:rPr>
        <w:footnoteReference w:id="2"/>
      </w:r>
      <w:r w:rsidRPr="00106240" w:rsidR="00F361AF">
        <w:rPr/>
        <w:t xml:space="preserve"> </w:t>
      </w:r>
    </w:p>
    <w:p w:rsidR="00F361AF" w:rsidP="00F361AF" w:rsidRDefault="00F361AF" w14:paraId="353E0220" w14:textId="77777777">
      <w:pPr>
        <w:jc w:val="both"/>
      </w:pPr>
      <w:r w:rsidRPr="00106240">
        <w:t xml:space="preserve">Tai reiškia, kad semantinis sąveikumas pasiekiamas, kai perduodama informacija, jos perduota forma, turi visą reikšmę, reikalingą priimančiajai sistemai, kad ji galėtų ją teisingai interpretuoti, </w:t>
      </w:r>
      <w:r w:rsidRPr="0084795A">
        <w:t>net jeigu siuntėjas nežino, kokiais algoritmais remsis gavėjas</w:t>
      </w:r>
      <w:r w:rsidRPr="00106240">
        <w:t>. Sintaksinis sąveikumas (kuris dažnai siejamas su techniniu sąveikumu) kartais įvardijamas kaip semantinio sąveikumo prielaida. Jis užtikrina, kad tikslus keičiamų duomenų ir informacijos formatas ir reikšmė būtų išsaugomi ir suprantami per visų šalių mainus, kitaip tariant, „kas siunčiama, tas ir suprantama“.</w:t>
      </w:r>
    </w:p>
    <w:p w:rsidR="00F361AF" w:rsidP="00F361AF" w:rsidRDefault="00F361AF" w14:paraId="26E44325" w14:textId="77777777">
      <w:pPr>
        <w:jc w:val="both"/>
      </w:pPr>
      <w:r w:rsidR="00F361AF">
        <w:rPr/>
        <w:t>S</w:t>
      </w:r>
      <w:r w:rsidR="00F361AF">
        <w:rPr/>
        <w:t xml:space="preserve">emantikos </w:t>
      </w:r>
      <w:commentRangeStart w:id="1319160246"/>
      <w:r w:rsidR="00F361AF">
        <w:rPr/>
        <w:t xml:space="preserve">sampratą </w:t>
      </w:r>
      <w:r w:rsidR="00F361AF">
        <w:rPr/>
        <w:t>išplečiame</w:t>
      </w:r>
      <w:commentRangeEnd w:id="1319160246"/>
      <w:r>
        <w:rPr>
          <w:rStyle w:val="CommentReference"/>
        </w:rPr>
        <w:commentReference w:id="1319160246"/>
      </w:r>
      <w:r w:rsidR="00F361AF">
        <w:rPr/>
        <w:t xml:space="preserve"> ir peržengia </w:t>
      </w:r>
      <w:r w:rsidR="00F361AF">
        <w:rPr/>
        <w:t>„vien mašininio“ lygmens rib</w:t>
      </w:r>
      <w:r w:rsidR="00F361AF">
        <w:rPr/>
        <w:t>as</w:t>
      </w:r>
      <w:r w:rsidR="00F361AF">
        <w:rPr/>
        <w:t>:</w:t>
      </w:r>
      <w:r w:rsidR="00F361AF">
        <w:rPr/>
        <w:t xml:space="preserve"> </w:t>
      </w:r>
      <w:r w:rsidR="00F361AF">
        <w:rPr/>
        <w:t>semantinis sluoksnis reikalauja, kad ir žmonės (bendruomenės, paslaugų teikėjai, naudotojai) būtų pakankamai suderinti, kad komunikacija būtų sklandi.</w:t>
      </w:r>
      <w:r w:rsidR="00F361AF">
        <w:rPr/>
        <w:t xml:space="preserve"> Pavyzdžiui, </w:t>
      </w:r>
      <w:r w:rsidR="00F361AF">
        <w:rPr/>
        <w:t xml:space="preserve">paslaugų lygių susitarimai (SLA) turi remtis bendrais semantiniais artefaktais, </w:t>
      </w:r>
      <w:r w:rsidR="00F361AF">
        <w:rPr/>
        <w:t xml:space="preserve">reikia </w:t>
      </w:r>
      <w:r w:rsidR="00F361AF">
        <w:rPr/>
        <w:t xml:space="preserve">turėti minimalų bendrų metaduomenų formatų rinkinį bei bendrus semantinius artefaktus (pvz., ontologijas, tezaurus) tiek </w:t>
      </w:r>
      <w:r w:rsidR="00F361AF">
        <w:rPr/>
        <w:t xml:space="preserve">tyrėjų </w:t>
      </w:r>
      <w:r w:rsidR="00F361AF">
        <w:rPr/>
        <w:t>bendruomenių viduje, tiek tarp jų, kartu užtikrinant aiškią šių artefaktų valdyseną</w:t>
      </w:r>
      <w:r w:rsidR="00F361AF">
        <w:rPr/>
        <w:t>.</w:t>
      </w:r>
    </w:p>
    <w:p w:rsidRPr="00106240" w:rsidR="00F361AF" w:rsidP="00F361AF" w:rsidRDefault="00F361AF" w14:paraId="1DF09ACA" w14:textId="77777777">
      <w:pPr>
        <w:jc w:val="both"/>
      </w:pPr>
      <w:r>
        <w:rPr>
          <w:b/>
          <w:bCs/>
        </w:rPr>
        <w:t>EOSC IF minimalūs reikalavimai ir rekomendacijos semantiniam sąveikumo sluoksniui</w:t>
      </w:r>
    </w:p>
    <w:p w:rsidRPr="009B51D0" w:rsidR="00F361AF" w:rsidP="00F361AF" w:rsidRDefault="00F361AF" w14:paraId="326F01A3" w14:textId="77777777">
      <w:pPr>
        <w:jc w:val="both"/>
      </w:pPr>
      <w:r>
        <w:t xml:space="preserve">EOSC </w:t>
      </w:r>
      <w:r w:rsidRPr="00106240">
        <w:t>sąveikumo sistema</w:t>
      </w:r>
      <w:r>
        <w:t xml:space="preserve"> (IF)</w:t>
      </w:r>
      <w:r>
        <w:rPr>
          <w:rStyle w:val="FootnoteReference"/>
        </w:rPr>
        <w:footnoteReference w:id="3"/>
      </w:r>
      <w:r>
        <w:t xml:space="preserve"> s</w:t>
      </w:r>
      <w:r w:rsidRPr="009B51D0">
        <w:t>emantini</w:t>
      </w:r>
      <w:r>
        <w:t xml:space="preserve">o sąveikumo </w:t>
      </w:r>
      <w:r w:rsidRPr="009B51D0">
        <w:t xml:space="preserve"> sluoksn</w:t>
      </w:r>
      <w:r>
        <w:t>į</w:t>
      </w:r>
      <w:r w:rsidRPr="009B51D0">
        <w:t xml:space="preserve"> </w:t>
      </w:r>
      <w:r>
        <w:t>nagrinėja</w:t>
      </w:r>
      <w:r w:rsidRPr="009B51D0">
        <w:t xml:space="preserve"> per FAIR skaitmeninių objektų (FAIR Digital </w:t>
      </w:r>
      <w:proofErr w:type="spellStart"/>
      <w:r w:rsidRPr="009B51D0">
        <w:t>Objects</w:t>
      </w:r>
      <w:proofErr w:type="spellEnd"/>
      <w:r w:rsidRPr="009B51D0">
        <w:t>, FDO) modelį: EOSC ekosistemoje siekiama, kad paslaugų teikėjai, duomenų teikėjai ir paslaugų vartotojai turėtų bendrą sutartą būdą, kaip skaitmeniniai objektai yra skaitomi, interpretuojami ir naudojami. Tam reikalingas susitarimas dėl nuorodų į bendrus išteklius, kurie aprašo objekto reikšmę ir kitus sąveikumui kritinius aspektus.</w:t>
      </w:r>
    </w:p>
    <w:p w:rsidRPr="009B51D0" w:rsidR="00F361AF" w:rsidP="00F361AF" w:rsidRDefault="00F361AF" w14:paraId="679EA447" w14:textId="77777777">
      <w:pPr>
        <w:jc w:val="both"/>
      </w:pPr>
      <w:r w:rsidRPr="009B51D0">
        <w:t>Esminė mintis – FDO metaduomenys nėra vienas monolitinis blokas</w:t>
      </w:r>
      <w:r>
        <w:t>.</w:t>
      </w:r>
      <w:r w:rsidRPr="009B51D0">
        <w:t xml:space="preserve"> </w:t>
      </w:r>
      <w:r>
        <w:t>J</w:t>
      </w:r>
      <w:r w:rsidRPr="009B51D0">
        <w:t>ie suprantami kaip sluoksniuota metaduomenų struktūra, kur atskiri metaduomenų elementai nukreipia į skirtingus sąveikumo poreikius (techninius, semantinius, organizacinius, teisinius). Semantinio sluoksnio požiūriu tai reiškia, kad prasmės užtikrinimas įgyvendinamas per nuorodas (dažnai su PID) į bendrus semantinius artefaktus, kurie suteikia aiškias, mašinai skaitomas sąvokų ir savybių reikšmes.</w:t>
      </w:r>
    </w:p>
    <w:p w:rsidRPr="009B51D0" w:rsidR="00F361AF" w:rsidP="00F361AF" w:rsidRDefault="00F361AF" w14:paraId="4C111E5F" w14:textId="77777777">
      <w:pPr>
        <w:jc w:val="both"/>
      </w:pPr>
      <w:r w:rsidRPr="009B51D0">
        <w:t xml:space="preserve">Kartu pabrėžiama </w:t>
      </w:r>
      <w:proofErr w:type="spellStart"/>
      <w:r w:rsidRPr="009B51D0">
        <w:t>granuliarumo</w:t>
      </w:r>
      <w:proofErr w:type="spellEnd"/>
      <w:r w:rsidRPr="009B51D0">
        <w:t xml:space="preserve"> (</w:t>
      </w:r>
      <w:proofErr w:type="spellStart"/>
      <w:r w:rsidRPr="009B51D0">
        <w:t>smulkumo</w:t>
      </w:r>
      <w:proofErr w:type="spellEnd"/>
      <w:r w:rsidRPr="009B51D0">
        <w:t>) idėja: FDO gali egzistuoti keliuose lygiuose (pvz., visas duomenų rinkinys ir jo dalys, ar net kintamasis), o sąveikumui reikalingos nuorodos į FAIR išteklius turi būti užtikrinamos nepriklausomai nuo to, kuriame lygyje objektas vartojamas. Tokia dekompozicija leidžia semantines nuorodas (į sąvokas, apibrėžimus, schemas) perkelti į smulkesnius vienetus ir taip padidinti paieškos, jungimo bei pakartotinio panaudojimo tikslumą.</w:t>
      </w:r>
    </w:p>
    <w:p w:rsidRPr="009B51D0" w:rsidR="00F361AF" w:rsidP="00F361AF" w:rsidRDefault="00F361AF" w14:paraId="47C6EF8A" w14:textId="77777777">
      <w:pPr>
        <w:jc w:val="both"/>
      </w:pPr>
      <w:r w:rsidR="00F361AF">
        <w:rPr/>
        <w:t>S</w:t>
      </w:r>
      <w:r w:rsidR="00F361AF">
        <w:rPr/>
        <w:t xml:space="preserve">emantinis sąveikumas praktiškai remiasi </w:t>
      </w:r>
      <w:commentRangeStart w:id="1613322944"/>
      <w:r w:rsidR="00F361AF">
        <w:rPr/>
        <w:t xml:space="preserve">bendriniais </w:t>
      </w:r>
      <w:commentRangeEnd w:id="1613322944"/>
      <w:r>
        <w:rPr>
          <w:rStyle w:val="CommentReference"/>
        </w:rPr>
        <w:commentReference w:id="1613322944"/>
      </w:r>
      <w:r w:rsidR="00F361AF">
        <w:rPr/>
        <w:t xml:space="preserve">ir </w:t>
      </w:r>
      <w:r w:rsidR="00F361AF">
        <w:rPr/>
        <w:t xml:space="preserve">tyrėjų </w:t>
      </w:r>
      <w:r w:rsidR="00F361AF">
        <w:rPr/>
        <w:t xml:space="preserve">bendruomenių specifiniais semantiniais artefaktais, į kuriuos FDO ir jo metaduomenys gali dėti nuorodas. </w:t>
      </w:r>
      <w:r w:rsidR="00F361AF">
        <w:rPr/>
        <w:t>EOSC IF rekomenduoja visą</w:t>
      </w:r>
      <w:r w:rsidR="00F361AF">
        <w:rPr/>
        <w:t xml:space="preserve"> semantikos spektrą: nuo formalių (ontologijos, tezaurai) iki mažiau formalių </w:t>
      </w:r>
      <w:r w:rsidR="00F361AF">
        <w:rPr/>
        <w:t>artefaktų (UML modeliai, duomenų bazių modeliai, XML schemos). Akcentuojama, kad net mažiau formalūs artefaktai gali stiprinti sąveikumą, jei jie pateikia mašinai interpretuojamas nuorodas į formalesnius apibrėžimus (pvz., UML klasę „</w:t>
      </w:r>
      <w:r w:rsidR="00F361AF">
        <w:rPr/>
        <w:t>Asmuo</w:t>
      </w:r>
      <w:r w:rsidR="00F361AF">
        <w:rPr/>
        <w:t>“ susiejant su ontologijos sąvoka).</w:t>
      </w:r>
    </w:p>
    <w:p w:rsidRPr="009B51D0" w:rsidR="00F361AF" w:rsidP="00F361AF" w:rsidRDefault="00F361AF" w14:paraId="35E0507C" w14:textId="77777777">
      <w:pPr>
        <w:jc w:val="both"/>
      </w:pPr>
      <w:r>
        <w:t>S</w:t>
      </w:r>
      <w:r w:rsidRPr="008D15C6">
        <w:t xml:space="preserve">emantinis sluoksnis </w:t>
      </w:r>
      <w:r>
        <w:t>su</w:t>
      </w:r>
      <w:r w:rsidRPr="008D15C6">
        <w:t xml:space="preserve">konkretinamas, parodant, kaip jį praktiškai įgyvendinti pasitelkiant konceptualius </w:t>
      </w:r>
      <w:r w:rsidRPr="009B51D0">
        <w:t>metaduomenų sistemas (</w:t>
      </w:r>
      <w:proofErr w:type="spellStart"/>
      <w:r w:rsidRPr="009B51D0">
        <w:t>generic</w:t>
      </w:r>
      <w:proofErr w:type="spellEnd"/>
      <w:r w:rsidRPr="009B51D0">
        <w:t xml:space="preserve"> </w:t>
      </w:r>
      <w:proofErr w:type="spellStart"/>
      <w:r w:rsidRPr="009B51D0">
        <w:t>metadata</w:t>
      </w:r>
      <w:proofErr w:type="spellEnd"/>
      <w:r w:rsidRPr="009B51D0">
        <w:t xml:space="preserve"> </w:t>
      </w:r>
      <w:proofErr w:type="spellStart"/>
      <w:r w:rsidRPr="009B51D0">
        <w:t>frameworks</w:t>
      </w:r>
      <w:proofErr w:type="spellEnd"/>
      <w:r w:rsidRPr="009B51D0">
        <w:t xml:space="preserve"> / </w:t>
      </w:r>
      <w:proofErr w:type="spellStart"/>
      <w:r w:rsidRPr="009B51D0">
        <w:t>conceptual</w:t>
      </w:r>
      <w:proofErr w:type="spellEnd"/>
      <w:r w:rsidRPr="009B51D0">
        <w:t xml:space="preserve"> </w:t>
      </w:r>
      <w:proofErr w:type="spellStart"/>
      <w:r w:rsidRPr="009B51D0">
        <w:t>metadata</w:t>
      </w:r>
      <w:proofErr w:type="spellEnd"/>
      <w:r w:rsidRPr="009B51D0">
        <w:t xml:space="preserve"> </w:t>
      </w:r>
      <w:proofErr w:type="spellStart"/>
      <w:r w:rsidRPr="009B51D0">
        <w:t>standards</w:t>
      </w:r>
      <w:proofErr w:type="spellEnd"/>
      <w:r w:rsidRPr="009B51D0">
        <w:t xml:space="preserve">) ir duomenų tipų registrų modelius: jos apibrėžia, kaip metaduomenys turi būti konstruojami ir kokios metaduomenų sąvokos vartojamos, paliekant </w:t>
      </w:r>
      <w:r>
        <w:t>srities</w:t>
      </w:r>
      <w:r w:rsidRPr="009B51D0">
        <w:t xml:space="preserve"> specifiką </w:t>
      </w:r>
      <w:r>
        <w:t>srities</w:t>
      </w:r>
      <w:r w:rsidRPr="009B51D0">
        <w:t xml:space="preserve"> standartams. </w:t>
      </w:r>
    </w:p>
    <w:p w:rsidRPr="00106240" w:rsidR="00F361AF" w:rsidP="00F361AF" w:rsidRDefault="00F361AF" w14:paraId="797C663B" w14:textId="77777777">
      <w:pPr>
        <w:jc w:val="both"/>
        <w:rPr>
          <w:b/>
          <w:bCs/>
        </w:rPr>
      </w:pPr>
    </w:p>
    <w:p w:rsidRPr="00106240" w:rsidR="00F361AF" w:rsidP="00F361AF" w:rsidRDefault="00F361AF" w14:paraId="346AE6B0" w14:textId="77777777">
      <w:pPr>
        <w:jc w:val="both"/>
        <w:rPr>
          <w:b/>
          <w:bCs/>
        </w:rPr>
      </w:pPr>
      <w:r w:rsidRPr="003714ED">
        <w:rPr>
          <w:b/>
          <w:bCs/>
        </w:rPr>
        <w:t>Organizacinis</w:t>
      </w:r>
      <w:r w:rsidRPr="00106240">
        <w:rPr>
          <w:b/>
          <w:bCs/>
        </w:rPr>
        <w:t xml:space="preserve"> sąveikumas</w:t>
      </w:r>
    </w:p>
    <w:p w:rsidRPr="00106240" w:rsidR="00F361AF" w:rsidP="00F361AF" w:rsidRDefault="00F361AF" w14:paraId="0420AE28" w14:textId="77777777">
      <w:pPr>
        <w:jc w:val="both"/>
      </w:pPr>
      <w:bookmarkStart w:name="_Hlk214568518" w:id="0"/>
      <w:r w:rsidRPr="00106240">
        <w:t>Organizacinis</w:t>
      </w:r>
      <w:bookmarkEnd w:id="0"/>
      <w:r w:rsidRPr="00106240">
        <w:t xml:space="preserve"> sąveikumas reiškia būdą, kuriuo viešojo administravimo institucijos derina savo verslo procesus, pareigas ir lūkesčius, kad pasiektų bendrai sutartus ir abipusiai naudingus tikslus. Praktiškai organizacinis sąveikumas reiškia verslo procesų ir atitinkamos keičiamos informacijos dokumentavimą ir integravimą arba suderinimą. Organizacinio sąveikumo tikslas taip pat yra patenkinti naudotojų </w:t>
      </w:r>
      <w:r>
        <w:t xml:space="preserve">poreikį turėti </w:t>
      </w:r>
      <w:r w:rsidRPr="00106240">
        <w:t xml:space="preserve">paslaugų </w:t>
      </w:r>
      <w:r>
        <w:t>pasiekiamumą</w:t>
      </w:r>
      <w:r w:rsidRPr="00106240">
        <w:t>, lengvą atpažįstamumą, prieinamumą ir orientaciją į naudotojus.</w:t>
      </w:r>
      <w:r w:rsidRPr="00106240">
        <w:rPr>
          <w:rStyle w:val="FootnoteReference"/>
        </w:rPr>
        <w:footnoteReference w:id="4"/>
      </w:r>
    </w:p>
    <w:p w:rsidRPr="00106240" w:rsidR="00F361AF" w:rsidP="00F361AF" w:rsidRDefault="00F361AF" w14:paraId="74C5DB31" w14:textId="77777777">
      <w:pPr>
        <w:jc w:val="both"/>
      </w:pPr>
      <w:r w:rsidRPr="00106240">
        <w:t>Atsižvelgiant į bendrą  atvirojo mokslo tikslą, kuriuo grindžiama visa EOSC veikla, šis sąveikumo lygis turėtų būti sutelktas į skirtingų organizacijų, teikiančių paslaugas EOSC, procesų dokumentavimą, integravimą ar suderinimą, siekiant užtikrinti, kad tyrėjai galėtų pasiekti  atvirojo mokslo tikslus. Taip pat turėtų būti aišku, kas yra atsakingas už bendrų sąveikumo paslaugų, tokių kaip paslaugų katalogai, registrai ir bendros PID paslaugos, teikimą (taip pat kūrimą, priežiūrą ir kuravimą).</w:t>
      </w:r>
      <w:r w:rsidRPr="00106240">
        <w:rPr>
          <w:rStyle w:val="FootnoteReference"/>
        </w:rPr>
        <w:footnoteReference w:id="5"/>
      </w:r>
    </w:p>
    <w:p w:rsidRPr="00106240" w:rsidR="00F361AF" w:rsidP="00F361AF" w:rsidRDefault="00F361AF" w14:paraId="6576DC83" w14:textId="77777777">
      <w:pPr>
        <w:jc w:val="both"/>
      </w:pPr>
      <w:r w:rsidRPr="00106240">
        <w:t>EOSC sąveikumo sistema pateikia šias rekomendacijas dėl organizaci</w:t>
      </w:r>
      <w:r>
        <w:t>nio</w:t>
      </w:r>
      <w:r w:rsidRPr="00106240">
        <w:t xml:space="preserve"> sąveikumo</w:t>
      </w:r>
      <w:bookmarkStart w:name="_Hlk214565111" w:id="1"/>
      <w:r w:rsidRPr="00106240">
        <w:rPr>
          <w:rStyle w:val="FootnoteReference"/>
        </w:rPr>
        <w:footnoteReference w:id="6"/>
      </w:r>
      <w:bookmarkEnd w:id="1"/>
      <w:r w:rsidRPr="00106240">
        <w:t>:</w:t>
      </w:r>
    </w:p>
    <w:p w:rsidRPr="00106240" w:rsidR="00F361AF" w:rsidP="00F361AF" w:rsidRDefault="00F361AF" w14:paraId="1BF67538" w14:textId="77777777">
      <w:pPr>
        <w:pStyle w:val="ListParagraph"/>
        <w:numPr>
          <w:ilvl w:val="0"/>
          <w:numId w:val="3"/>
        </w:numPr>
        <w:spacing w:line="278" w:lineRule="auto"/>
        <w:jc w:val="both"/>
      </w:pPr>
      <w:r w:rsidRPr="00106240">
        <w:t>Į sąveikumą orientuotos dalyvavimo rekomendacijos.</w:t>
      </w:r>
    </w:p>
    <w:p w:rsidRPr="00106240" w:rsidR="00F361AF" w:rsidP="00F361AF" w:rsidRDefault="00F361AF" w14:paraId="58FBA0D6" w14:textId="77777777">
      <w:pPr>
        <w:pStyle w:val="ListParagraph"/>
        <w:numPr>
          <w:ilvl w:val="0"/>
          <w:numId w:val="3"/>
        </w:numPr>
        <w:spacing w:line="278" w:lineRule="auto"/>
        <w:jc w:val="both"/>
      </w:pPr>
      <w:r w:rsidRPr="00106240">
        <w:t>Standartizuotų duomenų formatų ir (arba) žodynų naudojimo rekomendacijos ir atitinkami metaduomenys.</w:t>
      </w:r>
    </w:p>
    <w:p w:rsidRPr="00106240" w:rsidR="00F361AF" w:rsidP="00F361AF" w:rsidRDefault="00F361AF" w14:paraId="4856141F" w14:textId="77777777">
      <w:pPr>
        <w:pStyle w:val="ListParagraph"/>
        <w:numPr>
          <w:ilvl w:val="0"/>
          <w:numId w:val="3"/>
        </w:numPr>
        <w:spacing w:line="278" w:lineRule="auto"/>
        <w:jc w:val="both"/>
      </w:pPr>
      <w:r w:rsidRPr="00106240">
        <w:t>Aiškus nuolatinių organizacijos pavadinimų ir funkcijų valdymas.</w:t>
      </w:r>
    </w:p>
    <w:p w:rsidRPr="00106240" w:rsidR="00F361AF" w:rsidP="00F361AF" w:rsidRDefault="00F361AF" w14:paraId="294ED60F" w14:textId="77777777">
      <w:pPr>
        <w:jc w:val="both"/>
        <w:rPr>
          <w:b/>
          <w:bCs/>
        </w:rPr>
      </w:pPr>
    </w:p>
    <w:p w:rsidRPr="00106240" w:rsidR="00F361AF" w:rsidP="00F361AF" w:rsidRDefault="00F361AF" w14:paraId="5076CD66" w14:textId="77777777">
      <w:pPr>
        <w:jc w:val="both"/>
        <w:rPr>
          <w:b/>
          <w:bCs/>
        </w:rPr>
      </w:pPr>
      <w:r w:rsidRPr="00106240">
        <w:rPr>
          <w:b/>
          <w:bCs/>
        </w:rPr>
        <w:t>Teisinis sąveikumas</w:t>
      </w:r>
    </w:p>
    <w:p w:rsidRPr="0008163F" w:rsidR="00F361AF" w:rsidP="00F361AF" w:rsidRDefault="00F361AF" w14:paraId="78B2949F" w14:textId="77777777">
      <w:pPr>
        <w:jc w:val="both"/>
      </w:pPr>
      <w:r>
        <w:t>T</w:t>
      </w:r>
      <w:r w:rsidRPr="0008163F">
        <w:t>eisinis sąveikumas apima įstatymų, politikos, procedūrų ir bendradarbiavimo susitarimų aplinką, reikalingą skland</w:t>
      </w:r>
      <w:r>
        <w:t>iems</w:t>
      </w:r>
      <w:r w:rsidRPr="0008163F">
        <w:t xml:space="preserve"> informacijos mainams ir duomenų pakartotiniam naudojimui tarp skirtingų </w:t>
      </w:r>
      <w:r w:rsidRPr="0008163F">
        <w:lastRenderedPageBreak/>
        <w:t>asmenų, organizacijų ir skirtingose jurisdikcijose.</w:t>
      </w:r>
      <w:r>
        <w:t xml:space="preserve"> </w:t>
      </w:r>
      <w:r w:rsidRPr="00A127B5">
        <w:t xml:space="preserve">Teisinis sąveikumas </w:t>
      </w:r>
      <w:r>
        <w:t>yra</w:t>
      </w:r>
      <w:r w:rsidRPr="0008163F">
        <w:t xml:space="preserve"> tarp keli</w:t>
      </w:r>
      <w:r w:rsidRPr="0008163F">
        <w:rPr>
          <w:rFonts w:ascii="Aptos" w:hAnsi="Aptos" w:cs="Aptos"/>
        </w:rPr>
        <w:t>ų</w:t>
      </w:r>
      <w:r w:rsidRPr="0008163F">
        <w:t xml:space="preserve"> duomen</w:t>
      </w:r>
      <w:r w:rsidRPr="0008163F">
        <w:rPr>
          <w:rFonts w:ascii="Aptos" w:hAnsi="Aptos" w:cs="Aptos"/>
        </w:rPr>
        <w:t>ų</w:t>
      </w:r>
      <w:r w:rsidRPr="0008163F">
        <w:t xml:space="preserve"> rinkini</w:t>
      </w:r>
      <w:r w:rsidRPr="0008163F">
        <w:rPr>
          <w:rFonts w:ascii="Aptos" w:hAnsi="Aptos" w:cs="Aptos"/>
        </w:rPr>
        <w:t>ų</w:t>
      </w:r>
      <w:r w:rsidRPr="0008163F">
        <w:t xml:space="preserve"> i</w:t>
      </w:r>
      <w:r w:rsidRPr="0008163F">
        <w:rPr>
          <w:rFonts w:ascii="Aptos" w:hAnsi="Aptos" w:cs="Aptos"/>
        </w:rPr>
        <w:t>š</w:t>
      </w:r>
      <w:r w:rsidRPr="0008163F">
        <w:t xml:space="preserve"> skirting</w:t>
      </w:r>
      <w:r w:rsidRPr="0008163F">
        <w:rPr>
          <w:rFonts w:ascii="Aptos" w:hAnsi="Aptos" w:cs="Aptos"/>
        </w:rPr>
        <w:t>ų</w:t>
      </w:r>
      <w:r w:rsidRPr="0008163F">
        <w:t xml:space="preserve"> </w:t>
      </w:r>
      <w:r w:rsidRPr="0008163F">
        <w:rPr>
          <w:rFonts w:ascii="Aptos" w:hAnsi="Aptos" w:cs="Aptos"/>
        </w:rPr>
        <w:t>š</w:t>
      </w:r>
      <w:r w:rsidRPr="0008163F">
        <w:t>altini</w:t>
      </w:r>
      <w:r w:rsidRPr="0008163F">
        <w:rPr>
          <w:rFonts w:ascii="Aptos" w:hAnsi="Aptos" w:cs="Aptos"/>
        </w:rPr>
        <w:t>ų</w:t>
      </w:r>
      <w:r w:rsidRPr="0008163F">
        <w:t>, kai:</w:t>
      </w:r>
      <w:r>
        <w:rPr>
          <w:rStyle w:val="FootnoteReference"/>
        </w:rPr>
        <w:footnoteReference w:id="7"/>
      </w:r>
    </w:p>
    <w:p w:rsidRPr="007F0B38" w:rsidR="00F361AF" w:rsidP="00F361AF" w:rsidRDefault="00F361AF" w14:paraId="75FC9E68" w14:textId="77777777">
      <w:pPr>
        <w:pStyle w:val="ListParagraph"/>
        <w:numPr>
          <w:ilvl w:val="0"/>
          <w:numId w:val="4"/>
        </w:numPr>
        <w:spacing w:line="278" w:lineRule="auto"/>
        <w:jc w:val="both"/>
      </w:pPr>
      <w:r w:rsidRPr="007F0B38">
        <w:t>Kiekvieno duomenų rinkinio teisinio naudojimo sąlygos yra aiškiai ir lengvai nustatomos, paprastai automatizuotomis priemonėmis.</w:t>
      </w:r>
    </w:p>
    <w:p w:rsidRPr="007F0B38" w:rsidR="00F361AF" w:rsidP="00F361AF" w:rsidRDefault="00F361AF" w14:paraId="7755E55A" w14:textId="77777777">
      <w:pPr>
        <w:pStyle w:val="ListParagraph"/>
        <w:numPr>
          <w:ilvl w:val="0"/>
          <w:numId w:val="4"/>
        </w:numPr>
        <w:spacing w:line="278" w:lineRule="auto"/>
        <w:jc w:val="both"/>
      </w:pPr>
      <w:r w:rsidRPr="007F0B38">
        <w:t>Kiekvienam duomenų rinkiniui nustatytos teisinio naudojimo sąlygos leidžia kurti ir naudoti kombinuotus arba išvestinius produktus.</w:t>
      </w:r>
    </w:p>
    <w:p w:rsidRPr="007F0B38" w:rsidR="00F361AF" w:rsidP="00F361AF" w:rsidRDefault="00F361AF" w14:paraId="354CAB5A" w14:textId="77777777">
      <w:pPr>
        <w:pStyle w:val="ListParagraph"/>
        <w:numPr>
          <w:ilvl w:val="0"/>
          <w:numId w:val="4"/>
        </w:numPr>
        <w:spacing w:line="278" w:lineRule="auto"/>
        <w:jc w:val="both"/>
      </w:pPr>
      <w:r w:rsidRPr="007F0B38">
        <w:t>Vartotojai gali teisėtai pasiekti ir naudoti kiekvieną duomenų rinkinį neprašydami duomenų turėtojų leidimo kiekvienu konkrečiu atveju, darant prielaidą, kad tenkinamos sukauptos kiekvieno ir visų duomenų rinkinių naudojimo sąlygos.</w:t>
      </w:r>
    </w:p>
    <w:p w:rsidRPr="007F0B38" w:rsidR="00F361AF" w:rsidP="00F361AF" w:rsidRDefault="00F361AF" w14:paraId="595666B3" w14:textId="77777777">
      <w:pPr>
        <w:pStyle w:val="ListParagraph"/>
        <w:numPr>
          <w:ilvl w:val="0"/>
          <w:numId w:val="4"/>
        </w:numPr>
        <w:spacing w:line="278" w:lineRule="auto"/>
        <w:jc w:val="both"/>
      </w:pPr>
      <w:r w:rsidRPr="007F0B38">
        <w:t>Kai prieiga prie duomenų yra ribojama, metaduomenys yra FAIR, t. y. naudojami priimti standartai duomenims apibūdinti ir taip sudaromos sąlygos juos atrasti.</w:t>
      </w:r>
    </w:p>
    <w:p w:rsidRPr="00106240" w:rsidR="00F361AF" w:rsidP="00F361AF" w:rsidRDefault="00F361AF" w14:paraId="62AEB40C" w14:textId="77777777">
      <w:pPr>
        <w:jc w:val="both"/>
      </w:pPr>
      <w:r w:rsidRPr="00106240">
        <w:t xml:space="preserve">Atsižvelgiant į EOSC ir FAIR principus, teisinis sąveikumas visų pirma reikalauja, kad duomenis būtų galima pakartotinai naudoti. Tai susiję su galimybe derinti duomenų rinkinius iš kelių šaltinių, nesukeliant konfliktų su kiekvieno duomenų rinkinio licencijos nustatytais apribojimais </w:t>
      </w:r>
      <w:r w:rsidRPr="00106240">
        <w:rPr>
          <w:rStyle w:val="FootnoteReference"/>
        </w:rPr>
        <w:footnoteReference w:id="8"/>
      </w:r>
      <w:r w:rsidRPr="00106240">
        <w:t>.</w:t>
      </w:r>
    </w:p>
    <w:p w:rsidRPr="00106240" w:rsidR="00F361AF" w:rsidP="00F361AF" w:rsidRDefault="00F361AF" w14:paraId="633E1416" w14:textId="77777777">
      <w:pPr>
        <w:jc w:val="both"/>
      </w:pPr>
      <w:r w:rsidRPr="000C2D30">
        <w:t xml:space="preserve">EOSC sąveikumo sistema nustato šias teisinio sąveikumo rekomendacijas </w:t>
      </w:r>
      <w:r w:rsidRPr="000C2D30">
        <w:rPr>
          <w:rStyle w:val="FootnoteReference"/>
        </w:rPr>
        <w:footnoteReference w:id="9"/>
      </w:r>
      <w:r w:rsidRPr="000C2D30">
        <w:t>:</w:t>
      </w:r>
    </w:p>
    <w:p w:rsidRPr="00106240" w:rsidR="00F361AF" w:rsidP="00F361AF" w:rsidRDefault="00F361AF" w14:paraId="5F958720" w14:textId="77777777">
      <w:pPr>
        <w:pStyle w:val="ListParagraph"/>
        <w:numPr>
          <w:ilvl w:val="0"/>
          <w:numId w:val="2"/>
        </w:numPr>
        <w:spacing w:line="278" w:lineRule="auto"/>
        <w:jc w:val="both"/>
      </w:pPr>
      <w:r w:rsidRPr="00106240">
        <w:t>Standartizuotos žmo</w:t>
      </w:r>
      <w:r>
        <w:t>gaus</w:t>
      </w:r>
      <w:r w:rsidRPr="00106240">
        <w:t xml:space="preserve"> ir kompiuterio skaitomos licencijos su centralizuotu žinių ir palaikymo šaltiniu autorių teisių ir licencijų klausimais.</w:t>
      </w:r>
    </w:p>
    <w:p w:rsidRPr="00106240" w:rsidR="00F361AF" w:rsidP="00F361AF" w:rsidRDefault="00F361AF" w14:paraId="066DCF7D" w14:textId="77777777">
      <w:pPr>
        <w:pStyle w:val="ListParagraph"/>
        <w:numPr>
          <w:ilvl w:val="0"/>
          <w:numId w:val="2"/>
        </w:numPr>
        <w:spacing w:line="278" w:lineRule="auto"/>
        <w:jc w:val="both"/>
      </w:pPr>
      <w:r w:rsidRPr="00106240">
        <w:t>Leidžiančios licencijos metaduomenims (ir, pageidautina, duomenims, kai tik įmanoma). Ir CC0 licencija teikiama pirmenybė, o ne CC BY 4.0.</w:t>
      </w:r>
    </w:p>
    <w:p w:rsidRPr="00106240" w:rsidR="00F361AF" w:rsidP="00F361AF" w:rsidRDefault="00F361AF" w14:paraId="3DBDA15D" w14:textId="77777777">
      <w:pPr>
        <w:pStyle w:val="ListParagraph"/>
        <w:numPr>
          <w:ilvl w:val="0"/>
          <w:numId w:val="2"/>
        </w:numPr>
        <w:spacing w:line="278" w:lineRule="auto"/>
        <w:jc w:val="both"/>
      </w:pPr>
      <w:r w:rsidRPr="00106240">
        <w:t>Skirtingų duomenų rinkinio dalių su skirtingomis licencijomis identifikavimas.</w:t>
      </w:r>
    </w:p>
    <w:p w:rsidRPr="00106240" w:rsidR="00F361AF" w:rsidP="00F361AF" w:rsidRDefault="00F361AF" w14:paraId="2EE4340B" w14:textId="77777777">
      <w:pPr>
        <w:pStyle w:val="ListParagraph"/>
        <w:numPr>
          <w:ilvl w:val="0"/>
          <w:numId w:val="2"/>
        </w:numPr>
        <w:spacing w:line="278" w:lineRule="auto"/>
        <w:jc w:val="both"/>
      </w:pPr>
      <w:r w:rsidRPr="00106240">
        <w:t xml:space="preserve">Aiškiai pažymėti pasibaigusio arba neegzistuojančio autorių teisių atvejai, taip pat ir duomenys, skirti </w:t>
      </w:r>
      <w:r>
        <w:t xml:space="preserve">kūriniams </w:t>
      </w:r>
      <w:r w:rsidRPr="00106240">
        <w:t>našlaičiams.</w:t>
      </w:r>
    </w:p>
    <w:p w:rsidRPr="00106240" w:rsidR="00F361AF" w:rsidP="00F361AF" w:rsidRDefault="00F361AF" w14:paraId="03AD59E0" w14:textId="77777777">
      <w:pPr>
        <w:pStyle w:val="ListParagraph"/>
        <w:numPr>
          <w:ilvl w:val="0"/>
          <w:numId w:val="2"/>
        </w:numPr>
        <w:spacing w:line="278" w:lineRule="auto"/>
        <w:jc w:val="both"/>
      </w:pPr>
      <w:r w:rsidRPr="00106240">
        <w:t>Aiškus EOSC rekomenduojamų licencijų sąrašas ir jų suderinamumas su valstybių narių rekomenduojamomis licencijomis</w:t>
      </w:r>
      <w:r>
        <w:t>.</w:t>
      </w:r>
    </w:p>
    <w:p w:rsidRPr="00106240" w:rsidR="00F361AF" w:rsidP="00F361AF" w:rsidRDefault="00F361AF" w14:paraId="2C5D8B9E" w14:textId="77777777">
      <w:pPr>
        <w:pStyle w:val="ListParagraph"/>
        <w:numPr>
          <w:ilvl w:val="0"/>
          <w:numId w:val="2"/>
        </w:numPr>
        <w:spacing w:line="278" w:lineRule="auto"/>
        <w:jc w:val="both"/>
      </w:pPr>
      <w:r w:rsidRPr="00106240">
        <w:t>Duomenų rinkinių licencijų raidos stebėjimas laikui bėgant.</w:t>
      </w:r>
    </w:p>
    <w:p w:rsidRPr="00106240" w:rsidR="00F361AF" w:rsidP="00F361AF" w:rsidRDefault="00F361AF" w14:paraId="1BC1EA71" w14:textId="77777777">
      <w:pPr>
        <w:pStyle w:val="ListParagraph"/>
        <w:numPr>
          <w:ilvl w:val="0"/>
          <w:numId w:val="2"/>
        </w:numPr>
        <w:spacing w:line="278" w:lineRule="auto"/>
        <w:jc w:val="both"/>
      </w:pPr>
      <w:r w:rsidRPr="00106240">
        <w:t>Suderinta politika ir gairės, kaip elgtis tais atvejais, kai patentų paraiškos pateikimas ar komercinės paslaptys gali būti pažeistos dėl atskleidimo.</w:t>
      </w:r>
    </w:p>
    <w:p w:rsidRPr="00106240" w:rsidR="00F361AF" w:rsidP="00F361AF" w:rsidRDefault="00F361AF" w14:paraId="794BB3CF" w14:textId="77777777">
      <w:pPr>
        <w:pStyle w:val="ListParagraph"/>
        <w:numPr>
          <w:ilvl w:val="0"/>
          <w:numId w:val="2"/>
        </w:numPr>
        <w:spacing w:line="278" w:lineRule="auto"/>
        <w:jc w:val="both"/>
      </w:pPr>
      <w:r w:rsidRPr="00106240">
        <w:t>BDAR atitiktis asmens duomenų tvarkymui.</w:t>
      </w:r>
    </w:p>
    <w:p w:rsidRPr="00106240" w:rsidR="00F361AF" w:rsidP="00F361AF" w:rsidRDefault="00F361AF" w14:paraId="683E0655" w14:textId="77777777">
      <w:pPr>
        <w:pStyle w:val="ListParagraph"/>
        <w:numPr>
          <w:ilvl w:val="0"/>
          <w:numId w:val="2"/>
        </w:numPr>
        <w:spacing w:line="278" w:lineRule="auto"/>
        <w:jc w:val="both"/>
      </w:pPr>
      <w:r w:rsidRPr="00106240">
        <w:t>Papildomi prieigos prie duomenų ir jų naudojimo apribojimai taikomi tik esant atitinkamiems teisės aktams arba esant teisėtiems pagrindams.</w:t>
      </w:r>
    </w:p>
    <w:p w:rsidRPr="00106240" w:rsidR="00F361AF" w:rsidP="00F361AF" w:rsidRDefault="00F361AF" w14:paraId="2E85C7B7" w14:textId="77777777">
      <w:pPr>
        <w:pStyle w:val="ListParagraph"/>
        <w:numPr>
          <w:ilvl w:val="0"/>
          <w:numId w:val="2"/>
        </w:numPr>
        <w:spacing w:line="278" w:lineRule="auto"/>
        <w:jc w:val="both"/>
      </w:pPr>
      <w:r w:rsidRPr="00106240">
        <w:t>Suderintos naudojimo sąlygos įvairiose saugyklose</w:t>
      </w:r>
      <w:r>
        <w:t>.</w:t>
      </w:r>
    </w:p>
    <w:p w:rsidRPr="00106240" w:rsidR="00F361AF" w:rsidP="00F361AF" w:rsidRDefault="00F361AF" w14:paraId="5D4B9357" w14:textId="77777777">
      <w:pPr>
        <w:pStyle w:val="ListParagraph"/>
        <w:numPr>
          <w:ilvl w:val="0"/>
          <w:numId w:val="2"/>
        </w:numPr>
        <w:spacing w:line="278" w:lineRule="auto"/>
        <w:jc w:val="both"/>
      </w:pPr>
      <w:r w:rsidRPr="00106240">
        <w:t>Valstybių narių nacionalinių teisės aktų ir EOSC suderinimas.</w:t>
      </w:r>
    </w:p>
    <w:p w:rsidR="00F361AF" w:rsidP="00F361AF" w:rsidRDefault="00F361AF" w14:paraId="376064F8" w14:textId="77777777">
      <w:pPr>
        <w:jc w:val="both"/>
        <w:rPr>
          <w:b/>
          <w:bCs/>
        </w:rPr>
      </w:pPr>
    </w:p>
    <w:p w:rsidRPr="009A6F4A" w:rsidR="00F361AF" w:rsidP="00F361AF" w:rsidRDefault="00F361AF" w14:paraId="080E5B4F" w14:textId="77777777">
      <w:pPr>
        <w:jc w:val="both"/>
        <w:rPr>
          <w:b/>
          <w:bCs/>
        </w:rPr>
      </w:pPr>
      <w:r w:rsidRPr="009A6F4A">
        <w:rPr>
          <w:b/>
          <w:bCs/>
        </w:rPr>
        <w:t>Techninis sąveikumas</w:t>
      </w:r>
    </w:p>
    <w:p w:rsidRPr="009A6F4A" w:rsidR="00F361AF" w:rsidP="00F361AF" w:rsidRDefault="00F361AF" w14:paraId="29D197AE" w14:textId="77777777">
      <w:pPr>
        <w:jc w:val="both"/>
      </w:pPr>
      <w:r w:rsidRPr="009A6F4A">
        <w:t>Techninis sąveikumo sluoksnis (</w:t>
      </w:r>
      <w:proofErr w:type="spellStart"/>
      <w:r w:rsidRPr="009A6F4A">
        <w:t>technical</w:t>
      </w:r>
      <w:proofErr w:type="spellEnd"/>
      <w:r w:rsidRPr="009A6F4A">
        <w:t xml:space="preserve"> </w:t>
      </w:r>
      <w:proofErr w:type="spellStart"/>
      <w:r w:rsidRPr="009A6F4A">
        <w:t>interoperability</w:t>
      </w:r>
      <w:proofErr w:type="spellEnd"/>
      <w:r w:rsidRPr="009A6F4A">
        <w:t>) apibrėžiamas kaip skirtingų informacinių sistemų ir programinių aplikacijų gebėjimas tarpusavyje komunikuoti ir apsikeisti informacija taip, kad sąveika būtų įmanoma nepaisant skirtingų technologinių realizacijų. Šis sluoksnis apima technines priemones ir taisykles, kurios leidžia sukurti patikimą ryšį tarp sistemų bei užtikrina, kad duomenys (ar kiti skaitmeniniai objektai) galėtų būti perduodami iš vienos sistemos į kitą.</w:t>
      </w:r>
    </w:p>
    <w:p w:rsidRPr="009A6F4A" w:rsidR="00F361AF" w:rsidP="00F361AF" w:rsidRDefault="00F361AF" w14:paraId="68B4A79B" w14:textId="77777777">
      <w:pPr>
        <w:jc w:val="both"/>
      </w:pPr>
      <w:r>
        <w:t>Svarbus</w:t>
      </w:r>
      <w:r w:rsidRPr="009A6F4A">
        <w:t xml:space="preserve"> ne vien „duomenų persiuntimo“ fakt</w:t>
      </w:r>
      <w:r>
        <w:t>as</w:t>
      </w:r>
      <w:r w:rsidRPr="009A6F4A">
        <w:t>, bet ir operacin</w:t>
      </w:r>
      <w:r>
        <w:t>is</w:t>
      </w:r>
      <w:r w:rsidRPr="009A6F4A">
        <w:t xml:space="preserve"> sąveikumo rezultatą: sistemos turi ne tik išsiųsti ir priimti informaciją, bet ir priimti viena kitos pateikiamus duomenis tokia forma, kad galėtų atlikti reikiamą veiksmą be papildomos žmogaus (operatoriaus) intervencijos. </w:t>
      </w:r>
      <w:r>
        <w:t>Todėl</w:t>
      </w:r>
      <w:r w:rsidRPr="009A6F4A">
        <w:t xml:space="preserve"> techninis sluoksnis siejamas su automatizuotu, nuosekliu paslaugų veikimu </w:t>
      </w:r>
      <w:r>
        <w:t xml:space="preserve">(angl. </w:t>
      </w:r>
      <w:proofErr w:type="spellStart"/>
      <w:r>
        <w:rPr>
          <w:i/>
          <w:iCs/>
        </w:rPr>
        <w:t>end</w:t>
      </w:r>
      <w:proofErr w:type="spellEnd"/>
      <w:r>
        <w:rPr>
          <w:i/>
          <w:iCs/>
        </w:rPr>
        <w:t>-to-</w:t>
      </w:r>
      <w:proofErr w:type="spellStart"/>
      <w:r>
        <w:rPr>
          <w:i/>
          <w:iCs/>
        </w:rPr>
        <w:t>end</w:t>
      </w:r>
      <w:proofErr w:type="spellEnd"/>
      <w:r>
        <w:t>)</w:t>
      </w:r>
      <w:r w:rsidRPr="009A6F4A">
        <w:t>, kai rankinis „suderinimas“ tampa išimtimi, o ne taisykle.</w:t>
      </w:r>
    </w:p>
    <w:p w:rsidRPr="009A6F4A" w:rsidR="00F361AF" w:rsidP="00F361AF" w:rsidRDefault="00F361AF" w14:paraId="758EC464" w14:textId="77777777">
      <w:pPr>
        <w:jc w:val="both"/>
      </w:pPr>
      <w:r w:rsidRPr="009A6F4A">
        <w:t xml:space="preserve">EOSC kontekste techninis sąveikumas </w:t>
      </w:r>
      <w:r>
        <w:t>peržengia</w:t>
      </w:r>
      <w:r w:rsidRPr="009A6F4A">
        <w:t xml:space="preserve"> tradicin</w:t>
      </w:r>
      <w:r>
        <w:t>es</w:t>
      </w:r>
      <w:r w:rsidRPr="009A6F4A">
        <w:t xml:space="preserve"> duomenų mainų rib</w:t>
      </w:r>
      <w:r>
        <w:t>as</w:t>
      </w:r>
      <w:r w:rsidRPr="009A6F4A">
        <w:t>: kalbama ir apie kitų tyrimų artefaktų (pvz., programinės įrangos, paslaugų, darbo srautų, protokolų, net aparatinės įrangos dizainų) perdavimą ir suderinamą panaudojimą. Tai reiškia, kad techninis sluoksnis turi užtikrinti sąlygas ne tik duomenų sklaidai, bet ir suderintam skaitmeninių tyrimų komponentų „įdarbinimui“ skirtingose infrastruktūrose ir paslaugų ekosistemose.</w:t>
      </w:r>
    </w:p>
    <w:p w:rsidRPr="009A6F4A" w:rsidR="00F361AF" w:rsidP="00F361AF" w:rsidRDefault="00F361AF" w14:paraId="01111D6E" w14:textId="030BF726">
      <w:pPr>
        <w:jc w:val="both"/>
      </w:pPr>
      <w:r w:rsidR="00F361AF">
        <w:rPr/>
        <w:t xml:space="preserve">Remiantis </w:t>
      </w:r>
      <w:commentRangeStart w:id="1354681239"/>
      <w:r w:rsidR="00F361AF">
        <w:rPr/>
        <w:t xml:space="preserve">EIF </w:t>
      </w:r>
      <w:commentRangeEnd w:id="1354681239"/>
      <w:r>
        <w:rPr>
          <w:rStyle w:val="CommentReference"/>
        </w:rPr>
        <w:commentReference w:id="1354681239"/>
      </w:r>
      <w:r w:rsidR="00F361AF">
        <w:rPr/>
        <w:t xml:space="preserve">logika, </w:t>
      </w:r>
      <w:r w:rsidR="00F361AF">
        <w:rPr/>
        <w:t>kuria remiasi EOSC-IF</w:t>
      </w:r>
      <w:r w:rsidR="00F361AF">
        <w:rPr/>
        <w:t>, techninis sluoksnis apima programas ir infrastruktūras, kurios įgalina sistemų sujungimą: sąsajų specifikacijas, integravimo ir tarpininkavimo paslaugas, duomenų pateikimą bei apsikeitimą</w:t>
      </w:r>
      <w:r w:rsidR="0D889B7A">
        <w:rPr/>
        <w:t xml:space="preserve"> duomenimis</w:t>
      </w:r>
      <w:r w:rsidR="00F361AF">
        <w:rPr/>
        <w:t xml:space="preserve">, taip pat saugius komunikacijos protokolus; kartu pažymima, kad kai kuriais atvejais šis sluoksnis gali būti skaidomas į infrastruktūros ir aplikacijų dalis. Tokiu būdu techninis sąveikumas traktuojamas kaip bazinė (bet nepakankama) prielaida platesniam sąveikumui, nes jis sukuria </w:t>
      </w:r>
      <w:r w:rsidR="00F361AF">
        <w:rPr/>
        <w:t>kanalus</w:t>
      </w:r>
      <w:r w:rsidR="00F361AF">
        <w:rPr/>
        <w:t xml:space="preserve"> ir vykdymo terpę, per kurią vėliau gali būti realizuojami semantiniai, organizaciniai ir teisiniai derinimai.</w:t>
      </w:r>
    </w:p>
    <w:p w:rsidR="00F361AF" w:rsidP="00F361AF" w:rsidRDefault="00F361AF" w14:paraId="08A2A40F" w14:textId="77777777">
      <w:pPr>
        <w:jc w:val="both"/>
        <w:rPr>
          <w:b/>
          <w:bCs/>
        </w:rPr>
      </w:pPr>
      <w:r>
        <w:rPr>
          <w:b/>
          <w:bCs/>
        </w:rPr>
        <w:t>EOSC IF minimalūs reikalavimai ir rekomendacijos techniniam sluoksniui</w:t>
      </w:r>
    </w:p>
    <w:p w:rsidRPr="009A6F4A" w:rsidR="00F361AF" w:rsidP="00F361AF" w:rsidRDefault="00F361AF" w14:paraId="627C9589" w14:textId="77777777">
      <w:pPr>
        <w:jc w:val="both"/>
      </w:pPr>
      <w:r>
        <w:t>EOSC IF reikalavimai t</w:t>
      </w:r>
      <w:r w:rsidRPr="009A6F4A">
        <w:t>echnini</w:t>
      </w:r>
      <w:r>
        <w:t>am</w:t>
      </w:r>
      <w:r w:rsidRPr="009A6F4A">
        <w:t xml:space="preserve"> sluoksnis </w:t>
      </w:r>
      <w:r>
        <w:t>yra</w:t>
      </w:r>
      <w:r w:rsidRPr="009A6F4A">
        <w:t xml:space="preserve"> </w:t>
      </w:r>
      <w:r>
        <w:t xml:space="preserve">laikomi minimaliais </w:t>
      </w:r>
      <w:r w:rsidRPr="009A6F4A">
        <w:t>reikalavima</w:t>
      </w:r>
      <w:r>
        <w:t>is</w:t>
      </w:r>
      <w:r w:rsidRPr="009A6F4A">
        <w:t xml:space="preserve"> EOSC sąveikumui, išvedam</w:t>
      </w:r>
      <w:r>
        <w:t>ais</w:t>
      </w:r>
      <w:r w:rsidRPr="009A6F4A">
        <w:t xml:space="preserve"> iš tipinių bendruomenių patiriamų problemų ir poreikių. </w:t>
      </w:r>
    </w:p>
    <w:p w:rsidRPr="009A6F4A" w:rsidR="00F361AF" w:rsidP="00F361AF" w:rsidRDefault="00F361AF" w14:paraId="6081960D" w14:textId="77777777">
      <w:pPr>
        <w:jc w:val="both"/>
      </w:pPr>
      <w:r w:rsidRPr="009A6F4A">
        <w:t xml:space="preserve">Pirma reikalavimų grupė siejama su tapatybės ir prieigos valdymu: praktikoje autentifikavimas ir autorizavimas dažnai vyksta atskirai kiekvienai bendruomenei/paslaugai, todėl naudotojui tenka kartoti prisijungimo ir teisių suteikimo procesus. </w:t>
      </w:r>
      <w:r>
        <w:t>EOSC IF</w:t>
      </w:r>
      <w:r w:rsidRPr="009A6F4A">
        <w:t xml:space="preserve"> pabrėžia poreikį užtikrinti kuo mažiau trikdantį, nuo vienos konkrečios bendruomenės nepriklausomą prisijungimą ir teisių gavimą (AAI), taip pat platesnį saugumo ir privatumo pagrindą patikimiems mainams</w:t>
      </w:r>
      <w:r>
        <w:t>.</w:t>
      </w:r>
      <w:r w:rsidRPr="009A6F4A">
        <w:t xml:space="preserve"> </w:t>
      </w:r>
      <w:r>
        <w:t>S</w:t>
      </w:r>
      <w:r w:rsidRPr="009A6F4A">
        <w:t>u tuo susijusi ir rekomendacija turėti aiškiai suprantamus paslaugų lygių susitarimus (SLA), kad paslaugų patikimumas ir įsipareigojimai būtų nuskaitomi skirtingoms disciplinoms.</w:t>
      </w:r>
    </w:p>
    <w:p w:rsidRPr="009A6F4A" w:rsidR="00F361AF" w:rsidP="00F361AF" w:rsidRDefault="00F361AF" w14:paraId="66665AD2" w14:textId="77777777">
      <w:pPr>
        <w:jc w:val="both"/>
      </w:pPr>
      <w:r w:rsidRPr="009A6F4A">
        <w:t xml:space="preserve">Antra </w:t>
      </w:r>
      <w:r>
        <w:t xml:space="preserve">reikalavimų </w:t>
      </w:r>
      <w:r w:rsidRPr="009A6F4A">
        <w:t xml:space="preserve">grupė kyla iš duomenų ir tyrimų objektų heterogeniškumo: skirtingos disciplinos naudoja tiek bendrinius formatus (pvz., CSV, JSON, XML), tiek </w:t>
      </w:r>
      <w:r>
        <w:t xml:space="preserve">specifinius </w:t>
      </w:r>
      <w:r w:rsidRPr="009A6F4A">
        <w:t xml:space="preserve">modelius, kuriuos sunku tarpusavyje suderinti, ypač kai trūksta antraščių, dokumentacijos ar </w:t>
      </w:r>
      <w:r>
        <w:t xml:space="preserve">susitarimų dėl </w:t>
      </w:r>
      <w:r w:rsidRPr="009A6F4A">
        <w:t>bendrų atributų. Todėl įvardijamas poreikis EOSC kontekste turėti minimalų metaduomenų taikymo profilį (</w:t>
      </w:r>
      <w:proofErr w:type="spellStart"/>
      <w:r w:rsidRPr="009A6F4A">
        <w:rPr>
          <w:i/>
          <w:iCs/>
        </w:rPr>
        <w:t>minimal</w:t>
      </w:r>
      <w:proofErr w:type="spellEnd"/>
      <w:r w:rsidRPr="009A6F4A">
        <w:rPr>
          <w:i/>
          <w:iCs/>
        </w:rPr>
        <w:t xml:space="preserve"> </w:t>
      </w:r>
      <w:proofErr w:type="spellStart"/>
      <w:r w:rsidRPr="009A6F4A">
        <w:rPr>
          <w:i/>
          <w:iCs/>
        </w:rPr>
        <w:t>metadata</w:t>
      </w:r>
      <w:proofErr w:type="spellEnd"/>
      <w:r w:rsidRPr="009A6F4A">
        <w:rPr>
          <w:i/>
          <w:iCs/>
        </w:rPr>
        <w:t xml:space="preserve"> </w:t>
      </w:r>
      <w:proofErr w:type="spellStart"/>
      <w:r w:rsidRPr="009A6F4A">
        <w:rPr>
          <w:i/>
          <w:iCs/>
        </w:rPr>
        <w:t>application</w:t>
      </w:r>
      <w:proofErr w:type="spellEnd"/>
      <w:r w:rsidRPr="009A6F4A">
        <w:rPr>
          <w:i/>
          <w:iCs/>
        </w:rPr>
        <w:t xml:space="preserve"> </w:t>
      </w:r>
      <w:proofErr w:type="spellStart"/>
      <w:r w:rsidRPr="009A6F4A">
        <w:rPr>
          <w:i/>
          <w:iCs/>
        </w:rPr>
        <w:t>profile</w:t>
      </w:r>
      <w:proofErr w:type="spellEnd"/>
      <w:r w:rsidRPr="009A6F4A">
        <w:t xml:space="preserve">), kuris leistų vienodai atrasti ir susitvarkyti su duomenimis, nepaisant jų </w:t>
      </w:r>
      <w:r w:rsidRPr="009A6F4A">
        <w:lastRenderedPageBreak/>
        <w:t>formatų įvairovės</w:t>
      </w:r>
      <w:r>
        <w:t>.</w:t>
      </w:r>
      <w:r w:rsidRPr="009A6F4A">
        <w:t xml:space="preserve"> </w:t>
      </w:r>
      <w:r>
        <w:t>R</w:t>
      </w:r>
      <w:r w:rsidRPr="009A6F4A">
        <w:t>ekomenduojama užtikrinti lengvą prieigą prie skirtingų formatų duomenų šaltinių ir įrankių, kurie padeda įveikti heterogeniškumą bei integruoti duomenis tarp bendruomenių.</w:t>
      </w:r>
    </w:p>
    <w:p w:rsidRPr="009A6F4A" w:rsidR="00F361AF" w:rsidP="00F361AF" w:rsidRDefault="00F361AF" w14:paraId="7FB70BEB" w14:textId="7CED3F20">
      <w:pPr>
        <w:jc w:val="both"/>
      </w:pPr>
      <w:r w:rsidR="00F361AF">
        <w:rPr/>
        <w:t>Trečia</w:t>
      </w:r>
      <w:r w:rsidR="00F361AF">
        <w:rPr/>
        <w:t xml:space="preserve"> reikalavimų grupė -</w:t>
      </w:r>
      <w:r w:rsidR="00F361AF">
        <w:rPr/>
        <w:t xml:space="preserve"> techniniai</w:t>
      </w:r>
      <w:r w:rsidR="00F361AF">
        <w:rPr/>
        <w:t xml:space="preserve"> reikalavimai siejami su paieškos ir </w:t>
      </w:r>
      <w:r w:rsidR="00F361AF">
        <w:rPr/>
        <w:t>su</w:t>
      </w:r>
      <w:r w:rsidR="00F361AF">
        <w:rPr/>
        <w:t>radimo (</w:t>
      </w:r>
      <w:r w:rsidRPr="3D99F165" w:rsidR="00F361AF">
        <w:rPr>
          <w:i w:val="1"/>
          <w:iCs w:val="1"/>
        </w:rPr>
        <w:t>findability</w:t>
      </w:r>
      <w:r w:rsidR="00F361AF">
        <w:rPr/>
        <w:t xml:space="preserve">) infrastruktūra: </w:t>
      </w:r>
      <w:r w:rsidR="00F361AF">
        <w:rPr/>
        <w:t xml:space="preserve">turi būti galimybė </w:t>
      </w:r>
      <w:r w:rsidR="00F361AF">
        <w:rPr/>
        <w:t>tyrimų duomenis (ir kitus tyrimų objektus) atrasti ne tik „stambiu masteliu“ (</w:t>
      </w:r>
      <w:r w:rsidRPr="3D99F165" w:rsidR="00F361AF">
        <w:rPr>
          <w:i w:val="1"/>
          <w:iCs w:val="1"/>
        </w:rPr>
        <w:t>coarse-grained</w:t>
      </w:r>
      <w:r w:rsidR="00F361AF">
        <w:rPr/>
        <w:t>), bet ir „smulkiu masteliu“ (</w:t>
      </w:r>
      <w:r w:rsidRPr="3D99F165" w:rsidR="00F361AF">
        <w:rPr>
          <w:i w:val="1"/>
          <w:iCs w:val="1"/>
        </w:rPr>
        <w:t>fine-</w:t>
      </w:r>
      <w:r w:rsidRPr="3D99F165" w:rsidR="00F361AF">
        <w:rPr>
          <w:i w:val="1"/>
          <w:iCs w:val="1"/>
        </w:rPr>
        <w:t>grained</w:t>
      </w:r>
      <w:r w:rsidR="00F361AF">
        <w:rPr/>
        <w:t xml:space="preserve">), t. y. kartais ieškoma kolekcijų ar teminių rinkinių, o kartais – konkrečių elementų jų viduje. </w:t>
      </w:r>
      <w:r w:rsidR="00F361AF">
        <w:rPr/>
        <w:t>Rekomenduojama</w:t>
      </w:r>
      <w:r w:rsidR="00F361AF">
        <w:rPr/>
        <w:t xml:space="preserve"> turėti paieškos įrankius abiem </w:t>
      </w:r>
      <w:r w:rsidR="00F361AF">
        <w:rPr/>
        <w:t xml:space="preserve">detalumo </w:t>
      </w:r>
      <w:r w:rsidR="00F361AF">
        <w:rPr/>
        <w:t>lygia</w:t>
      </w:r>
      <w:r w:rsidR="00F361AF">
        <w:rPr/>
        <w:t>ms</w:t>
      </w:r>
      <w:r w:rsidR="00F361AF">
        <w:rPr/>
        <w:t xml:space="preserve"> kaip bazin</w:t>
      </w:r>
      <w:r w:rsidR="00F361AF">
        <w:rPr/>
        <w:t>į</w:t>
      </w:r>
      <w:r w:rsidR="00F361AF">
        <w:rPr/>
        <w:t xml:space="preserve"> </w:t>
      </w:r>
      <w:r w:rsidR="00F361AF">
        <w:rPr/>
        <w:t>federuoto</w:t>
      </w:r>
      <w:r w:rsidR="00F361AF">
        <w:rPr/>
        <w:t>s</w:t>
      </w:r>
      <w:r w:rsidR="00F361AF">
        <w:rPr/>
        <w:t xml:space="preserve"> </w:t>
      </w:r>
      <w:r w:rsidR="00F361AF">
        <w:rPr/>
        <w:t>paieškos mechanizmą</w:t>
      </w:r>
      <w:r w:rsidR="00F361AF">
        <w:rPr/>
        <w:t>.</w:t>
      </w:r>
    </w:p>
    <w:p w:rsidRPr="009A6F4A" w:rsidR="00F361AF" w:rsidP="00F361AF" w:rsidRDefault="00F361AF" w14:paraId="2C512A36" w14:textId="77777777">
      <w:pPr>
        <w:jc w:val="both"/>
      </w:pPr>
      <w:r>
        <w:t>T</w:t>
      </w:r>
      <w:r w:rsidRPr="009A6F4A">
        <w:t xml:space="preserve">echniniame sluoksnyje </w:t>
      </w:r>
      <w:r>
        <w:t>svarbus</w:t>
      </w:r>
      <w:r w:rsidRPr="009A6F4A">
        <w:t xml:space="preserve"> </w:t>
      </w:r>
      <w:proofErr w:type="spellStart"/>
      <w:r>
        <w:rPr>
          <w:i/>
          <w:iCs/>
        </w:rPr>
        <w:t>persistent</w:t>
      </w:r>
      <w:proofErr w:type="spellEnd"/>
      <w:r>
        <w:rPr>
          <w:i/>
          <w:iCs/>
        </w:rPr>
        <w:t xml:space="preserve"> </w:t>
      </w:r>
      <w:proofErr w:type="spellStart"/>
      <w:r>
        <w:rPr>
          <w:i/>
          <w:iCs/>
        </w:rPr>
        <w:t>identifier</w:t>
      </w:r>
      <w:proofErr w:type="spellEnd"/>
      <w:r w:rsidRPr="009A6F4A">
        <w:t xml:space="preserve"> (PID) ir atvirų specifikacijų vaidmuo. </w:t>
      </w:r>
      <w:r>
        <w:t>E</w:t>
      </w:r>
      <w:r w:rsidRPr="009A6F4A">
        <w:t>gzistuoja daug PID sistemų</w:t>
      </w:r>
      <w:r>
        <w:t>,</w:t>
      </w:r>
      <w:r w:rsidRPr="009A6F4A">
        <w:t xml:space="preserve"> </w:t>
      </w:r>
      <w:r>
        <w:t xml:space="preserve">skiriasi jų taikymo politikos, identifikatoriai </w:t>
      </w:r>
      <w:r w:rsidRPr="009A6F4A">
        <w:t>kartais</w:t>
      </w:r>
      <w:r>
        <w:t xml:space="preserve"> ne visada tinkamai atpažįstami (</w:t>
      </w:r>
      <w:proofErr w:type="spellStart"/>
      <w:r>
        <w:rPr>
          <w:i/>
          <w:iCs/>
        </w:rPr>
        <w:t>resorved</w:t>
      </w:r>
      <w:proofErr w:type="spellEnd"/>
      <w:r>
        <w:t>)</w:t>
      </w:r>
      <w:r w:rsidRPr="009A6F4A">
        <w:t xml:space="preserve">, todėl </w:t>
      </w:r>
      <w:r>
        <w:t xml:space="preserve">reikalavimuose </w:t>
      </w:r>
      <w:r w:rsidRPr="009A6F4A">
        <w:t xml:space="preserve">įvardijamas poreikis turėti bendrą, aiškiai suprantamą PID politiką. Kartu rekomenduojama EOSC paslaugas kurti remiantis atviromis specifikacijomis, nes jos yra pagrindinis mechanizmas techniniam suderinamumui užtikrinti ir ilgalaikiam pakartotiniam naudojimui bei </w:t>
      </w:r>
      <w:r>
        <w:t>vystymui</w:t>
      </w:r>
      <w:r w:rsidRPr="009A6F4A">
        <w:t>.</w:t>
      </w:r>
    </w:p>
    <w:p w:rsidRPr="00D26FFE" w:rsidR="00F361AF" w:rsidP="00F361AF" w:rsidRDefault="00F361AF" w14:paraId="40CD2C90" w14:textId="77777777">
      <w:pPr>
        <w:jc w:val="both"/>
        <w:rPr>
          <w:b/>
          <w:bCs/>
        </w:rPr>
      </w:pPr>
    </w:p>
    <w:p w:rsidRPr="00D26FFE" w:rsidR="00F361AF" w:rsidP="00F361AF" w:rsidRDefault="00F361AF" w14:paraId="1A336D14" w14:textId="77777777">
      <w:pPr>
        <w:jc w:val="both"/>
        <w:rPr>
          <w:b/>
          <w:bCs/>
        </w:rPr>
      </w:pPr>
      <w:r w:rsidRPr="00D26FFE">
        <w:rPr>
          <w:b/>
          <w:bCs/>
        </w:rPr>
        <w:t>EOSC sąveikumo sistema – ateities perspektyvos</w:t>
      </w:r>
    </w:p>
    <w:p w:rsidRPr="00106240" w:rsidR="00F361AF" w:rsidP="00F361AF" w:rsidRDefault="00F361AF" w14:paraId="41EC46CC" w14:textId="77777777">
      <w:pPr>
        <w:jc w:val="both"/>
      </w:pPr>
      <w:r w:rsidRPr="00106240">
        <w:t xml:space="preserve">EOSC sąveikumo sistema buvo paskelbta 2021 m., </w:t>
      </w:r>
      <w:r>
        <w:t>todėl</w:t>
      </w:r>
      <w:r w:rsidRPr="00106240">
        <w:t xml:space="preserve"> labai naudinga atsižvelgti į </w:t>
      </w:r>
      <w:r w:rsidRPr="00D26FFE">
        <w:t xml:space="preserve">naujas EOSC suderinimo rekomendacijas, </w:t>
      </w:r>
      <w:r w:rsidRPr="00106240">
        <w:t>paskelbt</w:t>
      </w:r>
      <w:r>
        <w:t>as</w:t>
      </w:r>
      <w:r w:rsidRPr="00106240">
        <w:t xml:space="preserve"> 2025 m. rugsėjo 30 d. </w:t>
      </w:r>
      <w:bookmarkStart w:name="_Hlk214291725" w:id="3"/>
      <w:r w:rsidRPr="00106240">
        <w:t xml:space="preserve">tyrime „ </w:t>
      </w:r>
      <w:r w:rsidRPr="00106240">
        <w:rPr>
          <w:i/>
          <w:iCs/>
        </w:rPr>
        <w:t>Skaitmeninių teisių valdymo padėtis“.</w:t>
      </w:r>
      <w:bookmarkEnd w:id="3"/>
      <w:r w:rsidRPr="00106240">
        <w:rPr>
          <w:rStyle w:val="FootnoteReference"/>
        </w:rPr>
        <w:footnoteReference w:id="10"/>
      </w:r>
    </w:p>
    <w:p w:rsidR="00F361AF" w:rsidP="00F361AF" w:rsidRDefault="00F361AF" w14:paraId="2064D23C" w14:textId="3ADD60C8">
      <w:pPr>
        <w:jc w:val="both"/>
      </w:pPr>
      <w:bookmarkStart w:name="_Hlk214638754" w:id="4"/>
      <w:r w:rsidR="00F361AF">
        <w:rPr/>
        <w:t xml:space="preserve">Tyrimo </w:t>
      </w:r>
      <w:r w:rsidRPr="3D99F165" w:rsidR="00F361AF">
        <w:rPr>
          <w:i w:val="1"/>
          <w:iCs w:val="1"/>
        </w:rPr>
        <w:t xml:space="preserve">„Skaitmeninių teisių valdymo padėtis“ </w:t>
      </w:r>
      <w:bookmarkEnd w:id="4"/>
      <w:r w:rsidR="00F361AF">
        <w:rPr/>
        <w:t>rekomendacijų rinkiniu siekiama suderinti EOSC praktiką su išsamia teisių valdymo strategija. Šios rekomendacijos apima technines priemones, politikos lygmens veiksmus ir metaduomenų standartizavimo pastangas, atspindint daugialypį iššūkio pobūdį.</w:t>
      </w:r>
      <w:r w:rsidR="00F361AF">
        <w:rPr/>
        <w:t xml:space="preserve"> </w:t>
      </w:r>
      <w:r w:rsidR="00F361AF">
        <w:rPr/>
        <w:t xml:space="preserve">Tyrimo „Skaitmeninių teisių valdymo padėtis“ </w:t>
      </w:r>
      <w:r w:rsidR="00F361AF">
        <w:rPr/>
        <w:t>pateikiamos šios pagrindinės rekomendacijos</w:t>
      </w:r>
      <w:r w:rsidR="691D0D8A">
        <w:rPr/>
        <w:t>:</w:t>
      </w:r>
    </w:p>
    <w:p w:rsidR="00F361AF" w:rsidP="00F361AF" w:rsidRDefault="00F361AF" w14:paraId="56E1FE45" w14:textId="3A557904">
      <w:pPr>
        <w:jc w:val="both"/>
      </w:pPr>
      <w:r w:rsidRPr="3D99F165" w:rsidR="1D8FA329">
        <w:rPr>
          <w:rStyle w:val="Strong"/>
          <w:b w:val="0"/>
          <w:bCs w:val="0"/>
          <w:i w:val="1"/>
          <w:iCs w:val="1"/>
        </w:rPr>
        <w:t>P</w:t>
      </w:r>
      <w:r w:rsidRPr="3D99F165" w:rsidR="00F361AF">
        <w:rPr>
          <w:rStyle w:val="Strong"/>
          <w:b w:val="0"/>
          <w:bCs w:val="0"/>
          <w:i w:val="1"/>
          <w:iCs w:val="1"/>
        </w:rPr>
        <w:t>arengti ir priimti visoje EOSC taikomą teisių žymėjimo kalbos (RML</w:t>
      </w:r>
      <w:r w:rsidRPr="3D99F165">
        <w:rPr>
          <w:rStyle w:val="FootnoteReference"/>
          <w:b w:val="1"/>
          <w:bCs w:val="1"/>
          <w:i w:val="1"/>
          <w:iCs w:val="1"/>
        </w:rPr>
        <w:footnoteReference w:id="11"/>
      </w:r>
      <w:r w:rsidRPr="3D99F165" w:rsidR="00F361AF">
        <w:rPr>
          <w:rStyle w:val="Strong"/>
          <w:b w:val="0"/>
          <w:bCs w:val="0"/>
          <w:i w:val="1"/>
          <w:iCs w:val="1"/>
        </w:rPr>
        <w:t>) žodyną</w:t>
      </w:r>
      <w:r w:rsidRPr="00D26FFE" w:rsidR="00F361AF">
        <w:rPr>
          <w:rStyle w:val="Strong"/>
          <w:b w:val="0"/>
          <w:bCs w:val="0"/>
        </w:rPr>
        <w:t xml:space="preserve">. </w:t>
      </w:r>
      <w:r w:rsidR="00F361AF">
        <w:rPr/>
        <w:t xml:space="preserve">Pagrindinis žingsnis – EOSC turėtų užbaigti specialų RML žodyną, kuris plėstų arba </w:t>
      </w:r>
      <w:r w:rsidR="00F361AF">
        <w:rPr/>
        <w:t>profil</w:t>
      </w:r>
      <w:r w:rsidR="56D3235C">
        <w:rPr/>
        <w:t>i</w:t>
      </w:r>
      <w:r w:rsidR="00F361AF">
        <w:rPr/>
        <w:t>uotų</w:t>
      </w:r>
      <w:r w:rsidR="00F361AF">
        <w:rPr/>
        <w:t xml:space="preserve"> esamus standartus (pvz., ODRL</w:t>
      </w:r>
      <w:r w:rsidRPr="00106240">
        <w:rPr>
          <w:rStyle w:val="FootnoteReference"/>
        </w:rPr>
        <w:footnoteReference w:id="12"/>
      </w:r>
      <w:r w:rsidR="00F361AF">
        <w:rPr/>
        <w:t xml:space="preserve">), kad atitiktų EOSC specifinius reikalavimus. Šiame RML turėtų būti numatyti terminai visiems pagrindiniams identifikuotiems teisių elementams: standartinėms licencijos leidimams / draudimams, embargų laikotarpiams, prieigos sąlygoms (atvira / ribota / uždaryta), pareigoms (šaltinio nurodymas, finansavimo citavimas, pakartotinio naudojimo pranešimas), asmens duomenų indikatoriui, etinio naudojimo apribojimams ir pan. Labai svarbus suderinamumas su nusistovėjusiomis ontologijomis – pavyzdžiui, naudoti ODRL klases ir savybes leidimams bei pareigoms, integruoti </w:t>
      </w:r>
      <w:r w:rsidR="00F361AF">
        <w:rPr/>
        <w:t>DataCite</w:t>
      </w:r>
      <w:r w:rsidR="00F361AF">
        <w:rPr/>
        <w:t xml:space="preserve"> terminus pagrindinei licencijų informacijai, įtraukti DUO</w:t>
      </w:r>
      <w:r w:rsidRPr="00106240">
        <w:rPr>
          <w:rStyle w:val="FootnoteReference"/>
        </w:rPr>
        <w:footnoteReference w:id="13"/>
      </w:r>
      <w:r w:rsidR="00F361AF">
        <w:rPr/>
        <w:t xml:space="preserve"> ar panašius kodus sutikimo reikalavimams. Žodynas turėtų būti publikuojamas suteikiant jam nuolatinius URI ir pateikiamas mašininiu būdu skaitomu formatu (RDF/OWL), kad būtų lengva </w:t>
      </w:r>
      <w:r w:rsidR="00F361AF">
        <w:rPr/>
        <w:lastRenderedPageBreak/>
        <w:t xml:space="preserve">integruoti. Daugiafunkcės (daugiakalbės) žymos ir apibrėžtys padės užtikrinti pritaikymą visoje Europoje. Techniniu požiūriu šis žodynas bus teisių metaduomenų schema EOSC aplinkoje. </w:t>
      </w:r>
    </w:p>
    <w:p w:rsidRPr="00106240" w:rsidR="00F361AF" w:rsidP="00F361AF" w:rsidRDefault="00F361AF" w14:paraId="36E478EE" w14:textId="77777777">
      <w:pPr>
        <w:jc w:val="both"/>
      </w:pPr>
      <w:r w:rsidRPr="00125807">
        <w:rPr>
          <w:i/>
          <w:iCs/>
        </w:rPr>
        <w:t>Suderinti „valdomos prieigos“ sąvoką ir naujus terminus, susijusius su jautriais duomenimis.</w:t>
      </w:r>
      <w:r>
        <w:t xml:space="preserve"> </w:t>
      </w:r>
      <w:r w:rsidRPr="00621BEC">
        <w:t>Nors tam tikrais atvejais galima diegti REL</w:t>
      </w:r>
      <w:r w:rsidRPr="00106240">
        <w:rPr>
          <w:rStyle w:val="FootnoteReference"/>
        </w:rPr>
        <w:footnoteReference w:id="14"/>
      </w:r>
      <w:r w:rsidRPr="00621BEC">
        <w:t xml:space="preserve"> ir RML profilius bei plėtinius, yra jautrių duomenų rinkinys, kuriam reikalingas suderintas ir nuoseklus terminų rinkinys, apibūdinantis „valdomos prieigos“ elementus, kurie tikėtina bus išreikšti draudimais ir pareigomis. Šių terminų pagrindinis tikslas – subjektų teisių apsauga, apimanti tokias nuostatas kaip galutinio naudotojo duomenų įrašymas, gautos duomenų išvestinės patikrinimas prieš ir/arba po sukūrimo, siekiant užtikrinti subjektų teisių apsaugą, bei draudimas naudoti duomenis už kontroliuojamų aplinkų ribų. Kai kuriais atvejais pradiniai duomenys gali būti nematomi galutiniam naudotojui, o prieinami tik išvestiniai duomenys</w:t>
      </w:r>
      <w:r>
        <w:t xml:space="preserve">. </w:t>
      </w:r>
    </w:p>
    <w:p w:rsidR="00F361AF" w:rsidP="00F361AF" w:rsidRDefault="00F361AF" w14:paraId="76001075" w14:textId="77777777">
      <w:pPr>
        <w:jc w:val="both"/>
      </w:pPr>
      <w:r w:rsidRPr="00125807">
        <w:rPr>
          <w:rStyle w:val="Strong"/>
          <w:b w:val="0"/>
          <w:bCs w:val="0"/>
          <w:i/>
          <w:iCs/>
        </w:rPr>
        <w:t>Integruoti RML į saugyklų platformas (techninė integracija).</w:t>
      </w:r>
      <w:r>
        <w:rPr>
          <w:rStyle w:val="Strong"/>
        </w:rPr>
        <w:t xml:space="preserve"> </w:t>
      </w:r>
      <w:r>
        <w:t xml:space="preserve">Pagrindinės EOSC paslaugos ir duomenų saugyklų platformos turėtų būti atnaujintos taip, kad palaikytų naująjį RML. Tai reiškia, kad tokios programinės įrangos kaip </w:t>
      </w:r>
      <w:proofErr w:type="spellStart"/>
      <w:r>
        <w:t>Invenio</w:t>
      </w:r>
      <w:proofErr w:type="spellEnd"/>
      <w:r>
        <w:t xml:space="preserve"> (</w:t>
      </w:r>
      <w:proofErr w:type="spellStart"/>
      <w:r>
        <w:t>Zenodo</w:t>
      </w:r>
      <w:proofErr w:type="spellEnd"/>
      <w:r>
        <w:t xml:space="preserve">), </w:t>
      </w:r>
      <w:proofErr w:type="spellStart"/>
      <w:r>
        <w:t>Dataverse</w:t>
      </w:r>
      <w:proofErr w:type="spellEnd"/>
      <w:r>
        <w:t xml:space="preserve">, </w:t>
      </w:r>
      <w:proofErr w:type="spellStart"/>
      <w:r>
        <w:t>DSpace</w:t>
      </w:r>
      <w:proofErr w:type="spellEnd"/>
      <w:r>
        <w:t xml:space="preserve"> ir kt. turėtų leisti naudotojams pasirinkti ir priskirti teisių pareiškimus iš kontroliuojamo žodyno. </w:t>
      </w:r>
      <w:r w:rsidRPr="00575252">
        <w:t>Pavyzdžiui, duomenų įkėlimo sąsaja</w:t>
      </w:r>
      <w:r>
        <w:t xml:space="preserve"> galėtų pateikti ne tik licencijos pasirinkimą, bet ir papildomas sąlygas (pvz., „Ar yra asmens duomenų? T/N“, „Ar pakartotiniam naudojimui reikalingas sutikimas? T/N“, „Tik nekomercinis naudojimas? T/N“). Šie pasirinkimai būtų automatiškai įrašomi į metaduomenis kaip RML teiginių rinkinys. Rekomenduojame sukurti ir API</w:t>
      </w:r>
      <w:r w:rsidRPr="00106240">
        <w:rPr>
          <w:rStyle w:val="FootnoteReference"/>
        </w:rPr>
        <w:footnoteReference w:id="15"/>
      </w:r>
      <w:r>
        <w:t xml:space="preserve"> bei įrankius teisių informacijai apdoroti: rinkimo protokolai</w:t>
      </w:r>
      <w:r w:rsidRPr="00106240">
        <w:rPr>
          <w:rStyle w:val="FootnoteReference"/>
        </w:rPr>
        <w:footnoteReference w:id="16"/>
      </w:r>
      <w:r>
        <w:t xml:space="preserve"> (OAI-PMH, </w:t>
      </w:r>
      <w:proofErr w:type="spellStart"/>
      <w:r>
        <w:t>ResourceSync</w:t>
      </w:r>
      <w:proofErr w:type="spellEnd"/>
      <w:r>
        <w:t>) turėtų perduoti RML duomenis, o paketavimo standartai, tokie kaip RO-</w:t>
      </w:r>
      <w:proofErr w:type="spellStart"/>
      <w:r>
        <w:t>Crate</w:t>
      </w:r>
      <w:proofErr w:type="spellEnd"/>
      <w:r w:rsidRPr="00106240">
        <w:rPr>
          <w:rStyle w:val="FootnoteReference"/>
        </w:rPr>
        <w:footnoteReference w:id="17"/>
      </w:r>
      <w:r>
        <w:t>, turėtų turėti skyrių teisių informacijai, koduotai RML formatu. Labai svarbu, kad teisių metaduomenys būtų įtvirtinti EOSC techniniame lygmenyje – t. y. taptų duomenų mainų struktūros dalimi. Tai galėtų būti palengvinta įtraukiant RML palaikymą į EOSC pagrindines paslaugas; pavyzdžiui, EOSC metaduomenų katalogas ir PID</w:t>
      </w:r>
      <w:r w:rsidRPr="00106240">
        <w:rPr>
          <w:rStyle w:val="FootnoteReference"/>
        </w:rPr>
        <w:footnoteReference w:id="18"/>
      </w:r>
      <w:r>
        <w:t xml:space="preserve"> paslaugos galėtų turėti laukus ar susietus duomenis, nurodančius teisių žodyną.</w:t>
      </w:r>
    </w:p>
    <w:p w:rsidRPr="00BC266C" w:rsidR="00F361AF" w:rsidP="00F361AF" w:rsidRDefault="00F361AF" w14:paraId="7B845C13" w14:textId="77777777">
      <w:pPr>
        <w:jc w:val="both"/>
      </w:pPr>
      <w:r w:rsidRPr="00125807">
        <w:rPr>
          <w:i/>
          <w:iCs/>
        </w:rPr>
        <w:t>Numatyti privalomą teisių metaduomenų pateikimą EOSC politikoje.</w:t>
      </w:r>
      <w:r>
        <w:rPr>
          <w:b/>
          <w:bCs/>
        </w:rPr>
        <w:t xml:space="preserve"> </w:t>
      </w:r>
      <w:r w:rsidRPr="00BC266C">
        <w:t xml:space="preserve">Politikos lygmeniu EOSC turėtų įpareigoti teikti mašininiu būdu skaitomus teisių metaduomenis kaip sąlygą saugyklų prijungimui ar finansavimui. Kaip </w:t>
      </w:r>
      <w:proofErr w:type="spellStart"/>
      <w:r w:rsidRPr="00BC266C">
        <w:t>OpenAIRE</w:t>
      </w:r>
      <w:proofErr w:type="spellEnd"/>
      <w:r w:rsidRPr="00BC266C">
        <w:t xml:space="preserve"> gairės įtvirtino prieigos teisių lauką kaip privalomą, taip EOSC gali pakelti kartelę: bet kuris duomenų rinkinys, programinė įranga ar išteklius EOSC aplinkoje turi turėti RML pagrįstą teisių pareiškimą. Tai nereiškia, kad viskas turi būti atvira; tai reiškia, kad turi būti užtikrintas skaidrumas. Net ir ribojamos prieigos duomenys turėtų turėti RML pareiškimą, pvz., „</w:t>
      </w:r>
      <w:proofErr w:type="spellStart"/>
      <w:r w:rsidRPr="00BC266C">
        <w:t>restrictedAccess</w:t>
      </w:r>
      <w:proofErr w:type="spellEnd"/>
      <w:r w:rsidRPr="00BC266C">
        <w:t xml:space="preserve"> + </w:t>
      </w:r>
      <w:proofErr w:type="spellStart"/>
      <w:r w:rsidRPr="00BC266C">
        <w:t>reason</w:t>
      </w:r>
      <w:proofErr w:type="spellEnd"/>
      <w:r w:rsidRPr="00BC266C">
        <w:t xml:space="preserve"> (</w:t>
      </w:r>
      <w:proofErr w:type="spellStart"/>
      <w:r w:rsidRPr="00BC266C">
        <w:t>personal</w:t>
      </w:r>
      <w:proofErr w:type="spellEnd"/>
      <w:r w:rsidRPr="00BC266C">
        <w:t xml:space="preserve"> data)“, o ne būti tiesiog tyliai apriboti.</w:t>
      </w:r>
    </w:p>
    <w:p w:rsidR="00F361AF" w:rsidP="00F361AF" w:rsidRDefault="00F361AF" w14:paraId="1FCD439C" w14:textId="77777777">
      <w:pPr>
        <w:jc w:val="both"/>
      </w:pPr>
      <w:r w:rsidRPr="00F32B2D">
        <w:rPr>
          <w:rStyle w:val="Strong"/>
          <w:b w:val="0"/>
          <w:bCs w:val="0"/>
          <w:i/>
          <w:iCs/>
        </w:rPr>
        <w:t>Suderinti metaduomenų schemas/profilius, įtraukiant naujus RML elementus</w:t>
      </w:r>
      <w:r>
        <w:rPr>
          <w:rStyle w:val="Strong"/>
          <w:b w:val="0"/>
          <w:bCs w:val="0"/>
        </w:rPr>
        <w:t xml:space="preserve">. </w:t>
      </w:r>
      <w:r>
        <w:t xml:space="preserve">Rekomenduojame atnaujinti esamas metaduomenų schemas/profilius, kad jos apimtų naujus RML elementus. Pavyzdžiui, naujojoje </w:t>
      </w:r>
      <w:proofErr w:type="spellStart"/>
      <w:r>
        <w:t>OpenAIRE</w:t>
      </w:r>
      <w:proofErr w:type="spellEnd"/>
      <w:r>
        <w:t xml:space="preserve"> gairių versijoje turėtų būti įtrauktas skyrius apie tai, kaip įterpti EOSC </w:t>
      </w:r>
      <w:r>
        <w:lastRenderedPageBreak/>
        <w:t xml:space="preserve">teisių žodyną (galbūt kaip papildomą rekomenduojamą lauką arba kaip išplėsto teisių elemento dalį). </w:t>
      </w:r>
      <w:proofErr w:type="spellStart"/>
      <w:r>
        <w:t>DataCite</w:t>
      </w:r>
      <w:proofErr w:type="spellEnd"/>
      <w:r>
        <w:t xml:space="preserve"> galėtų apsvarstyti kai kuriuos iš šių elementų būsimose schemos versijose arba pateikti rekomendacijas dėl susijusių identifikatorių ar papildomų teisių metaduomenų naudojimo. Reikėtų paskelbti suderinamumo lentelę, parodančią, kaip įprasti saugyklų metaduomenys (Dublin </w:t>
      </w:r>
      <w:proofErr w:type="spellStart"/>
      <w:r>
        <w:t>Core</w:t>
      </w:r>
      <w:proofErr w:type="spellEnd"/>
      <w:r>
        <w:t xml:space="preserve">, </w:t>
      </w:r>
      <w:proofErr w:type="spellStart"/>
      <w:r>
        <w:t>DataCite</w:t>
      </w:r>
      <w:proofErr w:type="spellEnd"/>
      <w:r>
        <w:t>, schema.org) gali perteikti RML informaciją, kad įgyvendinimas būtų lengvesnis. Iš esmės tikslas yra užtikrinti, kad nepriklausomai nuo to, kokį metaduomenų standartą saugykla naudoja viduje, būtų aiškus kelias standartizuotai teisių informacijai atskleisti kitiems.</w:t>
      </w:r>
    </w:p>
    <w:p w:rsidRPr="00106240" w:rsidR="00F361AF" w:rsidP="00F361AF" w:rsidRDefault="00F361AF" w14:paraId="20A77125" w14:textId="305C8BD6">
      <w:pPr>
        <w:jc w:val="both"/>
      </w:pPr>
      <w:r w:rsidRPr="3D99F165" w:rsidR="00F361AF">
        <w:rPr>
          <w:i w:val="1"/>
          <w:iCs w:val="1"/>
        </w:rPr>
        <w:t>Integruoti į EOSC tarpusavio sąveikumo sistemą</w:t>
      </w:r>
      <w:r w:rsidR="00F361AF">
        <w:rPr/>
        <w:t xml:space="preserve">. </w:t>
      </w:r>
      <w:r w:rsidR="00F361AF">
        <w:rPr/>
        <w:t>EOSC tarpusavio sąveikumo sistema turėtų įtraukti teisinį tarpusavio sąveikumą per RML kaip pagrindinį komponentą. Tai reiškia, kad apibrėžiant, kaip EOSC ištekliai tarpusavyje sąveikauja, teisių metaduomenys būtų traktuojami taip pat svarbiai kaip techniniai metaduomenys. IF galėtų pateikti gaires, kaip naudoti RML visuose EOSC mainų sluoksniuose.</w:t>
      </w:r>
    </w:p>
    <w:p w:rsidRPr="007120DD" w:rsidR="00F361AF" w:rsidP="00F361AF" w:rsidRDefault="00F361AF" w14:paraId="52AC5821" w14:textId="77777777">
      <w:pPr>
        <w:jc w:val="both"/>
      </w:pPr>
      <w:r w:rsidRPr="007120DD">
        <w:t xml:space="preserve">EOSC </w:t>
      </w:r>
      <w:proofErr w:type="spellStart"/>
      <w:r w:rsidRPr="007120DD">
        <w:t>Interoperability</w:t>
      </w:r>
      <w:proofErr w:type="spellEnd"/>
      <w:r w:rsidRPr="007120DD">
        <w:t xml:space="preserve"> </w:t>
      </w:r>
      <w:proofErr w:type="spellStart"/>
      <w:r w:rsidRPr="007120DD">
        <w:t>Framework</w:t>
      </w:r>
      <w:proofErr w:type="spellEnd"/>
      <w:r w:rsidRPr="007120DD">
        <w:t xml:space="preserve"> (EOSC IF) savo sąveikumo logiką grindžia Europos sąveikumo pagrindu (</w:t>
      </w:r>
      <w:proofErr w:type="spellStart"/>
      <w:r w:rsidRPr="007120DD">
        <w:t>European</w:t>
      </w:r>
      <w:proofErr w:type="spellEnd"/>
      <w:r w:rsidRPr="007120DD">
        <w:t xml:space="preserve"> </w:t>
      </w:r>
      <w:proofErr w:type="spellStart"/>
      <w:r w:rsidRPr="007120DD">
        <w:t>Interoperability</w:t>
      </w:r>
      <w:proofErr w:type="spellEnd"/>
      <w:r w:rsidRPr="007120DD">
        <w:t xml:space="preserve"> </w:t>
      </w:r>
      <w:proofErr w:type="spellStart"/>
      <w:r w:rsidRPr="007120DD">
        <w:t>Framework</w:t>
      </w:r>
      <w:proofErr w:type="spellEnd"/>
      <w:r w:rsidRPr="007120DD">
        <w:t>, EIF), kuris jau seniai yra įtvirtintas kaip bendras atskaitos taškas viešojo sektoriaus sąveikumui Europoje. Todėl EOSC IF keturių sąveikumo sluoksnių (teisinio, organizacinio, semantinio ir techninio) modelis nėra „atskiras išradimas“ – jis perima EIF konceptualų karkasą ir jį pritaiko mokslinių duomenų bei paslaugų federacijos kontekstui.</w:t>
      </w:r>
    </w:p>
    <w:p w:rsidRPr="007120DD" w:rsidR="00F361AF" w:rsidP="00F361AF" w:rsidRDefault="00F361AF" w14:paraId="38BDD2F7" w14:textId="77777777">
      <w:pPr>
        <w:jc w:val="both"/>
      </w:pPr>
      <w:r w:rsidRPr="007120DD">
        <w:t>Pastaruoju metu paskelbtas naujos EIF versijos projektas (</w:t>
      </w:r>
      <w:proofErr w:type="spellStart"/>
      <w:r w:rsidRPr="007120DD">
        <w:t>draft</w:t>
      </w:r>
      <w:proofErr w:type="spellEnd"/>
      <w:r w:rsidRPr="007120DD">
        <w:t>) rodo, kad EIF evoliucionuoja: nuo bendro principų rinkinio vis labiau pereinama prie įgyvendinimo mechanizmų, aiškesnių privalomų nuostatų ir sąsajų su naujesniu ES reguliaciniu bei technologiniu kontekstu (pvz., duomenų erdvėmis, tapatybės infrastruktūra, atitikties vertinimu). Dėl to šio projekto naujovių supratimas tampa svarbus ne tik viešųjų paslaugų sąveikumui, bet ir EOSC IF interpretavimui – nes EIF kryptis formuoja platesnę aplinką, kurioje EOSC IF bus taikomas ir vystomas.</w:t>
      </w:r>
    </w:p>
    <w:p w:rsidRPr="007120DD" w:rsidR="00F361AF" w:rsidP="00F361AF" w:rsidRDefault="00F361AF" w14:paraId="65531390" w14:textId="77777777">
      <w:pPr>
        <w:jc w:val="both"/>
      </w:pPr>
      <w:r w:rsidRPr="007120DD">
        <w:t>Šioje evoliucijoje reikšmingą vaidmenį atlieka „</w:t>
      </w:r>
      <w:proofErr w:type="spellStart"/>
      <w:r w:rsidRPr="007120DD">
        <w:t>Next</w:t>
      </w:r>
      <w:proofErr w:type="spellEnd"/>
      <w:r w:rsidRPr="007120DD">
        <w:t xml:space="preserve"> </w:t>
      </w:r>
      <w:proofErr w:type="spellStart"/>
      <w:r w:rsidRPr="007120DD">
        <w:t>Generation</w:t>
      </w:r>
      <w:proofErr w:type="spellEnd"/>
      <w:r w:rsidRPr="007120DD">
        <w:t xml:space="preserve"> EIF“ neformali Europos Komisijos ekspertų grupė, kuri teikia strategines gaires EIF atnaujinimui, siekiant jį pritaikyti skaitmeninei transformacijai ir padaryti </w:t>
      </w:r>
      <w:proofErr w:type="spellStart"/>
      <w:r>
        <w:t>veiksmingenį</w:t>
      </w:r>
      <w:proofErr w:type="spellEnd"/>
      <w:r w:rsidRPr="007120DD">
        <w:t xml:space="preserve"> praktikoje. Grupės siūlymai orientuoti į tai, kad EIF taptų labiau įgyvendinamas, aiškiau suderintas su naujomis technologijomis (pvz., dirbtiniu intelektu, duomenų erdvėmis, skaitmeniniais dvyniais) ir integruotas su </w:t>
      </w:r>
      <w:proofErr w:type="spellStart"/>
      <w:r w:rsidRPr="007120DD">
        <w:t>Interoperable</w:t>
      </w:r>
      <w:proofErr w:type="spellEnd"/>
      <w:r w:rsidRPr="007120DD">
        <w:t xml:space="preserve"> Europe </w:t>
      </w:r>
      <w:proofErr w:type="spellStart"/>
      <w:r w:rsidRPr="007120DD">
        <w:t>Act</w:t>
      </w:r>
      <w:proofErr w:type="spellEnd"/>
      <w:r w:rsidRPr="007120DD">
        <w:t xml:space="preserve"> instrumentais (pvz., sąveikumo vertinimais, sprendinių „</w:t>
      </w:r>
      <w:proofErr w:type="spellStart"/>
      <w:r w:rsidRPr="007120DD">
        <w:t>labeling</w:t>
      </w:r>
      <w:proofErr w:type="spellEnd"/>
      <w:r w:rsidRPr="007120DD">
        <w:t xml:space="preserve">“, </w:t>
      </w:r>
      <w:proofErr w:type="spellStart"/>
      <w:r w:rsidRPr="007120DD">
        <w:t>Interoperable</w:t>
      </w:r>
      <w:proofErr w:type="spellEnd"/>
      <w:r w:rsidRPr="007120DD">
        <w:t xml:space="preserve"> Europe Portalu). Kartu akcentuojama, kad EIF atnaujinimas turi sustiprinti esminius principus – </w:t>
      </w:r>
      <w:r>
        <w:t>orientaciją į vartotoją</w:t>
      </w:r>
      <w:r w:rsidRPr="007120DD">
        <w:t xml:space="preserve"> ir prieinamumą, atvirumą ir pernaudojimą, technologinį neutralumą ir </w:t>
      </w:r>
      <w:proofErr w:type="spellStart"/>
      <w:r w:rsidRPr="007120DD">
        <w:t>perkeliamumą</w:t>
      </w:r>
      <w:proofErr w:type="spellEnd"/>
      <w:r w:rsidRPr="007120DD">
        <w:t>, saugumą ir privatumą, taip pat daugiakalbystę ir skaidrumą.</w:t>
      </w:r>
    </w:p>
    <w:p w:rsidR="00F361AF" w:rsidP="3D99F165" w:rsidRDefault="00F361AF" w14:paraId="3F22603E" w14:textId="626BDA26">
      <w:pPr>
        <w:pStyle w:val="Normal"/>
      </w:pPr>
      <w:r w:rsidR="00F361AF">
        <w:rPr/>
        <w:t>Atsižvelgiant į tai, EIF projekto analizė leidžia geriau orientuotis, kur link juda sąveikumo politika ir praktika ES mastu, ir kokių papildomų reikalavimų ar lūkesčių ateityje gali atsirasti EOSC ekosistemai. Kitaip tariant, kuo aiškiau suprantamos EIF projekto siūlomos kryptys, tuo tiksliau galima vertinti, kaip EOSC IF nuostatos derės su naujuoju horizontaliu sąveikumo „stuburu“ ir kokius pokyčius verta numatyti EOSC įgyvendi</w:t>
      </w:r>
      <w:r w:rsidR="7AE2A041">
        <w:rPr/>
        <w:t>nimo planuose.</w:t>
      </w:r>
    </w:p>
    <w:p w:rsidRPr="007120DD" w:rsidR="00F361AF" w:rsidP="00F361AF" w:rsidRDefault="00F361AF" w14:paraId="24D2F7B4" w14:textId="77777777">
      <w:pPr>
        <w:jc w:val="both"/>
      </w:pPr>
      <w:r w:rsidRPr="007120DD">
        <w:t xml:space="preserve">Pirmiausia skiriasi paskirtis ir taikymo laukas. EOSC IF (2021) yra </w:t>
      </w:r>
      <w:proofErr w:type="spellStart"/>
      <w:r w:rsidRPr="007120DD">
        <w:t>sektoriškai</w:t>
      </w:r>
      <w:proofErr w:type="spellEnd"/>
      <w:r w:rsidRPr="007120DD">
        <w:t xml:space="preserve"> orientuotas į mokslinių duomenų ir paslaugų federaciją EOSC ekosistemoje, o jo „minimalūs reikalavimai“ pateikiami kaip </w:t>
      </w:r>
      <w:r>
        <w:t xml:space="preserve">tyrėjų </w:t>
      </w:r>
      <w:r w:rsidRPr="007120DD">
        <w:t xml:space="preserve">bendruomenėse identifikuotų problemų/poreikių ir rekomendacijų rinkinys, stipriai remiantis FAIR Digital </w:t>
      </w:r>
      <w:proofErr w:type="spellStart"/>
      <w:r w:rsidRPr="007120DD">
        <w:t>Object</w:t>
      </w:r>
      <w:proofErr w:type="spellEnd"/>
      <w:r w:rsidRPr="007120DD">
        <w:t xml:space="preserve"> (FDO) idėja. Be to, pats dokumentas aiškiai pasako, kad neduoda konkrečios </w:t>
      </w:r>
      <w:r w:rsidRPr="007120DD">
        <w:lastRenderedPageBreak/>
        <w:t>rekomendacijos, kaip technologiškai įgyvendinti skaitmeninius objektus ar „</w:t>
      </w:r>
      <w:proofErr w:type="spellStart"/>
      <w:r w:rsidRPr="007120DD">
        <w:t>building</w:t>
      </w:r>
      <w:proofErr w:type="spellEnd"/>
      <w:r w:rsidRPr="007120DD">
        <w:t xml:space="preserve"> </w:t>
      </w:r>
      <w:proofErr w:type="spellStart"/>
      <w:r w:rsidRPr="007120DD">
        <w:t>blocks</w:t>
      </w:r>
      <w:proofErr w:type="spellEnd"/>
      <w:r w:rsidRPr="007120DD">
        <w:t>“ – tai paliekama už jo apimties ribų.</w:t>
      </w:r>
    </w:p>
    <w:p w:rsidRPr="007120DD" w:rsidR="00F361AF" w:rsidP="00F361AF" w:rsidRDefault="00F361AF" w14:paraId="4C756B50" w14:textId="77777777">
      <w:pPr>
        <w:jc w:val="both"/>
      </w:pPr>
      <w:r w:rsidRPr="007120DD">
        <w:t>„</w:t>
      </w:r>
      <w:proofErr w:type="spellStart"/>
      <w:r w:rsidRPr="007120DD">
        <w:t>Next</w:t>
      </w:r>
      <w:proofErr w:type="spellEnd"/>
      <w:r w:rsidRPr="007120DD">
        <w:t xml:space="preserve"> </w:t>
      </w:r>
      <w:proofErr w:type="spellStart"/>
      <w:r w:rsidRPr="007120DD">
        <w:t>Generation</w:t>
      </w:r>
      <w:proofErr w:type="spellEnd"/>
      <w:r w:rsidRPr="007120DD">
        <w:t xml:space="preserve"> EIF </w:t>
      </w:r>
      <w:proofErr w:type="spellStart"/>
      <w:r w:rsidRPr="007120DD">
        <w:t>Blueprint</w:t>
      </w:r>
      <w:proofErr w:type="spellEnd"/>
      <w:r w:rsidRPr="007120DD">
        <w:t>“ projektas, priešingai, yra kuriamas kaip visam ES viešajam sektoriui skirtas veikimo karkasas, kurio naujumas (jei jis taptų patvirtintu reguliavimo) būtų privalomumo ir valdysenos (</w:t>
      </w:r>
      <w:proofErr w:type="spellStart"/>
      <w:r w:rsidRPr="007120DD">
        <w:t>governance</w:t>
      </w:r>
      <w:proofErr w:type="spellEnd"/>
      <w:r w:rsidRPr="007120DD">
        <w:t xml:space="preserve">) sugriežtinimas. Projektas save aiškiai „įtvirtina“ </w:t>
      </w:r>
      <w:proofErr w:type="spellStart"/>
      <w:r w:rsidRPr="007120DD">
        <w:t>Interoperable</w:t>
      </w:r>
      <w:proofErr w:type="spellEnd"/>
      <w:r w:rsidRPr="007120DD">
        <w:t xml:space="preserve"> Europe </w:t>
      </w:r>
      <w:proofErr w:type="spellStart"/>
      <w:r w:rsidRPr="007120DD">
        <w:t>Act</w:t>
      </w:r>
      <w:proofErr w:type="spellEnd"/>
      <w:r w:rsidRPr="007120DD">
        <w:t xml:space="preserve"> logikoje: akcentuoja, kad EIF turi būti laikomas atskaitos tašku ir turi sąveikauti su akte numatytomis praktikomis (įskaitant </w:t>
      </w:r>
      <w:proofErr w:type="spellStart"/>
      <w:r w:rsidRPr="007120DD">
        <w:rPr>
          <w:i/>
          <w:iCs/>
        </w:rPr>
        <w:t>interoperability</w:t>
      </w:r>
      <w:proofErr w:type="spellEnd"/>
      <w:r w:rsidRPr="007120DD">
        <w:rPr>
          <w:i/>
          <w:iCs/>
        </w:rPr>
        <w:t xml:space="preserve"> </w:t>
      </w:r>
      <w:proofErr w:type="spellStart"/>
      <w:r w:rsidRPr="007120DD">
        <w:rPr>
          <w:i/>
          <w:iCs/>
        </w:rPr>
        <w:t>assessments</w:t>
      </w:r>
      <w:proofErr w:type="spellEnd"/>
      <w:r w:rsidRPr="007120DD">
        <w:t xml:space="preserve"> prieš diegiant ar keičiant skaitmenines sistemas). </w:t>
      </w:r>
    </w:p>
    <w:p w:rsidRPr="007120DD" w:rsidR="00F361AF" w:rsidP="00F361AF" w:rsidRDefault="00F361AF" w14:paraId="4FA2BB5F" w14:textId="77777777">
      <w:pPr>
        <w:jc w:val="both"/>
      </w:pPr>
      <w:r w:rsidRPr="00AD1539">
        <w:t>P</w:t>
      </w:r>
      <w:r w:rsidRPr="007120DD">
        <w:t xml:space="preserve">rojektas akivaizdžiai </w:t>
      </w:r>
      <w:r w:rsidRPr="00AD1539">
        <w:t>dėmesio centrą perkelia</w:t>
      </w:r>
      <w:r w:rsidRPr="007120DD">
        <w:t xml:space="preserve"> nuo aukšto lygio principų prie vykd</w:t>
      </w:r>
      <w:r>
        <w:t>ytinų</w:t>
      </w:r>
      <w:r w:rsidRPr="007120DD">
        <w:t xml:space="preserve"> rekomendacijų: daug rekomendacijų </w:t>
      </w:r>
      <w:r>
        <w:t>projekte</w:t>
      </w:r>
      <w:r w:rsidRPr="007120DD">
        <w:t xml:space="preserve"> turi „</w:t>
      </w:r>
      <w:proofErr w:type="spellStart"/>
      <w:r w:rsidRPr="007120DD">
        <w:rPr>
          <w:i/>
          <w:iCs/>
        </w:rPr>
        <w:t>Nature</w:t>
      </w:r>
      <w:proofErr w:type="spellEnd"/>
      <w:r w:rsidRPr="007120DD">
        <w:rPr>
          <w:i/>
          <w:iCs/>
        </w:rPr>
        <w:t xml:space="preserve">: </w:t>
      </w:r>
      <w:proofErr w:type="spellStart"/>
      <w:r w:rsidRPr="007120DD">
        <w:rPr>
          <w:i/>
          <w:iCs/>
        </w:rPr>
        <w:t>Mandatory</w:t>
      </w:r>
      <w:proofErr w:type="spellEnd"/>
      <w:r w:rsidRPr="007120DD">
        <w:t xml:space="preserve">“, jos pririšamos prie konkrečių </w:t>
      </w:r>
      <w:r w:rsidRPr="00AD1539">
        <w:t>suinteresuotų šalių</w:t>
      </w:r>
      <w:r w:rsidRPr="007120DD">
        <w:t xml:space="preserve"> rol</w:t>
      </w:r>
      <w:r w:rsidRPr="00AD1539">
        <w:t>ių</w:t>
      </w:r>
      <w:r w:rsidRPr="007120DD">
        <w:t>, sąveikumo sluoksnių, principų, teisėkūros atramų ir net „</w:t>
      </w:r>
      <w:proofErr w:type="spellStart"/>
      <w:r w:rsidRPr="007120DD">
        <w:t>Interoperable</w:t>
      </w:r>
      <w:proofErr w:type="spellEnd"/>
      <w:r w:rsidRPr="007120DD">
        <w:t xml:space="preserve"> Europe“ sprendinių (pvz., </w:t>
      </w:r>
      <w:proofErr w:type="spellStart"/>
      <w:r w:rsidRPr="007120DD">
        <w:rPr>
          <w:i/>
          <w:iCs/>
        </w:rPr>
        <w:t>observability</w:t>
      </w:r>
      <w:proofErr w:type="spellEnd"/>
      <w:r w:rsidRPr="007120DD">
        <w:rPr>
          <w:i/>
          <w:iCs/>
        </w:rPr>
        <w:t>/</w:t>
      </w:r>
      <w:proofErr w:type="spellStart"/>
      <w:r w:rsidRPr="007120DD">
        <w:rPr>
          <w:i/>
          <w:iCs/>
        </w:rPr>
        <w:t>performance</w:t>
      </w:r>
      <w:proofErr w:type="spellEnd"/>
      <w:r w:rsidRPr="007120DD">
        <w:rPr>
          <w:i/>
          <w:iCs/>
        </w:rPr>
        <w:t xml:space="preserve"> </w:t>
      </w:r>
      <w:proofErr w:type="spellStart"/>
      <w:r w:rsidRPr="007120DD">
        <w:rPr>
          <w:i/>
          <w:iCs/>
        </w:rPr>
        <w:t>monitoring</w:t>
      </w:r>
      <w:proofErr w:type="spellEnd"/>
      <w:r w:rsidRPr="007120DD">
        <w:rPr>
          <w:i/>
          <w:iCs/>
        </w:rPr>
        <w:t xml:space="preserve">, </w:t>
      </w:r>
      <w:proofErr w:type="spellStart"/>
      <w:r w:rsidRPr="007120DD">
        <w:rPr>
          <w:i/>
          <w:iCs/>
        </w:rPr>
        <w:t>lifecycle</w:t>
      </w:r>
      <w:proofErr w:type="spellEnd"/>
      <w:r w:rsidRPr="007120DD">
        <w:rPr>
          <w:i/>
          <w:iCs/>
        </w:rPr>
        <w:t xml:space="preserve"> </w:t>
      </w:r>
      <w:proofErr w:type="spellStart"/>
      <w:r w:rsidRPr="007120DD">
        <w:rPr>
          <w:i/>
          <w:iCs/>
        </w:rPr>
        <w:t>management</w:t>
      </w:r>
      <w:proofErr w:type="spellEnd"/>
      <w:r w:rsidRPr="007120DD">
        <w:rPr>
          <w:i/>
          <w:iCs/>
        </w:rPr>
        <w:t xml:space="preserve">, </w:t>
      </w:r>
      <w:proofErr w:type="spellStart"/>
      <w:r w:rsidRPr="007120DD">
        <w:rPr>
          <w:i/>
          <w:iCs/>
        </w:rPr>
        <w:t>certification</w:t>
      </w:r>
      <w:proofErr w:type="spellEnd"/>
      <w:r w:rsidRPr="007120DD">
        <w:rPr>
          <w:i/>
          <w:iCs/>
        </w:rPr>
        <w:t xml:space="preserve"> &amp; </w:t>
      </w:r>
      <w:proofErr w:type="spellStart"/>
      <w:r w:rsidRPr="007120DD">
        <w:rPr>
          <w:i/>
          <w:iCs/>
        </w:rPr>
        <w:t>conformance</w:t>
      </w:r>
      <w:proofErr w:type="spellEnd"/>
      <w:r w:rsidRPr="007120DD">
        <w:t>). Tai yra esminis poslinkis nuo EOSC IF, kuriame labiau fiksuojami poreikiai ir kryptys, bet mažiau standartizuojamas atskaitomybės ir atitikties mechanizmas.</w:t>
      </w:r>
    </w:p>
    <w:p w:rsidRPr="007120DD" w:rsidR="00F361AF" w:rsidP="00F361AF" w:rsidRDefault="00F361AF" w14:paraId="30FB0726" w14:textId="77777777">
      <w:pPr>
        <w:jc w:val="both"/>
      </w:pPr>
      <w:r>
        <w:t>Projektas</w:t>
      </w:r>
      <w:r w:rsidRPr="007120DD">
        <w:t xml:space="preserve"> atneša naują politinių/technologinių realijų paketą, kurio EOSC IF (2021) natūraliai neintegravo kaip „privalomo karkaso“: aiškiai įtraukiami Data </w:t>
      </w:r>
      <w:proofErr w:type="spellStart"/>
      <w:r w:rsidRPr="007120DD">
        <w:t>Governance</w:t>
      </w:r>
      <w:proofErr w:type="spellEnd"/>
      <w:r w:rsidRPr="007120DD">
        <w:t xml:space="preserve"> </w:t>
      </w:r>
      <w:proofErr w:type="spellStart"/>
      <w:r w:rsidRPr="007120DD">
        <w:t>Act</w:t>
      </w:r>
      <w:proofErr w:type="spellEnd"/>
      <w:r w:rsidRPr="007120DD">
        <w:t xml:space="preserve">, AI </w:t>
      </w:r>
      <w:proofErr w:type="spellStart"/>
      <w:r w:rsidRPr="007120DD">
        <w:t>Act</w:t>
      </w:r>
      <w:proofErr w:type="spellEnd"/>
      <w:r w:rsidRPr="007120DD">
        <w:t xml:space="preserve">, EU Digital </w:t>
      </w:r>
      <w:proofErr w:type="spellStart"/>
      <w:r w:rsidRPr="007120DD">
        <w:t>Identity</w:t>
      </w:r>
      <w:proofErr w:type="spellEnd"/>
      <w:r w:rsidRPr="007120DD">
        <w:t xml:space="preserve"> </w:t>
      </w:r>
      <w:proofErr w:type="spellStart"/>
      <w:r w:rsidRPr="007120DD">
        <w:t>Wallet</w:t>
      </w:r>
      <w:proofErr w:type="spellEnd"/>
      <w:r w:rsidRPr="007120DD">
        <w:t xml:space="preserve"> / </w:t>
      </w:r>
      <w:proofErr w:type="spellStart"/>
      <w:r w:rsidRPr="007120DD">
        <w:t>eIDAS</w:t>
      </w:r>
      <w:proofErr w:type="spellEnd"/>
      <w:r w:rsidRPr="007120DD">
        <w:t xml:space="preserve"> evoliucija, EU Data </w:t>
      </w:r>
      <w:proofErr w:type="spellStart"/>
      <w:r w:rsidRPr="007120DD">
        <w:t>Spaces</w:t>
      </w:r>
      <w:proofErr w:type="spellEnd"/>
      <w:r w:rsidRPr="007120DD">
        <w:t xml:space="preserve">, duomenų suverenitetas ir panašūs horizontalūs režimai. Taip EIF iš principų rinkinio tampa „mazgu“, jungiančiu viešųjų paslaugų sąveikumą su duomenų erdvėmis, tapatybės sluoksniu ir </w:t>
      </w:r>
      <w:r>
        <w:t>D</w:t>
      </w:r>
      <w:r w:rsidRPr="007120DD">
        <w:t>I skaidrumo/</w:t>
      </w:r>
      <w:r>
        <w:t>sąveikumo</w:t>
      </w:r>
      <w:r w:rsidRPr="007120DD">
        <w:t xml:space="preserve"> reikalavimais.</w:t>
      </w:r>
    </w:p>
    <w:p w:rsidRPr="007120DD" w:rsidR="00F361AF" w:rsidP="00F361AF" w:rsidRDefault="00F361AF" w14:paraId="294E1C44" w14:textId="77777777">
      <w:pPr>
        <w:jc w:val="both"/>
      </w:pPr>
      <w:r>
        <w:t>J</w:t>
      </w:r>
      <w:r w:rsidRPr="007120DD">
        <w:t>ei projektas taptų patvirtintu reguliavimo standartu, praktiškai tai reikštų vienodesnę, labiau išmatuojamą ir audituojamą bazę visoms valstybėms narėms: NIF suderinimą su EIF, privalomus stebėsenos mechanizmus, aiškesnę atsakomybę (CIO/</w:t>
      </w:r>
      <w:proofErr w:type="spellStart"/>
      <w:r w:rsidRPr="007120DD">
        <w:t>koord</w:t>
      </w:r>
      <w:proofErr w:type="spellEnd"/>
      <w:r w:rsidRPr="007120DD">
        <w:t xml:space="preserve">.), taip pat sąsajas su finansavimu ir pirkimais. EOSC IF tokiu atveju išliktų kaip </w:t>
      </w:r>
      <w:r>
        <w:t>sektorinis</w:t>
      </w:r>
      <w:r w:rsidRPr="007120DD">
        <w:t xml:space="preserve"> (mokslinių duomenų) karkasas, bet veiktų „ant“ griežtesnio horizontalaus pagrindo: pvz., semantinių artefaktų ir minimalių metaduomenų idėjos galėtų lengviau „susikalbėti“ su EIF skatinamomis </w:t>
      </w:r>
      <w:proofErr w:type="spellStart"/>
      <w:r w:rsidRPr="007120DD">
        <w:t>Core</w:t>
      </w:r>
      <w:proofErr w:type="spellEnd"/>
      <w:r w:rsidRPr="007120DD">
        <w:t xml:space="preserve"> </w:t>
      </w:r>
      <w:proofErr w:type="spellStart"/>
      <w:r w:rsidRPr="007120DD">
        <w:t>Vocabularies</w:t>
      </w:r>
      <w:proofErr w:type="spellEnd"/>
      <w:r w:rsidRPr="007120DD">
        <w:t>/DCAT-AP, atitikties testavimo ir pernaudojimo katalogų praktikomis.</w:t>
      </w:r>
    </w:p>
    <w:p w:rsidR="00F361AF" w:rsidP="00F361AF" w:rsidRDefault="00F361AF" w14:paraId="077F43A9" w14:textId="77777777">
      <w:pPr>
        <w:rPr>
          <w:b/>
          <w:bCs/>
        </w:rPr>
      </w:pPr>
    </w:p>
    <w:p w:rsidRPr="00B728C9" w:rsidR="00F361AF" w:rsidP="00F361AF" w:rsidRDefault="00F361AF" w14:paraId="5C060B87" w14:textId="40012899">
      <w:pPr>
        <w:rPr>
          <w:b/>
          <w:bCs/>
        </w:rPr>
      </w:pPr>
      <w:r w:rsidRPr="00B728C9">
        <w:rPr>
          <w:b/>
          <w:bCs/>
        </w:rPr>
        <w:t xml:space="preserve">2.4.1.2 Strateginės perspektyvos ir </w:t>
      </w:r>
      <w:proofErr w:type="spellStart"/>
      <w:r w:rsidRPr="00B728C9">
        <w:rPr>
          <w:b/>
          <w:bCs/>
        </w:rPr>
        <w:t>socioekonominė</w:t>
      </w:r>
      <w:proofErr w:type="spellEnd"/>
      <w:r w:rsidRPr="00B728C9">
        <w:rPr>
          <w:b/>
          <w:bCs/>
        </w:rPr>
        <w:t xml:space="preserve"> vertė mokslo ekosistemai</w:t>
      </w:r>
    </w:p>
    <w:p w:rsidRPr="00B728C9" w:rsidR="00F361AF" w:rsidP="00F361AF" w:rsidRDefault="00F361AF" w14:paraId="6EF51FB8" w14:textId="77777777">
      <w:pPr>
        <w:jc w:val="both"/>
      </w:pPr>
      <w:r w:rsidRPr="00B728C9">
        <w:t xml:space="preserve">Pagrindinis </w:t>
      </w:r>
      <w:r>
        <w:t xml:space="preserve">Lietuvos įsijungimo į EOSC </w:t>
      </w:r>
      <w:r w:rsidRPr="00B728C9">
        <w:t>projekto įgyvendinimo siekis yra atvirojo mokslo principų įtvirtinimas, kuris tarptautinėje praktikoje vertinamas kaip mokslo kokybės, skaidrumo ir patikimumo garantas. Atvirojo mokslo paradigma skatina tyrimų atkuriamumą (</w:t>
      </w:r>
      <w:proofErr w:type="spellStart"/>
      <w:r w:rsidRPr="00B728C9">
        <w:rPr>
          <w:i/>
          <w:iCs/>
        </w:rPr>
        <w:t>reproducibility</w:t>
      </w:r>
      <w:proofErr w:type="spellEnd"/>
      <w:r w:rsidRPr="00B728C9">
        <w:t>) bei maksimalią duomenų sklaidą, taip demokratizuojant prieigą prie žinių ir optimizuojant viešojo sektoriaus investicijas, mažinant tyrimų dubliavimo apimtis. Ši vertybinė orientacija suformuoja pamatą Lietuvos mokslo sistemos kokybinei transformacijai ir integracijai į aukštųjų technologijų vertės grandines.</w:t>
      </w:r>
    </w:p>
    <w:p w:rsidRPr="00B728C9" w:rsidR="00F361AF" w:rsidP="00F361AF" w:rsidRDefault="00F361AF" w14:paraId="4CCEC257" w14:textId="77777777">
      <w:pPr>
        <w:jc w:val="both"/>
      </w:pPr>
      <w:r w:rsidRPr="00B728C9">
        <w:t xml:space="preserve">Dalyvavimas vieningoje Europos duomenų sąjungoje ir RAISE ekosistemoje tiesiogiai didina Lietuvos MSI tarptautinį konkurencingumą: tyrėjams užtikrinama institucinė prieiga prie unikalių transnacionalinių duomenų rinkinių ir galingų skaičiavimo išteklių. Tai sudaro sąlygas didinti Lietuvos mokslinės produkcijos matomumą, </w:t>
      </w:r>
      <w:proofErr w:type="spellStart"/>
      <w:r w:rsidRPr="00B728C9">
        <w:t>cituojamumą</w:t>
      </w:r>
      <w:proofErr w:type="spellEnd"/>
      <w:r w:rsidRPr="00B728C9">
        <w:t xml:space="preserve"> ir sėkmingą integraciją į tarptautinius mokslo konsorciumus, sprendžiančius kompleksinius globalius iššūkius.</w:t>
      </w:r>
    </w:p>
    <w:p w:rsidRPr="00B728C9" w:rsidR="00F361AF" w:rsidP="00F361AF" w:rsidRDefault="00F361AF" w14:paraId="33025E0C" w14:textId="463D587F">
      <w:pPr>
        <w:jc w:val="both"/>
      </w:pPr>
      <w:r w:rsidR="00F361AF">
        <w:rPr/>
        <w:t xml:space="preserve">Sisteminis perėjimas prie „DI parengtos“ atvirojo mokslo ekosistemos leidžia optimizuoti tyrėjų darbo procesus, automatizuojant rutininį duomenų apdorojimą. Tai didina mokslo darbuotojų darbo efektyvumą, leidžiant intelektinį potencialą sutelkti į aukštesnės pridėtinės vertės kūrimą – hipotezių kėlimą ir giliąją analizę. Ilgalaikėje perspektyvoje </w:t>
      </w:r>
      <w:r w:rsidR="00F361AF">
        <w:rPr/>
        <w:t>šio projekto</w:t>
      </w:r>
      <w:r w:rsidR="00F361AF">
        <w:rPr/>
        <w:t xml:space="preserve"> įgyvendinimas </w:t>
      </w:r>
      <w:r w:rsidR="00F361AF">
        <w:rPr/>
        <w:t>pozici</w:t>
      </w:r>
      <w:r w:rsidR="46B9E515">
        <w:rPr/>
        <w:t>j</w:t>
      </w:r>
      <w:r w:rsidR="00F361AF">
        <w:rPr/>
        <w:t>onuoja</w:t>
      </w:r>
      <w:r w:rsidR="00F361AF">
        <w:rPr/>
        <w:t xml:space="preserve"> Lietuvą kaip aktyvią ES skaitmeninės mokslo erdvės dalyvę, gebančią konvertuoti atvirus mokslinius duomenis į praktines inovacijas ir stiprinti šalies </w:t>
      </w:r>
      <w:r w:rsidR="00F361AF">
        <w:rPr/>
        <w:t xml:space="preserve">mokslinį, </w:t>
      </w:r>
      <w:r w:rsidR="00F361AF">
        <w:rPr/>
        <w:t xml:space="preserve">technologinį </w:t>
      </w:r>
      <w:r w:rsidR="00F361AF">
        <w:rPr/>
        <w:t xml:space="preserve">bei skaitmeninį </w:t>
      </w:r>
      <w:r w:rsidR="00F361AF">
        <w:rPr/>
        <w:t>suverenitetą.</w:t>
      </w:r>
    </w:p>
    <w:p w:rsidRPr="00B728C9" w:rsidR="00F361AF" w:rsidP="00F361AF" w:rsidRDefault="00F361AF" w14:paraId="7CDEAF0C" w14:textId="77777777">
      <w:pPr>
        <w:jc w:val="both"/>
      </w:pPr>
    </w:p>
    <w:p w:rsidR="00FD0DB7" w:rsidRDefault="00FD0DB7" w14:paraId="68CBF73B" w14:textId="77777777"/>
    <w:sectPr w:rsidR="00FD0DB7" w:rsidSect="009C0E85">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ru" w:author="ruta.petrauskaite@vdu.lt" w:date="2026-02-04T13:20:40" w:id="1700486118">
    <w:p xmlns:w14="http://schemas.microsoft.com/office/word/2010/wordml" xmlns:w="http://schemas.openxmlformats.org/wordprocessingml/2006/main" w:rsidR="19599FE7" w:rsidRDefault="66C25390" w14:paraId="48A95130" w14:textId="691CEA6D">
      <w:pPr>
        <w:pStyle w:val="CommentText"/>
      </w:pPr>
      <w:r>
        <w:rPr>
          <w:rStyle w:val="CommentReference"/>
        </w:rPr>
        <w:annotationRef/>
      </w:r>
      <w:r w:rsidRPr="778EEC34" w:rsidR="29DFF9ED">
        <w:t>visiškai sąveikus</w:t>
      </w:r>
    </w:p>
    <w:p xmlns:w14="http://schemas.microsoft.com/office/word/2010/wordml" xmlns:w="http://schemas.openxmlformats.org/wordprocessingml/2006/main" w:rsidR="5ED5E580" w:rsidRDefault="19BE8838" w14:paraId="464ADDE7" w14:textId="2A2A958B">
      <w:pPr>
        <w:pStyle w:val="CommentText"/>
      </w:pPr>
    </w:p>
  </w:comment>
  <w:comment xmlns:w="http://schemas.openxmlformats.org/wordprocessingml/2006/main" w:initials="ru" w:author="ruta.petrauskaite@vdu.lt" w:date="2026-02-04T13:23:35" w:id="1541023954">
    <w:p xmlns:w14="http://schemas.microsoft.com/office/word/2010/wordml" xmlns:w="http://schemas.openxmlformats.org/wordprocessingml/2006/main" w:rsidR="56F89BB3" w:rsidRDefault="024347A5" w14:paraId="6936BC34" w14:textId="19B4357A">
      <w:pPr>
        <w:pStyle w:val="CommentText"/>
      </w:pPr>
      <w:r>
        <w:rPr>
          <w:rStyle w:val="CommentReference"/>
        </w:rPr>
        <w:annotationRef/>
      </w:r>
      <w:r w:rsidRPr="205B585E" w:rsidR="4CEDC85A">
        <w:t>analizuojama sąveikumo sistema</w:t>
      </w:r>
    </w:p>
  </w:comment>
  <w:comment xmlns:w="http://schemas.openxmlformats.org/wordprocessingml/2006/main" w:initials="ru" w:author="ruta.petrauskaite@vdu.lt" w:date="2026-02-04T13:25:38" w:id="433880682">
    <w:p xmlns:w14="http://schemas.microsoft.com/office/word/2010/wordml" xmlns:w="http://schemas.openxmlformats.org/wordprocessingml/2006/main" w:rsidR="68B602B7" w:rsidRDefault="0DAD0D83" w14:paraId="02163476" w14:textId="784A232A">
      <w:pPr>
        <w:pStyle w:val="CommentText"/>
      </w:pPr>
      <w:r>
        <w:rPr>
          <w:rStyle w:val="CommentReference"/>
        </w:rPr>
        <w:annotationRef/>
      </w:r>
      <w:r w:rsidRPr="70E4DDED" w:rsidR="400C3499">
        <w:t>sistemoje sąveikumas apibrėžiamas</w:t>
      </w:r>
    </w:p>
  </w:comment>
  <w:comment xmlns:w="http://schemas.openxmlformats.org/wordprocessingml/2006/main" w:initials="ru" w:author="ruta.petrauskaite@vdu.lt" w:date="2026-02-04T13:27:11" w:id="1456563220">
    <w:p xmlns:w14="http://schemas.microsoft.com/office/word/2010/wordml" xmlns:w="http://schemas.openxmlformats.org/wordprocessingml/2006/main" w:rsidR="390793D3" w:rsidRDefault="399CDD3F" w14:paraId="0A1F5735" w14:textId="717C2C23">
      <w:pPr>
        <w:pStyle w:val="CommentText"/>
      </w:pPr>
      <w:r>
        <w:rPr>
          <w:rStyle w:val="CommentReference"/>
        </w:rPr>
        <w:annotationRef/>
      </w:r>
      <w:r w:rsidRPr="2CB9A27F" w:rsidR="3108548B">
        <w:t>čia kažkas ne taip</w:t>
      </w:r>
    </w:p>
    <w:p xmlns:w14="http://schemas.microsoft.com/office/word/2010/wordml" xmlns:w="http://schemas.openxmlformats.org/wordprocessingml/2006/main" w:rsidR="7D68246D" w:rsidRDefault="43D1D1B9" w14:paraId="40E63D8D" w14:textId="44E20019">
      <w:pPr>
        <w:pStyle w:val="CommentText"/>
      </w:pPr>
    </w:p>
  </w:comment>
  <w:comment xmlns:w="http://schemas.openxmlformats.org/wordprocessingml/2006/main" w:initials="ru" w:author="ruta.petrauskaite@vdu.lt" w:date="2026-02-04T13:28:09" w:id="1319160246">
    <w:p xmlns:w14="http://schemas.microsoft.com/office/word/2010/wordml" xmlns:w="http://schemas.openxmlformats.org/wordprocessingml/2006/main" w:rsidR="66E145F3" w:rsidRDefault="7E6CF8CB" w14:paraId="5E70310B" w14:textId="246A2A78">
      <w:pPr>
        <w:pStyle w:val="CommentText"/>
      </w:pPr>
      <w:r>
        <w:rPr>
          <w:rStyle w:val="CommentReference"/>
        </w:rPr>
        <w:annotationRef/>
      </w:r>
      <w:r w:rsidRPr="00CBF8A7" w:rsidR="20FE910B">
        <w:t>samprata išplečiama</w:t>
      </w:r>
    </w:p>
  </w:comment>
  <w:comment xmlns:w="http://schemas.openxmlformats.org/wordprocessingml/2006/main" w:initials="ru" w:author="ruta.petrauskaite@vdu.lt" w:date="2026-02-04T13:30:41" w:id="1613322944">
    <w:p xmlns:w14="http://schemas.microsoft.com/office/word/2010/wordml" xmlns:w="http://schemas.openxmlformats.org/wordprocessingml/2006/main" w:rsidR="76CBD145" w:rsidRDefault="6AB49249" w14:paraId="02CA8A88" w14:textId="0F4C4516">
      <w:pPr>
        <w:pStyle w:val="CommentText"/>
      </w:pPr>
      <w:r>
        <w:rPr>
          <w:rStyle w:val="CommentReference"/>
        </w:rPr>
        <w:annotationRef/>
      </w:r>
      <w:r w:rsidRPr="180572EB" w:rsidR="144C1302">
        <w:t>bendraisiais?</w:t>
      </w:r>
    </w:p>
  </w:comment>
  <w:comment xmlns:w="http://schemas.openxmlformats.org/wordprocessingml/2006/main" w:initials="ru" w:author="ruta.petrauskaite@vdu.lt" w:date="2026-02-04T13:36:07" w:id="1354681239">
    <w:p xmlns:w14="http://schemas.microsoft.com/office/word/2010/wordml" xmlns:w="http://schemas.openxmlformats.org/wordprocessingml/2006/main" w:rsidR="2F6BCF43" w:rsidRDefault="18917013" w14:paraId="297DC8C4" w14:textId="29822B20">
      <w:pPr>
        <w:pStyle w:val="CommentText"/>
      </w:pPr>
      <w:r>
        <w:rPr>
          <w:rStyle w:val="CommentReference"/>
        </w:rPr>
        <w:annotationRef/>
      </w:r>
      <w:r w:rsidRPr="77786638" w:rsidR="06F3F96F">
        <w:t>kas tai?</w:t>
      </w:r>
    </w:p>
  </w:comment>
</w:comments>
</file>

<file path=word/commentsExtended.xml><?xml version="1.0" encoding="utf-8"?>
<w15:commentsEx xmlns:mc="http://schemas.openxmlformats.org/markup-compatibility/2006" xmlns:w15="http://schemas.microsoft.com/office/word/2012/wordml" mc:Ignorable="w15">
  <w15:commentEx w15:done="0" w15:paraId="464ADDE7"/>
  <w15:commentEx w15:done="0" w15:paraId="6936BC34"/>
  <w15:commentEx w15:done="0" w15:paraId="02163476"/>
  <w15:commentEx w15:done="0" w15:paraId="40E63D8D"/>
  <w15:commentEx w15:done="0" w15:paraId="5E70310B"/>
  <w15:commentEx w15:done="0" w15:paraId="02CA8A88"/>
  <w15:commentEx w15:done="0" w15:paraId="297DC8C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2C8408F" w16cex:dateUtc="2026-02-04T11:20:40.953Z"/>
  <w16cex:commentExtensible w16cex:durableId="0CB60CF5" w16cex:dateUtc="2026-02-04T11:23:35.237Z"/>
  <w16cex:commentExtensible w16cex:durableId="5C9C57AA" w16cex:dateUtc="2026-02-04T11:25:38.76Z"/>
  <w16cex:commentExtensible w16cex:durableId="4B66C83F" w16cex:dateUtc="2026-02-04T11:27:11.205Z"/>
  <w16cex:commentExtensible w16cex:durableId="430D7236" w16cex:dateUtc="2026-02-04T11:28:09.668Z"/>
  <w16cex:commentExtensible w16cex:durableId="1993A687" w16cex:dateUtc="2026-02-04T11:30:41.818Z"/>
  <w16cex:commentExtensible w16cex:durableId="45087E85" w16cex:dateUtc="2026-02-04T11:36:07.888Z"/>
</w16cex:commentsExtensible>
</file>

<file path=word/commentsIds.xml><?xml version="1.0" encoding="utf-8"?>
<w16cid:commentsIds xmlns:mc="http://schemas.openxmlformats.org/markup-compatibility/2006" xmlns:w16cid="http://schemas.microsoft.com/office/word/2016/wordml/cid" mc:Ignorable="w16cid">
  <w16cid:commentId w16cid:paraId="464ADDE7" w16cid:durableId="12C8408F"/>
  <w16cid:commentId w16cid:paraId="6936BC34" w16cid:durableId="0CB60CF5"/>
  <w16cid:commentId w16cid:paraId="02163476" w16cid:durableId="5C9C57AA"/>
  <w16cid:commentId w16cid:paraId="40E63D8D" w16cid:durableId="4B66C83F"/>
  <w16cid:commentId w16cid:paraId="5E70310B" w16cid:durableId="430D7236"/>
  <w16cid:commentId w16cid:paraId="02CA8A88" w16cid:durableId="1993A687"/>
  <w16cid:commentId w16cid:paraId="297DC8C4" w16cid:durableId="45087E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B09E9" w:rsidP="00F361AF" w:rsidRDefault="009B09E9" w14:paraId="32D9BA5D" w14:textId="77777777">
      <w:pPr>
        <w:spacing w:after="0" w:line="240" w:lineRule="auto"/>
      </w:pPr>
      <w:r>
        <w:separator/>
      </w:r>
    </w:p>
  </w:endnote>
  <w:endnote w:type="continuationSeparator" w:id="0">
    <w:p w:rsidR="009B09E9" w:rsidP="00F361AF" w:rsidRDefault="009B09E9" w14:paraId="5ED85C5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B09E9" w:rsidP="00F361AF" w:rsidRDefault="009B09E9" w14:paraId="6A0C7702" w14:textId="77777777">
      <w:pPr>
        <w:spacing w:after="0" w:line="240" w:lineRule="auto"/>
      </w:pPr>
      <w:r>
        <w:separator/>
      </w:r>
    </w:p>
  </w:footnote>
  <w:footnote w:type="continuationSeparator" w:id="0">
    <w:p w:rsidR="009B09E9" w:rsidP="00F361AF" w:rsidRDefault="009B09E9" w14:paraId="26AFC121" w14:textId="77777777">
      <w:pPr>
        <w:spacing w:after="0" w:line="240" w:lineRule="auto"/>
      </w:pPr>
      <w:r>
        <w:continuationSeparator/>
      </w:r>
    </w:p>
  </w:footnote>
  <w:footnote w:id="1">
    <w:p w:rsidRPr="00AC6D6E" w:rsidR="00F361AF" w:rsidP="00F361AF" w:rsidRDefault="00F361AF" w14:paraId="349F1FEA" w14:textId="77777777">
      <w:pPr>
        <w:pStyle w:val="FootnoteText"/>
        <w:jc w:val="both"/>
        <w:rPr>
          <w:lang w:val="lt-LT"/>
        </w:rPr>
      </w:pPr>
      <w:r>
        <w:rPr>
          <w:rStyle w:val="FootnoteReference"/>
        </w:rPr>
        <w:footnoteRef/>
      </w:r>
      <w:r>
        <w:t xml:space="preserve"> </w:t>
      </w:r>
      <w:r w:rsidRPr="00AC6D6E">
        <w:t xml:space="preserve">EIF </w:t>
      </w:r>
      <w:proofErr w:type="spellStart"/>
      <w:r w:rsidRPr="00AC6D6E">
        <w:t>European</w:t>
      </w:r>
      <w:proofErr w:type="spellEnd"/>
      <w:r w:rsidRPr="00AC6D6E">
        <w:t xml:space="preserve"> </w:t>
      </w:r>
      <w:proofErr w:type="spellStart"/>
      <w:r w:rsidRPr="00AC6D6E">
        <w:t>interoperability</w:t>
      </w:r>
      <w:proofErr w:type="spellEnd"/>
      <w:r w:rsidRPr="00AC6D6E">
        <w:t xml:space="preserve"> </w:t>
      </w:r>
      <w:proofErr w:type="spellStart"/>
      <w:r w:rsidRPr="00AC6D6E">
        <w:t>framework</w:t>
      </w:r>
      <w:proofErr w:type="spellEnd"/>
      <w:r w:rsidRPr="00AC6D6E">
        <w:t xml:space="preserve"> - </w:t>
      </w:r>
      <w:proofErr w:type="spellStart"/>
      <w:r w:rsidRPr="00AC6D6E">
        <w:t>Introduction</w:t>
      </w:r>
      <w:proofErr w:type="spellEnd"/>
      <w:r w:rsidRPr="00AC6D6E">
        <w:t xml:space="preserve">. </w:t>
      </w:r>
      <w:proofErr w:type="spellStart"/>
      <w:r w:rsidRPr="00AC6D6E">
        <w:t>Available</w:t>
      </w:r>
      <w:proofErr w:type="spellEnd"/>
      <w:r w:rsidRPr="00AC6D6E">
        <w:t xml:space="preserve"> </w:t>
      </w:r>
      <w:proofErr w:type="spellStart"/>
      <w:r w:rsidRPr="00AC6D6E">
        <w:t>on</w:t>
      </w:r>
      <w:proofErr w:type="spellEnd"/>
      <w:r w:rsidRPr="00AC6D6E">
        <w:t xml:space="preserve"> </w:t>
      </w:r>
      <w:hyperlink w:history="1" r:id="rId1">
        <w:r w:rsidRPr="00A055D9">
          <w:rPr>
            <w:rStyle w:val="Hyperlink"/>
          </w:rPr>
          <w:t>https://joinup.ec.europa.eu/collection/nifo-national-interoperability-framework-observatory/1-introduction</w:t>
        </w:r>
      </w:hyperlink>
    </w:p>
  </w:footnote>
  <w:footnote w:id="2">
    <w:p w:rsidR="00F361AF" w:rsidP="00F361AF" w:rsidRDefault="00F361AF" w14:paraId="57982B39" w14:textId="77777777">
      <w:pPr>
        <w:pStyle w:val="FootnoteText"/>
        <w:jc w:val="both"/>
      </w:pPr>
      <w:r>
        <w:rPr>
          <w:rStyle w:val="FootnoteReference"/>
        </w:rPr>
        <w:footnoteRef/>
      </w:r>
      <w:r>
        <w:t xml:space="preserve"> </w:t>
      </w:r>
      <w:proofErr w:type="spellStart"/>
      <w:r>
        <w:t>FAIRsFAIR</w:t>
      </w:r>
      <w:proofErr w:type="spellEnd"/>
      <w:r>
        <w:t xml:space="preserve"> </w:t>
      </w:r>
      <w:proofErr w:type="spellStart"/>
      <w:r>
        <w:t>deliverable</w:t>
      </w:r>
      <w:proofErr w:type="spellEnd"/>
      <w:r>
        <w:t xml:space="preserve"> D2.1 </w:t>
      </w:r>
      <w:proofErr w:type="spellStart"/>
      <w:r>
        <w:t>Report</w:t>
      </w:r>
      <w:proofErr w:type="spellEnd"/>
      <w:r>
        <w:t xml:space="preserve"> </w:t>
      </w:r>
      <w:proofErr w:type="spellStart"/>
      <w:r>
        <w:t>on</w:t>
      </w:r>
      <w:proofErr w:type="spellEnd"/>
      <w:r>
        <w:t xml:space="preserve"> FAIR </w:t>
      </w:r>
      <w:proofErr w:type="spellStart"/>
      <w:r>
        <w:t>requirements</w:t>
      </w:r>
      <w:proofErr w:type="spellEnd"/>
      <w:r>
        <w:t xml:space="preserve"> </w:t>
      </w:r>
      <w:proofErr w:type="spellStart"/>
      <w:r>
        <w:t>for</w:t>
      </w:r>
      <w:proofErr w:type="spellEnd"/>
      <w:r>
        <w:t xml:space="preserve"> </w:t>
      </w:r>
      <w:proofErr w:type="spellStart"/>
      <w:r>
        <w:t>persistence</w:t>
      </w:r>
      <w:proofErr w:type="spellEnd"/>
      <w:r>
        <w:t xml:space="preserve"> </w:t>
      </w:r>
      <w:proofErr w:type="spellStart"/>
      <w:r>
        <w:t>and</w:t>
      </w:r>
      <w:proofErr w:type="spellEnd"/>
      <w:r>
        <w:t xml:space="preserve"> </w:t>
      </w:r>
      <w:proofErr w:type="spellStart"/>
      <w:r>
        <w:t>interoperability</w:t>
      </w:r>
      <w:proofErr w:type="spellEnd"/>
      <w:r>
        <w:t xml:space="preserve"> 2019. </w:t>
      </w:r>
      <w:r>
        <w:rPr>
          <w:color w:val="1154CC"/>
          <w:sz w:val="13"/>
          <w:szCs w:val="13"/>
        </w:rPr>
        <w:t xml:space="preserve">https://zenodo.org/record/3557381 </w:t>
      </w:r>
      <w:r>
        <w:t xml:space="preserve"> </w:t>
      </w:r>
    </w:p>
  </w:footnote>
  <w:footnote w:id="3">
    <w:p w:rsidRPr="00033016" w:rsidR="00F361AF" w:rsidP="00F361AF" w:rsidRDefault="00F361AF" w14:paraId="03BF1409" w14:textId="77777777">
      <w:pPr>
        <w:pStyle w:val="FootnoteText"/>
        <w:jc w:val="both"/>
        <w:rPr>
          <w:lang w:val="lt-LT"/>
        </w:rPr>
      </w:pPr>
      <w:r>
        <w:rPr>
          <w:rStyle w:val="FootnoteReference"/>
        </w:rPr>
        <w:footnoteRef/>
      </w:r>
      <w:r>
        <w:t xml:space="preserve"> </w:t>
      </w:r>
      <w:r w:rsidRPr="00033016">
        <w:t xml:space="preserve">EOSC </w:t>
      </w:r>
      <w:proofErr w:type="spellStart"/>
      <w:r w:rsidRPr="00033016">
        <w:t>interoperability</w:t>
      </w:r>
      <w:proofErr w:type="spellEnd"/>
      <w:r w:rsidRPr="00033016">
        <w:t xml:space="preserve"> </w:t>
      </w:r>
      <w:proofErr w:type="spellStart"/>
      <w:r w:rsidRPr="00033016">
        <w:t>framework</w:t>
      </w:r>
      <w:proofErr w:type="spellEnd"/>
      <w:r w:rsidRPr="00033016">
        <w:t xml:space="preserve"> – </w:t>
      </w:r>
      <w:proofErr w:type="spellStart"/>
      <w:r w:rsidRPr="00033016">
        <w:t>Report</w:t>
      </w:r>
      <w:proofErr w:type="spellEnd"/>
      <w:r w:rsidRPr="00033016">
        <w:t xml:space="preserve"> </w:t>
      </w:r>
      <w:proofErr w:type="spellStart"/>
      <w:r w:rsidRPr="00033016">
        <w:t>from</w:t>
      </w:r>
      <w:proofErr w:type="spellEnd"/>
      <w:r w:rsidRPr="00033016">
        <w:t xml:space="preserve"> </w:t>
      </w:r>
      <w:proofErr w:type="spellStart"/>
      <w:r w:rsidRPr="00033016">
        <w:t>the</w:t>
      </w:r>
      <w:proofErr w:type="spellEnd"/>
      <w:r w:rsidRPr="00033016">
        <w:t xml:space="preserve"> EOSC </w:t>
      </w:r>
      <w:proofErr w:type="spellStart"/>
      <w:r w:rsidRPr="00033016">
        <w:t>Executive</w:t>
      </w:r>
      <w:proofErr w:type="spellEnd"/>
      <w:r w:rsidRPr="00033016">
        <w:t xml:space="preserve"> </w:t>
      </w:r>
      <w:proofErr w:type="spellStart"/>
      <w:r w:rsidRPr="00033016">
        <w:t>Board</w:t>
      </w:r>
      <w:proofErr w:type="spellEnd"/>
      <w:r w:rsidRPr="00033016">
        <w:t xml:space="preserve"> </w:t>
      </w:r>
      <w:proofErr w:type="spellStart"/>
      <w:r w:rsidRPr="00033016">
        <w:t>Working</w:t>
      </w:r>
      <w:proofErr w:type="spellEnd"/>
      <w:r w:rsidRPr="00033016">
        <w:t xml:space="preserve"> </w:t>
      </w:r>
      <w:proofErr w:type="spellStart"/>
      <w:r w:rsidRPr="00033016">
        <w:t>Groups</w:t>
      </w:r>
      <w:proofErr w:type="spellEnd"/>
      <w:r w:rsidRPr="00033016">
        <w:t xml:space="preserve"> FAIR </w:t>
      </w:r>
      <w:proofErr w:type="spellStart"/>
      <w:r w:rsidRPr="00033016">
        <w:t>and</w:t>
      </w:r>
      <w:proofErr w:type="spellEnd"/>
      <w:r w:rsidRPr="00033016">
        <w:t xml:space="preserve"> </w:t>
      </w:r>
      <w:proofErr w:type="spellStart"/>
      <w:r w:rsidRPr="00033016">
        <w:t>Architecture</w:t>
      </w:r>
      <w:proofErr w:type="spellEnd"/>
      <w:r w:rsidRPr="00033016">
        <w:t xml:space="preserve">, </w:t>
      </w:r>
      <w:proofErr w:type="spellStart"/>
      <w:r w:rsidRPr="00033016">
        <w:t>Publications</w:t>
      </w:r>
      <w:proofErr w:type="spellEnd"/>
      <w:r w:rsidRPr="00033016">
        <w:t xml:space="preserve"> Office, 2021, https://data.europa.eu/doi/10.2777/620649, p. 27-28.</w:t>
      </w:r>
    </w:p>
  </w:footnote>
  <w:footnote w:id="4">
    <w:p w:rsidR="00F361AF" w:rsidP="00F361AF" w:rsidRDefault="00F361AF" w14:paraId="54704714" w14:textId="77777777">
      <w:pPr>
        <w:pStyle w:val="FootnoteText"/>
        <w:jc w:val="both"/>
      </w:pPr>
      <w:r>
        <w:rPr>
          <w:rStyle w:val="FootnoteReference"/>
        </w:rPr>
        <w:footnoteRef/>
      </w:r>
      <w:r>
        <w:t xml:space="preserve"> </w:t>
      </w:r>
      <w:r w:rsidRPr="0084677C">
        <w:t xml:space="preserve">ANNEX to </w:t>
      </w:r>
      <w:proofErr w:type="spellStart"/>
      <w:r w:rsidRPr="0084677C">
        <w:t>the</w:t>
      </w:r>
      <w:proofErr w:type="spellEnd"/>
      <w:r w:rsidRPr="0084677C">
        <w:t xml:space="preserve"> </w:t>
      </w:r>
      <w:proofErr w:type="spellStart"/>
      <w:r w:rsidRPr="0084677C">
        <w:t>Communication</w:t>
      </w:r>
      <w:proofErr w:type="spellEnd"/>
      <w:r w:rsidRPr="0084677C">
        <w:t xml:space="preserve"> </w:t>
      </w:r>
      <w:proofErr w:type="spellStart"/>
      <w:r>
        <w:t>f</w:t>
      </w:r>
      <w:r w:rsidRPr="0084677C">
        <w:t>rom</w:t>
      </w:r>
      <w:proofErr w:type="spellEnd"/>
      <w:r w:rsidRPr="0084677C">
        <w:t xml:space="preserve"> </w:t>
      </w:r>
      <w:proofErr w:type="spellStart"/>
      <w:r>
        <w:t>t</w:t>
      </w:r>
      <w:r w:rsidRPr="0084677C">
        <w:t>he</w:t>
      </w:r>
      <w:proofErr w:type="spellEnd"/>
      <w:r w:rsidRPr="0084677C">
        <w:t xml:space="preserve"> </w:t>
      </w:r>
      <w:proofErr w:type="spellStart"/>
      <w:r w:rsidRPr="0084677C">
        <w:t>Commission</w:t>
      </w:r>
      <w:proofErr w:type="spellEnd"/>
      <w:r w:rsidRPr="0084677C">
        <w:t xml:space="preserve"> </w:t>
      </w:r>
      <w:r>
        <w:t>t</w:t>
      </w:r>
      <w:r w:rsidRPr="0084677C">
        <w:t xml:space="preserve">o </w:t>
      </w:r>
      <w:proofErr w:type="spellStart"/>
      <w:r>
        <w:t>t</w:t>
      </w:r>
      <w:r w:rsidRPr="0084677C">
        <w:t>he</w:t>
      </w:r>
      <w:proofErr w:type="spellEnd"/>
      <w:r w:rsidRPr="0084677C">
        <w:t xml:space="preserve"> </w:t>
      </w:r>
      <w:proofErr w:type="spellStart"/>
      <w:r w:rsidRPr="0084677C">
        <w:t>European</w:t>
      </w:r>
      <w:proofErr w:type="spellEnd"/>
      <w:r w:rsidRPr="0084677C">
        <w:t xml:space="preserve"> </w:t>
      </w:r>
      <w:proofErr w:type="spellStart"/>
      <w:r w:rsidRPr="0084677C">
        <w:t>Parliament</w:t>
      </w:r>
      <w:proofErr w:type="spellEnd"/>
      <w:r w:rsidRPr="0084677C">
        <w:t xml:space="preserve">, </w:t>
      </w:r>
      <w:proofErr w:type="spellStart"/>
      <w:r>
        <w:t>t</w:t>
      </w:r>
      <w:r w:rsidRPr="0084677C">
        <w:t>he</w:t>
      </w:r>
      <w:proofErr w:type="spellEnd"/>
      <w:r w:rsidRPr="0084677C">
        <w:t xml:space="preserve"> </w:t>
      </w:r>
      <w:proofErr w:type="spellStart"/>
      <w:r w:rsidRPr="0084677C">
        <w:t>Council</w:t>
      </w:r>
      <w:proofErr w:type="spellEnd"/>
      <w:r w:rsidRPr="0084677C">
        <w:t xml:space="preserve">, </w:t>
      </w:r>
      <w:proofErr w:type="spellStart"/>
      <w:r>
        <w:t>t</w:t>
      </w:r>
      <w:r w:rsidRPr="0084677C">
        <w:t>he</w:t>
      </w:r>
      <w:proofErr w:type="spellEnd"/>
      <w:r w:rsidRPr="0084677C">
        <w:t xml:space="preserve"> </w:t>
      </w:r>
      <w:proofErr w:type="spellStart"/>
      <w:r w:rsidRPr="0084677C">
        <w:t>European</w:t>
      </w:r>
      <w:proofErr w:type="spellEnd"/>
      <w:r w:rsidRPr="0084677C">
        <w:t xml:space="preserve"> </w:t>
      </w:r>
      <w:proofErr w:type="spellStart"/>
      <w:r w:rsidRPr="0084677C">
        <w:t>Economic</w:t>
      </w:r>
      <w:proofErr w:type="spellEnd"/>
      <w:r w:rsidRPr="0084677C">
        <w:t xml:space="preserve"> </w:t>
      </w:r>
      <w:proofErr w:type="spellStart"/>
      <w:r>
        <w:t>a</w:t>
      </w:r>
      <w:r w:rsidRPr="0084677C">
        <w:t>nd</w:t>
      </w:r>
      <w:proofErr w:type="spellEnd"/>
      <w:r w:rsidRPr="0084677C">
        <w:t xml:space="preserve"> </w:t>
      </w:r>
      <w:proofErr w:type="spellStart"/>
      <w:r w:rsidRPr="0084677C">
        <w:t>Social</w:t>
      </w:r>
      <w:proofErr w:type="spellEnd"/>
      <w:r w:rsidRPr="0084677C">
        <w:t xml:space="preserve"> </w:t>
      </w:r>
      <w:proofErr w:type="spellStart"/>
      <w:r w:rsidRPr="0084677C">
        <w:t>Committee</w:t>
      </w:r>
      <w:proofErr w:type="spellEnd"/>
      <w:r w:rsidRPr="0084677C">
        <w:t xml:space="preserve"> </w:t>
      </w:r>
      <w:proofErr w:type="spellStart"/>
      <w:r>
        <w:t>a</w:t>
      </w:r>
      <w:r w:rsidRPr="0084677C">
        <w:t>nd</w:t>
      </w:r>
      <w:proofErr w:type="spellEnd"/>
      <w:r w:rsidRPr="0084677C">
        <w:t xml:space="preserve"> </w:t>
      </w:r>
      <w:proofErr w:type="spellStart"/>
      <w:r>
        <w:t>t</w:t>
      </w:r>
      <w:r w:rsidRPr="0084677C">
        <w:t>he</w:t>
      </w:r>
      <w:proofErr w:type="spellEnd"/>
      <w:r w:rsidRPr="0084677C">
        <w:t xml:space="preserve"> </w:t>
      </w:r>
      <w:proofErr w:type="spellStart"/>
      <w:r w:rsidRPr="0084677C">
        <w:t>Committee</w:t>
      </w:r>
      <w:proofErr w:type="spellEnd"/>
      <w:r w:rsidRPr="0084677C">
        <w:t xml:space="preserve"> </w:t>
      </w:r>
      <w:r>
        <w:t>o</w:t>
      </w:r>
      <w:r w:rsidRPr="0084677C">
        <w:t xml:space="preserve">f </w:t>
      </w:r>
      <w:proofErr w:type="spellStart"/>
      <w:r>
        <w:t>t</w:t>
      </w:r>
      <w:r w:rsidRPr="0084677C">
        <w:t>he</w:t>
      </w:r>
      <w:proofErr w:type="spellEnd"/>
      <w:r w:rsidRPr="0084677C">
        <w:t xml:space="preserve"> </w:t>
      </w:r>
      <w:proofErr w:type="spellStart"/>
      <w:r w:rsidRPr="0084677C">
        <w:t>Regions</w:t>
      </w:r>
      <w:proofErr w:type="spellEnd"/>
      <w:r w:rsidRPr="0084677C">
        <w:t xml:space="preserve">. </w:t>
      </w:r>
      <w:proofErr w:type="spellStart"/>
      <w:r w:rsidRPr="0084677C">
        <w:t>European</w:t>
      </w:r>
      <w:proofErr w:type="spellEnd"/>
      <w:r w:rsidRPr="0084677C">
        <w:t xml:space="preserve"> </w:t>
      </w:r>
      <w:proofErr w:type="spellStart"/>
      <w:r w:rsidRPr="0084677C">
        <w:t>Interoperability</w:t>
      </w:r>
      <w:proofErr w:type="spellEnd"/>
      <w:r w:rsidRPr="0084677C">
        <w:t xml:space="preserve"> </w:t>
      </w:r>
      <w:proofErr w:type="spellStart"/>
      <w:r w:rsidRPr="0084677C">
        <w:t>Framework</w:t>
      </w:r>
      <w:proofErr w:type="spellEnd"/>
      <w:r w:rsidRPr="0084677C">
        <w:t xml:space="preserve"> - </w:t>
      </w:r>
      <w:proofErr w:type="spellStart"/>
      <w:r w:rsidRPr="0084677C">
        <w:t>Implementation</w:t>
      </w:r>
      <w:proofErr w:type="spellEnd"/>
      <w:r w:rsidRPr="0084677C">
        <w:t xml:space="preserve"> </w:t>
      </w:r>
      <w:proofErr w:type="spellStart"/>
      <w:r w:rsidRPr="0084677C">
        <w:t>Strategy</w:t>
      </w:r>
      <w:proofErr w:type="spellEnd"/>
      <w:r w:rsidRPr="0084677C">
        <w:t xml:space="preserve">. </w:t>
      </w:r>
      <w:proofErr w:type="spellStart"/>
      <w:r w:rsidRPr="0084677C">
        <w:t>Brussels</w:t>
      </w:r>
      <w:proofErr w:type="spellEnd"/>
      <w:r w:rsidRPr="0084677C">
        <w:t xml:space="preserve">, 23.3.2017 COM(2017) 134 </w:t>
      </w:r>
      <w:proofErr w:type="spellStart"/>
      <w:r w:rsidRPr="0084677C">
        <w:t>final</w:t>
      </w:r>
      <w:proofErr w:type="spellEnd"/>
      <w:r w:rsidRPr="0084677C">
        <w:t xml:space="preserve"> ANNEX 2</w:t>
      </w:r>
    </w:p>
  </w:footnote>
  <w:footnote w:id="5">
    <w:p w:rsidR="00F361AF" w:rsidP="00F361AF" w:rsidRDefault="00F361AF" w14:paraId="7263B1BD" w14:textId="77777777">
      <w:pPr>
        <w:pStyle w:val="FootnoteText"/>
        <w:jc w:val="both"/>
      </w:pPr>
      <w:r>
        <w:rPr>
          <w:rStyle w:val="FootnoteReference"/>
        </w:rPr>
        <w:footnoteRef/>
      </w:r>
      <w:r>
        <w:t xml:space="preserve"> </w:t>
      </w:r>
      <w:r w:rsidRPr="000C1F9E">
        <w:t xml:space="preserve">EOSC </w:t>
      </w:r>
      <w:proofErr w:type="spellStart"/>
      <w:r w:rsidRPr="000C1F9E">
        <w:t>interoperability</w:t>
      </w:r>
      <w:proofErr w:type="spellEnd"/>
      <w:r w:rsidRPr="000C1F9E">
        <w:t xml:space="preserve"> </w:t>
      </w:r>
      <w:proofErr w:type="spellStart"/>
      <w:r w:rsidRPr="000C1F9E">
        <w:t>framework</w:t>
      </w:r>
      <w:proofErr w:type="spellEnd"/>
      <w:r w:rsidRPr="000C1F9E">
        <w:t xml:space="preserve"> – </w:t>
      </w:r>
      <w:proofErr w:type="spellStart"/>
      <w:r w:rsidRPr="000C1F9E">
        <w:t>Report</w:t>
      </w:r>
      <w:proofErr w:type="spellEnd"/>
      <w:r w:rsidRPr="000C1F9E">
        <w:t xml:space="preserve"> </w:t>
      </w:r>
      <w:proofErr w:type="spellStart"/>
      <w:r w:rsidRPr="000C1F9E">
        <w:t>from</w:t>
      </w:r>
      <w:proofErr w:type="spellEnd"/>
      <w:r w:rsidRPr="000C1F9E">
        <w:t xml:space="preserve"> </w:t>
      </w:r>
      <w:proofErr w:type="spellStart"/>
      <w:r w:rsidRPr="000C1F9E">
        <w:t>the</w:t>
      </w:r>
      <w:proofErr w:type="spellEnd"/>
      <w:r w:rsidRPr="000C1F9E">
        <w:t xml:space="preserve"> EOSC </w:t>
      </w:r>
      <w:proofErr w:type="spellStart"/>
      <w:r w:rsidRPr="000C1F9E">
        <w:t>Executive</w:t>
      </w:r>
      <w:proofErr w:type="spellEnd"/>
      <w:r w:rsidRPr="000C1F9E">
        <w:t xml:space="preserve"> </w:t>
      </w:r>
      <w:proofErr w:type="spellStart"/>
      <w:r w:rsidRPr="000C1F9E">
        <w:t>Board</w:t>
      </w:r>
      <w:proofErr w:type="spellEnd"/>
      <w:r w:rsidRPr="000C1F9E">
        <w:t xml:space="preserve"> </w:t>
      </w:r>
      <w:proofErr w:type="spellStart"/>
      <w:r w:rsidRPr="000C1F9E">
        <w:t>Working</w:t>
      </w:r>
      <w:proofErr w:type="spellEnd"/>
      <w:r w:rsidRPr="000C1F9E">
        <w:t xml:space="preserve"> </w:t>
      </w:r>
      <w:proofErr w:type="spellStart"/>
      <w:r w:rsidRPr="000C1F9E">
        <w:t>Groups</w:t>
      </w:r>
      <w:proofErr w:type="spellEnd"/>
      <w:r w:rsidRPr="000C1F9E">
        <w:t xml:space="preserve"> FAIR </w:t>
      </w:r>
      <w:proofErr w:type="spellStart"/>
      <w:r w:rsidRPr="000C1F9E">
        <w:t>and</w:t>
      </w:r>
      <w:proofErr w:type="spellEnd"/>
      <w:r w:rsidRPr="000C1F9E">
        <w:t xml:space="preserve"> </w:t>
      </w:r>
      <w:proofErr w:type="spellStart"/>
      <w:r w:rsidRPr="000C1F9E">
        <w:t>Architecture</w:t>
      </w:r>
      <w:proofErr w:type="spellEnd"/>
      <w:r w:rsidRPr="000C1F9E">
        <w:t xml:space="preserve">, </w:t>
      </w:r>
      <w:proofErr w:type="spellStart"/>
      <w:r w:rsidRPr="000C1F9E">
        <w:t>Publications</w:t>
      </w:r>
      <w:proofErr w:type="spellEnd"/>
      <w:r w:rsidRPr="000C1F9E">
        <w:t xml:space="preserve"> Office, 2021, https://data.europa.eu/doi/10.2777/620649</w:t>
      </w:r>
      <w:r>
        <w:t>, p. 12.</w:t>
      </w:r>
    </w:p>
  </w:footnote>
  <w:footnote w:id="6">
    <w:p w:rsidR="00F361AF" w:rsidP="00F361AF" w:rsidRDefault="00F361AF" w14:paraId="75A699F1" w14:textId="77777777">
      <w:pPr>
        <w:pStyle w:val="FootnoteText"/>
        <w:jc w:val="both"/>
      </w:pPr>
      <w:r>
        <w:rPr>
          <w:rStyle w:val="FootnoteReference"/>
        </w:rPr>
        <w:footnoteRef/>
      </w:r>
      <w:r>
        <w:t xml:space="preserve"> </w:t>
      </w:r>
      <w:r w:rsidRPr="000C1F9E">
        <w:t xml:space="preserve">EOSC </w:t>
      </w:r>
      <w:proofErr w:type="spellStart"/>
      <w:r w:rsidRPr="000C1F9E">
        <w:t>interoperability</w:t>
      </w:r>
      <w:proofErr w:type="spellEnd"/>
      <w:r w:rsidRPr="000C1F9E">
        <w:t xml:space="preserve"> </w:t>
      </w:r>
      <w:proofErr w:type="spellStart"/>
      <w:r w:rsidRPr="000C1F9E">
        <w:t>framework</w:t>
      </w:r>
      <w:proofErr w:type="spellEnd"/>
      <w:r w:rsidRPr="000C1F9E">
        <w:t xml:space="preserve"> – </w:t>
      </w:r>
      <w:proofErr w:type="spellStart"/>
      <w:r w:rsidRPr="000C1F9E">
        <w:t>Report</w:t>
      </w:r>
      <w:proofErr w:type="spellEnd"/>
      <w:r w:rsidRPr="000C1F9E">
        <w:t xml:space="preserve"> </w:t>
      </w:r>
      <w:proofErr w:type="spellStart"/>
      <w:r w:rsidRPr="000C1F9E">
        <w:t>from</w:t>
      </w:r>
      <w:proofErr w:type="spellEnd"/>
      <w:r w:rsidRPr="000C1F9E">
        <w:t xml:space="preserve"> </w:t>
      </w:r>
      <w:proofErr w:type="spellStart"/>
      <w:r w:rsidRPr="000C1F9E">
        <w:t>the</w:t>
      </w:r>
      <w:proofErr w:type="spellEnd"/>
      <w:r w:rsidRPr="000C1F9E">
        <w:t xml:space="preserve"> EOSC </w:t>
      </w:r>
      <w:proofErr w:type="spellStart"/>
      <w:r w:rsidRPr="000C1F9E">
        <w:t>Executive</w:t>
      </w:r>
      <w:proofErr w:type="spellEnd"/>
      <w:r w:rsidRPr="000C1F9E">
        <w:t xml:space="preserve"> </w:t>
      </w:r>
      <w:proofErr w:type="spellStart"/>
      <w:r w:rsidRPr="000C1F9E">
        <w:t>Board</w:t>
      </w:r>
      <w:proofErr w:type="spellEnd"/>
      <w:r w:rsidRPr="000C1F9E">
        <w:t xml:space="preserve"> </w:t>
      </w:r>
      <w:proofErr w:type="spellStart"/>
      <w:r w:rsidRPr="000C1F9E">
        <w:t>Working</w:t>
      </w:r>
      <w:proofErr w:type="spellEnd"/>
      <w:r w:rsidRPr="000C1F9E">
        <w:t xml:space="preserve"> </w:t>
      </w:r>
      <w:proofErr w:type="spellStart"/>
      <w:r w:rsidRPr="000C1F9E">
        <w:t>Groups</w:t>
      </w:r>
      <w:proofErr w:type="spellEnd"/>
      <w:r w:rsidRPr="000C1F9E">
        <w:t xml:space="preserve"> FAIR </w:t>
      </w:r>
      <w:proofErr w:type="spellStart"/>
      <w:r w:rsidRPr="000C1F9E">
        <w:t>and</w:t>
      </w:r>
      <w:proofErr w:type="spellEnd"/>
      <w:r w:rsidRPr="000C1F9E">
        <w:t xml:space="preserve"> </w:t>
      </w:r>
      <w:proofErr w:type="spellStart"/>
      <w:r w:rsidRPr="000C1F9E">
        <w:t>Architecture</w:t>
      </w:r>
      <w:proofErr w:type="spellEnd"/>
      <w:r w:rsidRPr="000C1F9E">
        <w:t xml:space="preserve">, </w:t>
      </w:r>
      <w:proofErr w:type="spellStart"/>
      <w:r w:rsidRPr="000C1F9E">
        <w:t>Publications</w:t>
      </w:r>
      <w:proofErr w:type="spellEnd"/>
      <w:r w:rsidRPr="000C1F9E">
        <w:t xml:space="preserve"> Office, 2021, https://data.europa.eu/doi/10.2777/620649</w:t>
      </w:r>
      <w:r>
        <w:t>, p. 27-28.</w:t>
      </w:r>
    </w:p>
  </w:footnote>
  <w:footnote w:id="7">
    <w:p w:rsidRPr="00093259" w:rsidR="00F361AF" w:rsidP="00F361AF" w:rsidRDefault="00F361AF" w14:paraId="136C9D2D" w14:textId="77777777">
      <w:pPr>
        <w:pStyle w:val="FootnoteText"/>
        <w:jc w:val="both"/>
        <w:rPr>
          <w:lang w:val="lt-LT"/>
        </w:rPr>
      </w:pPr>
      <w:r>
        <w:rPr>
          <w:rStyle w:val="FootnoteReference"/>
        </w:rPr>
        <w:footnoteRef/>
      </w:r>
      <w:r>
        <w:t xml:space="preserve"> </w:t>
      </w:r>
      <w:proofErr w:type="spellStart"/>
      <w:r w:rsidRPr="00C41995">
        <w:t>White</w:t>
      </w:r>
      <w:proofErr w:type="spellEnd"/>
      <w:r w:rsidRPr="00C41995">
        <w:t xml:space="preserve"> </w:t>
      </w:r>
      <w:proofErr w:type="spellStart"/>
      <w:r w:rsidRPr="00C41995">
        <w:t>Paper</w:t>
      </w:r>
      <w:proofErr w:type="spellEnd"/>
      <w:r w:rsidRPr="00C41995">
        <w:t xml:space="preserve">: </w:t>
      </w:r>
      <w:proofErr w:type="spellStart"/>
      <w:r w:rsidRPr="00C41995">
        <w:t>Mechanisms</w:t>
      </w:r>
      <w:proofErr w:type="spellEnd"/>
      <w:r w:rsidRPr="00C41995">
        <w:t xml:space="preserve"> to </w:t>
      </w:r>
      <w:proofErr w:type="spellStart"/>
      <w:r w:rsidRPr="00C41995">
        <w:t>Share</w:t>
      </w:r>
      <w:proofErr w:type="spellEnd"/>
      <w:r w:rsidRPr="00C41995">
        <w:t xml:space="preserve"> Data </w:t>
      </w:r>
      <w:proofErr w:type="spellStart"/>
      <w:r w:rsidRPr="00C41995">
        <w:t>as</w:t>
      </w:r>
      <w:proofErr w:type="spellEnd"/>
      <w:r w:rsidRPr="00C41995">
        <w:t xml:space="preserve"> </w:t>
      </w:r>
      <w:proofErr w:type="spellStart"/>
      <w:r w:rsidRPr="00C41995">
        <w:t>Part</w:t>
      </w:r>
      <w:proofErr w:type="spellEnd"/>
      <w:r w:rsidRPr="00C41995">
        <w:t xml:space="preserve"> of GEOSS Data-CORE</w:t>
      </w:r>
      <w:r>
        <w:t xml:space="preserve"> </w:t>
      </w:r>
      <w:r w:rsidRPr="00093259">
        <w:t>https://old.earthobservations.org/documents/dswg/Annex%20VI%20-%20%20Mechanisms%20to%20share%20data%20as%20part%20of%20GEOSS%20Data_CORE.pdf</w:t>
      </w:r>
    </w:p>
  </w:footnote>
  <w:footnote w:id="8">
    <w:p w:rsidR="00F361AF" w:rsidP="00F361AF" w:rsidRDefault="00F361AF" w14:paraId="48D68D1B" w14:textId="77777777">
      <w:pPr>
        <w:pStyle w:val="FootnoteText"/>
        <w:jc w:val="both"/>
      </w:pPr>
      <w:r>
        <w:rPr>
          <w:rStyle w:val="FootnoteReference"/>
        </w:rPr>
        <w:footnoteRef/>
      </w:r>
      <w:r>
        <w:t xml:space="preserve"> </w:t>
      </w:r>
      <w:proofErr w:type="spellStart"/>
      <w:r w:rsidRPr="007B22FD">
        <w:t>Doldirina</w:t>
      </w:r>
      <w:proofErr w:type="spellEnd"/>
      <w:r w:rsidRPr="007B22FD">
        <w:t xml:space="preserve">, </w:t>
      </w:r>
      <w:proofErr w:type="spellStart"/>
      <w:r w:rsidRPr="007B22FD">
        <w:t>Catherine</w:t>
      </w:r>
      <w:proofErr w:type="spellEnd"/>
      <w:r w:rsidRPr="007B22FD">
        <w:t xml:space="preserve"> &amp; </w:t>
      </w:r>
      <w:proofErr w:type="spellStart"/>
      <w:r w:rsidRPr="007B22FD">
        <w:t>Eisenstadt</w:t>
      </w:r>
      <w:proofErr w:type="spellEnd"/>
      <w:r w:rsidRPr="007B22FD">
        <w:t xml:space="preserve">, </w:t>
      </w:r>
      <w:proofErr w:type="spellStart"/>
      <w:r w:rsidRPr="007B22FD">
        <w:t>Anita</w:t>
      </w:r>
      <w:proofErr w:type="spellEnd"/>
      <w:r w:rsidRPr="007B22FD">
        <w:t xml:space="preserve"> &amp; </w:t>
      </w:r>
      <w:proofErr w:type="spellStart"/>
      <w:r w:rsidRPr="007B22FD">
        <w:t>Onsrud</w:t>
      </w:r>
      <w:proofErr w:type="spellEnd"/>
      <w:r w:rsidRPr="007B22FD">
        <w:t xml:space="preserve">, </w:t>
      </w:r>
      <w:proofErr w:type="spellStart"/>
      <w:r w:rsidRPr="007B22FD">
        <w:t>Harlan</w:t>
      </w:r>
      <w:proofErr w:type="spellEnd"/>
      <w:r w:rsidRPr="007B22FD">
        <w:t xml:space="preserve"> &amp; </w:t>
      </w:r>
      <w:proofErr w:type="spellStart"/>
      <w:r w:rsidRPr="007B22FD">
        <w:t>Uhlir</w:t>
      </w:r>
      <w:proofErr w:type="spellEnd"/>
      <w:r w:rsidRPr="007B22FD">
        <w:t xml:space="preserve">, </w:t>
      </w:r>
      <w:proofErr w:type="spellStart"/>
      <w:r w:rsidRPr="007B22FD">
        <w:t>Paul</w:t>
      </w:r>
      <w:proofErr w:type="spellEnd"/>
      <w:r w:rsidRPr="007B22FD">
        <w:t xml:space="preserve">. (2018). </w:t>
      </w:r>
      <w:proofErr w:type="spellStart"/>
      <w:r w:rsidRPr="007B22FD">
        <w:t>Legal</w:t>
      </w:r>
      <w:proofErr w:type="spellEnd"/>
      <w:r w:rsidRPr="007B22FD">
        <w:t xml:space="preserve"> </w:t>
      </w:r>
      <w:proofErr w:type="spellStart"/>
      <w:r w:rsidRPr="007B22FD">
        <w:t>Approaches</w:t>
      </w:r>
      <w:proofErr w:type="spellEnd"/>
      <w:r w:rsidRPr="007B22FD">
        <w:t xml:space="preserve"> </w:t>
      </w:r>
      <w:proofErr w:type="spellStart"/>
      <w:r w:rsidRPr="007B22FD">
        <w:t>for</w:t>
      </w:r>
      <w:proofErr w:type="spellEnd"/>
      <w:r w:rsidRPr="007B22FD">
        <w:t xml:space="preserve"> </w:t>
      </w:r>
      <w:proofErr w:type="spellStart"/>
      <w:r w:rsidRPr="007B22FD">
        <w:t>Open</w:t>
      </w:r>
      <w:proofErr w:type="spellEnd"/>
      <w:r w:rsidRPr="007B22FD">
        <w:t xml:space="preserve"> Access to Research Data (p.8). DOI: 10.31228/osf.io/n7gfa..</w:t>
      </w:r>
    </w:p>
  </w:footnote>
  <w:footnote w:id="9">
    <w:p w:rsidR="00F361AF" w:rsidP="00F361AF" w:rsidRDefault="00F361AF" w14:paraId="69F022C4" w14:textId="77777777">
      <w:pPr>
        <w:pStyle w:val="FootnoteText"/>
        <w:jc w:val="both"/>
      </w:pPr>
      <w:r>
        <w:rPr>
          <w:rStyle w:val="FootnoteReference"/>
        </w:rPr>
        <w:footnoteRef/>
      </w:r>
      <w:r>
        <w:t xml:space="preserve"> </w:t>
      </w:r>
      <w:bookmarkStart w:name="_Hlk214565926" w:id="2"/>
      <w:r w:rsidRPr="000C1F9E">
        <w:t xml:space="preserve">EOSC </w:t>
      </w:r>
      <w:proofErr w:type="spellStart"/>
      <w:r w:rsidRPr="000C1F9E">
        <w:t>interoperability</w:t>
      </w:r>
      <w:proofErr w:type="spellEnd"/>
      <w:r w:rsidRPr="000C1F9E">
        <w:t xml:space="preserve"> </w:t>
      </w:r>
      <w:proofErr w:type="spellStart"/>
      <w:r w:rsidRPr="000C1F9E">
        <w:t>framework</w:t>
      </w:r>
      <w:proofErr w:type="spellEnd"/>
      <w:r w:rsidRPr="000C1F9E">
        <w:t xml:space="preserve"> – </w:t>
      </w:r>
      <w:proofErr w:type="spellStart"/>
      <w:r w:rsidRPr="000C1F9E">
        <w:t>Report</w:t>
      </w:r>
      <w:proofErr w:type="spellEnd"/>
      <w:r w:rsidRPr="000C1F9E">
        <w:t xml:space="preserve"> </w:t>
      </w:r>
      <w:proofErr w:type="spellStart"/>
      <w:r w:rsidRPr="000C1F9E">
        <w:t>from</w:t>
      </w:r>
      <w:proofErr w:type="spellEnd"/>
      <w:r w:rsidRPr="000C1F9E">
        <w:t xml:space="preserve"> </w:t>
      </w:r>
      <w:proofErr w:type="spellStart"/>
      <w:r w:rsidRPr="000C1F9E">
        <w:t>the</w:t>
      </w:r>
      <w:proofErr w:type="spellEnd"/>
      <w:r w:rsidRPr="000C1F9E">
        <w:t xml:space="preserve"> EOSC </w:t>
      </w:r>
      <w:proofErr w:type="spellStart"/>
      <w:r w:rsidRPr="000C1F9E">
        <w:t>Executive</w:t>
      </w:r>
      <w:proofErr w:type="spellEnd"/>
      <w:r w:rsidRPr="000C1F9E">
        <w:t xml:space="preserve"> </w:t>
      </w:r>
      <w:proofErr w:type="spellStart"/>
      <w:r w:rsidRPr="000C1F9E">
        <w:t>Board</w:t>
      </w:r>
      <w:proofErr w:type="spellEnd"/>
      <w:r w:rsidRPr="000C1F9E">
        <w:t xml:space="preserve"> </w:t>
      </w:r>
      <w:proofErr w:type="spellStart"/>
      <w:r w:rsidRPr="000C1F9E">
        <w:t>Working</w:t>
      </w:r>
      <w:proofErr w:type="spellEnd"/>
      <w:r w:rsidRPr="000C1F9E">
        <w:t xml:space="preserve"> </w:t>
      </w:r>
      <w:proofErr w:type="spellStart"/>
      <w:r w:rsidRPr="000C1F9E">
        <w:t>Groups</w:t>
      </w:r>
      <w:proofErr w:type="spellEnd"/>
      <w:r w:rsidRPr="000C1F9E">
        <w:t xml:space="preserve"> FAIR </w:t>
      </w:r>
      <w:proofErr w:type="spellStart"/>
      <w:r w:rsidRPr="000C1F9E">
        <w:t>and</w:t>
      </w:r>
      <w:proofErr w:type="spellEnd"/>
      <w:r w:rsidRPr="000C1F9E">
        <w:t xml:space="preserve"> </w:t>
      </w:r>
      <w:proofErr w:type="spellStart"/>
      <w:r w:rsidRPr="000C1F9E">
        <w:t>Architecture</w:t>
      </w:r>
      <w:proofErr w:type="spellEnd"/>
      <w:r w:rsidRPr="000C1F9E">
        <w:t xml:space="preserve">, </w:t>
      </w:r>
      <w:proofErr w:type="spellStart"/>
      <w:r w:rsidRPr="000C1F9E">
        <w:t>Publications</w:t>
      </w:r>
      <w:proofErr w:type="spellEnd"/>
      <w:r w:rsidRPr="000C1F9E">
        <w:t xml:space="preserve"> Office, 2021, https://data.europa.eu/doi/10.2777/620649</w:t>
      </w:r>
      <w:r>
        <w:t>, p. 27-28.</w:t>
      </w:r>
      <w:bookmarkEnd w:id="2"/>
    </w:p>
  </w:footnote>
  <w:footnote w:id="10">
    <w:p w:rsidR="00F361AF" w:rsidP="00F361AF" w:rsidRDefault="00F361AF" w14:paraId="3C72B0DD" w14:textId="77777777">
      <w:pPr>
        <w:pStyle w:val="FootnoteText"/>
        <w:jc w:val="both"/>
      </w:pPr>
      <w:r>
        <w:rPr>
          <w:rStyle w:val="FootnoteReference"/>
        </w:rPr>
        <w:footnoteRef/>
      </w:r>
      <w:r>
        <w:t xml:space="preserve"> </w:t>
      </w:r>
      <w:r w:rsidRPr="008B0E27">
        <w:t xml:space="preserve">. </w:t>
      </w:r>
      <w:proofErr w:type="spellStart"/>
      <w:r w:rsidRPr="008B0E27">
        <w:t>Katsanakis</w:t>
      </w:r>
      <w:proofErr w:type="spellEnd"/>
      <w:r w:rsidRPr="008B0E27">
        <w:t xml:space="preserve"> (</w:t>
      </w:r>
      <w:proofErr w:type="spellStart"/>
      <w:r w:rsidRPr="008B0E27">
        <w:t>OpenAIRE</w:t>
      </w:r>
      <w:proofErr w:type="spellEnd"/>
      <w:r w:rsidRPr="008B0E27">
        <w:t xml:space="preserve">), </w:t>
      </w:r>
      <w:proofErr w:type="spellStart"/>
      <w:r w:rsidRPr="008B0E27">
        <w:t>Wim</w:t>
      </w:r>
      <w:proofErr w:type="spellEnd"/>
      <w:r w:rsidRPr="008B0E27">
        <w:t xml:space="preserve"> Hugo (DANS), </w:t>
      </w:r>
      <w:proofErr w:type="spellStart"/>
      <w:r w:rsidRPr="008B0E27">
        <w:t>Deborah</w:t>
      </w:r>
      <w:proofErr w:type="spellEnd"/>
      <w:r w:rsidRPr="008B0E27">
        <w:t xml:space="preserve"> </w:t>
      </w:r>
      <w:proofErr w:type="spellStart"/>
      <w:r w:rsidRPr="008B0E27">
        <w:t>Thorpe</w:t>
      </w:r>
      <w:proofErr w:type="spellEnd"/>
      <w:r w:rsidRPr="008B0E27">
        <w:t xml:space="preserve"> (DANS)  D13.3 Digital </w:t>
      </w:r>
      <w:proofErr w:type="spellStart"/>
      <w:r w:rsidRPr="008B0E27">
        <w:t>Rights</w:t>
      </w:r>
      <w:proofErr w:type="spellEnd"/>
      <w:r w:rsidRPr="008B0E27">
        <w:t xml:space="preserve"> Management </w:t>
      </w:r>
      <w:proofErr w:type="spellStart"/>
      <w:r w:rsidRPr="008B0E27">
        <w:t>State</w:t>
      </w:r>
      <w:proofErr w:type="spellEnd"/>
      <w:r w:rsidRPr="008B0E27">
        <w:t xml:space="preserve"> of </w:t>
      </w:r>
      <w:proofErr w:type="spellStart"/>
      <w:r w:rsidRPr="008B0E27">
        <w:t>the</w:t>
      </w:r>
      <w:proofErr w:type="spellEnd"/>
      <w:r w:rsidRPr="008B0E27">
        <w:t xml:space="preserve"> Art 29/09/2025, https://zenodo.org/records/17225379</w:t>
      </w:r>
    </w:p>
  </w:footnote>
  <w:footnote w:id="11">
    <w:p w:rsidRPr="00653473" w:rsidR="00F361AF" w:rsidP="00F361AF" w:rsidRDefault="00F361AF" w14:paraId="16F7EB33" w14:textId="77777777">
      <w:pPr>
        <w:pStyle w:val="FootnoteText"/>
        <w:jc w:val="both"/>
        <w:rPr>
          <w:lang w:val="lt-LT"/>
        </w:rPr>
      </w:pPr>
      <w:r>
        <w:rPr>
          <w:rStyle w:val="FootnoteReference"/>
        </w:rPr>
        <w:footnoteRef/>
      </w:r>
      <w:r>
        <w:t xml:space="preserve"> </w:t>
      </w:r>
      <w:proofErr w:type="spellStart"/>
      <w:r w:rsidRPr="00653473">
        <w:t>Rights</w:t>
      </w:r>
      <w:proofErr w:type="spellEnd"/>
      <w:r w:rsidRPr="00653473">
        <w:t xml:space="preserve"> </w:t>
      </w:r>
      <w:proofErr w:type="spellStart"/>
      <w:r w:rsidRPr="00653473">
        <w:t>Markup</w:t>
      </w:r>
      <w:proofErr w:type="spellEnd"/>
      <w:r w:rsidRPr="00653473">
        <w:t xml:space="preserve"> </w:t>
      </w:r>
      <w:proofErr w:type="spellStart"/>
      <w:r w:rsidRPr="00653473">
        <w:t>Language</w:t>
      </w:r>
      <w:proofErr w:type="spellEnd"/>
    </w:p>
  </w:footnote>
  <w:footnote w:id="12">
    <w:p w:rsidR="00F361AF" w:rsidP="00F361AF" w:rsidRDefault="00F361AF" w14:paraId="4006BFFF" w14:textId="77777777">
      <w:pPr>
        <w:pStyle w:val="FootnoteText"/>
        <w:jc w:val="both"/>
      </w:pPr>
      <w:r>
        <w:rPr>
          <w:rStyle w:val="FootnoteReference"/>
        </w:rPr>
        <w:footnoteRef/>
      </w:r>
      <w:r>
        <w:t>https://www.w3.org/TR/odrl-vocab/</w:t>
      </w:r>
    </w:p>
  </w:footnote>
  <w:footnote w:id="13">
    <w:p w:rsidR="00F361AF" w:rsidP="00F361AF" w:rsidRDefault="00F361AF" w14:paraId="5E006384" w14:textId="77777777">
      <w:pPr>
        <w:pStyle w:val="FootnoteText"/>
        <w:jc w:val="both"/>
      </w:pPr>
      <w:r>
        <w:rPr>
          <w:rStyle w:val="FootnoteReference"/>
        </w:rPr>
        <w:footnoteRef/>
      </w:r>
      <w:r>
        <w:t>https://ega-archive.org/access/data-access-committee/data-use-ontology/#</w:t>
      </w:r>
    </w:p>
  </w:footnote>
  <w:footnote w:id="14">
    <w:p w:rsidR="00F361AF" w:rsidP="00F361AF" w:rsidRDefault="00F361AF" w14:paraId="4FF69C8A" w14:textId="77777777">
      <w:pPr>
        <w:pStyle w:val="FootnoteText"/>
        <w:jc w:val="both"/>
      </w:pPr>
      <w:r>
        <w:rPr>
          <w:rStyle w:val="FootnoteReference"/>
        </w:rPr>
        <w:footnoteRef/>
      </w:r>
      <w:r>
        <w:t xml:space="preserve"> </w:t>
      </w:r>
      <w:proofErr w:type="spellStart"/>
      <w:r>
        <w:t>Rights</w:t>
      </w:r>
      <w:proofErr w:type="spellEnd"/>
      <w:r>
        <w:t xml:space="preserve"> </w:t>
      </w:r>
      <w:proofErr w:type="spellStart"/>
      <w:r>
        <w:t>Expression</w:t>
      </w:r>
      <w:proofErr w:type="spellEnd"/>
      <w:r>
        <w:t xml:space="preserve"> </w:t>
      </w:r>
      <w:proofErr w:type="spellStart"/>
      <w:r>
        <w:t>Language</w:t>
      </w:r>
      <w:proofErr w:type="spellEnd"/>
      <w:r>
        <w:t xml:space="preserve"> (REL)</w:t>
      </w:r>
    </w:p>
  </w:footnote>
  <w:footnote w:id="15">
    <w:p w:rsidR="00F361AF" w:rsidP="00F361AF" w:rsidRDefault="00F361AF" w14:paraId="42E02EF4" w14:textId="77777777">
      <w:pPr>
        <w:pStyle w:val="FootnoteText"/>
        <w:jc w:val="both"/>
      </w:pPr>
      <w:r>
        <w:rPr>
          <w:rStyle w:val="FootnoteReference"/>
        </w:rPr>
        <w:footnoteRef/>
      </w:r>
      <w:r>
        <w:t xml:space="preserve"> </w:t>
      </w:r>
      <w:proofErr w:type="spellStart"/>
      <w:r w:rsidRPr="0011620F">
        <w:t>Application</w:t>
      </w:r>
      <w:proofErr w:type="spellEnd"/>
      <w:r w:rsidRPr="0011620F">
        <w:t xml:space="preserve"> </w:t>
      </w:r>
      <w:proofErr w:type="spellStart"/>
      <w:r w:rsidRPr="0011620F">
        <w:t>Programming</w:t>
      </w:r>
      <w:proofErr w:type="spellEnd"/>
      <w:r w:rsidRPr="0011620F">
        <w:t xml:space="preserve"> </w:t>
      </w:r>
      <w:proofErr w:type="spellStart"/>
      <w:r w:rsidRPr="0011620F">
        <w:t>Interface</w:t>
      </w:r>
      <w:proofErr w:type="spellEnd"/>
    </w:p>
  </w:footnote>
  <w:footnote w:id="16">
    <w:p w:rsidR="00F361AF" w:rsidP="00F361AF" w:rsidRDefault="00F361AF" w14:paraId="2D7611CC" w14:textId="77777777">
      <w:pPr>
        <w:pStyle w:val="FootnoteText"/>
        <w:jc w:val="both"/>
      </w:pPr>
      <w:r>
        <w:rPr>
          <w:rStyle w:val="FootnoteReference"/>
        </w:rPr>
        <w:footnoteRef/>
      </w:r>
      <w:r>
        <w:t xml:space="preserve"> </w:t>
      </w:r>
      <w:r w:rsidRPr="00BB1CD4">
        <w:t xml:space="preserve">  </w:t>
      </w:r>
      <w:proofErr w:type="spellStart"/>
      <w:r w:rsidRPr="00BB1CD4">
        <w:t>Harvesting</w:t>
      </w:r>
      <w:proofErr w:type="spellEnd"/>
      <w:r w:rsidRPr="00BB1CD4">
        <w:t xml:space="preserve"> </w:t>
      </w:r>
      <w:proofErr w:type="spellStart"/>
      <w:r w:rsidRPr="00BB1CD4">
        <w:t>protocols</w:t>
      </w:r>
      <w:proofErr w:type="spellEnd"/>
      <w:r w:rsidRPr="00BB1CD4">
        <w:t xml:space="preserve"> are </w:t>
      </w:r>
      <w:proofErr w:type="spellStart"/>
      <w:r w:rsidRPr="00BB1CD4">
        <w:t>standardised</w:t>
      </w:r>
      <w:proofErr w:type="spellEnd"/>
      <w:r w:rsidRPr="00BB1CD4">
        <w:t xml:space="preserve"> </w:t>
      </w:r>
      <w:proofErr w:type="spellStart"/>
      <w:r w:rsidRPr="00BB1CD4">
        <w:t>technical</w:t>
      </w:r>
      <w:proofErr w:type="spellEnd"/>
      <w:r w:rsidRPr="00BB1CD4">
        <w:t xml:space="preserve"> </w:t>
      </w:r>
      <w:proofErr w:type="spellStart"/>
      <w:r w:rsidRPr="00BB1CD4">
        <w:t>methods</w:t>
      </w:r>
      <w:proofErr w:type="spellEnd"/>
      <w:r w:rsidRPr="00BB1CD4">
        <w:t xml:space="preserve"> </w:t>
      </w:r>
      <w:proofErr w:type="spellStart"/>
      <w:r w:rsidRPr="00BB1CD4">
        <w:t>for</w:t>
      </w:r>
      <w:proofErr w:type="spellEnd"/>
      <w:r w:rsidRPr="00BB1CD4">
        <w:t xml:space="preserve"> </w:t>
      </w:r>
      <w:proofErr w:type="spellStart"/>
      <w:r w:rsidRPr="00BB1CD4">
        <w:t>automatically</w:t>
      </w:r>
      <w:proofErr w:type="spellEnd"/>
      <w:r w:rsidRPr="00BB1CD4">
        <w:t xml:space="preserve"> </w:t>
      </w:r>
      <w:proofErr w:type="spellStart"/>
      <w:r w:rsidRPr="00BB1CD4">
        <w:t>collecting</w:t>
      </w:r>
      <w:proofErr w:type="spellEnd"/>
      <w:r w:rsidRPr="00BB1CD4">
        <w:t xml:space="preserve"> </w:t>
      </w:r>
      <w:proofErr w:type="spellStart"/>
      <w:r w:rsidRPr="00BB1CD4">
        <w:t>metadata</w:t>
      </w:r>
      <w:proofErr w:type="spellEnd"/>
      <w:r w:rsidRPr="00BB1CD4">
        <w:t xml:space="preserve"> </w:t>
      </w:r>
      <w:proofErr w:type="spellStart"/>
      <w:r w:rsidRPr="00BB1CD4">
        <w:t>or</w:t>
      </w:r>
      <w:proofErr w:type="spellEnd"/>
      <w:r w:rsidRPr="00BB1CD4">
        <w:t xml:space="preserve"> data </w:t>
      </w:r>
      <w:proofErr w:type="spellStart"/>
      <w:r w:rsidRPr="00BB1CD4">
        <w:t>from</w:t>
      </w:r>
      <w:proofErr w:type="spellEnd"/>
      <w:r w:rsidRPr="00BB1CD4">
        <w:t xml:space="preserve"> </w:t>
      </w:r>
      <w:proofErr w:type="spellStart"/>
      <w:r w:rsidRPr="00BB1CD4">
        <w:t>many</w:t>
      </w:r>
      <w:proofErr w:type="spellEnd"/>
      <w:r w:rsidRPr="00BB1CD4">
        <w:t xml:space="preserve"> </w:t>
      </w:r>
      <w:proofErr w:type="spellStart"/>
      <w:r w:rsidRPr="00BB1CD4">
        <w:t>different</w:t>
      </w:r>
      <w:proofErr w:type="spellEnd"/>
      <w:r w:rsidRPr="00BB1CD4">
        <w:t xml:space="preserve"> </w:t>
      </w:r>
      <w:proofErr w:type="spellStart"/>
      <w:r w:rsidRPr="00BB1CD4">
        <w:t>sources</w:t>
      </w:r>
      <w:proofErr w:type="spellEnd"/>
      <w:r w:rsidRPr="00BB1CD4">
        <w:t xml:space="preserve"> (</w:t>
      </w:r>
      <w:proofErr w:type="spellStart"/>
      <w:r w:rsidRPr="00BB1CD4">
        <w:t>repositories</w:t>
      </w:r>
      <w:proofErr w:type="spellEnd"/>
      <w:r w:rsidRPr="00BB1CD4">
        <w:t xml:space="preserve">, </w:t>
      </w:r>
      <w:proofErr w:type="spellStart"/>
      <w:r w:rsidRPr="00BB1CD4">
        <w:t>catalogues</w:t>
      </w:r>
      <w:proofErr w:type="spellEnd"/>
      <w:r w:rsidRPr="00BB1CD4">
        <w:t xml:space="preserve">, </w:t>
      </w:r>
      <w:proofErr w:type="spellStart"/>
      <w:r w:rsidRPr="00BB1CD4">
        <w:t>databases</w:t>
      </w:r>
      <w:proofErr w:type="spellEnd"/>
      <w:r w:rsidRPr="00BB1CD4">
        <w:t xml:space="preserve">) </w:t>
      </w:r>
      <w:proofErr w:type="spellStart"/>
      <w:r w:rsidRPr="00BB1CD4">
        <w:t>into</w:t>
      </w:r>
      <w:proofErr w:type="spellEnd"/>
      <w:r w:rsidRPr="00BB1CD4">
        <w:t xml:space="preserve"> </w:t>
      </w:r>
      <w:proofErr w:type="spellStart"/>
      <w:r w:rsidRPr="00BB1CD4">
        <w:t>one</w:t>
      </w:r>
      <w:proofErr w:type="spellEnd"/>
      <w:r w:rsidRPr="00BB1CD4">
        <w:t xml:space="preserve"> </w:t>
      </w:r>
      <w:proofErr w:type="spellStart"/>
      <w:r w:rsidRPr="00BB1CD4">
        <w:t>place</w:t>
      </w:r>
      <w:proofErr w:type="spellEnd"/>
    </w:p>
  </w:footnote>
  <w:footnote w:id="17">
    <w:p w:rsidR="00F361AF" w:rsidP="00F361AF" w:rsidRDefault="00F361AF" w14:paraId="259579B5" w14:textId="77777777">
      <w:pPr>
        <w:pStyle w:val="FootnoteText"/>
        <w:jc w:val="both"/>
      </w:pPr>
      <w:r>
        <w:rPr>
          <w:rStyle w:val="FootnoteReference"/>
        </w:rPr>
        <w:footnoteRef/>
      </w:r>
      <w:r w:rsidRPr="0018434B">
        <w:t>RO-</w:t>
      </w:r>
      <w:proofErr w:type="spellStart"/>
      <w:r w:rsidRPr="0018434B">
        <w:t>Crate</w:t>
      </w:r>
      <w:proofErr w:type="spellEnd"/>
      <w:r w:rsidRPr="0018434B">
        <w:t xml:space="preserve"> (Research </w:t>
      </w:r>
      <w:proofErr w:type="spellStart"/>
      <w:r w:rsidRPr="0018434B">
        <w:t>Object</w:t>
      </w:r>
      <w:proofErr w:type="spellEnd"/>
      <w:r w:rsidRPr="0018434B">
        <w:t xml:space="preserve"> </w:t>
      </w:r>
      <w:proofErr w:type="spellStart"/>
      <w:r w:rsidRPr="0018434B">
        <w:t>Crate</w:t>
      </w:r>
      <w:proofErr w:type="spellEnd"/>
      <w:r w:rsidRPr="0018434B">
        <w:t xml:space="preserve">) </w:t>
      </w:r>
      <w:proofErr w:type="spellStart"/>
      <w:r w:rsidRPr="0018434B">
        <w:t>is</w:t>
      </w:r>
      <w:proofErr w:type="spellEnd"/>
      <w:r w:rsidRPr="0018434B">
        <w:t xml:space="preserve"> a </w:t>
      </w:r>
      <w:proofErr w:type="spellStart"/>
      <w:r w:rsidRPr="0018434B">
        <w:t>lightweight</w:t>
      </w:r>
      <w:proofErr w:type="spellEnd"/>
      <w:r w:rsidRPr="0018434B">
        <w:t xml:space="preserve">, </w:t>
      </w:r>
      <w:proofErr w:type="spellStart"/>
      <w:r w:rsidRPr="0018434B">
        <w:t>machine-readable</w:t>
      </w:r>
      <w:proofErr w:type="spellEnd"/>
      <w:r w:rsidRPr="0018434B">
        <w:t xml:space="preserve"> </w:t>
      </w:r>
      <w:proofErr w:type="spellStart"/>
      <w:r w:rsidRPr="0018434B">
        <w:t>packaging</w:t>
      </w:r>
      <w:proofErr w:type="spellEnd"/>
      <w:r w:rsidRPr="0018434B">
        <w:t xml:space="preserve"> </w:t>
      </w:r>
      <w:proofErr w:type="spellStart"/>
      <w:r w:rsidRPr="0018434B">
        <w:t>format</w:t>
      </w:r>
      <w:proofErr w:type="spellEnd"/>
      <w:r w:rsidRPr="0018434B">
        <w:t xml:space="preserve"> </w:t>
      </w:r>
      <w:proofErr w:type="spellStart"/>
      <w:r w:rsidRPr="0018434B">
        <w:t>for</w:t>
      </w:r>
      <w:proofErr w:type="spellEnd"/>
      <w:r w:rsidRPr="0018434B">
        <w:t xml:space="preserve"> </w:t>
      </w:r>
      <w:proofErr w:type="spellStart"/>
      <w:r w:rsidRPr="0018434B">
        <w:t>research</w:t>
      </w:r>
      <w:proofErr w:type="spellEnd"/>
      <w:r w:rsidRPr="0018434B">
        <w:t xml:space="preserve"> data, </w:t>
      </w:r>
      <w:proofErr w:type="spellStart"/>
      <w:r w:rsidRPr="0018434B">
        <w:t>software</w:t>
      </w:r>
      <w:proofErr w:type="spellEnd"/>
      <w:r w:rsidRPr="0018434B">
        <w:t xml:space="preserve">, </w:t>
      </w:r>
      <w:proofErr w:type="spellStart"/>
      <w:r w:rsidRPr="0018434B">
        <w:t>workflows</w:t>
      </w:r>
      <w:proofErr w:type="spellEnd"/>
      <w:r w:rsidRPr="0018434B">
        <w:t xml:space="preserve">, </w:t>
      </w:r>
      <w:proofErr w:type="spellStart"/>
      <w:r w:rsidRPr="0018434B">
        <w:t>and</w:t>
      </w:r>
      <w:proofErr w:type="spellEnd"/>
      <w:r w:rsidRPr="0018434B">
        <w:t xml:space="preserve"> </w:t>
      </w:r>
      <w:proofErr w:type="spellStart"/>
      <w:r w:rsidRPr="0018434B">
        <w:t>metadata</w:t>
      </w:r>
      <w:proofErr w:type="spellEnd"/>
      <w:r w:rsidRPr="0018434B">
        <w:t xml:space="preserve">. It </w:t>
      </w:r>
      <w:proofErr w:type="spellStart"/>
      <w:r w:rsidRPr="0018434B">
        <w:t>is</w:t>
      </w:r>
      <w:proofErr w:type="spellEnd"/>
      <w:r w:rsidRPr="0018434B">
        <w:t xml:space="preserve"> </w:t>
      </w:r>
      <w:proofErr w:type="spellStart"/>
      <w:r w:rsidRPr="0018434B">
        <w:t>used</w:t>
      </w:r>
      <w:proofErr w:type="spellEnd"/>
      <w:r w:rsidRPr="0018434B">
        <w:t xml:space="preserve"> </w:t>
      </w:r>
      <w:proofErr w:type="spellStart"/>
      <w:r w:rsidRPr="0018434B">
        <w:t>widely</w:t>
      </w:r>
      <w:proofErr w:type="spellEnd"/>
      <w:r w:rsidRPr="0018434B">
        <w:t xml:space="preserve"> in </w:t>
      </w:r>
      <w:proofErr w:type="spellStart"/>
      <w:r w:rsidRPr="0018434B">
        <w:t>open</w:t>
      </w:r>
      <w:proofErr w:type="spellEnd"/>
      <w:r w:rsidRPr="0018434B">
        <w:t xml:space="preserve"> </w:t>
      </w:r>
      <w:proofErr w:type="spellStart"/>
      <w:r w:rsidRPr="0018434B">
        <w:t>science</w:t>
      </w:r>
      <w:proofErr w:type="spellEnd"/>
      <w:r w:rsidRPr="0018434B">
        <w:t xml:space="preserve">, FAIR data, EOSC, </w:t>
      </w:r>
      <w:proofErr w:type="spellStart"/>
      <w:r w:rsidRPr="0018434B">
        <w:t>and</w:t>
      </w:r>
      <w:proofErr w:type="spellEnd"/>
      <w:r w:rsidRPr="0018434B">
        <w:t xml:space="preserve"> </w:t>
      </w:r>
      <w:proofErr w:type="spellStart"/>
      <w:r w:rsidRPr="0018434B">
        <w:t>reproducible</w:t>
      </w:r>
      <w:proofErr w:type="spellEnd"/>
      <w:r w:rsidRPr="0018434B">
        <w:t xml:space="preserve"> </w:t>
      </w:r>
      <w:proofErr w:type="spellStart"/>
      <w:r w:rsidRPr="0018434B">
        <w:t>research</w:t>
      </w:r>
      <w:proofErr w:type="spellEnd"/>
      <w:r w:rsidRPr="0018434B">
        <w:t xml:space="preserve"> </w:t>
      </w:r>
      <w:proofErr w:type="spellStart"/>
      <w:r w:rsidRPr="0018434B">
        <w:t>projects</w:t>
      </w:r>
      <w:proofErr w:type="spellEnd"/>
      <w:r w:rsidRPr="0018434B">
        <w:t>.</w:t>
      </w:r>
      <w:r>
        <w:t>.</w:t>
      </w:r>
    </w:p>
  </w:footnote>
  <w:footnote w:id="18">
    <w:p w:rsidR="00F361AF" w:rsidP="00F361AF" w:rsidRDefault="00F361AF" w14:paraId="726AC9E0" w14:textId="77777777">
      <w:pPr>
        <w:pStyle w:val="FootnoteText"/>
        <w:jc w:val="both"/>
      </w:pPr>
      <w:r>
        <w:rPr>
          <w:rStyle w:val="FootnoteReference"/>
        </w:rPr>
        <w:footnoteRef/>
      </w:r>
      <w:r>
        <w:t xml:space="preserve"> </w:t>
      </w:r>
      <w:proofErr w:type="spellStart"/>
      <w:r w:rsidRPr="00650E64">
        <w:t>Persistent</w:t>
      </w:r>
      <w:proofErr w:type="spellEnd"/>
      <w:r w:rsidRPr="00650E64">
        <w:t xml:space="preserve"> </w:t>
      </w:r>
      <w:proofErr w:type="spellStart"/>
      <w:r w:rsidRPr="00650E64">
        <w:t>Identifier</w:t>
      </w:r>
      <w:proofErr w:type="spellEnd"/>
      <w:r w:rsidRPr="00650E64">
        <w:t xml:space="preserve">. It </w:t>
      </w:r>
      <w:proofErr w:type="spellStart"/>
      <w:r w:rsidRPr="00650E64">
        <w:t>is</w:t>
      </w:r>
      <w:proofErr w:type="spellEnd"/>
      <w:r w:rsidRPr="00650E64">
        <w:t xml:space="preserve"> a </w:t>
      </w:r>
      <w:proofErr w:type="spellStart"/>
      <w:r w:rsidRPr="00650E64">
        <w:t>long-lasting</w:t>
      </w:r>
      <w:proofErr w:type="spellEnd"/>
      <w:r w:rsidRPr="00650E64">
        <w:t xml:space="preserve">, </w:t>
      </w:r>
      <w:proofErr w:type="spellStart"/>
      <w:r w:rsidRPr="00650E64">
        <w:t>stable</w:t>
      </w:r>
      <w:proofErr w:type="spellEnd"/>
      <w:r w:rsidRPr="00650E64">
        <w:t xml:space="preserve">, </w:t>
      </w:r>
      <w:proofErr w:type="spellStart"/>
      <w:r w:rsidRPr="00650E64">
        <w:t>unique</w:t>
      </w:r>
      <w:proofErr w:type="spellEnd"/>
      <w:r w:rsidRPr="00650E64">
        <w:t xml:space="preserve"> </w:t>
      </w:r>
      <w:proofErr w:type="spellStart"/>
      <w:r w:rsidRPr="00650E64">
        <w:t>reference</w:t>
      </w:r>
      <w:proofErr w:type="spellEnd"/>
      <w:r w:rsidRPr="00650E64">
        <w:t xml:space="preserve"> </w:t>
      </w:r>
      <w:proofErr w:type="spellStart"/>
      <w:r w:rsidRPr="00650E64">
        <w:t>used</w:t>
      </w:r>
      <w:proofErr w:type="spellEnd"/>
      <w:r w:rsidRPr="00650E64">
        <w:t xml:space="preserve"> to </w:t>
      </w:r>
      <w:proofErr w:type="spellStart"/>
      <w:r w:rsidRPr="00650E64">
        <w:t>identify</w:t>
      </w:r>
      <w:proofErr w:type="spellEnd"/>
      <w:r w:rsidRPr="00650E64">
        <w:t xml:space="preserve"> a </w:t>
      </w:r>
      <w:proofErr w:type="spellStart"/>
      <w:r w:rsidRPr="00650E64">
        <w:t>digital</w:t>
      </w:r>
      <w:proofErr w:type="spellEnd"/>
      <w:r w:rsidRPr="00650E64">
        <w:t xml:space="preserve"> </w:t>
      </w:r>
      <w:proofErr w:type="spellStart"/>
      <w:r w:rsidRPr="00650E64">
        <w:t>object</w:t>
      </w:r>
      <w:proofErr w:type="spellEnd"/>
      <w:r w:rsidRPr="00650E64">
        <w:t xml:space="preserve"> </w:t>
      </w:r>
      <w:proofErr w:type="spellStart"/>
      <w:r w:rsidRPr="00650E64">
        <w:t>so</w:t>
      </w:r>
      <w:proofErr w:type="spellEnd"/>
      <w:r w:rsidRPr="00650E64">
        <w:t xml:space="preserve"> it </w:t>
      </w:r>
      <w:proofErr w:type="spellStart"/>
      <w:r w:rsidRPr="00650E64">
        <w:t>can</w:t>
      </w:r>
      <w:proofErr w:type="spellEnd"/>
      <w:r w:rsidRPr="00650E64">
        <w:t xml:space="preserve"> </w:t>
      </w:r>
      <w:proofErr w:type="spellStart"/>
      <w:r w:rsidRPr="00650E64">
        <w:t>always</w:t>
      </w:r>
      <w:proofErr w:type="spellEnd"/>
      <w:r w:rsidRPr="00650E64">
        <w:t xml:space="preserve"> be </w:t>
      </w:r>
      <w:proofErr w:type="spellStart"/>
      <w:r w:rsidRPr="00650E64">
        <w:t>found</w:t>
      </w:r>
      <w:proofErr w:type="spellEnd"/>
      <w:r w:rsidRPr="00650E64">
        <w:t xml:space="preserve">, </w:t>
      </w:r>
      <w:proofErr w:type="spellStart"/>
      <w:r w:rsidRPr="00650E64">
        <w:t>even</w:t>
      </w:r>
      <w:proofErr w:type="spellEnd"/>
      <w:r w:rsidRPr="00650E64">
        <w:t xml:space="preserve"> </w:t>
      </w:r>
      <w:proofErr w:type="spellStart"/>
      <w:r w:rsidRPr="00650E64">
        <w:t>if</w:t>
      </w:r>
      <w:proofErr w:type="spellEnd"/>
      <w:r w:rsidRPr="00650E64">
        <w:t xml:space="preserve"> </w:t>
      </w:r>
      <w:proofErr w:type="spellStart"/>
      <w:r w:rsidRPr="00650E64">
        <w:t>its</w:t>
      </w:r>
      <w:proofErr w:type="spellEnd"/>
      <w:r w:rsidRPr="00650E64">
        <w:t xml:space="preserve"> </w:t>
      </w:r>
      <w:proofErr w:type="spellStart"/>
      <w:r w:rsidRPr="00650E64">
        <w:t>location</w:t>
      </w:r>
      <w:proofErr w:type="spellEnd"/>
      <w:r w:rsidRPr="00650E64">
        <w:t xml:space="preserve"> </w:t>
      </w:r>
      <w:proofErr w:type="spellStart"/>
      <w:r w:rsidRPr="00650E64">
        <w:t>changes</w:t>
      </w:r>
      <w:proofErr w:type="spellEnd"/>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BC3D36"/>
    <w:multiLevelType w:val="multilevel"/>
    <w:tmpl w:val="19B231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53DB3D5C"/>
    <w:multiLevelType w:val="hybridMultilevel"/>
    <w:tmpl w:val="56B86CFE"/>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 w15:restartNumberingAfterBreak="0">
    <w:nsid w:val="55ED2C1C"/>
    <w:multiLevelType w:val="hybridMultilevel"/>
    <w:tmpl w:val="EFAAD29A"/>
    <w:lvl w:ilvl="0" w:tplc="04270001">
      <w:start w:val="1"/>
      <w:numFmt w:val="bullet"/>
      <w:lvlText w:val=""/>
      <w:lvlJc w:val="left"/>
      <w:pPr>
        <w:ind w:left="720" w:hanging="360"/>
      </w:pPr>
      <w:rPr>
        <w:rFonts w:hint="default" w:ascii="Symbol" w:hAnsi="Symbol"/>
      </w:rPr>
    </w:lvl>
    <w:lvl w:ilvl="1" w:tplc="04270003" w:tentative="1">
      <w:start w:val="1"/>
      <w:numFmt w:val="bullet"/>
      <w:lvlText w:val="o"/>
      <w:lvlJc w:val="left"/>
      <w:pPr>
        <w:ind w:left="1440" w:hanging="360"/>
      </w:pPr>
      <w:rPr>
        <w:rFonts w:hint="default" w:ascii="Courier New" w:hAnsi="Courier New" w:cs="Courier New"/>
      </w:rPr>
    </w:lvl>
    <w:lvl w:ilvl="2" w:tplc="04270005" w:tentative="1">
      <w:start w:val="1"/>
      <w:numFmt w:val="bullet"/>
      <w:lvlText w:val=""/>
      <w:lvlJc w:val="left"/>
      <w:pPr>
        <w:ind w:left="2160" w:hanging="360"/>
      </w:pPr>
      <w:rPr>
        <w:rFonts w:hint="default" w:ascii="Wingdings" w:hAnsi="Wingdings"/>
      </w:rPr>
    </w:lvl>
    <w:lvl w:ilvl="3" w:tplc="04270001" w:tentative="1">
      <w:start w:val="1"/>
      <w:numFmt w:val="bullet"/>
      <w:lvlText w:val=""/>
      <w:lvlJc w:val="left"/>
      <w:pPr>
        <w:ind w:left="2880" w:hanging="360"/>
      </w:pPr>
      <w:rPr>
        <w:rFonts w:hint="default" w:ascii="Symbol" w:hAnsi="Symbol"/>
      </w:rPr>
    </w:lvl>
    <w:lvl w:ilvl="4" w:tplc="04270003" w:tentative="1">
      <w:start w:val="1"/>
      <w:numFmt w:val="bullet"/>
      <w:lvlText w:val="o"/>
      <w:lvlJc w:val="left"/>
      <w:pPr>
        <w:ind w:left="3600" w:hanging="360"/>
      </w:pPr>
      <w:rPr>
        <w:rFonts w:hint="default" w:ascii="Courier New" w:hAnsi="Courier New" w:cs="Courier New"/>
      </w:rPr>
    </w:lvl>
    <w:lvl w:ilvl="5" w:tplc="04270005" w:tentative="1">
      <w:start w:val="1"/>
      <w:numFmt w:val="bullet"/>
      <w:lvlText w:val=""/>
      <w:lvlJc w:val="left"/>
      <w:pPr>
        <w:ind w:left="4320" w:hanging="360"/>
      </w:pPr>
      <w:rPr>
        <w:rFonts w:hint="default" w:ascii="Wingdings" w:hAnsi="Wingdings"/>
      </w:rPr>
    </w:lvl>
    <w:lvl w:ilvl="6" w:tplc="04270001" w:tentative="1">
      <w:start w:val="1"/>
      <w:numFmt w:val="bullet"/>
      <w:lvlText w:val=""/>
      <w:lvlJc w:val="left"/>
      <w:pPr>
        <w:ind w:left="5040" w:hanging="360"/>
      </w:pPr>
      <w:rPr>
        <w:rFonts w:hint="default" w:ascii="Symbol" w:hAnsi="Symbol"/>
      </w:rPr>
    </w:lvl>
    <w:lvl w:ilvl="7" w:tplc="04270003" w:tentative="1">
      <w:start w:val="1"/>
      <w:numFmt w:val="bullet"/>
      <w:lvlText w:val="o"/>
      <w:lvlJc w:val="left"/>
      <w:pPr>
        <w:ind w:left="5760" w:hanging="360"/>
      </w:pPr>
      <w:rPr>
        <w:rFonts w:hint="default" w:ascii="Courier New" w:hAnsi="Courier New" w:cs="Courier New"/>
      </w:rPr>
    </w:lvl>
    <w:lvl w:ilvl="8" w:tplc="04270005" w:tentative="1">
      <w:start w:val="1"/>
      <w:numFmt w:val="bullet"/>
      <w:lvlText w:val=""/>
      <w:lvlJc w:val="left"/>
      <w:pPr>
        <w:ind w:left="6480" w:hanging="360"/>
      </w:pPr>
      <w:rPr>
        <w:rFonts w:hint="default" w:ascii="Wingdings" w:hAnsi="Wingdings"/>
      </w:rPr>
    </w:lvl>
  </w:abstractNum>
  <w:abstractNum w:abstractNumId="3" w15:restartNumberingAfterBreak="0">
    <w:nsid w:val="60CD657A"/>
    <w:multiLevelType w:val="hybridMultilevel"/>
    <w:tmpl w:val="4CD05CA0"/>
    <w:lvl w:ilvl="0" w:tplc="042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num w:numId="1" w16cid:durableId="335040125">
    <w:abstractNumId w:val="0"/>
  </w:num>
  <w:num w:numId="2" w16cid:durableId="113600100">
    <w:abstractNumId w:val="2"/>
  </w:num>
  <w:num w:numId="3" w16cid:durableId="1057824113">
    <w:abstractNumId w:val="3"/>
  </w:num>
  <w:num w:numId="4" w16cid:durableId="803347299">
    <w:abstractNumId w:val="1"/>
  </w:num>
</w:numbering>
</file>

<file path=word/people.xml><?xml version="1.0" encoding="utf-8"?>
<w15:people xmlns:mc="http://schemas.openxmlformats.org/markup-compatibility/2006" xmlns:w15="http://schemas.microsoft.com/office/word/2012/wordml" mc:Ignorable="w15">
  <w15:person w15:author="ruta.petrauskaite@vdu.lt">
    <w15:presenceInfo w15:providerId="AD" w15:userId="S::urn:spo:guest#ruta.petrauskaite@vdu.lt::"/>
  </w15:person>
  <w15:person w15:author="ruta.petrauskaite@vdu.lt">
    <w15:presenceInfo w15:providerId="AD" w15:userId="S::urn:spo:guest#ruta.petrauskaite@vdu.l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1AF"/>
    <w:rsid w:val="00252721"/>
    <w:rsid w:val="00311DC9"/>
    <w:rsid w:val="00862B31"/>
    <w:rsid w:val="009B09E9"/>
    <w:rsid w:val="009C0E85"/>
    <w:rsid w:val="00B47013"/>
    <w:rsid w:val="00F16AED"/>
    <w:rsid w:val="00F361AF"/>
    <w:rsid w:val="00F5142B"/>
    <w:rsid w:val="00FD0DB7"/>
    <w:rsid w:val="039C8471"/>
    <w:rsid w:val="056469AE"/>
    <w:rsid w:val="08631070"/>
    <w:rsid w:val="0D889B7A"/>
    <w:rsid w:val="0E398B61"/>
    <w:rsid w:val="1857099B"/>
    <w:rsid w:val="1D8FA329"/>
    <w:rsid w:val="2591D50C"/>
    <w:rsid w:val="350656E2"/>
    <w:rsid w:val="38FBBD8C"/>
    <w:rsid w:val="3B23473A"/>
    <w:rsid w:val="3BD76C21"/>
    <w:rsid w:val="3D99F165"/>
    <w:rsid w:val="46B9E515"/>
    <w:rsid w:val="4904E66C"/>
    <w:rsid w:val="56D3235C"/>
    <w:rsid w:val="5BCE6A13"/>
    <w:rsid w:val="6175231B"/>
    <w:rsid w:val="691D0D8A"/>
    <w:rsid w:val="7842B9B9"/>
    <w:rsid w:val="7AE2A0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84943"/>
  <w15:chartTrackingRefBased/>
  <w15:docId w15:val="{90ABAD6F-A3E4-4C51-80F8-4D67DCCB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lt-L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361AF"/>
  </w:style>
  <w:style w:type="paragraph" w:styleId="Heading1">
    <w:name w:val="heading 1"/>
    <w:basedOn w:val="Normal"/>
    <w:next w:val="Normal"/>
    <w:link w:val="Heading1Char"/>
    <w:uiPriority w:val="9"/>
    <w:qFormat/>
    <w:rsid w:val="00F361A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61A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61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61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1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1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1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1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1A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361A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361A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361A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361A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361A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361A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361A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361A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361AF"/>
    <w:rPr>
      <w:rFonts w:eastAsiaTheme="majorEastAsia" w:cstheme="majorBidi"/>
      <w:color w:val="272727" w:themeColor="text1" w:themeTint="D8"/>
    </w:rPr>
  </w:style>
  <w:style w:type="paragraph" w:styleId="Title">
    <w:name w:val="Title"/>
    <w:basedOn w:val="Normal"/>
    <w:next w:val="Normal"/>
    <w:link w:val="TitleChar"/>
    <w:uiPriority w:val="10"/>
    <w:qFormat/>
    <w:rsid w:val="00F361A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361A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361A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361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1AF"/>
    <w:pPr>
      <w:spacing w:before="160"/>
      <w:jc w:val="center"/>
    </w:pPr>
    <w:rPr>
      <w:i/>
      <w:iCs/>
      <w:color w:val="404040" w:themeColor="text1" w:themeTint="BF"/>
    </w:rPr>
  </w:style>
  <w:style w:type="character" w:styleId="QuoteChar" w:customStyle="1">
    <w:name w:val="Quote Char"/>
    <w:basedOn w:val="DefaultParagraphFont"/>
    <w:link w:val="Quote"/>
    <w:uiPriority w:val="29"/>
    <w:rsid w:val="00F361AF"/>
    <w:rPr>
      <w:i/>
      <w:iCs/>
      <w:color w:val="404040" w:themeColor="text1" w:themeTint="BF"/>
    </w:rPr>
  </w:style>
  <w:style w:type="paragraph" w:styleId="ListParagraph">
    <w:name w:val="List Paragraph"/>
    <w:basedOn w:val="Normal"/>
    <w:uiPriority w:val="34"/>
    <w:qFormat/>
    <w:rsid w:val="00F361AF"/>
    <w:pPr>
      <w:ind w:left="720"/>
      <w:contextualSpacing/>
    </w:pPr>
  </w:style>
  <w:style w:type="character" w:styleId="IntenseEmphasis">
    <w:name w:val="Intense Emphasis"/>
    <w:basedOn w:val="DefaultParagraphFont"/>
    <w:uiPriority w:val="21"/>
    <w:qFormat/>
    <w:rsid w:val="00F361AF"/>
    <w:rPr>
      <w:i/>
      <w:iCs/>
      <w:color w:val="0F4761" w:themeColor="accent1" w:themeShade="BF"/>
    </w:rPr>
  </w:style>
  <w:style w:type="paragraph" w:styleId="IntenseQuote">
    <w:name w:val="Intense Quote"/>
    <w:basedOn w:val="Normal"/>
    <w:next w:val="Normal"/>
    <w:link w:val="IntenseQuoteChar"/>
    <w:uiPriority w:val="30"/>
    <w:qFormat/>
    <w:rsid w:val="00F361A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361AF"/>
    <w:rPr>
      <w:i/>
      <w:iCs/>
      <w:color w:val="0F4761" w:themeColor="accent1" w:themeShade="BF"/>
    </w:rPr>
  </w:style>
  <w:style w:type="character" w:styleId="IntenseReference">
    <w:name w:val="Intense Reference"/>
    <w:basedOn w:val="DefaultParagraphFont"/>
    <w:uiPriority w:val="32"/>
    <w:qFormat/>
    <w:rsid w:val="00F361AF"/>
    <w:rPr>
      <w:b/>
      <w:bCs/>
      <w:smallCaps/>
      <w:color w:val="0F4761" w:themeColor="accent1" w:themeShade="BF"/>
      <w:spacing w:val="5"/>
    </w:rPr>
  </w:style>
  <w:style w:type="paragraph" w:styleId="FootnoteText">
    <w:name w:val="footnote text"/>
    <w:basedOn w:val="Normal"/>
    <w:link w:val="FootnoteTextChar"/>
    <w:uiPriority w:val="99"/>
    <w:semiHidden/>
    <w:unhideWhenUsed/>
    <w:rsid w:val="00F361AF"/>
    <w:pPr>
      <w:spacing w:after="0" w:line="240" w:lineRule="auto"/>
    </w:pPr>
    <w:rPr>
      <w:sz w:val="20"/>
      <w:szCs w:val="20"/>
      <w:lang w:val="lt"/>
    </w:rPr>
  </w:style>
  <w:style w:type="character" w:styleId="FootnoteTextChar" w:customStyle="1">
    <w:name w:val="Footnote Text Char"/>
    <w:basedOn w:val="DefaultParagraphFont"/>
    <w:link w:val="FootnoteText"/>
    <w:uiPriority w:val="99"/>
    <w:semiHidden/>
    <w:rsid w:val="00F361AF"/>
    <w:rPr>
      <w:sz w:val="20"/>
      <w:szCs w:val="20"/>
      <w:lang w:val="lt"/>
    </w:rPr>
  </w:style>
  <w:style w:type="character" w:styleId="FootnoteReference">
    <w:name w:val="footnote reference"/>
    <w:basedOn w:val="DefaultParagraphFont"/>
    <w:uiPriority w:val="99"/>
    <w:semiHidden/>
    <w:unhideWhenUsed/>
    <w:rsid w:val="00F361AF"/>
    <w:rPr>
      <w:vertAlign w:val="superscript"/>
    </w:rPr>
  </w:style>
  <w:style w:type="character" w:styleId="Hyperlink">
    <w:name w:val="Hyperlink"/>
    <w:basedOn w:val="DefaultParagraphFont"/>
    <w:uiPriority w:val="99"/>
    <w:unhideWhenUsed/>
    <w:rsid w:val="00F361AF"/>
    <w:rPr>
      <w:color w:val="467886" w:themeColor="hyperlink"/>
      <w:u w:val="single"/>
    </w:rPr>
  </w:style>
  <w:style w:type="character" w:styleId="Strong">
    <w:name w:val="Strong"/>
    <w:basedOn w:val="DefaultParagraphFont"/>
    <w:uiPriority w:val="22"/>
    <w:qFormat/>
    <w:rsid w:val="00F361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comments" Target="comments.xml" Id="Refb8c9a96e46472f" /><Relationship Type="http://schemas.microsoft.com/office/2016/09/relationships/commentsIds" Target="commentsIds.xml" Id="Rc743f6a34b324296" /><Relationship Type="http://schemas.microsoft.com/office/2011/relationships/commentsExtended" Target="commentsExtended.xml" Id="R889e362502b04293" /><Relationship Type="http://schemas.microsoft.com/office/2018/08/relationships/commentsExtensible" Target="commentsExtensible.xml" Id="R271313b29bc64a4c" /><Relationship Type="http://schemas.microsoft.com/office/2011/relationships/people" Target="people.xml" Id="Rc799e7bddeff4db4" /></Relationships>
</file>

<file path=word/_rels/footnotes.xml.rels><?xml version="1.0" encoding="UTF-8" standalone="yes"?>
<Relationships xmlns="http://schemas.openxmlformats.org/package/2006/relationships"><Relationship Id="rId1" Type="http://schemas.openxmlformats.org/officeDocument/2006/relationships/hyperlink" Target="https://joinup.ec.europa.eu/collection/nifo-national-interoperability-framework-observatory/1-introduction"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Darius Amilevičius</dc:creator>
  <keywords/>
  <dc:description/>
  <lastModifiedBy>ruta.petrauskaite@vdu.lt</lastModifiedBy>
  <revision>3</revision>
  <dcterms:created xsi:type="dcterms:W3CDTF">2026-01-24T17:57:00.0000000Z</dcterms:created>
  <dcterms:modified xsi:type="dcterms:W3CDTF">2026-02-04T11:53:56.4823334Z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6ec3b32d-07ec-46fe-bd2f-61db216c403d</vt:lpwstr>
  </property>
</Properties>
</file>