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PROJETO 2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Detecção de Objetos em Imagens de Satélite com YOLO</w:t>
      </w:r>
    </w:p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Edição São Paulo — região da PUC-SP (Perdizes e arredores)</w:t>
      </w:r>
    </w:p>
    <w:p>
      <w:pPr>
        <w:spacing w:after="280"/>
        <w:jc w:val="center"/>
      </w:pPr>
      <w:r>
        <w:rPr>
          <w:i/>
          <w:iCs/>
          <w:color w:val="555555"/>
          <w:sz w:val="22"/>
          <w:szCs w:val="22"/>
        </w:rPr>
        <w:t xml:space="preserve">Projeto de ponta a ponta — coleta programática, anotação, treino, avaliação e inferência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Disciplina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Aprendizagem de Máquina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Avaliação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 — Projeto Final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Modalidade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Grupo de até 5 alunos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Ultralytics YOLOv8 / YOLOv11 (PyTorch)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Ambiente de treino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Google Colab Free (GPU T4)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Fonte de imagens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ESRI World Imagery (XYZ tiles públicos) + Google Earth Web (complementar)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Recorte geográfico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Perdizes, Higienópolis, Pacaembu, Sumaré, Pinheiros, Itaim e Av. Paulista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Notebooks de apoio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Projeto_P2_Mosaico_Perdizes.ipynb (z=18) e Projeto_P2_Mosaico_Perdizes_HIRES.ipynb (z=19)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Entrega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Dataset anotado + Notebook (.ipynb) + Pesos (.pt) + Relatório + Apresentação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1. Objetivo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objetivo deste projeto é vivenciar, na prática, o ciclo completo de um sistema de Visão Computacional baseado em deep learning, do dado bruto ao modelo treinado. O grupo será responsável por todas as etapas: definir o objeto-alvo, coletar imagens reais, anotar as caixas delimitadoras, pré-processar o dataset, treinar uma rede de detecção e avaliar os resultados em imagens inéditas.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mensagem pedagógica central é: cerca de 80% do esforço em um projeto de IA está nos dados, e não na arquitetura. O modelo (YOLOv8/YOLOv11) será praticamente o mesmo para todos os grupos — o que diferencia os resultados é a qualidade do dataset construído.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Nesta edição, o recorte geográfico é a cidade de São Paulo, com foco nos bairros próximos ao campus da PUC-SP em Perdizes. Os grupos usarão como fonte principal de imagens o serviço público de tiles XYZ ESRI World Imagery, que oferece cobertura submétrica de SP (até ~0,27 m/pixel) com licença permissiva para uso educacional (mediante atribuição). Notebooks de apoio prontos para Colab serão disponibilizados pelo professor.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666875"/>
            <wp:effectExtent t="0" r="0" b="0" l="0"/>
            <wp:docPr id="1" name="Pipeline_do_projeto_em_5_etapas" descr="Pipeline do projeto em 5 etapas" title="Pipeline do projeto em 5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1 — Visão geral do pipeline do projeto (5 etapas).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2. Dataset — Coleta e Definição do Alvo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Cada grupo deverá construir o próprio dataset a partir de imagens aéreas/ortofotos da cidade de São Paulo. NÃO será usado nenhum conjunto pronto. As imagens serão salvas em .jpg ou .png — não trabalharemos com arquivos .tif/.tiff de sensores nesta etapa.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2.1. Escolha do objeto-alvo (sugestões para São Paulo)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grupo deve escolher UM único objeto-alvo (uma única classe). Os alvos abaixo foram selecionados por serem abundantes na região da PUC-SP, terem forma geométrica clara em vista superior e oferecerem desafios pedagógicos interessantes: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Helipontos em coberturas (RECOMENDADO).</w:t>
      </w:r>
      <w:r>
        <w:rPr>
          <w:sz w:val="22"/>
          <w:szCs w:val="22"/>
        </w:rPr>
        <w:t xml:space="preserve"> São Paulo é a cidade com a maior frota de helicópteros urbanos do mundo. O </w:t>
      </w:r>
      <w:r>
        <w:rPr>
          <w:b/>
          <w:bCs/>
          <w:i w:val="false"/>
          <w:iCs w:val="false"/>
          <w:sz w:val="22"/>
          <w:szCs w:val="22"/>
        </w:rPr>
        <w:t xml:space="preserve">H</w:t>
      </w:r>
      <w:r>
        <w:rPr>
          <w:sz w:val="22"/>
          <w:szCs w:val="22"/>
        </w:rPr>
        <w:t xml:space="preserve"> branco em círculo é um padrão visual quase único da cidade. Coleta concentrada em </w:t>
      </w:r>
      <w:r>
        <w:rPr>
          <w:b/>
          <w:bCs/>
          <w:i w:val="false"/>
          <w:iCs w:val="false"/>
          <w:sz w:val="22"/>
          <w:szCs w:val="22"/>
        </w:rPr>
        <w:t xml:space="preserve">Av. Paulista, Faria Lima, Berrini, Itaim, Vila Olímpia e Brooklin</w:t>
      </w:r>
      <w:r>
        <w:rPr>
          <w:sz w:val="22"/>
          <w:szCs w:val="22"/>
        </w:rPr>
        <w:t xml:space="preserve"> (todos a ≤ 6 km da PUC-SP).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Piscinas em coberturas e quintais. Abundantes em </w:t>
      </w:r>
      <w:r>
        <w:rPr>
          <w:b/>
          <w:bCs/>
          <w:i w:val="false"/>
          <w:iCs w:val="false"/>
          <w:sz w:val="22"/>
          <w:szCs w:val="22"/>
        </w:rPr>
        <w:t xml:space="preserve">Perdizes, Higienópolis, Pacaembu, Sumaré e Pinheiros</w:t>
      </w:r>
      <w:r>
        <w:rPr>
          <w:sz w:val="22"/>
          <w:szCs w:val="22"/>
        </w:rPr>
        <w:t xml:space="preserve">. Caso real: a Receita Federal já usou detecção de piscinas em fotos aéreas para cruzar com declarações de IPTU/IR.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Quadras de tênis de saibro. Cor laranja característica, formato padronizado. Clubes da zona oeste (Paulistano, Pinheiros, Tietê, Hebraica) e coberturas.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Campos de futebol society (grama sintética). Verde uniforme que destoa do entorno. Comuns na zona oeste e Marginal Pinheiros.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Postos de combustível. Cobertura retangular branca sobre as bombas, layout padrão, espalhados por toda a cidade.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428750"/>
            <wp:effectExtent t="0" r="0" b="0" l="0"/>
            <wp:docPr id="1" name="Alvos_sugeridos_para_SP" descr="Alvos sugeridos para SP" title="Alvos sugeridos para 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2 — Alvos sugeridos para a edição São Paulo deste projeto.</w:t>
      </w:r>
    </w:p>
    <w:p>
      <w:pPr>
        <w:spacing w:after="100"/>
        <w:jc w:val="both"/>
      </w:pPr>
      <w:r>
        <w:rPr>
          <w:sz w:val="22"/>
          <w:szCs w:val="22"/>
        </w:rPr>
        <w:t xml:space="preserve">Evitar: </w:t>
      </w:r>
      <w:r>
        <w:rPr>
          <w:b/>
          <w:bCs/>
          <w:i w:val="false"/>
          <w:iCs w:val="false"/>
          <w:sz w:val="22"/>
          <w:szCs w:val="22"/>
        </w:rPr>
        <w:t xml:space="preserve">objetos ambíguos </w:t>
      </w:r>
      <w:r>
        <w:rPr>
          <w:sz w:val="22"/>
          <w:szCs w:val="22"/>
        </w:rPr>
        <w:t xml:space="preserve">(ex.: árvores, casas comuns, carros) — eles geram muitos falsos positivos e desmotivam o grupo. </w:t>
      </w:r>
      <w:r>
        <w:rPr>
          <w:sz w:val="22"/>
          <w:szCs w:val="22"/>
        </w:rPr>
        <w:t xml:space="preserve">É permitido escolher um alvo </w:t>
      </w:r>
      <w:r>
        <w:rPr>
          <w:b/>
          <w:bCs/>
          <w:i w:val="false"/>
          <w:iCs w:val="false"/>
          <w:sz w:val="22"/>
          <w:szCs w:val="22"/>
        </w:rPr>
        <w:t xml:space="preserve">diferente das sugestões acima</w:t>
      </w:r>
      <w:r>
        <w:rPr>
          <w:sz w:val="22"/>
          <w:szCs w:val="22"/>
        </w:rPr>
        <w:t xml:space="preserve">, desde que seja aprovado pelo professor antes do início da coleta.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2.2. Coleta programática via ESRI World Imagery (recomendado)</w:t>
      </w:r>
    </w:p>
    <w:p>
      <w:pPr>
        <w:spacing w:after="100"/>
        <w:jc w:val="both"/>
      </w:pPr>
      <w:r>
        <w:rPr>
          <w:sz w:val="22"/>
          <w:szCs w:val="22"/>
        </w:rPr>
        <w:t xml:space="preserve">A coleta de imagens será feita pelo serviço público de tiles XYZ </w:t>
      </w:r>
      <w:r>
        <w:rPr>
          <w:b/>
          <w:bCs/>
          <w:i w:val="false"/>
          <w:iCs w:val="false"/>
          <w:sz w:val="22"/>
          <w:szCs w:val="22"/>
        </w:rPr>
        <w:t xml:space="preserve">ESRI World Imagery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server.arcgisonline.com/ArcGIS/rest/services/World_Imagery/MapServer</w:t>
      </w:r>
      <w:r>
        <w:rPr>
          <w:sz w:val="22"/>
          <w:szCs w:val="22"/>
        </w:rPr>
        <w:t xml:space="preserve">). Vantagens decisivas em relação a screenshots manuais: cobertura submétrica para SP (</w:t>
      </w:r>
      <w:r>
        <w:rPr>
          <w:b/>
          <w:bCs/>
          <w:i w:val="false"/>
          <w:iCs w:val="false"/>
          <w:sz w:val="22"/>
          <w:szCs w:val="22"/>
        </w:rPr>
        <w:t xml:space="preserve">0,55 m/pixel em z=18</w:t>
      </w:r>
      <w:r>
        <w:rPr>
          <w:sz w:val="22"/>
          <w:szCs w:val="22"/>
        </w:rPr>
        <w:t xml:space="preserve"> e </w:t>
      </w:r>
      <w:r>
        <w:rPr>
          <w:b/>
          <w:bCs/>
          <w:i w:val="false"/>
          <w:iCs w:val="false"/>
          <w:sz w:val="22"/>
          <w:szCs w:val="22"/>
        </w:rPr>
        <w:t xml:space="preserve">0,27 m/pixel em z=19</w:t>
      </w:r>
      <w:r>
        <w:rPr>
          <w:sz w:val="22"/>
          <w:szCs w:val="22"/>
        </w:rPr>
        <w:t xml:space="preserve">, o máximo prático para esta região), licença permissiva para uso educacional mediante atribuição, e — sobretudo — a possibilidade de varrer um bairro inteiro em segundos, gerando um mosaico de tiles padronizados (256×256 px cada).</w:t>
      </w:r>
    </w:p>
    <w:p>
      <w:pPr>
        <w:spacing w:after="10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Nota sobre o GeoSampa. </w:t>
      </w:r>
      <w:r>
        <w:rPr>
          <w:sz w:val="22"/>
          <w:szCs w:val="22"/>
        </w:rPr>
        <w:t xml:space="preserve">A Prefeitura de São Paulo disponibiliza ortofotos de altíssima resolução (10 cm/px em áreas urbanas)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geosampa.prefeitura.sp.gov.br</w:t>
      </w:r>
      <w:r>
        <w:rPr>
          <w:sz w:val="22"/>
          <w:szCs w:val="22"/>
        </w:rPr>
        <w:t xml:space="preserve">, com licença permissiva e sem necessidade de cadastro. O acesso, porém, é por download manual no portal (não há API pública), o que está fora do escopo do projeto base. Grupos interessados em usar essa fonte como diferencial podem consultar o documento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GeoSampa_passo_a_passo.md</w:t>
      </w:r>
      <w:r>
        <w:rPr>
          <w:sz w:val="22"/>
          <w:szCs w:val="22"/>
        </w:rPr>
        <w:t xml:space="preserve"> disponibilizado à parte.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Mosaico_via_ESRI_XYZ" descr="Mosaico via ESRI XYZ" title="Mosaico via ESRI XY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3 — Coleta programática: o bbox do bairro é convertido em uma grade de tiles XYZ; cada célula vira uma requisição HTTP individual.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Procedimento esperado (apoio: notebooks Projeto_P2_Mosaico_Perdizes.ipynb e Projeto_P2_Mosaico_Perdizes_HIRES.ipynb):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Escolha o </w:t>
      </w:r>
      <w:r>
        <w:rPr>
          <w:b/>
          <w:bCs/>
          <w:i w:val="false"/>
          <w:iCs w:val="false"/>
          <w:sz w:val="22"/>
          <w:szCs w:val="22"/>
        </w:rPr>
        <w:t xml:space="preserve">zoom</w:t>
      </w:r>
      <w:r>
        <w:rPr>
          <w:sz w:val="22"/>
          <w:szCs w:val="22"/>
        </w:rPr>
        <w:t xml:space="preserve"> conforme o alvo: </w:t>
      </w:r>
      <w:r>
        <w:rPr>
          <w:b/>
          <w:bCs/>
          <w:i w:val="false"/>
          <w:iCs w:val="false"/>
          <w:sz w:val="22"/>
          <w:szCs w:val="22"/>
        </w:rPr>
        <w:t xml:space="preserve">z=18</w:t>
      </w:r>
      <w:r>
        <w:rPr>
          <w:sz w:val="22"/>
          <w:szCs w:val="22"/>
        </w:rPr>
        <w:t xml:space="preserve"> (~0,55 m/px) para piscinas, quadras e campos; </w:t>
      </w:r>
      <w:r>
        <w:rPr>
          <w:b/>
          <w:bCs/>
          <w:i w:val="false"/>
          <w:iCs w:val="false"/>
          <w:sz w:val="22"/>
          <w:szCs w:val="22"/>
        </w:rPr>
        <w:t xml:space="preserve">z=19</w:t>
      </w:r>
      <w:r>
        <w:rPr>
          <w:sz w:val="22"/>
          <w:szCs w:val="22"/>
        </w:rPr>
        <w:t xml:space="preserve"> (~0,27 m/px) para helipontos e alvos menores.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Defina o </w:t>
      </w:r>
      <w:r>
        <w:rPr>
          <w:b/>
          <w:bCs/>
          <w:i w:val="false"/>
          <w:iCs w:val="false"/>
          <w:sz w:val="22"/>
          <w:szCs w:val="22"/>
        </w:rPr>
        <w:t xml:space="preserve">bounding box</w:t>
      </w:r>
      <w:r>
        <w:rPr>
          <w:sz w:val="22"/>
          <w:szCs w:val="22"/>
        </w:rPr>
        <w:t xml:space="preserve"> do(s) bairro(s) a varrer, no formato (lon_min, lat_min, lon_max, lat_max). Ex.: Perdizes ≈ (-46.685, -23.545, -46.665, -23.530); Itaim ≈ (-46.685, -23.590, -46.665, -23.575); Paulista ≈ (-46.660, -23.572, -46.640, -23.555).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Rode o script abaixo (ou os notebooks de apoio já com saídas) — ele converte o bbox em tiles XYZ e salva cada um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tile_z{z}_x{x}_y{y}.jpg</w:t>
      </w:r>
      <w:r>
        <w:rPr>
          <w:sz w:val="22"/>
          <w:szCs w:val="22"/>
        </w:rPr>
        <w:t xml:space="preserve">.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import math, os, requests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from concurrent.futures import ThreadPoolExecutor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URL = ('https://server.arcgisonline.com/ArcGIS/rest/services/'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'World_Imagery/MapServer/tile/{z}/{y}/{x}')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HEADERS = {'User-Agent': 'PUC-SP-AM-Aula-Educacional/1.0'}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BBOX = (-46.685, -23.545, -46.665, -23.530)   # Perdizes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ZOOM = 18    # use 19 se o alvo for heliponto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OUT  = 'mosaico_perdizes'; os.makedirs(OUT, exist_ok=True)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def deg2tile(lat, lon, z):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n = 2.0 ** z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x = int((lon + 180.0) / 360.0 * 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lat_rad = math.radians(lat)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y = int((1.0 - math.asinh(math.tan(lat_rad)) / math.pi) / 2.0 * 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return x, 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lon0, lat0, lon1, lat1 = BBOX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x_min, y_max = deg2tile(lat0, lon0, ZOOM)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x_max, y_min = deg2tile(lat1, lon1, ZOOM)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def baixar(args):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z, x, y = args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 = f'{OUT}/tile_z{z}_x{x}_y{y}.jpg'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if os.path.exists(p): return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r = requests.get(URL.format(z=z, x=x, y=y), headers=HEADERS, timeout=20)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if r.status_code == 200 and len(r.content) &gt; 2521:   # filtra placeholder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open(p, 'wb').write(r.content)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jobs = [(ZOOM, x, y) for x in range(x_min, x_max+1) for y in range(y_min, y_max+1)]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with ThreadPoolExecutor(max_workers=4) as ex: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list(ex.map(baixar, jobs))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print(f'{len(jobs)} tiles em {OUT}/')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Atribuição obrigatória:</w:t>
      </w:r>
      <w:r>
        <w:rPr>
          <w:sz w:val="22"/>
          <w:szCs w:val="22"/>
        </w:rPr>
        <w:t xml:space="preserve"> inclua “Source: Esri, Maxar, Earthstar Geographics, and the GIS User Community” em qualquer figura, slide ou relatório que reproduza os tiles ou o mosaico.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Curadoria manual obrigatória:</w:t>
      </w:r>
      <w:r>
        <w:rPr>
          <w:sz w:val="22"/>
          <w:szCs w:val="22"/>
        </w:rPr>
        <w:t xml:space="preserve"> após gerar o mosaico, cada integrante deve revisar os tiles e </w:t>
      </w:r>
      <w:r>
        <w:rPr>
          <w:b/>
          <w:bCs/>
          <w:i w:val="false"/>
          <w:iCs w:val="false"/>
          <w:sz w:val="22"/>
          <w:szCs w:val="22"/>
        </w:rPr>
        <w:t xml:space="preserve">descartar os que não têm objetos do alvo</w:t>
      </w:r>
      <w:r>
        <w:rPr>
          <w:sz w:val="22"/>
          <w:szCs w:val="22"/>
        </w:rPr>
        <w:t xml:space="preserve"> (ex.: tiles cobrindo só telhados sem heliponto, parques, vias). Esta curadoria faz parte da avaliação.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Cada bbox de bairro deve ser </w:t>
      </w:r>
      <w:r>
        <w:rPr>
          <w:b/>
          <w:bCs/>
          <w:i w:val="false"/>
          <w:iCs w:val="false"/>
          <w:sz w:val="22"/>
          <w:szCs w:val="22"/>
        </w:rPr>
        <w:t xml:space="preserve">documentado em uma planilha</w:t>
      </w:r>
      <w:r>
        <w:rPr>
          <w:sz w:val="22"/>
          <w:szCs w:val="22"/>
        </w:rPr>
        <w:t xml:space="preserve"> (bairro, zoom usado, integrante responsável, nº de tiles gerados, nº de tiles aprovados).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2.3. Coleta manual via Google Earth Web (complementar)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coleta manual via Google Earth Web fica reservada a alvos pontuais que o aluno identificar navegando pela cidade e que queira incorporar ao dataset. NÃO use para volume — os termos do Google restringem screenshots em massa e o IP é bloqueado após algumas centenas de requisições.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Manter o mesmo nível de zoom em todas as capturas (escala consistente).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Capturar áreas aproximadamente quadradas e redimensionar para 640×640 pixels.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2.4. Volume e divisão do dataset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Volume mínimo: 200 imagens com objeto-alvo por grupo (após a curadoria do mosaico).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Diversidade geográfica: pelo menos 3 bairros diferentes no conjunto de treino.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Cada integrante anota a sua parcela — não é permitido um único integrante anotar tudo.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Reservar pelo menos 1 bairro inteiro fora do treino para o teste final de generalização.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3. Requisitos Técnicos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3.1. Anotação (rotulagem) das imagens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Ferramenta obrigatória: Roboflow (recomendado) ou CVAT.ai — ambos rodam 100% no navegador.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Desenhar bounding boxes justas em volta de cada instância do objeto.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Definir um padrão escrito de anotação no grupo (ex.: o que fazer quando o objeto está cortado pela borda, parcialmente coberto por sombra, ou refletindo o sol).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Todos os integrantes devem anotar — não é permitido um único integrante anotar tudo.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809750"/>
            <wp:effectExtent t="0" r="0" b="0" l="0"/>
            <wp:docPr id="1" name="Boas_práticas_de_anotação" descr="Boas práticas de anotação" title="Boas práticas de ano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4 — Padrões de qualidade na anotação.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3.2. Pré-processamento e splits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Resize de todas as imagens para 640×640 (configurar na própria ferramenta de anotação).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Data augmentation no Roboflow (gerar versões adicionais sem rotular de novo): </w:t>
      </w:r>
      <w:r>
        <w:rPr>
          <w:b/>
          <w:bCs/>
          <w:i w:val="false"/>
          <w:iCs w:val="false"/>
          <w:sz w:val="22"/>
          <w:szCs w:val="22"/>
        </w:rPr>
        <w:t xml:space="preserve">rotação de 90°</w:t>
      </w:r>
      <w:r>
        <w:rPr>
          <w:sz w:val="22"/>
          <w:szCs w:val="22"/>
        </w:rPr>
        <w:t xml:space="preserve">, </w:t>
      </w:r>
      <w:r>
        <w:rPr>
          <w:b/>
          <w:bCs/>
          <w:i w:val="false"/>
          <w:iCs w:val="false"/>
          <w:sz w:val="22"/>
          <w:szCs w:val="22"/>
        </w:rPr>
        <w:t xml:space="preserve">flip horizontal e vertical</w:t>
      </w:r>
      <w:r>
        <w:rPr>
          <w:sz w:val="22"/>
          <w:szCs w:val="22"/>
        </w:rPr>
        <w:t xml:space="preserve">, pequenas variações de brilho/contraste.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Divisão: 70% treino / 20% validação / 10% teste (configurável no Roboflow).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Exportar no formato </w:t>
      </w:r>
      <w:r>
        <w:rPr>
          <w:b/>
          <w:bCs/>
          <w:i w:val="false"/>
          <w:iCs w:val="false"/>
          <w:sz w:val="22"/>
          <w:szCs w:val="22"/>
        </w:rPr>
        <w:t xml:space="preserve">YOLOv8 (compatível com YOLOv11)</w:t>
      </w:r>
      <w:r>
        <w:rPr>
          <w:sz w:val="22"/>
          <w:szCs w:val="22"/>
        </w:rPr>
        <w:t xml:space="preserve"> e usar a chave de API do Roboflow no Colab para baixar o dataset.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600325"/>
            <wp:effectExtent t="0" r="0" b="0" l="0"/>
            <wp:docPr id="1" name="Estrutura_do_dataset_YOLO" descr="Estrutura do dataset YOLO" title="Estrutura do dataset Y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5 — Estrutura de pastas esperada do dataset exportado.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3.3. Treinamento no Google Colab (GPU T4)</w:t>
      </w:r>
    </w:p>
    <w:p>
      <w:pPr>
        <w:spacing w:after="100"/>
        <w:jc w:val="both"/>
      </w:pPr>
      <w:r>
        <w:rPr>
          <w:sz w:val="22"/>
          <w:szCs w:val="22"/>
        </w:rPr>
        <w:t xml:space="preserve">Usar a biblioteca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ultralytics</w:t>
      </w:r>
      <w:r>
        <w:rPr>
          <w:sz w:val="22"/>
          <w:szCs w:val="22"/>
        </w:rPr>
        <w:t xml:space="preserve"> e o modelo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YOLOv8n</w:t>
      </w:r>
      <w:r>
        <w:rPr>
          <w:sz w:val="22"/>
          <w:szCs w:val="22"/>
        </w:rPr>
        <w:t xml:space="preserve"> (Nano, ~6 MB)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YOLOv11n</w:t>
      </w:r>
      <w:r>
        <w:rPr>
          <w:sz w:val="22"/>
          <w:szCs w:val="22"/>
        </w:rPr>
        <w:t xml:space="preserve">. Esses modelos foram escolhidos por caberem confortavelmente na GPU gratuita T4 do Colab e treinarem rápido para datasets pequenos.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!pip install -q ultralytics roboflow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from ultralytics import YOLO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model = YOLO('yolov8n.pt')   # ou 'yolo11n.pt'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results = model.train(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data='data.yaml',   # gerado pelo Roboflow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epochs=30,          # 30–50 épocas bastam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imgsz=640,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batch=16,           # seguro no Colab Free (reduza para 8 se faltar memória)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device=0,           # GPU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seed=42,            # reprodutibilidade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project='runs', name='exp1'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Fixar uma seed e registrar todos os hiperparâmetros usados.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Salvar o melhor checkpoint (o framework já gera best.pt automaticamente em runs/detect/exp1/weights/).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Executar pelo menos 2 rodadas variando 1 hiperparâmetro (ex.: epochs, batch ou imgsz) e comparar.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3.4. Avaliação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Métricas obrigatórias: mAP@0.5, mAP@0.5:0.95, precisão (P) e revocação (R) no conjunto de teste.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Matriz de confusão (gerada automaticamente pelo Ultralytics).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Curvas de loss (box, cls, dfl) e curvas P/R por época.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Análise qualitativa: mostrar 5 acertos claros, 3 falsos positivos e 3 falsos negativos com explicação plausível para cada erro.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Curvas_esperadas_de_treinamento" descr="Curvas esperadas de treinamento" title="Curvas esperadas de trei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20"/>
          <w:szCs w:val="20"/>
        </w:rPr>
        <w:t xml:space="preserve">Figura 6 — Exemplo do comportamento esperado das curvas de treino e validação.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3.5. Inferência em imagens inéditas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Cada grupo deve gerar um mosaico de um bairro inteiro NÃO usado no treino e rodar o modelo sobre todos os tiles. Pelo menos 5 desses tiles devem ser discutidos no relatório (acertos, falsos positivos, falsos negativos). É nessa etapa que se verifica se o modelo realmente generaliza para uma região nova de São Paulo.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from ultralytics import YOLO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model = YOLO('runs/detect/exp1/weights/best.pt')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results = model.predict(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source='imagens_ineditas/',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save=True,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conf=0.25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6"/>
          <w:szCs w:val="26"/>
        </w:rPr>
        <w:t xml:space="preserve">3.6. Aplicação Web (OPCIONAL — vale ponto extra)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diferencial, o grupo pode construir uma aplicação simples em Streamlit ou Gradio que permita ao usuário fazer upload de uma imagem de satélite e visualizar as detecções do modelo treinado. Vale até 1,0 ponto extra (a nota máxima continua sendo 10,0).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Carregar o best.pt e expor um endpoint de upload.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Mostrar a imagem com as caixas desenhadas e a confiança de cada detecção.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4. Entregáveis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Link do projeto no Roboflow (ou pasta zipada do dataset anotado) com train / valid / test.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Notebook Jupyter (.ipynb) rodando de ponta a ponta no Colab, com células de download do dataset, treino, avaliação e inferência.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Arquivo best.pt do melhor modelo treinado.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Pasta runs/ com logs, curvas e matriz de confusão geradas pelo Ultralytics.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Pasta imagens_ineditas/ com as 5 imagens novas e os resultados da inferência.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Relatório em PDF (5 a 8 páginas): introdução, definição do alvo, processo de coleta e anotação, metodologia, resultados, análise de erros, limitações e conclusão.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Apresentação em slides (PDF ou PPTX) de no máximo 10 minutos.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(Opcional) Código e instruções de execução do app Streamlit/Gradio.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5. Critérios de Avaliação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nota final do trabalho (0 a 10) será composta pelos seguintes critérios: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Pontos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Coleta programática via ESRI XYZ (script, bbox e zoom documentados, curadoria do mosaico, atribuição correta)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Qualidade da anotação (caixas justas, consistência entre integrantes)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2,0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Pré-processamento e augmentation (resize, splits train/val/test)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Treinamento e monitoramento (curvas, hiperparâmetros, reprodutibilidade)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Avaliação (mAP@0.5, mAP@0.5:0.95, matriz de confusão, análise de erros)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Inferência em bairro inédito de SP (mosaico fora do treino)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Relatório técnico (clareza, justificativas, discussão de limitações)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Apresentação oral e domínio do conteúdo pelo grupo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10,0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Aplicação Web em Streamlit/Gradio (OPCIONAL — ponto extra)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+1,0</w:t>
            </w:r>
          </w:p>
        </w:tc>
      </w:tr>
    </w:tbl>
    <w:p>
      <w:pPr>
        <w:spacing w:before="120"/>
      </w:pPr>
      <w:r>
        <w:rPr>
          <w:i/>
          <w:iCs/>
          <w:sz w:val="22"/>
          <w:szCs w:val="22"/>
        </w:rPr>
        <w:t xml:space="preserve">Observação: a nota máxima (incluindo o extra) é limitada a 10,0 pontos.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6. Regras e Observações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Grupos de 3 a 5 integrantes. Trabalhos individuais só com autorização prévia do professor.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Todos os integrantes devem saber explicar qualquer parte do trabalho na apresentação (anotação, treino, métricas, inferência).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É permitido consultar a documentação oficial do Ultralytics, do Roboflow e tutoriais, desde que citados no relatório.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Código copiado sem entendimento e sem citação será considerado plágio e zerará o trabalho.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Uso de IA generativa é permitido como ferramenta de apoio, mas deve ser declarado no relatório (qual ferramenta, em que etapas, e o que foi efetivamente aproveitado).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Imagens devem ser de áreas públicas (vista de satélite). Não anotar pessoas, placas de veículos ou qualquer dado pessoal identificável.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Trabalhos entregues após o prazo terão desconto de 1,0 ponto por dia de atraso.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7. Dicas Finais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Comece pela coleta e anotação imediatamente — é a parte que consome mais tempo.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Combine no grupo um padrão escrito de anotação ANTES de começar a rotular, para evitar inconsistências entre integrantes.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Use o batch=16 como ponto de partida; se aparecer erro de CUDA out of memory, reduza para 8.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No Colab Free, salve o dataset e os pesos no Google Drive — a sessão expira e você perde tudo que estiver só em /content.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Antes de entregar, rode o notebook do zero (Runtime → Restart &amp; run all) para garantir reprodutibilidade.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Compare pelo menos 2 experimentos no relatório (ex.: 30 vs 50 épocas, ou batch=8 vs 16).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8. Identificação do Grupo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Preencha os dados abaixo na primeira página do notebook e do relatório: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Matrícula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360"/>
        <w:jc w:val="center"/>
      </w:pPr>
      <w:r>
        <w:rPr>
          <w:b/>
          <w:bCs/>
          <w:color w:val="1F3864"/>
          <w:sz w:val="28"/>
          <w:szCs w:val="28"/>
        </w:rPr>
        <w:t xml:space="preserve">Bom trabalho!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11afc3c7d24600e80283a7bfbf89e2e24d4272db.png"/><Relationship Id="rId13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image" Target="media/4d720611d0e390a6c5a5498a05335a242758b820.png"/><Relationship Id="rId12" Type="http://schemas.openxmlformats.org/officeDocument/2006/relationships/image" Target="media/20eef221d9ca5d97df6a4d609dcacc93f745113b.png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6b20f3033de44f37209168456b13b70781ca4ee9.png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image" Target="media/55c9b3b50399f5f6b1b53107bca7edff13e88430.png"/><Relationship Id="rId4" Type="http://schemas.openxmlformats.org/officeDocument/2006/relationships/endnotes" Target="endnotes.xml"/><Relationship Id="rId9" Type="http://schemas.openxmlformats.org/officeDocument/2006/relationships/image" Target="media/9965615ca9b05b2fd1df56cc406fd82d22843407.png"/><Relationship Id="rId14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FCE5F4E700F940A1AC079EB6280A7C" ma:contentTypeVersion="4" ma:contentTypeDescription="Crie um novo documento." ma:contentTypeScope="" ma:versionID="5ba91324ef80e09fb42458346d5127ca">
  <xsd:schema xmlns:xsd="http://www.w3.org/2001/XMLSchema" xmlns:xs="http://www.w3.org/2001/XMLSchema" xmlns:p="http://schemas.microsoft.com/office/2006/metadata/properties" xmlns:ns2="ecaa7dae-444f-4835-9a94-e32c435b40c5" targetNamespace="http://schemas.microsoft.com/office/2006/metadata/properties" ma:root="true" ma:fieldsID="1a5c2ce55175c474a032fdbb7d808833" ns2:_="">
    <xsd:import namespace="ecaa7dae-444f-4835-9a94-e32c435b40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a7dae-444f-4835-9a94-e32c435b40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aa7dae-444f-4835-9a94-e32c435b40c5" xsi:nil="true"/>
  </documentManagement>
</p:properties>
</file>

<file path=customXml/itemProps1.xml><?xml version="1.0" encoding="utf-8"?>
<ds:datastoreItem xmlns:ds="http://schemas.openxmlformats.org/officeDocument/2006/customXml" ds:itemID="{EF077946-869C-4646-9487-C30BC1FDD3B6}"/>
</file>

<file path=customXml/itemProps2.xml><?xml version="1.0" encoding="utf-8"?>
<ds:datastoreItem xmlns:ds="http://schemas.openxmlformats.org/officeDocument/2006/customXml" ds:itemID="{6A277DC4-85A6-4CDB-A7C1-9C20C5B27562}"/>
</file>

<file path=customXml/itemProps3.xml><?xml version="1.0" encoding="utf-8"?>
<ds:datastoreItem xmlns:ds="http://schemas.openxmlformats.org/officeDocument/2006/customXml" ds:itemID="{32D04FDC-D720-420C-8171-A4F0E4AAD56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P2 — Detecção de Objetos em Imagens de Satélite (YOLO)</dc:title>
  <dc:creator>Prof. Dr. Rooney Coelho</dc:creator>
  <cp:lastModifiedBy>Un-named</cp:lastModifiedBy>
  <cp:revision>1</cp:revision>
  <dcterms:created xsi:type="dcterms:W3CDTF">2026-05-28T01:22:58Z</dcterms:created>
  <dcterms:modified xsi:type="dcterms:W3CDTF">2026-05-28T01:22:58Z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0x0101007DFCE5F4E700F940A1AC079EB6280A7C</vt:lpwstr>
  </property>
</Properties>
</file>