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outline w:val="0"/>
          <w:color w:val="1f4e8c"/>
          <w:sz w:val="32"/>
          <w:szCs w:val="32"/>
          <w:u w:color="1f4e8c"/>
          <w:rtl w:val="0"/>
          <w:lang w:val="en-US"/>
          <w14:textFill>
            <w14:solidFill>
              <w14:srgbClr w14:val="1F4E8C"/>
            </w14:solidFill>
          </w14:textFill>
        </w:rPr>
        <w:t>Documentary Evidence Report</w:t>
      </w:r>
    </w:p>
    <w:p>
      <w:pPr>
        <w:pStyle w:val="Body"/>
        <w:bidi w:val="0"/>
      </w:pPr>
      <w:r>
        <w:rPr>
          <w:rFonts w:ascii="Times New Roman" w:hAnsi="Times New Roman"/>
          <w:b w:val="1"/>
          <w:bCs w:val="1"/>
          <w:outline w:val="0"/>
          <w:color w:val="404040"/>
          <w:sz w:val="24"/>
          <w:szCs w:val="24"/>
          <w:u w:color="404040"/>
          <w:rtl w:val="0"/>
          <w:lang w:val="en-US"/>
          <w14:textFill>
            <w14:solidFill>
              <w14:srgbClr w14:val="404040"/>
            </w14:solidFill>
          </w14:textFill>
        </w:rPr>
        <w:t>Data lineage of exp1 and exp2 and overlap between training and field data</w:t>
      </w:r>
    </w:p>
    <w:p>
      <w:pPr>
        <w:pStyle w:val="Body"/>
        <w:bidi w:val="0"/>
      </w:pPr>
      <w:r>
        <w:rPr>
          <w:rFonts w:ascii="Times New Roman" w:hAnsi="Times New Roman"/>
          <w:b w:val="1"/>
          <w:bCs w:val="1"/>
          <w:rtl w:val="0"/>
          <w:lang w:val="en-US"/>
        </w:rPr>
        <w:t>Project:</w:t>
      </w:r>
      <w:r>
        <w:rPr>
          <w:rFonts w:ascii="Times New Roman" w:hAnsi="Times New Roman"/>
          <w:rtl w:val="0"/>
          <w:lang w:val="en-US"/>
        </w:rPr>
        <w:t xml:space="preserve"> Helipad Detector. Prepared on: October 14, 2026. Basis: materials from the project proponent</w:t>
      </w:r>
      <w:r>
        <w:rPr>
          <w:rFonts w:ascii="Times New Roman" w:hAnsi="Times New Roman" w:hint="default"/>
          <w:rtl w:val="1"/>
        </w:rPr>
        <w:t>’</w:t>
      </w:r>
      <w:r>
        <w:rPr>
          <w:rFonts w:ascii="Times New Roman" w:hAnsi="Times New Roman"/>
          <w:rtl w:val="0"/>
          <w:lang w:val="pt-PT"/>
        </w:rPr>
        <w:t>s repository, Pedro Vyctor Almeida</w:t>
      </w:r>
      <w:r>
        <w:rPr>
          <w:rFonts w:ascii="Times New Roman" w:hAnsi="Times New Roman" w:hint="default"/>
          <w:rtl w:val="1"/>
        </w:rPr>
        <w:t>’</w:t>
      </w:r>
      <w:r>
        <w:rPr>
          <w:rFonts w:ascii="Times New Roman" w:hAnsi="Times New Roman"/>
          <w:rtl w:val="0"/>
          <w:lang w:val="en-US"/>
        </w:rPr>
        <w:t>s repository, Roboflow screenshots, and the helipad_dataset.rar archive, without relying on contact with third parties or filling gaps through assumptions.</w:t>
      </w:r>
    </w:p>
    <w:p>
      <w:pPr>
        <w:pStyle w:val="Body"/>
        <w:bidi w:val="0"/>
      </w:pPr>
      <w:r>
        <w:rPr>
          <w:rFonts w:ascii="Times New Roman" w:hAnsi="Times New Roman"/>
          <w:b w:val="1"/>
          <w:bCs w:val="1"/>
          <w:rtl w:val="0"/>
          <w:lang w:val="en-US"/>
        </w:rPr>
        <w:t>Responsible-use notice.</w:t>
      </w:r>
      <w:r>
        <w:rPr>
          <w:rFonts w:ascii="Times New Roman" w:hAnsi="Times New Roman"/>
          <w:rtl w:val="0"/>
          <w:lang w:val="en-US"/>
        </w:rPr>
        <w:t xml:space="preserve"> Automated image-based visual detection is subject to errors and is not equivalent to operational, legal, safety, or aeronautical validation. This report addresses data lineage, not site validation.</w:t>
      </w:r>
    </w:p>
    <w:p>
      <w:pPr>
        <w:pStyle w:val="Heading"/>
        <w:keepNext w:val="1"/>
      </w:pPr>
      <w:r>
        <w:rPr>
          <w:rtl w:val="0"/>
          <w:lang w:val="fr-FR"/>
        </w:rPr>
        <w:t>1. Conclusions</w:t>
      </w:r>
    </w:p>
    <w:p>
      <w:pPr>
        <w:pStyle w:val="Heading"/>
        <w:keepNext w:val="1"/>
      </w:pPr>
      <w:r>
        <w:rPr>
          <w:b w:val="0"/>
          <w:bCs w:val="0"/>
          <w:outline w:val="0"/>
          <w:color w:val="000000"/>
          <w:u w:color="000000"/>
          <w:rtl w:val="0"/>
          <w:lang w:val="en-US"/>
          <w14:textFill>
            <w14:solidFill>
              <w14:srgbClr w14:val="000000"/>
            </w14:solidFill>
          </w14:textFill>
        </w:rPr>
        <w:t>Each conclusion states its level of support: proof (verified in files), circumstantial evidence (consistent with multiple elements, but without a direct record), or unconfirmed.</w:t>
      </w:r>
    </w:p>
    <w:p>
      <w:pPr>
        <w:pStyle w:val="List Paragraph"/>
        <w:numPr>
          <w:ilvl w:val="0"/>
          <w:numId w:val="2"/>
        </w:numPr>
        <w:spacing w:after="60"/>
        <w:jc w:val="both"/>
        <w:rPr>
          <w:sz w:val="23"/>
          <w:szCs w:val="23"/>
          <w:lang w:val="en-US"/>
        </w:rPr>
      </w:pPr>
      <w:r>
        <w:rPr>
          <w:b w:val="1"/>
          <w:bCs w:val="1"/>
          <w:sz w:val="23"/>
          <w:szCs w:val="23"/>
          <w:rtl w:val="0"/>
          <w:lang w:val="en-US"/>
        </w:rPr>
        <w:t>exp1 (strong circumstantial evidence).</w:t>
      </w:r>
      <w:r>
        <w:rPr>
          <w:sz w:val="23"/>
          <w:szCs w:val="23"/>
          <w:rtl w:val="0"/>
          <w:lang w:val="en-US"/>
        </w:rPr>
        <w:t xml:space="preserve"> The exp1 weights and results in the proponent</w:t>
      </w:r>
      <w:r>
        <w:rPr>
          <w:sz w:val="23"/>
          <w:szCs w:val="23"/>
          <w:rtl w:val="1"/>
        </w:rPr>
        <w:t>’</w:t>
      </w:r>
      <w:r>
        <w:rPr>
          <w:sz w:val="23"/>
          <w:szCs w:val="23"/>
          <w:rtl w:val="0"/>
          <w:lang w:val="en-US"/>
        </w:rPr>
        <w:t>s repository are Pedro Vyctor Almeida</w:t>
      </w:r>
      <w:r>
        <w:rPr>
          <w:sz w:val="23"/>
          <w:szCs w:val="23"/>
          <w:rtl w:val="1"/>
        </w:rPr>
        <w:t>’</w:t>
      </w:r>
      <w:r>
        <w:rPr>
          <w:sz w:val="23"/>
          <w:szCs w:val="23"/>
          <w:rtl w:val="0"/>
        </w:rPr>
        <w:t xml:space="preserve">s </w:t>
      </w:r>
      <w:r>
        <w:rPr>
          <w:sz w:val="23"/>
          <w:szCs w:val="23"/>
          <w:rtl w:val="1"/>
          <w:lang w:val="ar-SA" w:bidi="ar-SA"/>
        </w:rPr>
        <w:t>“</w:t>
      </w:r>
      <w:r>
        <w:rPr>
          <w:sz w:val="23"/>
          <w:szCs w:val="23"/>
          <w:rtl w:val="0"/>
          <w:lang w:val="en-US"/>
        </w:rPr>
        <w:t>exp1-2</w:t>
      </w:r>
      <w:r>
        <w:rPr>
          <w:sz w:val="23"/>
          <w:szCs w:val="23"/>
          <w:rtl w:val="0"/>
        </w:rPr>
        <w:t xml:space="preserve">” </w:t>
      </w:r>
      <w:r>
        <w:rPr>
          <w:sz w:val="23"/>
          <w:szCs w:val="23"/>
          <w:rtl w:val="0"/>
          <w:lang w:val="en-US"/>
        </w:rPr>
        <w:t xml:space="preserve">run (proof: byte-for-byte identical files), configured for the My-First-Project-2 folder, i.e., dataset version 2 (178 training, 34 validation, 14 test images). The log showing 116/33 images saved in the notebook is consistent with another run, the original one (version 1), for which only args.yaml remains. The image-count log for </w:t>
      </w:r>
      <w:r>
        <w:rPr>
          <w:sz w:val="23"/>
          <w:szCs w:val="23"/>
          <w:rtl w:val="1"/>
          <w:lang w:val="ar-SA" w:bidi="ar-SA"/>
        </w:rPr>
        <w:t>“</w:t>
      </w:r>
      <w:r>
        <w:rPr>
          <w:sz w:val="23"/>
          <w:szCs w:val="23"/>
          <w:rtl w:val="0"/>
          <w:lang w:val="en-US"/>
        </w:rPr>
        <w:t>exp1-2</w:t>
      </w:r>
      <w:r>
        <w:rPr>
          <w:sz w:val="23"/>
          <w:szCs w:val="23"/>
          <w:rtl w:val="0"/>
        </w:rPr>
        <w:t xml:space="preserve">” </w:t>
      </w:r>
      <w:r>
        <w:rPr>
          <w:sz w:val="23"/>
          <w:szCs w:val="23"/>
          <w:rtl w:val="0"/>
          <w:lang w:val="en-US"/>
        </w:rPr>
        <w:t>is missing; therefore, the link to version 2 is strong circumstantial evidence, not proof.</w:t>
      </w:r>
    </w:p>
    <w:p>
      <w:pPr>
        <w:pStyle w:val="List Paragraph"/>
        <w:numPr>
          <w:ilvl w:val="0"/>
          <w:numId w:val="2"/>
        </w:numPr>
        <w:spacing w:after="60"/>
        <w:jc w:val="both"/>
        <w:rPr>
          <w:sz w:val="23"/>
          <w:szCs w:val="23"/>
          <w:lang w:val="en-US"/>
        </w:rPr>
      </w:pPr>
      <w:r>
        <w:rPr>
          <w:b w:val="1"/>
          <w:bCs w:val="1"/>
          <w:sz w:val="23"/>
          <w:szCs w:val="23"/>
          <w:rtl w:val="0"/>
          <w:lang w:val="en-US"/>
        </w:rPr>
        <w:t>exp2 (strong circumstantial evidence, with a conflict to resolve).</w:t>
      </w:r>
      <w:r>
        <w:rPr>
          <w:sz w:val="23"/>
          <w:szCs w:val="23"/>
          <w:rtl w:val="0"/>
          <w:lang w:val="en-US"/>
        </w:rPr>
        <w:t xml:space="preserve"> The preserved log (178 training, 34 validation, 0 corrupt images), results.csv, and best.pt are mutually consistent and correspond to the contents of Pedro</w:t>
      </w:r>
      <w:r>
        <w:rPr>
          <w:sz w:val="23"/>
          <w:szCs w:val="23"/>
          <w:rtl w:val="1"/>
        </w:rPr>
        <w:t>’</w:t>
      </w:r>
      <w:r>
        <w:rPr>
          <w:sz w:val="23"/>
          <w:szCs w:val="23"/>
          <w:rtl w:val="0"/>
          <w:lang w:val="en-US"/>
        </w:rPr>
        <w:t>s version 2, not to the fork versions shown in the screenshots (356 training images with data augmentation, 404 in total). According to the log, the fork-based run is exp3. The claim that exp2 used the fork is not supported by the files; see Section 4.</w:t>
      </w:r>
    </w:p>
    <w:p>
      <w:pPr>
        <w:pStyle w:val="List Paragraph"/>
        <w:numPr>
          <w:ilvl w:val="0"/>
          <w:numId w:val="2"/>
        </w:numPr>
        <w:spacing w:after="60"/>
        <w:jc w:val="both"/>
        <w:rPr>
          <w:sz w:val="23"/>
          <w:szCs w:val="23"/>
          <w:lang w:val="en-US"/>
        </w:rPr>
      </w:pPr>
      <w:r>
        <w:rPr>
          <w:b w:val="1"/>
          <w:bCs w:val="1"/>
          <w:sz w:val="23"/>
          <w:szCs w:val="23"/>
          <w:rtl w:val="0"/>
          <w:lang w:val="en-US"/>
        </w:rPr>
        <w:t xml:space="preserve">exp1 </w:t>
      </w:r>
      <w:r>
        <w:rPr>
          <w:b w:val="1"/>
          <w:bCs w:val="1"/>
          <w:sz w:val="23"/>
          <w:szCs w:val="23"/>
          <w:rtl w:val="0"/>
        </w:rPr>
        <w:t xml:space="preserve">× </w:t>
      </w:r>
      <w:r>
        <w:rPr>
          <w:b w:val="1"/>
          <w:bCs w:val="1"/>
          <w:sz w:val="23"/>
          <w:szCs w:val="23"/>
          <w:rtl w:val="0"/>
          <w:lang w:val="en-US"/>
        </w:rPr>
        <w:t>exp2 comparison.</w:t>
      </w:r>
      <w:r>
        <w:rPr>
          <w:sz w:val="23"/>
          <w:szCs w:val="23"/>
          <w:rtl w:val="0"/>
          <w:lang w:val="en-US"/>
        </w:rPr>
        <w:t xml:space="preserve"> Both point to the same data contents (the archived copies of the two datasets are identical), but different people executed them, in different environments and Ultralytics versions (8.4.75 and 8.4.98), and with different numbers of epochs (60 and 100). This is therefore not a controlled experiment; data equivalence is supported by circumstantial evidence, not proof.</w:t>
      </w:r>
    </w:p>
    <w:p>
      <w:pPr>
        <w:pStyle w:val="List Paragraph"/>
        <w:numPr>
          <w:ilvl w:val="0"/>
          <w:numId w:val="2"/>
        </w:numPr>
        <w:spacing w:after="60"/>
        <w:jc w:val="both"/>
        <w:rPr>
          <w:sz w:val="23"/>
          <w:szCs w:val="23"/>
          <w:lang w:val="nl-NL"/>
        </w:rPr>
      </w:pPr>
      <w:r>
        <w:rPr>
          <w:b w:val="1"/>
          <w:bCs w:val="1"/>
          <w:sz w:val="23"/>
          <w:szCs w:val="23"/>
          <w:rtl w:val="0"/>
          <w:lang w:val="nl-NL"/>
        </w:rPr>
        <w:t>Field data.</w:t>
      </w:r>
      <w:r>
        <w:rPr>
          <w:sz w:val="23"/>
          <w:szCs w:val="23"/>
          <w:rtl w:val="0"/>
          <w:lang w:val="en-US"/>
        </w:rPr>
        <w:t xml:space="preserve"> The set of 7,767 region </w:t>
      </w:r>
      <w:r>
        <w:rPr>
          <w:sz w:val="23"/>
          <w:szCs w:val="23"/>
          <w:rtl w:val="0"/>
        </w:rPr>
        <w:t xml:space="preserve">× </w:t>
      </w:r>
      <w:r>
        <w:rPr>
          <w:sz w:val="23"/>
          <w:szCs w:val="23"/>
          <w:rtl w:val="0"/>
          <w:lang w:val="en-US"/>
        </w:rPr>
        <w:t>tile pairs was reconstructed from the repository</w:t>
      </w:r>
      <w:r>
        <w:rPr>
          <w:sz w:val="23"/>
          <w:szCs w:val="23"/>
          <w:rtl w:val="1"/>
        </w:rPr>
        <w:t>’</w:t>
      </w:r>
      <w:r>
        <w:rPr>
          <w:sz w:val="23"/>
          <w:szCs w:val="23"/>
          <w:rtl w:val="0"/>
          <w:lang w:val="en-US"/>
        </w:rPr>
        <w:t>s compressed archives and matches the historical count, but contains only 5,540 distinct tiles (neighboring regions overlap).</w:t>
      </w:r>
    </w:p>
    <w:p>
      <w:pPr>
        <w:pStyle w:val="List Paragraph"/>
        <w:numPr>
          <w:ilvl w:val="0"/>
          <w:numId w:val="2"/>
        </w:numPr>
        <w:spacing w:after="60"/>
        <w:jc w:val="both"/>
        <w:rPr>
          <w:sz w:val="23"/>
          <w:szCs w:val="23"/>
        </w:rPr>
      </w:pPr>
      <w:r>
        <w:rPr>
          <w:b w:val="1"/>
          <w:bCs w:val="1"/>
          <w:sz w:val="23"/>
          <w:szCs w:val="23"/>
          <w:rtl w:val="0"/>
        </w:rPr>
        <w:t>Overlap.</w:t>
      </w:r>
      <w:r>
        <w:rPr>
          <w:sz w:val="23"/>
          <w:szCs w:val="23"/>
          <w:rtl w:val="0"/>
          <w:lang w:val="en-US"/>
        </w:rPr>
        <w:t xml:space="preserve"> Of the 225 annotated images with coordinates, 125 (87 of 177 training, 25 of 34 validation, 13 of 14 test images) are copies of a field tile (proof through pixel comparison). These 125 tiles represent 2.3% of the 5,540 distinct field tiles. There are no direct copies of validation or test images in the training set; spatial proximity (within 1 tile) occurs for 15 of the 34 validation images and 3 of the 14 test images.</w:t>
      </w:r>
    </w:p>
    <w:p>
      <w:pPr>
        <w:pStyle w:val="List Paragraph"/>
        <w:numPr>
          <w:ilvl w:val="0"/>
          <w:numId w:val="2"/>
        </w:numPr>
        <w:spacing w:after="60"/>
        <w:jc w:val="both"/>
        <w:rPr>
          <w:sz w:val="23"/>
          <w:szCs w:val="23"/>
          <w:lang w:val="en-US"/>
        </w:rPr>
      </w:pPr>
      <w:r>
        <w:rPr>
          <w:b w:val="1"/>
          <w:bCs w:val="1"/>
          <w:sz w:val="23"/>
          <w:szCs w:val="23"/>
          <w:rtl w:val="0"/>
          <w:lang w:val="en-US"/>
        </w:rPr>
        <w:t>Filenames are not sufficient.</w:t>
      </w:r>
      <w:r>
        <w:rPr>
          <w:sz w:val="23"/>
          <w:szCs w:val="23"/>
          <w:rtl w:val="0"/>
          <w:lang w:val="en-US"/>
        </w:rPr>
        <w:t xml:space="preserve"> Twenty-three images (17 training, 4 validation, 2 test) share the same tile identifier in their filenames (x194146_y297518_itaim_bibi-NN-); the contents of 22 of them match other field tiles. Analysis based on coordinates read from filenames would overestimate or mislocate the overlap; this is why the proof is pixel-based.</w:t>
      </w:r>
    </w:p>
    <w:p>
      <w:pPr>
        <w:pStyle w:val="Heading"/>
        <w:keepNext w:val="1"/>
      </w:pPr>
      <w:r>
        <w:rPr>
          <w:rtl w:val="0"/>
          <w:lang w:val="en-US"/>
        </w:rPr>
        <w:t>2. Revisions and method</w:t>
      </w:r>
    </w:p>
    <w:p>
      <w:pPr>
        <w:pStyle w:val="Heading"/>
        <w:keepNext w:val="1"/>
      </w:pPr>
      <w:r>
        <w:rPr>
          <w:outline w:val="0"/>
          <w:color w:val="000000"/>
          <w:sz w:val="22"/>
          <w:szCs w:val="22"/>
          <w:u w:color="000000"/>
          <w:rtl w:val="0"/>
          <w14:textFill>
            <w14:solidFill>
              <w14:srgbClr w14:val="000000"/>
            </w14:solidFill>
          </w14:textFill>
        </w:rPr>
        <w:t>Table 1.</w:t>
      </w:r>
      <w:r>
        <w:rPr>
          <w:b w:val="0"/>
          <w:bCs w:val="0"/>
          <w:outline w:val="0"/>
          <w:color w:val="000000"/>
          <w:sz w:val="22"/>
          <w:szCs w:val="22"/>
          <w:u w:color="000000"/>
          <w:rtl w:val="0"/>
          <w:lang w:val="en-US"/>
          <w14:textFill>
            <w14:solidFill>
              <w14:srgbClr w14:val="000000"/>
            </w14:solidFill>
          </w14:textFill>
        </w:rPr>
        <w:t xml:space="preserve"> Revisions and sources used</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300"/>
        <w:gridCol w:w="3738"/>
      </w:tblGrid>
      <w:tr>
        <w:tblPrEx>
          <w:shd w:val="clear" w:color="auto" w:fill="4f81bd"/>
        </w:tblPrEx>
        <w:trPr>
          <w:trHeight w:val="202" w:hRule="atLeast"/>
          <w:tblHeader/>
        </w:trPr>
        <w:tc>
          <w:tcPr>
            <w:tcW w:type="dxa" w:w="2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en-US"/>
              </w:rPr>
              <w:t>Source</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en-US"/>
              </w:rPr>
              <w:t>Pinned revision</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8"/>
                <w:szCs w:val="18"/>
                <w:u w:color="000000"/>
                <w:shd w:val="nil" w:color="auto" w:fill="auto"/>
                <w:rtl w:val="0"/>
                <w:lang w:val="en-US"/>
              </w:rPr>
              <w:t>Use</w:t>
            </w:r>
          </w:p>
        </w:tc>
      </w:tr>
      <w:tr>
        <w:tblPrEx>
          <w:shd w:val="clear" w:color="auto" w:fill="ced7e7"/>
        </w:tblPrEx>
        <w:trPr>
          <w:trHeight w:val="1395" w:hRule="atLeast"/>
        </w:trPr>
        <w:tc>
          <w:tcPr>
            <w:tcW w:type="dxa" w:w="2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it-IT"/>
              </w:rPr>
              <w:t>Proponent</w:t>
            </w:r>
            <w:r>
              <w:rPr>
                <w:rFonts w:ascii="Times New Roman" w:hAnsi="Times New Roman" w:hint="default"/>
                <w:sz w:val="18"/>
                <w:szCs w:val="18"/>
                <w:u w:color="000000"/>
                <w:shd w:val="nil" w:color="auto" w:fill="auto"/>
                <w:rtl w:val="1"/>
              </w:rPr>
              <w:t>’</w:t>
            </w:r>
            <w:r>
              <w:rPr>
                <w:rFonts w:ascii="Times New Roman" w:hAnsi="Times New Roman"/>
                <w:sz w:val="18"/>
                <w:szCs w:val="18"/>
                <w:u w:color="000000"/>
                <w:shd w:val="nil" w:color="auto" w:fill="auto"/>
                <w:rtl w:val="0"/>
                <w:lang w:val="en-US"/>
              </w:rPr>
              <w:t>s repository (Mindful-AI-Research/3-project-ai-ml-yolo-helipad_detector)</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bc5a0ad953e4ffc8433d3e3f68d245068ebddc5a (October 13, 2026, 15:20 -03): datasets archived in data/training/exp1 and exp2, data/raw/helipad_dataset.rar, artifacts in artifacts/runs/runs/detect/exp1</w:t>
            </w:r>
            <w:r>
              <w:rPr>
                <w:rFonts w:ascii="Times New Roman" w:hAnsi="Times New Roman" w:hint="default"/>
                <w:sz w:val="18"/>
                <w:szCs w:val="18"/>
                <w:u w:color="000000"/>
                <w:shd w:val="nil" w:color="auto" w:fill="auto"/>
                <w:rtl w:val="0"/>
              </w:rPr>
              <w:t>–</w:t>
            </w:r>
            <w:r>
              <w:rPr>
                <w:rFonts w:ascii="Times New Roman" w:hAnsi="Times New Roman"/>
                <w:sz w:val="18"/>
                <w:szCs w:val="18"/>
                <w:u w:color="000000"/>
                <w:shd w:val="nil" w:color="auto" w:fill="auto"/>
                <w:rtl w:val="0"/>
                <w:lang w:val="en-US"/>
              </w:rPr>
              <w:t>exp4</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Archived data and artifacts</w:t>
            </w:r>
          </w:p>
        </w:tc>
      </w:tr>
      <w:tr>
        <w:tblPrEx>
          <w:shd w:val="clear" w:color="auto" w:fill="ced7e7"/>
        </w:tblPrEx>
        <w:trPr>
          <w:trHeight w:val="1156" w:hRule="atLeast"/>
        </w:trPr>
        <w:tc>
          <w:tcPr>
            <w:tcW w:type="dxa" w:w="2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Same repository, main branch</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9e767ec1f8d711b4e09f920aadf802c3855acb9a (October 14, 2026, 02:14 -03): notebooks src/training/yolo_training_exp1</w:t>
            </w:r>
            <w:r>
              <w:rPr>
                <w:rFonts w:ascii="Times New Roman" w:hAnsi="Times New Roman" w:hint="default"/>
                <w:sz w:val="18"/>
                <w:szCs w:val="18"/>
                <w:u w:color="000000"/>
                <w:shd w:val="nil" w:color="auto" w:fill="auto"/>
                <w:rtl w:val="0"/>
              </w:rPr>
              <w:t>–</w:t>
            </w:r>
            <w:r>
              <w:rPr>
                <w:rFonts w:ascii="Times New Roman" w:hAnsi="Times New Roman"/>
                <w:sz w:val="18"/>
                <w:szCs w:val="18"/>
                <w:u w:color="000000"/>
                <w:shd w:val="nil" w:color="auto" w:fill="auto"/>
                <w:rtl w:val="0"/>
              </w:rPr>
              <w:t>4.ipynb, src/geospatial/*, field reports</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Saved code, reports, and tile ZIP archives</w:t>
            </w:r>
          </w:p>
        </w:tc>
      </w:tr>
      <w:tr>
        <w:tblPrEx>
          <w:shd w:val="clear" w:color="auto" w:fill="ced7e7"/>
        </w:tblPrEx>
        <w:trPr>
          <w:trHeight w:val="1156" w:hRule="atLeast"/>
        </w:trPr>
        <w:tc>
          <w:tcPr>
            <w:tcW w:type="dxa" w:w="2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Pedro Vyctor Almeida</w:t>
            </w:r>
            <w:r>
              <w:rPr>
                <w:rFonts w:ascii="Times New Roman" w:hAnsi="Times New Roman" w:hint="default"/>
                <w:sz w:val="18"/>
                <w:szCs w:val="18"/>
                <w:u w:color="000000"/>
                <w:shd w:val="nil" w:color="auto" w:fill="auto"/>
                <w:rtl w:val="1"/>
              </w:rPr>
              <w:t>’</w:t>
            </w:r>
            <w:r>
              <w:rPr>
                <w:rFonts w:ascii="Times New Roman" w:hAnsi="Times New Roman"/>
                <w:sz w:val="18"/>
                <w:szCs w:val="18"/>
                <w:u w:color="000000"/>
                <w:shd w:val="nil" w:color="auto" w:fill="auto"/>
                <w:rtl w:val="0"/>
                <w:lang w:val="fr-FR"/>
              </w:rPr>
              <w:t>s repository (ppvyctor/Helipoint-Detector)</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d852e3c73dc9f65a151349d8883a0acc484c0f97 (June 24, 2026, 20:11 -03); runs/detect/runs/exp1-2 and My-First-Project-2 present since bcefd53 (June 22, 2026, 20:46 -03)</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Copy of the exp1-2 run and data folder</w:t>
            </w:r>
          </w:p>
        </w:tc>
      </w:tr>
      <w:tr>
        <w:tblPrEx>
          <w:shd w:val="clear" w:color="auto" w:fill="ced7e7"/>
        </w:tblPrEx>
        <w:trPr>
          <w:trHeight w:val="679" w:hRule="atLeast"/>
        </w:trPr>
        <w:tc>
          <w:tcPr>
            <w:tcW w:type="dxa" w:w="2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Roboflow screenshots</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Four screenshots dated October 14, 2026 (Pedro</w:t>
            </w:r>
            <w:r>
              <w:rPr>
                <w:rFonts w:ascii="Times New Roman" w:hAnsi="Times New Roman" w:hint="default"/>
                <w:sz w:val="18"/>
                <w:szCs w:val="18"/>
                <w:u w:color="000000"/>
                <w:shd w:val="nil" w:color="auto" w:fill="auto"/>
                <w:rtl w:val="1"/>
              </w:rPr>
              <w:t>’</w:t>
            </w:r>
            <w:r>
              <w:rPr>
                <w:rFonts w:ascii="Times New Roman" w:hAnsi="Times New Roman"/>
                <w:sz w:val="18"/>
                <w:szCs w:val="18"/>
                <w:u w:color="000000"/>
                <w:shd w:val="nil" w:color="auto" w:fill="auto"/>
                <w:rtl w:val="0"/>
                <w:lang w:val="en-US"/>
              </w:rPr>
              <w:t>s version 2; attempt to open version 1; fork versions and model; fork v2 details)</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8"/>
                <w:szCs w:val="18"/>
                <w:u w:color="000000"/>
                <w:shd w:val="nil" w:color="auto" w:fill="auto"/>
                <w:rtl w:val="0"/>
                <w:lang w:val="en-US"/>
              </w:rPr>
              <w:t>Version counts and dates</w:t>
            </w:r>
          </w:p>
        </w:tc>
      </w:tr>
    </w:tbl>
    <w:p>
      <w:pPr>
        <w:pStyle w:val="Heading"/>
        <w:keepNext w:val="1"/>
        <w:widowControl w:val="0"/>
      </w:pPr>
    </w:p>
    <w:p>
      <w:pPr>
        <w:pStyle w:val="Heading"/>
        <w:keepNext w:val="1"/>
        <w:widowControl w:val="0"/>
      </w:pPr>
      <w:r>
        <w:rPr>
          <w:b w:val="0"/>
          <w:bCs w:val="0"/>
          <w:outline w:val="0"/>
          <w:color w:val="000000"/>
          <w:sz w:val="19"/>
          <w:szCs w:val="19"/>
          <w:u w:color="000000"/>
          <w:rtl w:val="0"/>
          <w:lang w:val="en-US"/>
          <w14:textFill>
            <w14:solidFill>
              <w14:srgbClr w14:val="000000"/>
            </w14:solidFill>
          </w14:textFill>
        </w:rPr>
        <w:t>Only files and screenshots were used; no API keys are reproduced (the saved notebooks read them from environment variables or Colab Secrets). The .pt checkpoints were inspected without executing code (reading data.pkl with pickletools); labels.cache files were inspected using a restricted deserializer. The current notebook code describes what is saved today, not what was executed; the conclusions therefore rely on output artifacts (args.yaml, results.csv, weights, preserved logs), and folder names alone were not treated as proof.</w:t>
      </w:r>
    </w:p>
    <w:p>
      <w:pPr>
        <w:pStyle w:val="Heading"/>
        <w:keepNext w:val="1"/>
      </w:pPr>
      <w:r>
        <w:rPr>
          <w:rtl w:val="0"/>
          <w:lang w:val="en-US"/>
        </w:rPr>
        <w:t>3. Comparison between exp1 and exp2</w:t>
      </w:r>
    </w:p>
    <w:p>
      <w:pPr>
        <w:pStyle w:val="Heading"/>
        <w:keepNext w:val="1"/>
      </w:pPr>
      <w:r>
        <w:rPr>
          <w:outline w:val="0"/>
          <w:color w:val="000000"/>
          <w:sz w:val="22"/>
          <w:szCs w:val="22"/>
          <w:u w:color="000000"/>
          <w:rtl w:val="0"/>
          <w14:textFill>
            <w14:solidFill>
              <w14:srgbClr w14:val="000000"/>
            </w14:solidFill>
          </w14:textFill>
        </w:rPr>
        <w:t>Table 2.</w:t>
      </w:r>
      <w:r>
        <w:rPr>
          <w:b w:val="0"/>
          <w:bCs w:val="0"/>
          <w:outline w:val="0"/>
          <w:color w:val="000000"/>
          <w:sz w:val="22"/>
          <w:szCs w:val="22"/>
          <w:u w:color="000000"/>
          <w:rtl w:val="0"/>
          <w:lang w:val="en-US"/>
          <w14:textFill>
            <w14:solidFill>
              <w14:srgbClr w14:val="000000"/>
            </w14:solidFill>
          </w14:textFill>
        </w:rPr>
        <w:t xml:space="preserve"> Provenance of each data item for exp1 and exp2 (exp3 and exp4 as context)</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2500"/>
        <w:gridCol w:w="2500"/>
        <w:gridCol w:w="3138"/>
      </w:tblGrid>
      <w:tr>
        <w:tblPrEx>
          <w:shd w:val="clear" w:color="auto" w:fill="4f81bd"/>
        </w:tblPrEx>
        <w:trPr>
          <w:trHeight w:val="203" w:hRule="atLeast"/>
          <w:tblHeader/>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7"/>
                <w:szCs w:val="17"/>
                <w:u w:color="000000"/>
                <w:shd w:val="nil" w:color="auto" w:fill="auto"/>
                <w:rtl w:val="0"/>
                <w:lang w:val="en-US"/>
              </w:rPr>
              <w:t>Item</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7"/>
                <w:szCs w:val="17"/>
                <w:u w:color="000000"/>
                <w:shd w:val="nil" w:color="auto" w:fill="auto"/>
                <w:rtl w:val="0"/>
                <w:lang w:val="en-US"/>
              </w:rPr>
              <w:t>exp1</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7"/>
                <w:szCs w:val="17"/>
                <w:u w:color="000000"/>
                <w:shd w:val="nil" w:color="auto" w:fill="auto"/>
                <w:rtl w:val="0"/>
                <w:lang w:val="en-US"/>
              </w:rPr>
              <w:t>exp2</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7"/>
                <w:szCs w:val="17"/>
                <w:u w:color="000000"/>
                <w:shd w:val="nil" w:color="auto" w:fill="auto"/>
                <w:rtl w:val="0"/>
                <w:lang w:val="en-US"/>
              </w:rPr>
              <w:t>Source and level of support</w:t>
            </w:r>
          </w:p>
        </w:tc>
      </w:tr>
      <w:tr>
        <w:tblPrEx>
          <w:shd w:val="clear" w:color="auto" w:fill="ced7e7"/>
        </w:tblPrEx>
        <w:trPr>
          <w:trHeight w:val="918"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Dataset origin</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Project my-first-project-kfo4l, workspace pedros-workspace-1w4rz (Pedro)</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Same project (Pedro); notebook with an assert against the fork</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README.roboflow in the archived datasets; exp2 notebook, cell 38. Proof (archived contents); code is circumstantial evidence of use</w:t>
            </w:r>
          </w:p>
        </w:tc>
      </w:tr>
      <w:tr>
        <w:tblPrEx>
          <w:shd w:val="clear" w:color="auto" w:fill="ced7e7"/>
        </w:tblPrEx>
        <w:trPr>
          <w:trHeight w:val="680"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Run authorship</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Pedro (weights identical to those in runs/detect/runs/exp1-2 in his repository)</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Proponent (self-reported); Colab T4, Ultralytics 8.4.98, July 17, 2026</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SHA-256 of weights (proof); exp2 authorship is the proponent</w:t>
            </w:r>
            <w:r>
              <w:rPr>
                <w:rFonts w:ascii="Times New Roman" w:hAnsi="Times New Roman" w:hint="default"/>
                <w:sz w:val="17"/>
                <w:szCs w:val="17"/>
                <w:u w:color="000000"/>
                <w:shd w:val="nil" w:color="auto" w:fill="auto"/>
                <w:rtl w:val="1"/>
              </w:rPr>
              <w:t>’</w:t>
            </w:r>
            <w:r>
              <w:rPr>
                <w:rFonts w:ascii="Times New Roman" w:hAnsi="Times New Roman"/>
                <w:sz w:val="17"/>
                <w:szCs w:val="17"/>
                <w:u w:color="000000"/>
                <w:shd w:val="nil" w:color="auto" w:fill="auto"/>
                <w:rtl w:val="0"/>
                <w:lang w:val="en-US"/>
              </w:rPr>
              <w:t>s statement, consistent with date and environment</w:t>
            </w:r>
          </w:p>
        </w:tc>
      </w:tr>
      <w:tr>
        <w:tblPrEx>
          <w:shd w:val="clear" w:color="auto" w:fill="ced7e7"/>
        </w:tblPrEx>
        <w:trPr>
          <w:trHeight w:val="680"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Roboflow version</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v2 (circumstantial evidence: args.yaml points to My-First-Project-2)</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v2 (log: 178/34 in My-First-Project-2)</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urier New" w:hAnsi="Courier New"/>
                <w:sz w:val="14"/>
                <w:szCs w:val="14"/>
                <w:u w:color="000000"/>
                <w:shd w:val="nil" w:color="auto" w:fill="auto"/>
                <w:rtl w:val="0"/>
                <w:lang w:val="en-US"/>
              </w:rPr>
              <w:t>args.yaml; exp2 training cell. Strong circumstantial evidence (exp1 and exp2)</w:t>
            </w:r>
          </w:p>
        </w:tc>
      </w:tr>
      <w:tr>
        <w:tblPrEx>
          <w:shd w:val="clear" w:color="auto" w:fill="ced7e7"/>
        </w:tblPrEx>
        <w:trPr>
          <w:trHeight w:val="746"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Archived dataset</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sz w:val="14"/>
                <w:szCs w:val="14"/>
                <w:u w:color="000000"/>
                <w:shd w:val="nil" w:color="auto" w:fill="auto"/>
                <w:rtl w:val="0"/>
                <w:lang w:val="en-US"/>
              </w:rPr>
              <w:t>data/training/exp1: 226 images (178/34/14), no augmentation, exported June 22, 2026, 22:34 GMT</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sz w:val="14"/>
                <w:szCs w:val="14"/>
                <w:u w:color="000000"/>
                <w:shd w:val="nil" w:color="auto" w:fill="auto"/>
                <w:rtl w:val="0"/>
                <w:lang w:val="en-US"/>
              </w:rPr>
              <w:t>data/training/exp2: identical to exp1</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README.roboflow and file comparison. Proof that the two copies are identical, not that they were used for training</w:t>
            </w:r>
          </w:p>
        </w:tc>
      </w:tr>
      <w:tr>
        <w:tblPrEx>
          <w:shd w:val="clear" w:color="auto" w:fill="ced7e7"/>
        </w:tblPrEx>
        <w:trPr>
          <w:trHeight w:val="680"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Current saved code</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exp1 notebook points to My-First-Project-1, 60 epochs; log 116/33</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exp2 notebook: Pedro/v2 with assert; 100 epochs</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Notebooks on main. The exp1 notebook does not correspond to the preserved metrics</w:t>
            </w:r>
          </w:p>
        </w:tc>
      </w:tr>
      <w:tr>
        <w:tblPrEx>
          <w:shd w:val="clear" w:color="auto" w:fill="ced7e7"/>
        </w:tblPrEx>
        <w:trPr>
          <w:trHeight w:val="1157"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Preserved output</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Log with 116/33 (My-First-Project-1), consistent with args.yaml from Pedro</w:t>
            </w:r>
            <w:r>
              <w:rPr>
                <w:rFonts w:ascii="Times New Roman" w:hAnsi="Times New Roman" w:hint="default"/>
                <w:sz w:val="17"/>
                <w:szCs w:val="17"/>
                <w:u w:color="000000"/>
                <w:shd w:val="nil" w:color="auto" w:fill="auto"/>
                <w:rtl w:val="1"/>
              </w:rPr>
              <w:t>’</w:t>
            </w:r>
            <w:r>
              <w:rPr>
                <w:rFonts w:ascii="Times New Roman" w:hAnsi="Times New Roman"/>
                <w:sz w:val="17"/>
                <w:szCs w:val="17"/>
                <w:u w:color="000000"/>
                <w:shd w:val="nil" w:color="auto" w:fill="auto"/>
                <w:rtl w:val="0"/>
                <w:lang w:val="en-US"/>
              </w:rPr>
              <w:t>s original exp1 (v1, June 21); no image-count line for exp1-2</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Log with 178 training images, 1 background, 0 corrupt; 34 validation images</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Notebooks. exp1: missing log; exp2: proof of the contents counted</w:t>
            </w:r>
          </w:p>
        </w:tc>
      </w:tr>
      <w:tr>
        <w:tblPrEx>
          <w:shd w:val="clear" w:color="auto" w:fill="ced7e7"/>
        </w:tblPrEx>
        <w:trPr>
          <w:trHeight w:val="746"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Metrics</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sz w:val="14"/>
                <w:szCs w:val="14"/>
                <w:u w:color="000000"/>
                <w:shd w:val="nil" w:color="auto" w:fill="auto"/>
                <w:rtl w:val="0"/>
                <w:lang w:val="en-US"/>
              </w:rPr>
              <w:t>results.csv: 60 epochs; best fitness at epoch 54: P 1.000, R 0.963, mAP@50 0.994, mAP@50</w:t>
            </w:r>
            <w:r>
              <w:rPr>
                <w:rFonts w:ascii="Courier New" w:hAnsi="Courier New" w:hint="default"/>
                <w:sz w:val="14"/>
                <w:szCs w:val="14"/>
                <w:u w:color="000000"/>
                <w:shd w:val="nil" w:color="auto" w:fill="auto"/>
                <w:rtl w:val="0"/>
              </w:rPr>
              <w:t>–</w:t>
            </w:r>
            <w:r>
              <w:rPr>
                <w:rFonts w:ascii="Courier New" w:hAnsi="Courier New"/>
                <w:sz w:val="14"/>
                <w:szCs w:val="14"/>
                <w:u w:color="000000"/>
                <w:shd w:val="nil" w:color="auto" w:fill="auto"/>
                <w:rtl w:val="0"/>
              </w:rPr>
              <w:t>95 0.881</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sz w:val="14"/>
                <w:szCs w:val="14"/>
                <w:u w:color="000000"/>
                <w:shd w:val="nil" w:color="auto" w:fill="auto"/>
                <w:rtl w:val="0"/>
                <w:lang w:val="de-DE"/>
              </w:rPr>
              <w:t>results.csv: 100 epochs; best at epoch 81: P 0.982, R 0.971, mAP@50 0.993, mAP@50</w:t>
            </w:r>
            <w:r>
              <w:rPr>
                <w:rFonts w:ascii="Courier New" w:hAnsi="Courier New" w:hint="default"/>
                <w:sz w:val="14"/>
                <w:szCs w:val="14"/>
                <w:u w:color="000000"/>
                <w:shd w:val="nil" w:color="auto" w:fill="auto"/>
                <w:rtl w:val="0"/>
              </w:rPr>
              <w:t>–</w:t>
            </w:r>
            <w:r>
              <w:rPr>
                <w:rFonts w:ascii="Courier New" w:hAnsi="Courier New"/>
                <w:sz w:val="14"/>
                <w:szCs w:val="14"/>
                <w:u w:color="000000"/>
                <w:shd w:val="nil" w:color="auto" w:fill="auto"/>
                <w:rtl w:val="0"/>
              </w:rPr>
              <w:t>95 0.888</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Courier New" w:hAnsi="Courier New"/>
                <w:sz w:val="14"/>
                <w:szCs w:val="14"/>
                <w:u w:color="000000"/>
                <w:shd w:val="nil" w:color="auto" w:fill="auto"/>
                <w:rtl w:val="0"/>
                <w:lang w:val="en-US"/>
              </w:rPr>
              <w:t>results.csv. Proof: values match the table in the project report</w:t>
            </w:r>
          </w:p>
        </w:tc>
      </w:tr>
      <w:tr>
        <w:tblPrEx>
          <w:shd w:val="clear" w:color="auto" w:fill="ced7e7"/>
        </w:tblPrEx>
        <w:trPr>
          <w:trHeight w:val="1130"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Weights</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sz w:val="14"/>
                <w:szCs w:val="14"/>
                <w:u w:color="000000"/>
                <w:shd w:val="nil" w:color="auto" w:fill="auto"/>
                <w:rtl w:val="0"/>
                <w:lang w:val="en-US"/>
              </w:rPr>
              <w:t>best.pt saved June 22, 2026, 22:42:39; Ultralytics 8.4.75; SHA-256 0f8ce4ed</w:t>
            </w:r>
            <w:r>
              <w:rPr>
                <w:rFonts w:ascii="Courier New" w:hAnsi="Courier New" w:hint="default"/>
                <w:sz w:val="14"/>
                <w:szCs w:val="14"/>
                <w:u w:color="000000"/>
                <w:shd w:val="nil" w:color="auto" w:fill="auto"/>
                <w:rtl w:val="0"/>
              </w:rPr>
              <w:t>…</w:t>
            </w:r>
            <w:r>
              <w:rPr>
                <w:rFonts w:ascii="Courier New" w:hAnsi="Courier New"/>
                <w:sz w:val="14"/>
                <w:szCs w:val="14"/>
                <w:u w:color="000000"/>
                <w:shd w:val="nil" w:color="auto" w:fill="auto"/>
                <w:rtl w:val="0"/>
                <w:lang w:val="en-US"/>
              </w:rPr>
              <w:t>, identical to Pedro</w:t>
            </w:r>
            <w:r>
              <w:rPr>
                <w:rFonts w:ascii="Courier New" w:hAnsi="Courier New" w:hint="default"/>
                <w:sz w:val="14"/>
                <w:szCs w:val="14"/>
                <w:u w:color="000000"/>
                <w:shd w:val="nil" w:color="auto" w:fill="auto"/>
                <w:rtl w:val="1"/>
              </w:rPr>
              <w:t>’</w:t>
            </w:r>
            <w:r>
              <w:rPr>
                <w:rFonts w:ascii="Courier New" w:hAnsi="Courier New"/>
                <w:sz w:val="14"/>
                <w:szCs w:val="14"/>
                <w:u w:color="000000"/>
                <w:shd w:val="nil" w:color="auto" w:fill="auto"/>
                <w:rtl w:val="0"/>
              </w:rPr>
              <w:t>s</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sz w:val="14"/>
                <w:szCs w:val="14"/>
                <w:u w:color="000000"/>
                <w:shd w:val="nil" w:color="auto" w:fill="auto"/>
                <w:rtl w:val="0"/>
                <w:lang w:val="en-US"/>
              </w:rPr>
              <w:t>best.pt saved July 17, 2026, 03:41:53 (time zone not recorded); embedded metrics P 0.98186, R 0.97059, mAP@50 0.99338, mAP@50</w:t>
            </w:r>
            <w:r>
              <w:rPr>
                <w:rFonts w:ascii="Courier New" w:hAnsi="Courier New" w:hint="default"/>
                <w:sz w:val="14"/>
                <w:szCs w:val="14"/>
                <w:u w:color="000000"/>
                <w:shd w:val="nil" w:color="auto" w:fill="auto"/>
                <w:rtl w:val="0"/>
              </w:rPr>
              <w:t>–</w:t>
            </w:r>
            <w:r>
              <w:rPr>
                <w:rFonts w:ascii="Courier New" w:hAnsi="Courier New"/>
                <w:sz w:val="14"/>
                <w:szCs w:val="14"/>
                <w:u w:color="000000"/>
                <w:shd w:val="nil" w:color="auto" w:fill="auto"/>
                <w:rtl w:val="0"/>
              </w:rPr>
              <w:t>95 0.88759</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Checkpoint inspection. Proof: embedded metrics = epoch 81 of results.csv</w:t>
            </w:r>
          </w:p>
        </w:tc>
      </w:tr>
      <w:tr>
        <w:tblPrEx>
          <w:shd w:val="clear" w:color="auto" w:fill="ced7e7"/>
        </w:tblPrEx>
        <w:trPr>
          <w:trHeight w:val="1634"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de-DE"/>
              </w:rPr>
              <w:t>Dates</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Version generated June 22, 19:29 (screenshot time); exported 22:34 GMT; weights 22:42 (time zone not recorded); Pedro</w:t>
            </w:r>
            <w:r>
              <w:rPr>
                <w:rFonts w:ascii="Times New Roman" w:hAnsi="Times New Roman" w:hint="default"/>
                <w:sz w:val="17"/>
                <w:szCs w:val="17"/>
                <w:u w:color="000000"/>
                <w:shd w:val="nil" w:color="auto" w:fill="auto"/>
                <w:rtl w:val="1"/>
              </w:rPr>
              <w:t>’</w:t>
            </w:r>
            <w:r>
              <w:rPr>
                <w:rFonts w:ascii="Times New Roman" w:hAnsi="Times New Roman"/>
                <w:sz w:val="17"/>
                <w:szCs w:val="17"/>
                <w:u w:color="000000"/>
                <w:shd w:val="nil" w:color="auto" w:fill="auto"/>
                <w:rtl w:val="0"/>
                <w:lang w:val="en-US"/>
              </w:rPr>
              <w:t>s commit June 22, 20:46 (-03); commit in the proponent</w:t>
            </w:r>
            <w:r>
              <w:rPr>
                <w:rFonts w:ascii="Times New Roman" w:hAnsi="Times New Roman" w:hint="default"/>
                <w:sz w:val="17"/>
                <w:szCs w:val="17"/>
                <w:u w:color="000000"/>
                <w:shd w:val="nil" w:color="auto" w:fill="auto"/>
                <w:rtl w:val="1"/>
              </w:rPr>
              <w:t>’</w:t>
            </w:r>
            <w:r>
              <w:rPr>
                <w:rFonts w:ascii="Times New Roman" w:hAnsi="Times New Roman"/>
                <w:sz w:val="17"/>
                <w:szCs w:val="17"/>
                <w:u w:color="000000"/>
                <w:shd w:val="nil" w:color="auto" w:fill="auto"/>
                <w:rtl w:val="0"/>
              </w:rPr>
              <w:t>s copy September 27, 2026</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Weights July 17; archived datasets committed July 17, 14:08 (-03); artifacts on September 27, 2026</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Screenshots, README, and git log. Sequence consistent with version 2; commit dates do not prove contents</w:t>
            </w:r>
          </w:p>
        </w:tc>
      </w:tr>
      <w:tr>
        <w:tblPrEx>
          <w:shd w:val="clear" w:color="auto" w:fill="ced7e7"/>
        </w:tblPrEx>
        <w:trPr>
          <w:trHeight w:val="680"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lang w:val="en-US"/>
              </w:rPr>
              <w:t>Context: exp3 and exp4</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exp3: fork, My-First-Project-1, 356/34 (augmentation), 8.4.92, July 17, 04:27</w:t>
            </w:r>
          </w:p>
        </w:tc>
        <w:tc>
          <w:tcPr>
            <w:tcW w:type="dxa" w:w="2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7"/>
                <w:szCs w:val="17"/>
                <w:u w:color="000000"/>
                <w:shd w:val="nil" w:color="auto" w:fill="auto"/>
                <w:rtl w:val="0"/>
                <w:lang w:val="en-US"/>
              </w:rPr>
              <w:t>exp4: Pedro v2, 178/34, 8.4.163, September 26, YOLO11n; 3 labels flagged</w:t>
            </w:r>
          </w:p>
        </w:tc>
        <w:tc>
          <w:tcPr>
            <w:tcW w:type="dxa" w:w="3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Notebook logs (proof of counts)</w:t>
            </w:r>
          </w:p>
        </w:tc>
      </w:tr>
    </w:tbl>
    <w:p>
      <w:pPr>
        <w:pStyle w:val="Heading"/>
        <w:keepNext w:val="1"/>
        <w:widowControl w:val="0"/>
      </w:pPr>
    </w:p>
    <w:p>
      <w:pPr>
        <w:pStyle w:val="Heading 2"/>
        <w:keepNext w:val="1"/>
      </w:pPr>
      <w:r>
        <w:rPr>
          <w:rtl w:val="0"/>
          <w:lang w:val="en-US"/>
        </w:rPr>
        <w:t>3.1 Conclusion on exp1</w:t>
      </w:r>
    </w:p>
    <w:p>
      <w:pPr>
        <w:pStyle w:val="Heading 2"/>
        <w:keepNext w:val="1"/>
      </w:pPr>
      <w:r>
        <w:rPr>
          <w:outline w:val="0"/>
          <w:color w:val="000000"/>
          <w:sz w:val="22"/>
          <w:szCs w:val="22"/>
          <w:u w:color="000000"/>
          <w:rtl w:val="0"/>
          <w14:textFill>
            <w14:solidFill>
              <w14:srgbClr w14:val="000000"/>
            </w14:solidFill>
          </w14:textFill>
        </w:rPr>
        <w:t>Table 3.</w:t>
      </w:r>
      <w:r>
        <w:rPr>
          <w:b w:val="0"/>
          <w:bCs w:val="0"/>
          <w:outline w:val="0"/>
          <w:color w:val="000000"/>
          <w:sz w:val="22"/>
          <w:szCs w:val="22"/>
          <w:u w:color="000000"/>
          <w:rtl w:val="0"/>
          <w:lang w:val="en-US"/>
          <w14:textFill>
            <w14:solidFill>
              <w14:srgbClr w14:val="000000"/>
            </w14:solidFill>
          </w14:textFill>
        </w:rPr>
        <w:t xml:space="preserve"> Level of support, exp1</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8138"/>
      </w:tblGrid>
      <w:tr>
        <w:tblPrEx>
          <w:shd w:val="clear" w:color="auto" w:fill="4f81bd"/>
        </w:tblPrEx>
        <w:trPr>
          <w:trHeight w:val="202" w:hRule="atLeast"/>
          <w:tblHeader/>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9"/>
                <w:szCs w:val="19"/>
                <w:u w:color="000000"/>
                <w:shd w:val="nil" w:color="auto" w:fill="auto"/>
                <w:rtl w:val="0"/>
                <w:lang w:val="en-US"/>
              </w:rPr>
              <w:t>Level of support</w:t>
            </w:r>
          </w:p>
        </w:tc>
        <w:tc>
          <w:tcPr>
            <w:tcW w:type="dxa" w:w="8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b w:val="1"/>
                <w:bCs w:val="1"/>
                <w:sz w:val="19"/>
                <w:szCs w:val="19"/>
                <w:u w:color="000000"/>
                <w:shd w:val="nil" w:color="auto" w:fill="auto"/>
                <w:rtl w:val="0"/>
                <w:lang w:val="en-US"/>
              </w:rPr>
              <w:t>Claim and basis</w:t>
            </w:r>
          </w:p>
        </w:tc>
      </w:tr>
      <w:tr>
        <w:tblPrEx>
          <w:shd w:val="clear" w:color="auto" w:fill="ced7e7"/>
        </w:tblPrEx>
        <w:trPr>
          <w:trHeight w:val="1632"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en-US"/>
              </w:rPr>
              <w:t>Proof</w:t>
            </w:r>
          </w:p>
        </w:tc>
        <w:tc>
          <w:tcPr>
            <w:tcW w:type="dxa" w:w="8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19"/>
                <w:szCs w:val="19"/>
                <w:u w:color="000000"/>
                <w:shd w:val="nil" w:color="auto" w:fill="auto"/>
                <w:rtl w:val="0"/>
                <w:lang w:val="en-US"/>
              </w:rPr>
              <w:t>(a) The exp1 best.pt and last.pt weights in the proponent</w:t>
            </w:r>
            <w:r>
              <w:rPr>
                <w:rFonts w:ascii="Times New Roman" w:hAnsi="Times New Roman" w:hint="default"/>
                <w:sz w:val="19"/>
                <w:szCs w:val="19"/>
                <w:u w:color="000000"/>
                <w:shd w:val="nil" w:color="auto" w:fill="auto"/>
                <w:rtl w:val="1"/>
              </w:rPr>
              <w:t>’</w:t>
            </w:r>
            <w:r>
              <w:rPr>
                <w:rFonts w:ascii="Times New Roman" w:hAnsi="Times New Roman"/>
                <w:sz w:val="19"/>
                <w:szCs w:val="19"/>
                <w:u w:color="000000"/>
                <w:shd w:val="nil" w:color="auto" w:fill="auto"/>
                <w:rtl w:val="0"/>
                <w:lang w:val="en-US"/>
              </w:rPr>
              <w:t>s copy have the same SHA-256 as those in runs/detect/runs/exp1-2 in Pedro</w:t>
            </w:r>
            <w:r>
              <w:rPr>
                <w:rFonts w:ascii="Times New Roman" w:hAnsi="Times New Roman" w:hint="default"/>
                <w:sz w:val="19"/>
                <w:szCs w:val="19"/>
                <w:u w:color="000000"/>
                <w:shd w:val="nil" w:color="auto" w:fill="auto"/>
                <w:rtl w:val="1"/>
              </w:rPr>
              <w:t>’</w:t>
            </w:r>
            <w:r>
              <w:rPr>
                <w:rFonts w:ascii="Times New Roman" w:hAnsi="Times New Roman"/>
                <w:sz w:val="19"/>
                <w:szCs w:val="19"/>
                <w:u w:color="000000"/>
                <w:shd w:val="nil" w:color="auto" w:fill="auto"/>
                <w:rtl w:val="0"/>
                <w:lang w:val="en-US"/>
              </w:rPr>
              <w:t>s repository. (b) The args.yaml for these weights records data: My-First-Project-2/data.yaml, name: exp1-2, 60 epochs, seed 42. (c) The exp1 rows in the project report</w:t>
            </w:r>
            <w:r>
              <w:rPr>
                <w:rFonts w:ascii="Times New Roman" w:hAnsi="Times New Roman" w:hint="default"/>
                <w:sz w:val="19"/>
                <w:szCs w:val="19"/>
                <w:u w:color="000000"/>
                <w:shd w:val="nil" w:color="auto" w:fill="auto"/>
                <w:rtl w:val="1"/>
              </w:rPr>
              <w:t>’</w:t>
            </w:r>
            <w:r>
              <w:rPr>
                <w:rFonts w:ascii="Times New Roman" w:hAnsi="Times New Roman"/>
                <w:sz w:val="19"/>
                <w:szCs w:val="19"/>
                <w:u w:color="000000"/>
                <w:shd w:val="nil" w:color="auto" w:fill="auto"/>
                <w:rtl w:val="0"/>
                <w:lang w:val="en-US"/>
              </w:rPr>
              <w:t>s table match results.csv for this run (epoch 54). (d) Pedro</w:t>
            </w:r>
            <w:r>
              <w:rPr>
                <w:rFonts w:ascii="Times New Roman" w:hAnsi="Times New Roman" w:hint="default"/>
                <w:sz w:val="19"/>
                <w:szCs w:val="19"/>
                <w:u w:color="000000"/>
                <w:shd w:val="nil" w:color="auto" w:fill="auto"/>
                <w:rtl w:val="1"/>
              </w:rPr>
              <w:t>’</w:t>
            </w:r>
            <w:r>
              <w:rPr>
                <w:rFonts w:ascii="Times New Roman" w:hAnsi="Times New Roman"/>
                <w:sz w:val="19"/>
                <w:szCs w:val="19"/>
                <w:u w:color="000000"/>
                <w:shd w:val="nil" w:color="auto" w:fill="auto"/>
                <w:rtl w:val="0"/>
                <w:lang w:val="en-US"/>
              </w:rPr>
              <w:t>s repository also retains args.yaml from an earlier exp1 (data: My-First-Project-1/data.yaml, 60 epochs, seed 42; commit dated June 21, 2026), without results or weights. The notebook log showing 116/33 images (My-First-Project-1) is consistent with that original run, not v2.</w:t>
            </w:r>
          </w:p>
        </w:tc>
      </w:tr>
      <w:tr>
        <w:tblPrEx>
          <w:shd w:val="clear" w:color="auto" w:fill="ced7e7"/>
        </w:tblPrEx>
        <w:trPr>
          <w:trHeight w:val="1394"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en-US"/>
              </w:rPr>
              <w:t>Strong circumstantial evidence</w:t>
            </w:r>
          </w:p>
        </w:tc>
        <w:tc>
          <w:tcPr>
            <w:tcW w:type="dxa" w:w="8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19"/>
                <w:szCs w:val="19"/>
                <w:u w:color="000000"/>
                <w:shd w:val="nil" w:color="auto" w:fill="auto"/>
                <w:rtl w:val="0"/>
                <w:lang w:val="en-US"/>
              </w:rPr>
              <w:t>The My-First-Project-2 folder follows the SDK</w:t>
            </w:r>
            <w:r>
              <w:rPr>
                <w:rFonts w:ascii="Times New Roman" w:hAnsi="Times New Roman" w:hint="default"/>
                <w:sz w:val="19"/>
                <w:szCs w:val="19"/>
                <w:u w:color="000000"/>
                <w:shd w:val="nil" w:color="auto" w:fill="auto"/>
                <w:rtl w:val="1"/>
              </w:rPr>
              <w:t>’</w:t>
            </w:r>
            <w:r>
              <w:rPr>
                <w:rFonts w:ascii="Times New Roman" w:hAnsi="Times New Roman"/>
                <w:sz w:val="19"/>
                <w:szCs w:val="19"/>
                <w:u w:color="000000"/>
                <w:shd w:val="nil" w:color="auto" w:fill="auto"/>
                <w:rtl w:val="0"/>
                <w:lang w:val="en-US"/>
              </w:rPr>
              <w:t>s naming convention (project name and version). The fork versions shown in the screenshots are dated July 10, 2026, after the exp1-2 weights (June 22); this folder is therefore very likely Pedro</w:t>
            </w:r>
            <w:r>
              <w:rPr>
                <w:rFonts w:ascii="Times New Roman" w:hAnsi="Times New Roman" w:hint="default"/>
                <w:sz w:val="19"/>
                <w:szCs w:val="19"/>
                <w:u w:color="000000"/>
                <w:shd w:val="nil" w:color="auto" w:fill="auto"/>
                <w:rtl w:val="1"/>
              </w:rPr>
              <w:t>’</w:t>
            </w:r>
            <w:r>
              <w:rPr>
                <w:rFonts w:ascii="Times New Roman" w:hAnsi="Times New Roman"/>
                <w:sz w:val="19"/>
                <w:szCs w:val="19"/>
                <w:u w:color="000000"/>
                <w:shd w:val="nil" w:color="auto" w:fill="auto"/>
                <w:rtl w:val="0"/>
                <w:lang w:val="en-US"/>
              </w:rPr>
              <w:t>s v2. Version 2 was generated at 19:29 (screenshot time) and exported at 22:34 GMT; the weights are timestamped 22:42 on the same day; Pedro committed them to his repository at 20:46 (-03), approximately one hour later (assumed time zones: screenshot -03, checkpoint UTC).</w:t>
            </w:r>
          </w:p>
        </w:tc>
      </w:tr>
      <w:tr>
        <w:tblPrEx>
          <w:shd w:val="clear" w:color="auto" w:fill="ced7e7"/>
        </w:tblPrEx>
        <w:trPr>
          <w:trHeight w:val="679" w:hRule="atLeast"/>
        </w:trPr>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9"/>
                <w:szCs w:val="19"/>
                <w:u w:color="000000"/>
                <w:shd w:val="nil" w:color="auto" w:fill="auto"/>
                <w:rtl w:val="0"/>
                <w:lang w:val="es-ES_tradnl"/>
              </w:rPr>
              <w:t>Unconfirmed</w:t>
            </w:r>
          </w:p>
        </w:tc>
        <w:tc>
          <w:tcPr>
            <w:tcW w:type="dxa" w:w="81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s>
              <w:bidi w:val="0"/>
              <w:ind w:left="0" w:right="0" w:firstLine="0"/>
              <w:jc w:val="left"/>
              <w:rPr>
                <w:rtl w:val="0"/>
              </w:rPr>
            </w:pPr>
            <w:r>
              <w:rPr>
                <w:rFonts w:ascii="Times New Roman" w:hAnsi="Times New Roman"/>
                <w:sz w:val="19"/>
                <w:szCs w:val="19"/>
                <w:u w:color="000000"/>
                <w:shd w:val="nil" w:color="auto" w:fill="auto"/>
                <w:rtl w:val="0"/>
                <w:lang w:val="en-US"/>
              </w:rPr>
              <w:t>Whether exp1-2 counted 178/34 images (no preserved Scanning line); results and weights from the original exp1 (v1), which are not in the materials; the contents of Pedro</w:t>
            </w:r>
            <w:r>
              <w:rPr>
                <w:rFonts w:ascii="Times New Roman" w:hAnsi="Times New Roman" w:hint="default"/>
                <w:sz w:val="19"/>
                <w:szCs w:val="19"/>
                <w:u w:color="000000"/>
                <w:shd w:val="nil" w:color="auto" w:fill="auto"/>
                <w:rtl w:val="1"/>
              </w:rPr>
              <w:t>’</w:t>
            </w:r>
            <w:r>
              <w:rPr>
                <w:rFonts w:ascii="Times New Roman" w:hAnsi="Times New Roman"/>
                <w:sz w:val="19"/>
                <w:szCs w:val="19"/>
                <w:u w:color="000000"/>
                <w:shd w:val="nil" w:color="auto" w:fill="auto"/>
                <w:rtl w:val="0"/>
                <w:lang w:val="en-US"/>
              </w:rPr>
              <w:t>s v1 (the /dataset/1 page opened blank, which does not prove nonexistence).</w:t>
            </w:r>
          </w:p>
        </w:tc>
      </w:tr>
    </w:tbl>
    <w:p>
      <w:pPr>
        <w:pStyle w:val="Heading 2"/>
        <w:keepNext w:val="1"/>
        <w:widowControl w:val="0"/>
      </w:pPr>
    </w:p>
    <w:p>
      <w:pPr>
        <w:pStyle w:val="Heading 2"/>
        <w:keepNext w:val="1"/>
        <w:widowControl w:val="0"/>
      </w:pPr>
      <w:r>
        <w:rPr>
          <w:outline w:val="0"/>
          <w:color w:val="000000"/>
          <w:u w:color="000000"/>
          <w:rtl w:val="0"/>
          <w:lang w:val="en-US"/>
          <w14:textFill>
            <w14:solidFill>
              <w14:srgbClr w14:val="000000"/>
            </w14:solidFill>
          </w14:textFill>
        </w:rPr>
        <w:t>Effect on the preliminary research proposal.</w:t>
      </w:r>
      <w:r>
        <w:rPr>
          <w:b w:val="0"/>
          <w:bCs w:val="0"/>
          <w:outline w:val="0"/>
          <w:color w:val="000000"/>
          <w:u w:color="000000"/>
          <w:rtl w:val="0"/>
          <w:lang w:val="en-US"/>
          <w14:textFill>
            <w14:solidFill>
              <w14:srgbClr w14:val="000000"/>
            </w14:solidFill>
          </w14:textFill>
        </w:rPr>
        <w:t xml:space="preserve"> Rather than being treated as having </w:t>
      </w:r>
      <w:r>
        <w:rPr>
          <w:b w:val="0"/>
          <w:bCs w:val="0"/>
          <w:outline w:val="0"/>
          <w:color w:val="000000"/>
          <w:u w:color="000000"/>
          <w:rtl w:val="1"/>
          <w:lang w:val="ar-SA" w:bidi="ar-SA"/>
          <w14:textFill>
            <w14:solidFill>
              <w14:srgbClr w14:val="000000"/>
            </w14:solidFill>
          </w14:textFill>
        </w:rPr>
        <w:t>“</w:t>
      </w:r>
      <w:r>
        <w:rPr>
          <w:b w:val="0"/>
          <w:bCs w:val="0"/>
          <w:outline w:val="0"/>
          <w:color w:val="000000"/>
          <w:u w:color="000000"/>
          <w:rtl w:val="0"/>
          <w:lang w:val="en-US"/>
          <w14:textFill>
            <w14:solidFill>
              <w14:srgbClr w14:val="000000"/>
            </w14:solidFill>
          </w14:textFill>
        </w:rPr>
        <w:t>inconsistent lineage,</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exp1 is now recorded as version 2 on the basis of documentary evidence, subject to the caveat above.</w:t>
      </w:r>
    </w:p>
    <w:p>
      <w:pPr>
        <w:pStyle w:val="Heading"/>
        <w:keepNext w:val="1"/>
      </w:pPr>
      <w:r>
        <w:rPr>
          <w:rtl w:val="0"/>
          <w:lang w:val="en-US"/>
        </w:rPr>
        <w:t>4. exp2, fork, log, metrics, and weights</w:t>
      </w:r>
    </w:p>
    <w:p>
      <w:pPr>
        <w:pStyle w:val="Heading"/>
        <w:keepNext w:val="1"/>
      </w:pPr>
      <w:r>
        <w:rPr>
          <w:b w:val="0"/>
          <w:bCs w:val="0"/>
          <w:outline w:val="0"/>
          <w:color w:val="000000"/>
          <w:u w:color="000000"/>
          <w:rtl w:val="0"/>
          <w:lang w:val="en-US"/>
          <w14:textFill>
            <w14:solidFill>
              <w14:srgbClr w14:val="000000"/>
            </w14:solidFill>
          </w14:textFill>
        </w:rPr>
        <w:t>The proponent states that she executed exp2 and used a fork of Pedro</w:t>
      </w:r>
      <w:r>
        <w:rPr>
          <w:b w:val="0"/>
          <w:bCs w:val="0"/>
          <w:outline w:val="0"/>
          <w:color w:val="000000"/>
          <w:u w:color="000000"/>
          <w:rtl w:val="1"/>
          <w14:textFill>
            <w14:solidFill>
              <w14:srgbClr w14:val="000000"/>
            </w14:solidFill>
          </w14:textFill>
        </w:rPr>
        <w:t>’</w:t>
      </w:r>
      <w:r>
        <w:rPr>
          <w:b w:val="0"/>
          <w:bCs w:val="0"/>
          <w:outline w:val="0"/>
          <w:color w:val="000000"/>
          <w:u w:color="000000"/>
          <w:rtl w:val="0"/>
          <w:lang w:val="en-US"/>
          <w14:textFill>
            <w14:solidFill>
              <w14:srgbClr w14:val="000000"/>
            </w14:solidFill>
          </w14:textFill>
        </w:rPr>
        <w:t>s dataset. Separating dataset origin from run authorship: the origin is Pedro (project my-first-project-kfo4l); the run was executed by the proponent, which is consistent with the date (July 17), Colab with a T4, and Ultralytics 8.4.98, which differ from exp1, but is not proven by a file. The fork-related claim conflicts with the artifacts:</w:t>
      </w:r>
    </w:p>
    <w:p>
      <w:pPr>
        <w:pStyle w:val="Heading"/>
        <w:keepNext w:val="1"/>
      </w:pPr>
      <w:r>
        <w:rPr>
          <w:outline w:val="0"/>
          <w:color w:val="000000"/>
          <w:sz w:val="22"/>
          <w:szCs w:val="22"/>
          <w:u w:color="000000"/>
          <w:rtl w:val="0"/>
          <w14:textFill>
            <w14:solidFill>
              <w14:srgbClr w14:val="000000"/>
            </w14:solidFill>
          </w14:textFill>
        </w:rPr>
        <w:t>Table 4.</w:t>
      </w:r>
      <w:r>
        <w:rPr>
          <w:b w:val="0"/>
          <w:bCs w:val="0"/>
          <w:outline w:val="0"/>
          <w:color w:val="000000"/>
          <w:sz w:val="22"/>
          <w:szCs w:val="22"/>
          <w:u w:color="000000"/>
          <w:rtl w:val="0"/>
          <w:lang w:val="en-US"/>
          <w14:textFill>
            <w14:solidFill>
              <w14:srgbClr w14:val="000000"/>
            </w14:solidFill>
          </w14:textFill>
        </w:rPr>
        <w:t xml:space="preserve"> Fork, log, metrics, and weights</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700"/>
        <w:gridCol w:w="3738"/>
      </w:tblGrid>
      <w:tr>
        <w:tblPrEx>
          <w:shd w:val="clear" w:color="auto" w:fill="4f81bd"/>
        </w:tblPrEx>
        <w:trPr>
          <w:trHeight w:val="202" w:hRule="atLeast"/>
          <w:tblHeader/>
        </w:trPr>
        <w:tc>
          <w:tcPr>
            <w:tcW w:type="dxa" w:w="2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9"/>
                <w:szCs w:val="19"/>
                <w:u w:color="000000"/>
                <w:shd w:val="nil" w:color="auto" w:fill="auto"/>
                <w:rtl w:val="0"/>
                <w:lang w:val="de-DE"/>
              </w:rPr>
              <w:t>Link</w:t>
            </w:r>
          </w:p>
        </w:tc>
        <w:tc>
          <w:tcPr>
            <w:tcW w:type="dxa" w:w="37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9"/>
                <w:szCs w:val="19"/>
                <w:u w:color="000000"/>
                <w:shd w:val="nil" w:color="auto" w:fill="auto"/>
                <w:rtl w:val="0"/>
                <w:lang w:val="en-US"/>
              </w:rPr>
              <w:t>Evidence</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9"/>
                <w:szCs w:val="19"/>
                <w:u w:color="000000"/>
                <w:shd w:val="nil" w:color="auto" w:fill="auto"/>
                <w:rtl w:val="0"/>
                <w:lang w:val="it-IT"/>
              </w:rPr>
              <w:t>Interpretation</w:t>
            </w:r>
          </w:p>
        </w:tc>
      </w:tr>
      <w:tr>
        <w:tblPrEx>
          <w:shd w:val="clear" w:color="auto" w:fill="ced7e7"/>
        </w:tblPrEx>
        <w:trPr>
          <w:trHeight w:val="1486" w:hRule="atLeast"/>
        </w:trPr>
        <w:tc>
          <w:tcPr>
            <w:tcW w:type="dxa" w:w="2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Fork (screenshots)</w:t>
            </w:r>
          </w:p>
        </w:tc>
        <w:tc>
          <w:tcPr>
            <w:tcW w:type="dxa" w:w="37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ourier New" w:hAnsi="Courier New"/>
                <w:sz w:val="16"/>
                <w:szCs w:val="16"/>
                <w:u w:color="000000"/>
                <w:shd w:val="nil" w:color="auto" w:fill="auto"/>
                <w:rtl w:val="0"/>
                <w:lang w:val="en-US"/>
              </w:rPr>
              <w:t>fabiana-campanari-workspace/my-first-project-kfo4l-jcbdq: versions v1 and v2, both with 404 images; v2: 356 training, 34 validation, 14 test, stretch 640</w:t>
            </w:r>
            <w:r>
              <w:rPr>
                <w:rFonts w:ascii="Courier New" w:hAnsi="Courier New" w:hint="default"/>
                <w:sz w:val="16"/>
                <w:szCs w:val="16"/>
                <w:u w:color="000000"/>
                <w:shd w:val="nil" w:color="auto" w:fill="auto"/>
                <w:rtl w:val="0"/>
              </w:rPr>
              <w:t>×</w:t>
            </w:r>
            <w:r>
              <w:rPr>
                <w:rFonts w:ascii="Courier New" w:hAnsi="Courier New"/>
                <w:sz w:val="16"/>
                <w:szCs w:val="16"/>
                <w:u w:color="000000"/>
                <w:shd w:val="nil" w:color="auto" w:fill="auto"/>
                <w:rtl w:val="0"/>
                <w:lang w:val="fr-FR"/>
              </w:rPr>
              <w:t xml:space="preserve">640, augmentation (2 outputs per example, flips, </w:t>
            </w:r>
            <w:r>
              <w:rPr>
                <w:rFonts w:ascii="Courier New" w:hAnsi="Courier New" w:hint="default"/>
                <w:sz w:val="16"/>
                <w:szCs w:val="16"/>
                <w:u w:color="000000"/>
                <w:shd w:val="nil" w:color="auto" w:fill="auto"/>
                <w:rtl w:val="1"/>
              </w:rPr>
              <w:t>±</w:t>
            </w:r>
            <w:r>
              <w:rPr>
                <w:rFonts w:ascii="Courier New" w:hAnsi="Courier New"/>
                <w:sz w:val="16"/>
                <w:szCs w:val="16"/>
                <w:u w:color="000000"/>
                <w:shd w:val="nil" w:color="auto" w:fill="auto"/>
                <w:rtl w:val="0"/>
              </w:rPr>
              <w:t>15</w:t>
            </w:r>
            <w:r>
              <w:rPr>
                <w:rFonts w:ascii="Courier New" w:hAnsi="Courier New" w:hint="default"/>
                <w:sz w:val="16"/>
                <w:szCs w:val="16"/>
                <w:u w:color="000000"/>
                <w:shd w:val="nil" w:color="auto" w:fill="auto"/>
                <w:rtl w:val="0"/>
                <w:lang w:val="it-IT"/>
              </w:rPr>
              <w:t>°</w:t>
            </w:r>
            <w:r>
              <w:rPr>
                <w:rFonts w:ascii="Courier New" w:hAnsi="Courier New"/>
                <w:sz w:val="16"/>
                <w:szCs w:val="16"/>
                <w:u w:color="000000"/>
                <w:shd w:val="nil" w:color="auto" w:fill="auto"/>
                <w:rtl w:val="0"/>
                <w:lang w:val="en-US"/>
              </w:rPr>
              <w:t xml:space="preserve">, brightness </w:t>
            </w:r>
            <w:r>
              <w:rPr>
                <w:rFonts w:ascii="Courier New" w:hAnsi="Courier New" w:hint="default"/>
                <w:sz w:val="16"/>
                <w:szCs w:val="16"/>
                <w:u w:color="000000"/>
                <w:shd w:val="nil" w:color="auto" w:fill="auto"/>
                <w:rtl w:val="1"/>
              </w:rPr>
              <w:t>±</w:t>
            </w:r>
            <w:r>
              <w:rPr>
                <w:rFonts w:ascii="Courier New" w:hAnsi="Courier New"/>
                <w:sz w:val="16"/>
                <w:szCs w:val="16"/>
                <w:u w:color="000000"/>
                <w:shd w:val="nil" w:color="auto" w:fill="auto"/>
                <w:rtl w:val="0"/>
              </w:rPr>
              <w:t>25%)</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The total and split are not those of exp2 (178/34/14, no augmentation). Details of v1 contents are not shown in the screenshots</w:t>
            </w:r>
          </w:p>
        </w:tc>
      </w:tr>
      <w:tr>
        <w:tblPrEx>
          <w:shd w:val="clear" w:color="auto" w:fill="ced7e7"/>
        </w:tblPrEx>
        <w:trPr>
          <w:trHeight w:val="1394" w:hRule="atLeast"/>
        </w:trPr>
        <w:tc>
          <w:tcPr>
            <w:tcW w:type="dxa" w:w="2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exp2 log</w:t>
            </w:r>
          </w:p>
        </w:tc>
        <w:tc>
          <w:tcPr>
            <w:tcW w:type="dxa" w:w="37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178 training images, 34 validation images, 0 corrupt, in /content/My-First-Project-2</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 xml:space="preserve">The SDK names the folder using the project and version, and the fork is also called </w:t>
            </w:r>
            <w:r>
              <w:rPr>
                <w:rFonts w:ascii="Times New Roman" w:hAnsi="Times New Roman" w:hint="default"/>
                <w:sz w:val="19"/>
                <w:szCs w:val="19"/>
                <w:u w:color="000000"/>
                <w:shd w:val="nil" w:color="auto" w:fill="auto"/>
                <w:rtl w:val="1"/>
                <w:lang w:val="ar-SA" w:bidi="ar-SA"/>
              </w:rPr>
              <w:t>“</w:t>
            </w:r>
            <w:r>
              <w:rPr>
                <w:rFonts w:ascii="Times New Roman" w:hAnsi="Times New Roman"/>
                <w:sz w:val="19"/>
                <w:szCs w:val="19"/>
                <w:u w:color="000000"/>
                <w:shd w:val="nil" w:color="auto" w:fill="auto"/>
                <w:rtl w:val="0"/>
                <w:lang w:val="en-US"/>
              </w:rPr>
              <w:t>My First Project</w:t>
            </w:r>
            <w:r>
              <w:rPr>
                <w:rFonts w:ascii="Times New Roman" w:hAnsi="Times New Roman" w:hint="default"/>
                <w:sz w:val="19"/>
                <w:szCs w:val="19"/>
                <w:u w:color="000000"/>
                <w:shd w:val="nil" w:color="auto" w:fill="auto"/>
                <w:rtl w:val="0"/>
              </w:rPr>
              <w:t>”</w:t>
            </w:r>
            <w:r>
              <w:rPr>
                <w:rFonts w:ascii="Times New Roman" w:hAnsi="Times New Roman"/>
                <w:sz w:val="19"/>
                <w:szCs w:val="19"/>
                <w:u w:color="000000"/>
                <w:shd w:val="nil" w:color="auto" w:fill="auto"/>
                <w:rtl w:val="0"/>
                <w:lang w:val="en-US"/>
              </w:rPr>
              <w:t>: the name does not distinguish the origin, but the count does. 178 is consistent with Pedro</w:t>
            </w:r>
            <w:r>
              <w:rPr>
                <w:rFonts w:ascii="Times New Roman" w:hAnsi="Times New Roman" w:hint="default"/>
                <w:sz w:val="19"/>
                <w:szCs w:val="19"/>
                <w:u w:color="000000"/>
                <w:shd w:val="nil" w:color="auto" w:fill="auto"/>
                <w:rtl w:val="1"/>
              </w:rPr>
              <w:t>’</w:t>
            </w:r>
            <w:r>
              <w:rPr>
                <w:rFonts w:ascii="Times New Roman" w:hAnsi="Times New Roman"/>
                <w:sz w:val="19"/>
                <w:szCs w:val="19"/>
                <w:u w:color="000000"/>
                <w:shd w:val="nil" w:color="auto" w:fill="auto"/>
                <w:rtl w:val="0"/>
                <w:lang w:val="en-US"/>
              </w:rPr>
              <w:t>s v2 and incompatible with the fork v2 shown (356)</w:t>
            </w:r>
          </w:p>
        </w:tc>
      </w:tr>
      <w:tr>
        <w:tblPrEx>
          <w:shd w:val="clear" w:color="auto" w:fill="ced7e7"/>
        </w:tblPrEx>
        <w:trPr>
          <w:trHeight w:val="917" w:hRule="atLeast"/>
        </w:trPr>
        <w:tc>
          <w:tcPr>
            <w:tcW w:type="dxa" w:w="2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exp3 log</w:t>
            </w:r>
          </w:p>
        </w:tc>
        <w:tc>
          <w:tcPr>
            <w:tcW w:type="dxa" w:w="37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356 training, 34 validation, My-First-Project-1; code downloads version 1 of the fork</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 xml:space="preserve">The fork-based run is exp3. The project report also describes the change: the first fork-based run was saved as </w:t>
            </w:r>
            <w:r>
              <w:rPr>
                <w:rFonts w:ascii="Times New Roman" w:hAnsi="Times New Roman" w:hint="default"/>
                <w:sz w:val="19"/>
                <w:szCs w:val="19"/>
                <w:u w:color="000000"/>
                <w:shd w:val="nil" w:color="auto" w:fill="auto"/>
                <w:rtl w:val="1"/>
                <w:lang w:val="ar-SA" w:bidi="ar-SA"/>
              </w:rPr>
              <w:t>“</w:t>
            </w:r>
            <w:r>
              <w:rPr>
                <w:rFonts w:ascii="Times New Roman" w:hAnsi="Times New Roman"/>
                <w:sz w:val="19"/>
                <w:szCs w:val="19"/>
                <w:u w:color="000000"/>
                <w:shd w:val="nil" w:color="auto" w:fill="auto"/>
                <w:rtl w:val="0"/>
                <w:lang w:val="en-US"/>
              </w:rPr>
              <w:t>exp2</w:t>
            </w:r>
            <w:r>
              <w:rPr>
                <w:rFonts w:ascii="Times New Roman" w:hAnsi="Times New Roman" w:hint="default"/>
                <w:sz w:val="19"/>
                <w:szCs w:val="19"/>
                <w:u w:color="000000"/>
                <w:shd w:val="nil" w:color="auto" w:fill="auto"/>
                <w:rtl w:val="0"/>
              </w:rPr>
              <w:t>”</w:t>
            </w:r>
            <w:r>
              <w:rPr>
                <w:rFonts w:ascii="Times New Roman" w:hAnsi="Times New Roman"/>
                <w:sz w:val="19"/>
                <w:szCs w:val="19"/>
                <w:u w:color="000000"/>
                <w:shd w:val="nil" w:color="auto" w:fill="auto"/>
                <w:rtl w:val="0"/>
                <w:lang w:val="en-US"/>
              </w:rPr>
              <w:t>, renamed exp3, and exp2 was rerun using the original dataset</w:t>
            </w:r>
          </w:p>
        </w:tc>
      </w:tr>
      <w:tr>
        <w:tblPrEx>
          <w:shd w:val="clear" w:color="auto" w:fill="ced7e7"/>
        </w:tblPrEx>
        <w:trPr>
          <w:trHeight w:val="679" w:hRule="atLeast"/>
        </w:trPr>
        <w:tc>
          <w:tcPr>
            <w:tcW w:type="dxa" w:w="2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Courier New" w:hAnsi="Courier New"/>
                <w:sz w:val="16"/>
                <w:szCs w:val="16"/>
                <w:u w:color="000000"/>
                <w:shd w:val="nil" w:color="auto" w:fill="auto"/>
                <w:rtl w:val="0"/>
                <w:lang w:val="en-US"/>
              </w:rPr>
              <w:t>exp2 results.csv and best.pt</w:t>
            </w:r>
          </w:p>
        </w:tc>
        <w:tc>
          <w:tcPr>
            <w:tcW w:type="dxa" w:w="37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100 epochs; best epoch 81; metrics embedded in best.pt = epoch 81 row</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Mutually consistent (proof). Linked to the log through args.yaml: data: /content/My-First-Project-2/data.yaml, name: exp2</w:t>
            </w:r>
          </w:p>
        </w:tc>
      </w:tr>
      <w:tr>
        <w:tblPrEx>
          <w:shd w:val="clear" w:color="auto" w:fill="ced7e7"/>
        </w:tblPrEx>
        <w:trPr>
          <w:trHeight w:val="1054" w:hRule="atLeast"/>
        </w:trPr>
        <w:tc>
          <w:tcPr>
            <w:tcW w:type="dxa" w:w="2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9"/>
                <w:szCs w:val="19"/>
                <w:u w:color="000000"/>
                <w:shd w:val="nil" w:color="auto" w:fill="auto"/>
                <w:rtl w:val="0"/>
                <w:lang w:val="en-US"/>
              </w:rPr>
              <w:t>Roboflow dashboard model (fork v2)</w:t>
            </w:r>
          </w:p>
        </w:tc>
        <w:tc>
          <w:tcPr>
            <w:tcW w:type="dxa" w:w="37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Courier New" w:hAnsi="Courier New"/>
                <w:sz w:val="16"/>
                <w:szCs w:val="16"/>
                <w:u w:color="000000"/>
                <w:shd w:val="nil" w:color="auto" w:fill="auto"/>
                <w:rtl w:val="0"/>
                <w:lang w:val="en-US"/>
              </w:rPr>
              <w:t>my-first-project-kfo4l-jcbdq-2-yolov8s-t1, Roboflow 3.0 Object Detection, updated July 10, 2026, 2:40; test: mAP@50 92.1%, precision 100%, recall 92.9%, F1 96.3%</w:t>
            </w:r>
          </w:p>
        </w:tc>
        <w:tc>
          <w:tcPr>
            <w:tcW w:type="dxa" w:w="3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9"/>
                <w:szCs w:val="19"/>
                <w:u w:color="000000"/>
                <w:shd w:val="nil" w:color="auto" w:fill="auto"/>
                <w:rtl w:val="0"/>
                <w:lang w:val="en-US"/>
              </w:rPr>
              <w:t>A different training run (</w:t>
            </w:r>
            <w:r>
              <w:rPr>
                <w:rFonts w:ascii="Times New Roman" w:hAnsi="Times New Roman" w:hint="default"/>
                <w:sz w:val="19"/>
                <w:szCs w:val="19"/>
                <w:u w:color="000000"/>
                <w:shd w:val="nil" w:color="auto" w:fill="auto"/>
                <w:rtl w:val="1"/>
                <w:lang w:val="ar-SA" w:bidi="ar-SA"/>
              </w:rPr>
              <w:t>“</w:t>
            </w:r>
            <w:r>
              <w:rPr>
                <w:rFonts w:ascii="Times New Roman" w:hAnsi="Times New Roman"/>
                <w:sz w:val="19"/>
                <w:szCs w:val="19"/>
                <w:u w:color="000000"/>
                <w:shd w:val="nil" w:color="auto" w:fill="auto"/>
                <w:rtl w:val="0"/>
              </w:rPr>
              <w:t>s</w:t>
            </w:r>
            <w:r>
              <w:rPr>
                <w:rFonts w:ascii="Times New Roman" w:hAnsi="Times New Roman" w:hint="default"/>
                <w:sz w:val="19"/>
                <w:szCs w:val="19"/>
                <w:u w:color="000000"/>
                <w:shd w:val="nil" w:color="auto" w:fill="auto"/>
                <w:rtl w:val="0"/>
              </w:rPr>
              <w:t xml:space="preserve">” </w:t>
            </w:r>
            <w:r>
              <w:rPr>
                <w:rFonts w:ascii="Times New Roman" w:hAnsi="Times New Roman"/>
                <w:sz w:val="19"/>
                <w:szCs w:val="19"/>
                <w:u w:color="000000"/>
                <w:shd w:val="nil" w:color="auto" w:fill="auto"/>
                <w:rtl w:val="0"/>
                <w:lang w:val="en-US"/>
              </w:rPr>
              <w:t>architecture, Roboflow platform, fork dataset, July 10). It is not the exp2 notebook run, and its metrics must not be attributed to it</w:t>
            </w:r>
          </w:p>
        </w:tc>
      </w:tr>
    </w:tbl>
    <w:p>
      <w:pPr>
        <w:pStyle w:val="Heading"/>
        <w:keepNext w:val="1"/>
        <w:widowControl w:val="0"/>
      </w:pPr>
    </w:p>
    <w:p>
      <w:pPr>
        <w:pStyle w:val="Heading"/>
        <w:keepNext w:val="1"/>
        <w:widowControl w:val="0"/>
      </w:pPr>
      <w:r>
        <w:rPr>
          <w:outline w:val="0"/>
          <w:color w:val="000000"/>
          <w:u w:color="000000"/>
          <w:rtl w:val="0"/>
          <w:lang w:val="it-IT"/>
          <w14:textFill>
            <w14:solidFill>
              <w14:srgbClr w14:val="000000"/>
            </w14:solidFill>
          </w14:textFill>
        </w:rPr>
        <w:t>Conclusion.</w:t>
      </w:r>
      <w:r>
        <w:rPr>
          <w:b w:val="0"/>
          <w:bCs w:val="0"/>
          <w:outline w:val="0"/>
          <w:color w:val="000000"/>
          <w:u w:color="000000"/>
          <w:rtl w:val="0"/>
          <w:lang w:val="en-US"/>
          <w14:textFill>
            <w14:solidFill>
              <w14:srgbClr w14:val="000000"/>
            </w14:solidFill>
          </w14:textFill>
        </w:rPr>
        <w:t xml:space="preserve"> The four exp2 artifacts (log, results.csv, best.pt, args.yaml) form a coherent set and link to the contents of Pedro</w:t>
      </w:r>
      <w:r>
        <w:rPr>
          <w:b w:val="0"/>
          <w:bCs w:val="0"/>
          <w:outline w:val="0"/>
          <w:color w:val="000000"/>
          <w:u w:color="000000"/>
          <w:rtl w:val="1"/>
          <w14:textFill>
            <w14:solidFill>
              <w14:srgbClr w14:val="000000"/>
            </w14:solidFill>
          </w14:textFill>
        </w:rPr>
        <w:t>’</w:t>
      </w:r>
      <w:r>
        <w:rPr>
          <w:b w:val="0"/>
          <w:bCs w:val="0"/>
          <w:outline w:val="0"/>
          <w:color w:val="000000"/>
          <w:u w:color="000000"/>
          <w:rtl w:val="0"/>
          <w:lang w:val="en-US"/>
          <w14:textFill>
            <w14:solidFill>
              <w14:srgbClr w14:val="000000"/>
            </w14:solidFill>
          </w14:textFill>
        </w:rPr>
        <w:t>s v2. To reconcile this with the proponent</w:t>
      </w:r>
      <w:r>
        <w:rPr>
          <w:b w:val="0"/>
          <w:bCs w:val="0"/>
          <w:outline w:val="0"/>
          <w:color w:val="000000"/>
          <w:u w:color="000000"/>
          <w:rtl w:val="1"/>
          <w14:textFill>
            <w14:solidFill>
              <w14:srgbClr w14:val="000000"/>
            </w14:solidFill>
          </w14:textFill>
        </w:rPr>
        <w:t>’</w:t>
      </w:r>
      <w:r>
        <w:rPr>
          <w:b w:val="0"/>
          <w:bCs w:val="0"/>
          <w:outline w:val="0"/>
          <w:color w:val="000000"/>
          <w:u w:color="000000"/>
          <w:rtl w:val="0"/>
          <w:lang w:val="en-US"/>
          <w14:textFill>
            <w14:solidFill>
              <w14:srgbClr w14:val="000000"/>
            </w14:solidFill>
          </w14:textFill>
        </w:rPr>
        <w:t>s statement, two possibilities remain that the files do not distinguish: (i) the current exp2 is the rerun with the original dataset, and the fork-based run is exp3; (ii) a third fork version exists, without augmentation (178/34), which is not shown in the screenshots. Possibility (i) is supported by the project report and logs; (ii) is unconfirmed. How the 178/34 version was obtained for exp2 remains to be clarified.</w:t>
      </w:r>
    </w:p>
    <w:p>
      <w:pPr>
        <w:pStyle w:val="Heading"/>
        <w:keepNext w:val="1"/>
        <w:widowControl w:val="0"/>
      </w:pPr>
      <w:r>
        <w:rPr>
          <w:outline w:val="0"/>
          <w:color w:val="000000"/>
          <w:u w:color="000000"/>
          <w:rtl w:val="0"/>
          <w14:textFill>
            <w14:solidFill>
              <w14:srgbClr w14:val="000000"/>
            </w14:solidFill>
          </w14:textFill>
        </w:rPr>
        <w:t>Caution.</w:t>
      </w:r>
      <w:r>
        <w:rPr>
          <w:b w:val="0"/>
          <w:bCs w:val="0"/>
          <w:outline w:val="0"/>
          <w:color w:val="000000"/>
          <w:u w:color="000000"/>
          <w:rtl w:val="0"/>
          <w:lang w:val="en-US"/>
          <w14:textFill>
            <w14:solidFill>
              <w14:srgbClr w14:val="000000"/>
            </w14:solidFill>
          </w14:textFill>
        </w:rPr>
        <w:t xml:space="preserve"> Even with equivalent data, exp1 </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 xml:space="preserve">exp2 is not a controlled comparison: the person executing the run, environment, Ultralytics version, and number of epochs vary. The same applies to exp2 </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14:textFill>
            <w14:solidFill>
              <w14:srgbClr w14:val="000000"/>
            </w14:solidFill>
          </w14:textFill>
        </w:rPr>
        <w:t xml:space="preserve">exp4 (8.4.98 and 8.4.163). The </w:t>
      </w:r>
      <w:r>
        <w:rPr>
          <w:b w:val="0"/>
          <w:bCs w:val="0"/>
          <w:outline w:val="0"/>
          <w:color w:val="000000"/>
          <w:u w:color="000000"/>
          <w:rtl w:val="1"/>
          <w:lang w:val="ar-SA" w:bidi="ar-SA"/>
          <w14:textFill>
            <w14:solidFill>
              <w14:srgbClr w14:val="000000"/>
            </w14:solidFill>
          </w14:textFill>
        </w:rPr>
        <w:t>“</w:t>
      </w:r>
      <w:r>
        <w:rPr>
          <w:b w:val="0"/>
          <w:bCs w:val="0"/>
          <w:outline w:val="0"/>
          <w:color w:val="000000"/>
          <w:u w:color="000000"/>
          <w:rtl w:val="0"/>
          <w:lang w:val="es-ES_tradnl"/>
          <w14:textFill>
            <w14:solidFill>
              <w14:srgbClr w14:val="000000"/>
            </w14:solidFill>
          </w14:textFill>
        </w:rPr>
        <w:t>3 corrupt</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 xml:space="preserve">flag in exp4 has a verifiable cause in the data: three training label files (tile_z19_x194014_y297336, x194018_y297341, x194026_y297448) mix polygon and bounding-box rows, and the log states exactly </w:t>
      </w:r>
      <w:r>
        <w:rPr>
          <w:b w:val="0"/>
          <w:bCs w:val="0"/>
          <w:outline w:val="0"/>
          <w:color w:val="000000"/>
          <w:u w:color="000000"/>
          <w:rtl w:val="1"/>
          <w:lang w:val="ar-SA" w:bidi="ar-SA"/>
          <w14:textFill>
            <w14:solidFill>
              <w14:srgbClr w14:val="000000"/>
            </w14:solidFill>
          </w14:textFill>
        </w:rPr>
        <w:t>“</w:t>
      </w:r>
      <w:r>
        <w:rPr>
          <w:b w:val="0"/>
          <w:bCs w:val="0"/>
          <w:outline w:val="0"/>
          <w:color w:val="000000"/>
          <w:u w:color="000000"/>
          <w:rtl w:val="0"/>
          <w:lang w:val="en-US"/>
          <w14:textFill>
            <w14:solidFill>
              <w14:srgbClr w14:val="000000"/>
            </w14:solidFill>
          </w14:textFill>
        </w:rPr>
        <w:t>labels mix segment and detection rows</w:t>
      </w:r>
      <w:r>
        <w:rPr>
          <w:b w:val="0"/>
          <w:bCs w:val="0"/>
          <w:outline w:val="0"/>
          <w:color w:val="000000"/>
          <w:u w:color="000000"/>
          <w:rtl w:val="0"/>
          <w14:textFill>
            <w14:solidFill>
              <w14:srgbClr w14:val="000000"/>
            </w14:solidFill>
          </w14:textFill>
        </w:rPr>
        <w:t>”</w:t>
      </w:r>
      <w:r>
        <w:rPr>
          <w:b w:val="0"/>
          <w:bCs w:val="0"/>
          <w:outline w:val="0"/>
          <w:color w:val="000000"/>
          <w:u w:color="000000"/>
          <w:rtl w:val="0"/>
          <w:lang w:val="en-US"/>
          <w14:textFill>
            <w14:solidFill>
              <w14:srgbClr w14:val="000000"/>
            </w14:solidFill>
          </w14:textFill>
        </w:rPr>
        <w:t>. It was not possible to rerun earlier Ultralytics versions to determine whether they handled these three files differently. Overall, 170 of the 178 training label files contain only polygons (as do all validation and test label files), although the documentation refers to bounding boxes.</w:t>
      </w:r>
    </w:p>
    <w:p>
      <w:pPr>
        <w:pStyle w:val="Heading"/>
        <w:keepNext w:val="1"/>
      </w:pPr>
      <w:r>
        <w:rPr>
          <w:rtl w:val="0"/>
          <w:lang w:val="en-US"/>
        </w:rPr>
        <w:t>5. Field data: tile inventory</w:t>
      </w:r>
    </w:p>
    <w:p>
      <w:pPr>
        <w:pStyle w:val="Heading"/>
        <w:keepNext w:val="1"/>
      </w:pPr>
      <w:r>
        <w:rPr>
          <w:b w:val="0"/>
          <w:bCs w:val="0"/>
          <w:outline w:val="0"/>
          <w:color w:val="000000"/>
          <w:u w:color="000000"/>
          <w:rtl w:val="0"/>
          <w:lang w:val="en-US"/>
          <w14:textFill>
            <w14:solidFill>
              <w14:srgbClr w14:val="000000"/>
            </w14:solidFill>
          </w14:textFill>
        </w:rPr>
        <w:t xml:space="preserve">The historical 7,767 region </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tile pairs were reconstructed from the repository</w:t>
      </w:r>
      <w:r>
        <w:rPr>
          <w:b w:val="0"/>
          <w:bCs w:val="0"/>
          <w:outline w:val="0"/>
          <w:color w:val="000000"/>
          <w:u w:color="000000"/>
          <w:rtl w:val="1"/>
          <w14:textFill>
            <w14:solidFill>
              <w14:srgbClr w14:val="000000"/>
            </w14:solidFill>
          </w14:textFill>
        </w:rPr>
        <w:t>’</w:t>
      </w:r>
      <w:r>
        <w:rPr>
          <w:b w:val="0"/>
          <w:bCs w:val="0"/>
          <w:outline w:val="0"/>
          <w:color w:val="000000"/>
          <w:u w:color="000000"/>
          <w:rtl w:val="0"/>
          <w:lang w:val="en-US"/>
          <w14:textFill>
            <w14:solidFill>
              <w14:srgbClr w14:val="000000"/>
            </w14:solidFill>
          </w14:textFill>
        </w:rPr>
        <w:t>s mosaic_* ZIP archives (8,083 raw entries): the inventory (field_tiles_inventory.csv, containing the original name, normalized identifier, region, z/x/y, path within the ZIP, CRC32, and number of regions containing the tile) has exactly 7,767 rows, and the 7,943 reported in the production report are reproduced from the bounding boxes in sp_neighborhoods_bbox.csv.</w:t>
      </w:r>
    </w:p>
    <w:p>
      <w:pPr>
        <w:pStyle w:val="Heading"/>
        <w:keepNext w:val="1"/>
      </w:pPr>
      <w:r>
        <w:rPr>
          <w:outline w:val="0"/>
          <w:color w:val="000000"/>
          <w:sz w:val="22"/>
          <w:szCs w:val="22"/>
          <w:u w:color="000000"/>
          <w:rtl w:val="0"/>
          <w14:textFill>
            <w14:solidFill>
              <w14:srgbClr w14:val="000000"/>
            </w14:solidFill>
          </w14:textFill>
        </w:rPr>
        <w:t>Table 5.</w:t>
      </w:r>
      <w:r>
        <w:rPr>
          <w:b w:val="0"/>
          <w:bCs w:val="0"/>
          <w:outline w:val="0"/>
          <w:color w:val="000000"/>
          <w:sz w:val="22"/>
          <w:szCs w:val="22"/>
          <w:u w:color="000000"/>
          <w:rtl w:val="0"/>
          <w:lang w:val="en-US"/>
          <w14:textFill>
            <w14:solidFill>
              <w14:srgbClr w14:val="000000"/>
            </w14:solidFill>
          </w14:textFill>
        </w:rPr>
        <w:t xml:space="preserve"> Field inventory totals</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00"/>
        <w:gridCol w:w="4438"/>
      </w:tblGrid>
      <w:tr>
        <w:tblPrEx>
          <w:shd w:val="clear" w:color="auto" w:fill="4f81bd"/>
        </w:tblPrEx>
        <w:trPr>
          <w:trHeight w:val="202" w:hRule="atLeast"/>
          <w:tblHeader/>
        </w:trPr>
        <w:tc>
          <w:tcPr>
            <w:tcW w:type="dxa" w:w="5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b w:val="1"/>
                <w:bCs w:val="1"/>
                <w:sz w:val="19"/>
                <w:szCs w:val="19"/>
                <w:u w:color="000000"/>
                <w:shd w:val="nil" w:color="auto" w:fill="auto"/>
                <w:rtl w:val="0"/>
                <w:lang w:val="en-US"/>
              </w:rPr>
              <w:t>Measure</w:t>
            </w:r>
          </w:p>
        </w:tc>
        <w:tc>
          <w:tcPr>
            <w:tcW w:type="dxa" w:w="44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19"/>
                <w:szCs w:val="19"/>
                <w:u w:color="000000"/>
                <w:shd w:val="nil" w:color="auto" w:fill="auto"/>
                <w:rtl w:val="0"/>
              </w:rPr>
              <w:t>Value</w:t>
            </w:r>
          </w:p>
        </w:tc>
      </w:tr>
      <w:tr>
        <w:tblPrEx>
          <w:shd w:val="clear" w:color="auto" w:fill="ced7e7"/>
        </w:tblPrEx>
        <w:trPr>
          <w:trHeight w:val="202" w:hRule="atLeast"/>
        </w:trPr>
        <w:tc>
          <w:tcPr>
            <w:tcW w:type="dxa" w:w="5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9"/>
                <w:szCs w:val="19"/>
                <w:u w:color="000000"/>
                <w:shd w:val="nil" w:color="auto" w:fill="auto"/>
                <w:rtl w:val="0"/>
                <w:lang w:val="de-DE"/>
              </w:rPr>
              <w:t>Raw entries in ZIP archives</w:t>
            </w:r>
          </w:p>
        </w:tc>
        <w:tc>
          <w:tcPr>
            <w:tcW w:type="dxa" w:w="44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rPr>
              <w:t>8,083</w:t>
            </w:r>
          </w:p>
        </w:tc>
      </w:tr>
      <w:tr>
        <w:tblPrEx>
          <w:shd w:val="clear" w:color="auto" w:fill="ced7e7"/>
        </w:tblPrEx>
        <w:trPr>
          <w:trHeight w:val="202" w:hRule="atLeast"/>
        </w:trPr>
        <w:tc>
          <w:tcPr>
            <w:tcW w:type="dxa" w:w="5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9"/>
                <w:szCs w:val="19"/>
                <w:u w:color="000000"/>
                <w:shd w:val="nil" w:color="auto" w:fill="auto"/>
                <w:rtl w:val="0"/>
                <w:lang w:val="it-IT"/>
              </w:rPr>
              <w:t xml:space="preserve">Region </w:t>
            </w:r>
            <w:r>
              <w:rPr>
                <w:rFonts w:ascii="Times New Roman" w:hAnsi="Times New Roman" w:hint="default"/>
                <w:sz w:val="19"/>
                <w:szCs w:val="19"/>
                <w:u w:color="000000"/>
                <w:shd w:val="nil" w:color="auto" w:fill="auto"/>
                <w:rtl w:val="0"/>
              </w:rPr>
              <w:t xml:space="preserve">× </w:t>
            </w:r>
            <w:r>
              <w:rPr>
                <w:rFonts w:ascii="Times New Roman" w:hAnsi="Times New Roman"/>
                <w:sz w:val="19"/>
                <w:szCs w:val="19"/>
                <w:u w:color="000000"/>
                <w:shd w:val="nil" w:color="auto" w:fill="auto"/>
                <w:rtl w:val="0"/>
                <w:lang w:val="en-US"/>
              </w:rPr>
              <w:t>tile pairs (inventory rows)</w:t>
            </w:r>
          </w:p>
        </w:tc>
        <w:tc>
          <w:tcPr>
            <w:tcW w:type="dxa" w:w="44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7,767 (same as historical record)</w:t>
            </w:r>
          </w:p>
        </w:tc>
      </w:tr>
      <w:tr>
        <w:tblPrEx>
          <w:shd w:val="clear" w:color="auto" w:fill="ced7e7"/>
        </w:tblPrEx>
        <w:trPr>
          <w:trHeight w:val="202" w:hRule="atLeast"/>
        </w:trPr>
        <w:tc>
          <w:tcPr>
            <w:tcW w:type="dxa" w:w="5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9"/>
                <w:szCs w:val="19"/>
                <w:u w:color="000000"/>
                <w:shd w:val="nil" w:color="auto" w:fill="auto"/>
                <w:rtl w:val="0"/>
                <w:lang w:val="en-US"/>
              </w:rPr>
              <w:t>Distinct tile identifiers</w:t>
            </w:r>
          </w:p>
        </w:tc>
        <w:tc>
          <w:tcPr>
            <w:tcW w:type="dxa" w:w="44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rPr>
              <w:t>5,540</w:t>
            </w:r>
          </w:p>
        </w:tc>
      </w:tr>
      <w:tr>
        <w:tblPrEx>
          <w:shd w:val="clear" w:color="auto" w:fill="ced7e7"/>
        </w:tblPrEx>
        <w:trPr>
          <w:trHeight w:val="202" w:hRule="atLeast"/>
        </w:trPr>
        <w:tc>
          <w:tcPr>
            <w:tcW w:type="dxa" w:w="5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9"/>
                <w:szCs w:val="19"/>
                <w:u w:color="000000"/>
                <w:shd w:val="nil" w:color="auto" w:fill="auto"/>
                <w:rtl w:val="0"/>
                <w:lang w:val="en-US"/>
              </w:rPr>
              <w:t>Identifiers present in more than one region</w:t>
            </w:r>
          </w:p>
        </w:tc>
        <w:tc>
          <w:tcPr>
            <w:tcW w:type="dxa" w:w="44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lang w:val="en-US"/>
              </w:rPr>
              <w:t>1,958 (identical contents, same CRC32)</w:t>
            </w:r>
          </w:p>
        </w:tc>
      </w:tr>
      <w:tr>
        <w:tblPrEx>
          <w:shd w:val="clear" w:color="auto" w:fill="ced7e7"/>
        </w:tblPrEx>
        <w:trPr>
          <w:trHeight w:val="202" w:hRule="atLeast"/>
        </w:trPr>
        <w:tc>
          <w:tcPr>
            <w:tcW w:type="dxa" w:w="52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Times New Roman" w:hAnsi="Times New Roman"/>
                <w:sz w:val="19"/>
                <w:szCs w:val="19"/>
                <w:u w:color="000000"/>
                <w:shd w:val="nil" w:color="auto" w:fill="auto"/>
                <w:rtl w:val="0"/>
                <w:lang w:val="en-US"/>
              </w:rPr>
              <w:t>Production grid reproduced from bounding boxes</w:t>
            </w:r>
          </w:p>
        </w:tc>
        <w:tc>
          <w:tcPr>
            <w:tcW w:type="dxa" w:w="44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19"/>
                <w:szCs w:val="19"/>
                <w:u w:color="000000"/>
                <w:shd w:val="nil" w:color="auto" w:fill="auto"/>
                <w:rtl w:val="0"/>
              </w:rPr>
              <w:t>7,943</w:t>
            </w:r>
          </w:p>
        </w:tc>
      </w:tr>
    </w:tbl>
    <w:p>
      <w:pPr>
        <w:pStyle w:val="Heading"/>
        <w:keepNext w:val="1"/>
        <w:widowControl w:val="0"/>
      </w:pPr>
    </w:p>
    <w:p>
      <w:pPr>
        <w:pStyle w:val="Heading"/>
        <w:keepNext w:val="1"/>
        <w:widowControl w:val="0"/>
      </w:pPr>
      <w:r>
        <w:rPr>
          <w:b w:val="0"/>
          <w:bCs w:val="0"/>
          <w:outline w:val="0"/>
          <w:color w:val="000000"/>
          <w:sz w:val="19"/>
          <w:szCs w:val="19"/>
          <w:u w:color="000000"/>
          <w:rtl w:val="0"/>
          <w:lang w:val="en-US"/>
          <w14:textFill>
            <w14:solidFill>
              <w14:srgbClr w14:val="000000"/>
            </w14:solidFill>
          </w14:textFill>
        </w:rPr>
        <w:t>Gaps: for Faria Lima, the historical record indicates 840 tiles and the ZIP archives contain 664 distinct tiles (176 missing, not identified; the ZIP archives contain 980 entries, including duplicate parts); splitting Av. Paulista into two sections shifts 5 tiles between the production grid and the set of 7,767.</w:t>
      </w:r>
    </w:p>
    <w:p>
      <w:pPr>
        <w:pStyle w:val="Heading"/>
        <w:keepNext w:val="1"/>
      </w:pPr>
      <w:r>
        <w:rPr>
          <w:rtl w:val="0"/>
          <w:lang w:val="en-US"/>
        </w:rPr>
        <w:t>6. Overlap between training and field data</w:t>
      </w:r>
    </w:p>
    <w:p>
      <w:pPr>
        <w:pStyle w:val="Heading"/>
        <w:keepNext w:val="1"/>
      </w:pPr>
      <w:r>
        <w:rPr>
          <w:outline w:val="0"/>
          <w:color w:val="000000"/>
          <w:u w:color="000000"/>
          <w:rtl w:val="0"/>
          <w:lang w:val="it-IT"/>
          <w14:textFill>
            <w14:solidFill>
              <w14:srgbClr w14:val="000000"/>
            </w14:solidFill>
          </w14:textFill>
        </w:rPr>
        <w:t>Criteria.</w:t>
      </w:r>
      <w:r>
        <w:rPr>
          <w:b w:val="0"/>
          <w:bCs w:val="0"/>
          <w:outline w:val="0"/>
          <w:color w:val="000000"/>
          <w:u w:color="000000"/>
          <w:rtl w:val="0"/>
          <w:lang w:val="en-US"/>
          <w14:textFill>
            <w14:solidFill>
              <w14:srgbClr w14:val="000000"/>
            </w14:solidFill>
          </w14:textFill>
        </w:rPr>
        <w:t xml:space="preserve"> (i) Exact pixel copy: mean absolute error (0</w:t>
      </w:r>
      <w:r>
        <w:rPr>
          <w:b w:val="0"/>
          <w:bCs w:val="0"/>
          <w:outline w:val="0"/>
          <w:color w:val="000000"/>
          <w:u w:color="000000"/>
          <w:rtl w:val="0"/>
          <w14:textFill>
            <w14:solidFill>
              <w14:srgbClr w14:val="000000"/>
            </w14:solidFill>
          </w14:textFill>
        </w:rPr>
        <w:t>–</w:t>
      </w:r>
      <w:r>
        <w:rPr>
          <w:b w:val="0"/>
          <w:bCs w:val="0"/>
          <w:outline w:val="0"/>
          <w:color w:val="000000"/>
          <w:u w:color="000000"/>
          <w:rtl w:val="0"/>
          <w:lang w:val="en-US"/>
          <w14:textFill>
            <w14:solidFill>
              <w14:srgbClr w14:val="000000"/>
            </w14:solidFill>
          </w14:textFill>
        </w:rPr>
        <w:t>255) less than or equal to 5 between the annotated image and the most similar field tile (32</w:t>
      </w:r>
      <w:r>
        <w:rPr>
          <w:b w:val="0"/>
          <w:bCs w:val="0"/>
          <w:outline w:val="0"/>
          <w:color w:val="000000"/>
          <w:u w:color="000000"/>
          <w:rtl w:val="0"/>
          <w14:textFill>
            <w14:solidFill>
              <w14:srgbClr w14:val="000000"/>
            </w14:solidFill>
          </w14:textFill>
        </w:rPr>
        <w:t>×</w:t>
      </w:r>
      <w:r>
        <w:rPr>
          <w:b w:val="0"/>
          <w:bCs w:val="0"/>
          <w:outline w:val="0"/>
          <w:color w:val="000000"/>
          <w:u w:color="000000"/>
          <w:rtl w:val="0"/>
          <w:lang w:val="en-US"/>
          <w14:textFill>
            <w14:solidFill>
              <w14:srgbClr w14:val="000000"/>
            </w14:solidFill>
          </w14:textFill>
        </w:rPr>
        <w:t>32 prefilter selecting the top three candidates, measured at 256</w:t>
      </w:r>
      <w:r>
        <w:rPr>
          <w:b w:val="0"/>
          <w:bCs w:val="0"/>
          <w:outline w:val="0"/>
          <w:color w:val="000000"/>
          <w:u w:color="000000"/>
          <w:rtl w:val="0"/>
          <w14:textFill>
            <w14:solidFill>
              <w14:srgbClr w14:val="000000"/>
            </w14:solidFill>
          </w14:textFill>
        </w:rPr>
        <w:t>×</w:t>
      </w:r>
      <w:r>
        <w:rPr>
          <w:b w:val="0"/>
          <w:bCs w:val="0"/>
          <w:outline w:val="0"/>
          <w:color w:val="000000"/>
          <w:u w:color="000000"/>
          <w:rtl w:val="0"/>
          <w:lang w:val="en-US"/>
          <w14:textFill>
            <w14:solidFill>
              <w14:srgbClr w14:val="000000"/>
            </w14:solidFill>
          </w14:textFill>
        </w:rPr>
        <w:t xml:space="preserve">256). All matches are at 1.56 or below; no other candidate is below 16.9, so the result is not sensitive to the threshold. (ii) Filename-based identifier: z/x/y read from the filename, excluding Roboflow suffixes; used only when unique (the 23 filenames sharing the same coordinates were resolved through pixels). (iii) Spatial proximity: Chebyshev distance, in z19 tiles (approximately 70 m), to the nearest field tile, with k = 1, 2, 3, and 5; proximity is not confirmed leakage. Denominators: 177, 34, and 14 images with coordinates (plus mosaico_Taquara_hires_preview, which has no tile ID and no match, bringing training to 178); 5,540 distinct field tiles; 7,767 region </w:t>
      </w:r>
      <w:r>
        <w:rPr>
          <w:b w:val="0"/>
          <w:bCs w:val="0"/>
          <w:outline w:val="0"/>
          <w:color w:val="000000"/>
          <w:u w:color="000000"/>
          <w:rtl w:val="0"/>
          <w14:textFill>
            <w14:solidFill>
              <w14:srgbClr w14:val="000000"/>
            </w14:solidFill>
          </w14:textFill>
        </w:rPr>
        <w:t xml:space="preserve">× </w:t>
      </w:r>
      <w:r>
        <w:rPr>
          <w:b w:val="0"/>
          <w:bCs w:val="0"/>
          <w:outline w:val="0"/>
          <w:color w:val="000000"/>
          <w:u w:color="000000"/>
          <w:rtl w:val="0"/>
          <w:lang w:val="en-US"/>
          <w14:textFill>
            <w14:solidFill>
              <w14:srgbClr w14:val="000000"/>
            </w14:solidFill>
          </w14:textFill>
        </w:rPr>
        <w:t>tile pairs.</w:t>
      </w:r>
    </w:p>
    <w:p>
      <w:pPr>
        <w:pStyle w:val="Heading"/>
        <w:keepNext w:val="1"/>
      </w:pPr>
      <w:r>
        <w:rPr>
          <w:outline w:val="0"/>
          <w:color w:val="000000"/>
          <w:sz w:val="22"/>
          <w:szCs w:val="22"/>
          <w:u w:color="000000"/>
          <w:rtl w:val="0"/>
          <w14:textFill>
            <w14:solidFill>
              <w14:srgbClr w14:val="000000"/>
            </w14:solidFill>
          </w14:textFill>
        </w:rPr>
        <w:t>Table 6.</w:t>
      </w:r>
      <w:r>
        <w:rPr>
          <w:b w:val="0"/>
          <w:bCs w:val="0"/>
          <w:outline w:val="0"/>
          <w:color w:val="000000"/>
          <w:sz w:val="22"/>
          <w:szCs w:val="22"/>
          <w:u w:color="000000"/>
          <w:rtl w:val="0"/>
          <w:lang w:val="en-US"/>
          <w14:textFill>
            <w14:solidFill>
              <w14:srgbClr w14:val="000000"/>
            </w14:solidFill>
          </w14:textFill>
        </w:rPr>
        <w:t xml:space="preserve"> Annotated images and field tiles</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500"/>
        <w:gridCol w:w="1500"/>
        <w:gridCol w:w="1500"/>
        <w:gridCol w:w="2338"/>
      </w:tblGrid>
      <w:tr>
        <w:tblPrEx>
          <w:shd w:val="clear" w:color="auto" w:fill="4f81bd"/>
        </w:tblPrEx>
        <w:trPr>
          <w:trHeight w:val="202" w:hRule="atLeast"/>
          <w:tblHeader/>
        </w:trPr>
        <w:tc>
          <w:tcPr>
            <w:tcW w:type="dxa" w:w="28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en-US"/>
              </w:rPr>
              <w:t>Measure</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en-US"/>
              </w:rPr>
              <w:t>Training (177)</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lang w:val="fr-FR"/>
              </w:rPr>
              <w:t>Validation (34)</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8"/>
                <w:szCs w:val="18"/>
                <w:u w:color="000000"/>
                <w:shd w:val="nil" w:color="auto" w:fill="auto"/>
                <w:rtl w:val="0"/>
              </w:rPr>
              <w:t>Test (14)</w:t>
            </w:r>
          </w:p>
        </w:tc>
        <w:tc>
          <w:tcPr>
            <w:tcW w:type="dxa" w:w="23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rPr>
              <w:t>Total (225)</w:t>
            </w:r>
          </w:p>
        </w:tc>
      </w:tr>
      <w:tr>
        <w:tblPrEx>
          <w:shd w:val="clear" w:color="auto" w:fill="ced7e7"/>
        </w:tblPrEx>
        <w:trPr>
          <w:trHeight w:val="202" w:hRule="atLeast"/>
        </w:trPr>
        <w:tc>
          <w:tcPr>
            <w:tcW w:type="dxa" w:w="28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Exact copy of a field tile (pixels)</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lang w:val="pt-PT"/>
              </w:rPr>
              <w:t>87 (49.2%)</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25 (73.5%)</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13 (92.9%)</w:t>
            </w:r>
          </w:p>
        </w:tc>
        <w:tc>
          <w:tcPr>
            <w:tcW w:type="dxa" w:w="23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pt-PT"/>
              </w:rPr>
              <w:t>125 (55.6%)</w:t>
            </w:r>
          </w:p>
        </w:tc>
      </w:tr>
      <w:tr>
        <w:tblPrEx>
          <w:shd w:val="clear" w:color="auto" w:fill="ced7e7"/>
        </w:tblPrEx>
        <w:trPr>
          <w:trHeight w:val="441" w:hRule="atLeast"/>
        </w:trPr>
        <w:tc>
          <w:tcPr>
            <w:tcW w:type="dxa" w:w="28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 xml:space="preserve">No copy, but within </w:t>
            </w:r>
            <w:r>
              <w:rPr>
                <w:rFonts w:ascii="Times New Roman" w:hAnsi="Times New Roman" w:hint="default"/>
                <w:sz w:val="18"/>
                <w:szCs w:val="18"/>
                <w:u w:color="000000"/>
                <w:shd w:val="nil" w:color="auto" w:fill="auto"/>
                <w:rtl w:val="0"/>
              </w:rPr>
              <w:t xml:space="preserve">≤ </w:t>
            </w:r>
            <w:r>
              <w:rPr>
                <w:rFonts w:ascii="Times New Roman" w:hAnsi="Times New Roman"/>
                <w:sz w:val="18"/>
                <w:szCs w:val="18"/>
                <w:u w:color="000000"/>
                <w:shd w:val="nil" w:color="auto" w:fill="auto"/>
                <w:rtl w:val="0"/>
                <w:lang w:val="en-US"/>
              </w:rPr>
              <w:t>1 tile of field data</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0</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0</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0</w:t>
            </w:r>
          </w:p>
        </w:tc>
        <w:tc>
          <w:tcPr>
            <w:tcW w:type="dxa" w:w="23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0</w:t>
            </w:r>
          </w:p>
        </w:tc>
      </w:tr>
      <w:tr>
        <w:tblPrEx>
          <w:shd w:val="clear" w:color="auto" w:fill="ced7e7"/>
        </w:tblPrEx>
        <w:trPr>
          <w:trHeight w:val="202" w:hRule="atLeast"/>
        </w:trPr>
        <w:tc>
          <w:tcPr>
            <w:tcW w:type="dxa" w:w="28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 xml:space="preserve">No copy, within </w:t>
            </w:r>
            <w:r>
              <w:rPr>
                <w:rFonts w:ascii="Times New Roman" w:hAnsi="Times New Roman" w:hint="default"/>
                <w:sz w:val="18"/>
                <w:szCs w:val="18"/>
                <w:u w:color="000000"/>
                <w:shd w:val="nil" w:color="auto" w:fill="auto"/>
                <w:rtl w:val="0"/>
              </w:rPr>
              <w:t xml:space="preserve">≤ </w:t>
            </w:r>
            <w:r>
              <w:rPr>
                <w:rFonts w:ascii="Times New Roman" w:hAnsi="Times New Roman"/>
                <w:sz w:val="18"/>
                <w:szCs w:val="18"/>
                <w:u w:color="000000"/>
                <w:shd w:val="nil" w:color="auto" w:fill="auto"/>
                <w:rtl w:val="0"/>
              </w:rPr>
              <w:t>2 / 3 / 5 tiles</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2 / 3 / 8</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1 / 2 / 2</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0 / 0 / 0</w:t>
            </w:r>
          </w:p>
        </w:tc>
        <w:tc>
          <w:tcPr>
            <w:tcW w:type="dxa" w:w="23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3 / 5 / 10</w:t>
            </w:r>
          </w:p>
        </w:tc>
      </w:tr>
      <w:tr>
        <w:tblPrEx>
          <w:shd w:val="clear" w:color="auto" w:fill="ced7e7"/>
        </w:tblPrEx>
        <w:trPr>
          <w:trHeight w:val="202" w:hRule="atLeast"/>
        </w:trPr>
        <w:tc>
          <w:tcPr>
            <w:tcW w:type="dxa" w:w="28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it-IT"/>
              </w:rPr>
              <w:t>No pixel match</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90</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9</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1</w:t>
            </w:r>
          </w:p>
        </w:tc>
        <w:tc>
          <w:tcPr>
            <w:tcW w:type="dxa" w:w="23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100</w:t>
            </w:r>
          </w:p>
        </w:tc>
      </w:tr>
      <w:tr>
        <w:tblPrEx>
          <w:shd w:val="clear" w:color="auto" w:fill="ced7e7"/>
        </w:tblPrEx>
        <w:trPr>
          <w:trHeight w:val="202" w:hRule="atLeast"/>
        </w:trPr>
        <w:tc>
          <w:tcPr>
            <w:tcW w:type="dxa" w:w="28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With a shared tile name</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17</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4</w:t>
            </w:r>
          </w:p>
        </w:tc>
        <w:tc>
          <w:tcPr>
            <w:tcW w:type="dxa" w:w="15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8"/>
                <w:szCs w:val="18"/>
                <w:u w:color="000000"/>
                <w:shd w:val="nil" w:color="auto" w:fill="auto"/>
                <w:rtl w:val="0"/>
              </w:rPr>
              <w:t>2</w:t>
            </w:r>
          </w:p>
        </w:tc>
        <w:tc>
          <w:tcPr>
            <w:tcW w:type="dxa" w:w="23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rPr>
              <w:t>23</w:t>
            </w:r>
          </w:p>
        </w:tc>
      </w:tr>
    </w:tbl>
    <w:p>
      <w:pPr>
        <w:pStyle w:val="Heading"/>
        <w:keepNext w:val="1"/>
        <w:widowControl w:val="0"/>
      </w:pPr>
    </w:p>
    <w:p>
      <w:pPr>
        <w:pStyle w:val="Heading"/>
        <w:keepNext w:val="1"/>
        <w:widowControl w:val="0"/>
      </w:pPr>
      <w:r>
        <w:rPr>
          <w:b w:val="0"/>
          <w:bCs w:val="0"/>
          <w:outline w:val="0"/>
          <w:color w:val="000000"/>
          <w:sz w:val="19"/>
          <w:szCs w:val="19"/>
          <w:u w:color="000000"/>
          <w:rtl w:val="0"/>
          <w:lang w:val="en-US"/>
          <w14:textFill>
            <w14:solidFill>
              <w14:srgbClr w14:val="000000"/>
            </w14:solidFill>
          </w14:textFill>
        </w:rPr>
        <w:t xml:space="preserve">The 125 copied tiles are distinct from one another and correspond to 212 region </w:t>
      </w:r>
      <w:r>
        <w:rPr>
          <w:b w:val="0"/>
          <w:bCs w:val="0"/>
          <w:outline w:val="0"/>
          <w:color w:val="000000"/>
          <w:sz w:val="19"/>
          <w:szCs w:val="19"/>
          <w:u w:color="000000"/>
          <w:rtl w:val="0"/>
          <w14:textFill>
            <w14:solidFill>
              <w14:srgbClr w14:val="000000"/>
            </w14:solidFill>
          </w14:textFill>
        </w:rPr>
        <w:t xml:space="preserve">× </w:t>
      </w:r>
      <w:r>
        <w:rPr>
          <w:b w:val="0"/>
          <w:bCs w:val="0"/>
          <w:outline w:val="0"/>
          <w:color w:val="000000"/>
          <w:sz w:val="19"/>
          <w:szCs w:val="19"/>
          <w:u w:color="000000"/>
          <w:rtl w:val="0"/>
          <w:lang w:val="en-US"/>
          <w14:textFill>
            <w14:solidFill>
              <w14:srgbClr w14:val="000000"/>
            </w14:solidFill>
          </w14:textFill>
        </w:rPr>
        <w:t>tile pairs (2.73% of 7,767) and 2.26% of the 5,540 distinct tiles. They are concentrated in Av. Paulista (33 tiles across both sections), Brooklin (20, exclusive to the region), Inter Zonas and Vila Ol</w:t>
      </w:r>
      <w:r>
        <w:rPr>
          <w:b w:val="0"/>
          <w:bCs w:val="0"/>
          <w:outline w:val="0"/>
          <w:color w:val="000000"/>
          <w:sz w:val="19"/>
          <w:szCs w:val="19"/>
          <w:u w:color="000000"/>
          <w:rtl w:val="0"/>
          <w14:textFill>
            <w14:solidFill>
              <w14:srgbClr w14:val="000000"/>
            </w14:solidFill>
          </w14:textFill>
        </w:rPr>
        <w:t>í</w:t>
      </w:r>
      <w:r>
        <w:rPr>
          <w:b w:val="0"/>
          <w:bCs w:val="0"/>
          <w:outline w:val="0"/>
          <w:color w:val="000000"/>
          <w:sz w:val="19"/>
          <w:szCs w:val="19"/>
          <w:u w:color="000000"/>
          <w:rtl w:val="0"/>
          <w:lang w:val="en-US"/>
          <w14:textFill>
            <w14:solidFill>
              <w14:srgbClr w14:val="000000"/>
            </w14:solidFill>
          </w14:textFill>
        </w:rPr>
        <w:t>mpia (18 shared between the two), and Alphaville Industrial (15); the full list is in the CSV</w:t>
      </w:r>
      <w:r>
        <w:rPr>
          <w:b w:val="0"/>
          <w:bCs w:val="0"/>
          <w:outline w:val="0"/>
          <w:color w:val="000000"/>
          <w:sz w:val="19"/>
          <w:szCs w:val="19"/>
          <w:u w:color="000000"/>
          <w:rtl w:val="1"/>
          <w14:textFill>
            <w14:solidFill>
              <w14:srgbClr w14:val="000000"/>
            </w14:solidFill>
          </w14:textFill>
        </w:rPr>
        <w:t>’</w:t>
      </w:r>
      <w:r>
        <w:rPr>
          <w:b w:val="0"/>
          <w:bCs w:val="0"/>
          <w:outline w:val="0"/>
          <w:color w:val="000000"/>
          <w:sz w:val="19"/>
          <w:szCs w:val="19"/>
          <w:u w:color="000000"/>
          <w:rtl w:val="0"/>
          <w:lang w:val="en-US"/>
          <w14:textFill>
            <w14:solidFill>
              <w14:srgbClr w14:val="000000"/>
            </w14:solidFill>
          </w14:textFill>
        </w:rPr>
        <w:t>s field_regions column. The 100 unmatched images are outside the bounding boxes of all regions; according to their coordinates, approximately 70 fall within an approximate rectangle of the municipality of S</w:t>
      </w:r>
      <w:r>
        <w:rPr>
          <w:b w:val="0"/>
          <w:bCs w:val="0"/>
          <w:outline w:val="0"/>
          <w:color w:val="000000"/>
          <w:sz w:val="19"/>
          <w:szCs w:val="19"/>
          <w:u w:color="000000"/>
          <w:rtl w:val="0"/>
          <w:lang w:val="pt-PT"/>
          <w14:textFill>
            <w14:solidFill>
              <w14:srgbClr w14:val="000000"/>
            </w14:solidFill>
          </w14:textFill>
        </w:rPr>
        <w:t>ã</w:t>
      </w:r>
      <w:r>
        <w:rPr>
          <w:b w:val="0"/>
          <w:bCs w:val="0"/>
          <w:outline w:val="0"/>
          <w:color w:val="000000"/>
          <w:sz w:val="19"/>
          <w:szCs w:val="19"/>
          <w:u w:color="000000"/>
          <w:rtl w:val="0"/>
          <w:lang w:val="en-US"/>
          <w14:textFill>
            <w14:solidFill>
              <w14:srgbClr w14:val="000000"/>
            </w14:solidFill>
          </w14:textFill>
        </w:rPr>
        <w:t>o Paulo and 30 are elsewhere in Brazil (91 training, 9 validation, 1 test). This rectangle is a rough approximation used only for descriptive purposes.</w:t>
      </w:r>
    </w:p>
    <w:p>
      <w:pPr>
        <w:pStyle w:val="Heading"/>
        <w:keepNext w:val="1"/>
        <w:widowControl w:val="0"/>
      </w:pPr>
      <w:r>
        <w:rPr>
          <w:outline w:val="0"/>
          <w:color w:val="000000"/>
          <w:u w:color="000000"/>
          <w:rtl w:val="0"/>
          <w:lang w:val="en-US"/>
          <w14:textFill>
            <w14:solidFill>
              <w14:srgbClr w14:val="000000"/>
            </w14:solidFill>
          </w14:textFill>
        </w:rPr>
        <w:t xml:space="preserve">Training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validation and test.</w:t>
      </w:r>
      <w:r>
        <w:rPr>
          <w:b w:val="0"/>
          <w:bCs w:val="0"/>
          <w:outline w:val="0"/>
          <w:color w:val="000000"/>
          <w:u w:color="000000"/>
          <w:rtl w:val="0"/>
          <w:lang w:val="en-US"/>
          <w14:textFill>
            <w14:solidFill>
              <w14:srgbClr w14:val="000000"/>
            </w14:solidFill>
          </w14:textFill>
        </w:rPr>
        <w:t xml:space="preserve"> Pixel comparison shows that no validation or test image is a copy of a training image (minimum error of 31.6 for validation and 42.7 for test), and there are no copies among training images. The earlier filename-based finding of 4 validation images and 2 test images sharing a tile with training was an artifact of the shared identifier. Spatial proximity does occur: 15 of the 34 validation images and 3 of the 14 test images are within 1 tile of a training image (20 and 11 within 2 tiles), reducing the spatial independence of validation.</w:t>
      </w:r>
    </w:p>
    <w:p>
      <w:pPr>
        <w:pStyle w:val="Heading"/>
        <w:keepNext w:val="1"/>
        <w:widowControl w:val="0"/>
      </w:pPr>
      <w:r>
        <w:rPr>
          <w:outline w:val="0"/>
          <w:color w:val="000000"/>
          <w:u w:color="000000"/>
          <w:rtl w:val="0"/>
          <w:lang w:val="it-IT"/>
          <w14:textFill>
            <w14:solidFill>
              <w14:srgbClr w14:val="000000"/>
            </w14:solidFill>
          </w14:textFill>
        </w:rPr>
        <w:t>Interpretation.</w:t>
      </w:r>
      <w:r>
        <w:rPr>
          <w:b w:val="0"/>
          <w:bCs w:val="0"/>
          <w:outline w:val="0"/>
          <w:color w:val="000000"/>
          <w:u w:color="000000"/>
          <w:rtl w:val="0"/>
          <w:lang w:val="en-US"/>
          <w14:textFill>
            <w14:solidFill>
              <w14:srgbClr w14:val="000000"/>
            </w14:solidFill>
          </w14:textFill>
        </w:rPr>
        <w:t xml:space="preserve"> Training already contains 87 tiles that are part of the field data (1.6% of distinct tiles), which may inflate the detection rate on those tiles; the effect on overall rates cannot be calculated without per-tile detections for each experiment. The 22 cases in which image contents differ from the filename (suffix itaim_bibi-NN-, all sharing the same coordinates) match distinct tiles in the Itaim Bibi region by pixel comparison (error of 0.2 to 0.3 at 32</w:t>
      </w:r>
      <w:r>
        <w:rPr>
          <w:b w:val="0"/>
          <w:bCs w:val="0"/>
          <w:outline w:val="0"/>
          <w:color w:val="000000"/>
          <w:u w:color="000000"/>
          <w:rtl w:val="0"/>
          <w14:textFill>
            <w14:solidFill>
              <w14:srgbClr w14:val="000000"/>
            </w14:solidFill>
          </w14:textFill>
        </w:rPr>
        <w:t>×</w:t>
      </w:r>
      <w:r>
        <w:rPr>
          <w:b w:val="0"/>
          <w:bCs w:val="0"/>
          <w:outline w:val="0"/>
          <w:color w:val="000000"/>
          <w:u w:color="000000"/>
          <w:rtl w:val="0"/>
          <w:lang w:val="en-US"/>
          <w14:textFill>
            <w14:solidFill>
              <w14:srgbClr w14:val="000000"/>
            </w14:solidFill>
          </w14:textFill>
        </w:rPr>
        <w:t>32); the cause of the repeated filename (renaming, export) is unknown from the supplied materials.</w:t>
      </w:r>
    </w:p>
    <w:p>
      <w:pPr>
        <w:pStyle w:val="Heading"/>
        <w:keepNext w:val="1"/>
      </w:pPr>
      <w:r>
        <w:rPr>
          <w:rtl w:val="0"/>
          <w:lang w:val="fr-FR"/>
        </w:rPr>
        <w:t>7. Limitations</w:t>
      </w:r>
    </w:p>
    <w:p>
      <w:pPr>
        <w:pStyle w:val="List Paragraph"/>
        <w:numPr>
          <w:ilvl w:val="0"/>
          <w:numId w:val="2"/>
        </w:numPr>
        <w:spacing w:after="60"/>
        <w:jc w:val="both"/>
        <w:rPr>
          <w:sz w:val="23"/>
          <w:szCs w:val="23"/>
          <w:lang w:val="en-US"/>
        </w:rPr>
      </w:pPr>
      <w:r>
        <w:rPr>
          <w:sz w:val="23"/>
          <w:szCs w:val="23"/>
          <w:rtl w:val="0"/>
          <w:lang w:val="en-US"/>
        </w:rPr>
        <w:t>Cropped, rotated, mirrored, rescaled copies, or copies from another date, are not detected by the pixel criterion; actual overlap may be greater than measured.</w:t>
      </w:r>
    </w:p>
    <w:p>
      <w:pPr>
        <w:pStyle w:val="List Paragraph"/>
        <w:numPr>
          <w:ilvl w:val="0"/>
          <w:numId w:val="2"/>
        </w:numPr>
        <w:spacing w:after="60"/>
        <w:jc w:val="both"/>
        <w:rPr>
          <w:sz w:val="23"/>
          <w:szCs w:val="23"/>
          <w:lang w:val="en-US"/>
        </w:rPr>
      </w:pPr>
      <w:r>
        <w:rPr>
          <w:sz w:val="23"/>
          <w:szCs w:val="23"/>
          <w:rtl w:val="0"/>
          <w:lang w:val="en-US"/>
        </w:rPr>
        <w:t>The materials contain no per-tile detections; no effect on field rates was calculated, and no inference was rerun.</w:t>
      </w:r>
    </w:p>
    <w:p>
      <w:pPr>
        <w:pStyle w:val="List Paragraph"/>
        <w:numPr>
          <w:ilvl w:val="0"/>
          <w:numId w:val="2"/>
        </w:numPr>
        <w:spacing w:after="60"/>
        <w:jc w:val="both"/>
        <w:rPr>
          <w:sz w:val="23"/>
          <w:szCs w:val="23"/>
          <w:lang w:val="en-US"/>
        </w:rPr>
      </w:pPr>
      <w:r>
        <w:rPr>
          <w:sz w:val="23"/>
          <w:szCs w:val="23"/>
          <w:rtl w:val="0"/>
          <w:lang w:val="en-US"/>
        </w:rPr>
        <w:t>The prefilter uses the top three candidates at 32</w:t>
      </w:r>
      <w:r>
        <w:rPr>
          <w:sz w:val="23"/>
          <w:szCs w:val="23"/>
          <w:rtl w:val="0"/>
        </w:rPr>
        <w:t>×</w:t>
      </w:r>
      <w:r>
        <w:rPr>
          <w:sz w:val="23"/>
          <w:szCs w:val="23"/>
          <w:rtl w:val="0"/>
          <w:lang w:val="en-US"/>
        </w:rPr>
        <w:t xml:space="preserve">32; matches </w:t>
      </w:r>
      <w:r>
        <w:rPr>
          <w:sz w:val="23"/>
          <w:szCs w:val="23"/>
          <w:rtl w:val="0"/>
        </w:rPr>
        <w:t xml:space="preserve">≤ </w:t>
      </w:r>
      <w:r>
        <w:rPr>
          <w:sz w:val="23"/>
          <w:szCs w:val="23"/>
          <w:rtl w:val="0"/>
          <w:lang w:val="en-US"/>
        </w:rPr>
        <w:t>1.56 and the gap up to 16.9 indicate that the criterion is stable, but this is not an exhaustive search at 256</w:t>
      </w:r>
      <w:r>
        <w:rPr>
          <w:sz w:val="23"/>
          <w:szCs w:val="23"/>
          <w:rtl w:val="0"/>
        </w:rPr>
        <w:t>×</w:t>
      </w:r>
      <w:r>
        <w:rPr>
          <w:sz w:val="23"/>
          <w:szCs w:val="23"/>
          <w:rtl w:val="0"/>
        </w:rPr>
        <w:t>256.</w:t>
      </w:r>
    </w:p>
    <w:p>
      <w:pPr>
        <w:pStyle w:val="List Paragraph"/>
        <w:numPr>
          <w:ilvl w:val="0"/>
          <w:numId w:val="2"/>
        </w:numPr>
        <w:spacing w:after="60"/>
        <w:jc w:val="both"/>
        <w:rPr>
          <w:sz w:val="23"/>
          <w:szCs w:val="23"/>
          <w:lang w:val="en-US"/>
        </w:rPr>
      </w:pPr>
      <w:r>
        <w:rPr>
          <w:sz w:val="23"/>
          <w:szCs w:val="23"/>
          <w:rtl w:val="0"/>
          <w:lang w:val="en-US"/>
        </w:rPr>
        <w:t>The contents of data/raw/helipad_dataset.rar were opened: 174 tile files (121 distinct identifiers, all in the field inventory), and 110 annotated images are copies of files in that archive. How the archive was assembled is unknown (unknown from the supplied materials).</w:t>
      </w:r>
    </w:p>
    <w:p>
      <w:pPr>
        <w:pStyle w:val="List Paragraph"/>
        <w:numPr>
          <w:ilvl w:val="0"/>
          <w:numId w:val="2"/>
        </w:numPr>
        <w:spacing w:after="60"/>
        <w:jc w:val="both"/>
        <w:rPr>
          <w:sz w:val="23"/>
          <w:szCs w:val="23"/>
          <w:lang w:val="en-US"/>
        </w:rPr>
      </w:pPr>
      <w:r>
        <w:rPr>
          <w:sz w:val="23"/>
          <w:szCs w:val="23"/>
          <w:rtl w:val="0"/>
          <w:lang w:val="en-US"/>
        </w:rPr>
        <w:t>The logs for the original exp1, Pedro</w:t>
      </w:r>
      <w:r>
        <w:rPr>
          <w:sz w:val="23"/>
          <w:szCs w:val="23"/>
          <w:rtl w:val="1"/>
        </w:rPr>
        <w:t>’</w:t>
      </w:r>
      <w:r>
        <w:rPr>
          <w:sz w:val="23"/>
          <w:szCs w:val="23"/>
          <w:rtl w:val="0"/>
          <w:lang w:val="en-US"/>
        </w:rPr>
        <w:t>s v1, and the fork-based run before exp3 were not located; the blank /dataset/1 page does not prove nonexistence.</w:t>
      </w:r>
    </w:p>
    <w:p>
      <w:pPr>
        <w:pStyle w:val="List Paragraph"/>
        <w:numPr>
          <w:ilvl w:val="0"/>
          <w:numId w:val="2"/>
        </w:numPr>
        <w:spacing w:after="60"/>
        <w:jc w:val="both"/>
        <w:rPr>
          <w:sz w:val="23"/>
          <w:szCs w:val="23"/>
          <w:lang w:val="en-US"/>
        </w:rPr>
      </w:pPr>
      <w:r>
        <w:rPr>
          <w:sz w:val="23"/>
          <w:szCs w:val="23"/>
          <w:rtl w:val="0"/>
          <w:lang w:val="en-US"/>
        </w:rPr>
        <w:t>Counts, not individual tiles, were identified for Faria Lima (176 missing) and Av. Paulista (5).</w:t>
      </w:r>
    </w:p>
    <w:p>
      <w:pPr>
        <w:pStyle w:val="Heading"/>
        <w:keepNext w:val="1"/>
      </w:pPr>
      <w:r>
        <w:rPr>
          <w:rtl w:val="0"/>
          <w:lang w:val="en-US"/>
        </w:rPr>
        <w:t>8. Files still to be attached</w:t>
      </w:r>
    </w:p>
    <w:p>
      <w:pPr>
        <w:pStyle w:val="Heading"/>
        <w:keepNext w:val="1"/>
      </w:pPr>
      <w:r>
        <w:rPr>
          <w:outline w:val="0"/>
          <w:color w:val="000000"/>
          <w:sz w:val="22"/>
          <w:szCs w:val="22"/>
          <w:u w:color="000000"/>
          <w:rtl w:val="0"/>
          <w14:textFill>
            <w14:solidFill>
              <w14:srgbClr w14:val="000000"/>
            </w14:solidFill>
          </w14:textFill>
        </w:rPr>
        <w:t>Table 7.</w:t>
      </w:r>
      <w:r>
        <w:rPr>
          <w:b w:val="0"/>
          <w:bCs w:val="0"/>
          <w:outline w:val="0"/>
          <w:color w:val="000000"/>
          <w:sz w:val="22"/>
          <w:szCs w:val="22"/>
          <w:u w:color="000000"/>
          <w:rtl w:val="0"/>
          <w:lang w:val="en-US"/>
          <w14:textFill>
            <w14:solidFill>
              <w14:srgbClr w14:val="000000"/>
            </w14:solidFill>
          </w14:textFill>
        </w:rPr>
        <w:t xml:space="preserve"> Outstanding items needed to close the gaps</w:t>
      </w:r>
    </w:p>
    <w:tbl>
      <w:tblPr>
        <w:tblW w:w="963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300"/>
        <w:gridCol w:w="2738"/>
      </w:tblGrid>
      <w:tr>
        <w:tblPrEx>
          <w:shd w:val="clear" w:color="auto" w:fill="4f81bd"/>
        </w:tblPrEx>
        <w:trPr>
          <w:trHeight w:val="202" w:hRule="atLeast"/>
          <w:tblHeader/>
        </w:trPr>
        <w:tc>
          <w:tcPr>
            <w:tcW w:type="dxa" w:w="3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en-US"/>
              </w:rPr>
              <w:t>File or information</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8"/>
                <w:szCs w:val="18"/>
                <w:u w:color="000000"/>
                <w:shd w:val="nil" w:color="auto" w:fill="auto"/>
                <w:rtl w:val="0"/>
                <w:lang w:val="en-US"/>
              </w:rPr>
              <w:t>Gap addressed</w:t>
            </w:r>
          </w:p>
        </w:tc>
        <w:tc>
          <w:tcPr>
            <w:tcW w:type="dxa" w:w="2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dce6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18"/>
                <w:szCs w:val="18"/>
                <w:u w:color="000000"/>
                <w:shd w:val="nil" w:color="auto" w:fill="auto"/>
                <w:rtl w:val="0"/>
                <w:lang w:val="en-US"/>
              </w:rPr>
              <w:t>Decision affected</w:t>
            </w:r>
          </w:p>
        </w:tc>
      </w:tr>
      <w:tr>
        <w:tblPrEx>
          <w:shd w:val="clear" w:color="auto" w:fill="ced7e7"/>
        </w:tblPrEx>
        <w:trPr>
          <w:trHeight w:val="918" w:hRule="atLeast"/>
        </w:trPr>
        <w:tc>
          <w:tcPr>
            <w:tcW w:type="dxa" w:w="3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Log of the exp1-2 run with the Scanning lines, or training output from that run; results and weights from the original exp1 (v1), if they exist</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Image count for the exp1 run and what happened to the original run</w:t>
            </w:r>
          </w:p>
        </w:tc>
        <w:tc>
          <w:tcPr>
            <w:tcW w:type="dxa" w:w="2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Upgrade exp1 from strong circumstantial evidence to proof</w:t>
            </w:r>
          </w:p>
        </w:tc>
      </w:tr>
      <w:tr>
        <w:tblPrEx>
          <w:shd w:val="clear" w:color="auto" w:fill="ced7e7"/>
        </w:tblPrEx>
        <w:trPr>
          <w:trHeight w:val="918" w:hRule="atLeast"/>
        </w:trPr>
        <w:tc>
          <w:tcPr>
            <w:tcW w:type="dxa" w:w="3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Export or screenshot of the fork</w:t>
            </w:r>
            <w:r>
              <w:rPr>
                <w:rFonts w:ascii="Times New Roman" w:hAnsi="Times New Roman" w:hint="default"/>
                <w:sz w:val="18"/>
                <w:szCs w:val="18"/>
                <w:u w:color="000000"/>
                <w:shd w:val="nil" w:color="auto" w:fill="auto"/>
                <w:rtl w:val="1"/>
              </w:rPr>
              <w:t>’</w:t>
            </w:r>
            <w:r>
              <w:rPr>
                <w:rFonts w:ascii="Times New Roman" w:hAnsi="Times New Roman"/>
                <w:sz w:val="18"/>
                <w:szCs w:val="18"/>
                <w:u w:color="000000"/>
                <w:shd w:val="nil" w:color="auto" w:fill="auto"/>
                <w:rtl w:val="0"/>
                <w:lang w:val="en-US"/>
              </w:rPr>
              <w:t>s versions page showing the split for each version (v1 and v2) and dates, plus the list of projects in the proponent</w:t>
            </w:r>
            <w:r>
              <w:rPr>
                <w:rFonts w:ascii="Times New Roman" w:hAnsi="Times New Roman" w:hint="default"/>
                <w:sz w:val="18"/>
                <w:szCs w:val="18"/>
                <w:u w:color="000000"/>
                <w:shd w:val="nil" w:color="auto" w:fill="auto"/>
                <w:rtl w:val="1"/>
              </w:rPr>
              <w:t>’</w:t>
            </w:r>
            <w:r>
              <w:rPr>
                <w:rFonts w:ascii="Times New Roman" w:hAnsi="Times New Roman"/>
                <w:sz w:val="18"/>
                <w:szCs w:val="18"/>
                <w:u w:color="000000"/>
                <w:shd w:val="nil" w:color="auto" w:fill="auto"/>
                <w:rtl w:val="0"/>
                <w:lang w:val="en-US"/>
              </w:rPr>
              <w:t>s workspace</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Whether a fork version with 178/34 exists and which version was used in each run</w:t>
            </w:r>
          </w:p>
        </w:tc>
        <w:tc>
          <w:tcPr>
            <w:tcW w:type="dxa" w:w="2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Resolve the exp2 conflict</w:t>
            </w:r>
          </w:p>
        </w:tc>
      </w:tr>
      <w:tr>
        <w:tblPrEx>
          <w:shd w:val="clear" w:color="auto" w:fill="ced7e7"/>
        </w:tblPrEx>
        <w:trPr>
          <w:trHeight w:val="679" w:hRule="atLeast"/>
        </w:trPr>
        <w:tc>
          <w:tcPr>
            <w:tcW w:type="dxa" w:w="3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Artifacts (args.yaml, results.csv, weights) from the first fork-based run, before it was renamed exp3</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 xml:space="preserve">Whether the </w:t>
            </w:r>
            <w:r>
              <w:rPr>
                <w:rFonts w:ascii="Times New Roman" w:hAnsi="Times New Roman" w:hint="default"/>
                <w:sz w:val="18"/>
                <w:szCs w:val="18"/>
                <w:u w:color="000000"/>
                <w:shd w:val="nil" w:color="auto" w:fill="auto"/>
                <w:rtl w:val="1"/>
                <w:lang w:val="ar-SA" w:bidi="ar-SA"/>
              </w:rPr>
              <w:t>“</w:t>
            </w:r>
            <w:r>
              <w:rPr>
                <w:rFonts w:ascii="Times New Roman" w:hAnsi="Times New Roman"/>
                <w:sz w:val="18"/>
                <w:szCs w:val="18"/>
                <w:u w:color="000000"/>
                <w:shd w:val="nil" w:color="auto" w:fill="auto"/>
                <w:rtl w:val="0"/>
                <w:lang w:val="fr-FR"/>
              </w:rPr>
              <w:t>silent exp2</w:t>
            </w:r>
            <w:r>
              <w:rPr>
                <w:rFonts w:ascii="Times New Roman" w:hAnsi="Times New Roman" w:hint="default"/>
                <w:sz w:val="18"/>
                <w:szCs w:val="18"/>
                <w:u w:color="000000"/>
                <w:shd w:val="nil" w:color="auto" w:fill="auto"/>
                <w:rtl w:val="0"/>
              </w:rPr>
              <w:t xml:space="preserve">” </w:t>
            </w:r>
            <w:r>
              <w:rPr>
                <w:rFonts w:ascii="Times New Roman" w:hAnsi="Times New Roman"/>
                <w:sz w:val="18"/>
                <w:szCs w:val="18"/>
                <w:u w:color="000000"/>
                <w:shd w:val="nil" w:color="auto" w:fill="auto"/>
                <w:rtl w:val="0"/>
                <w:lang w:val="en-US"/>
              </w:rPr>
              <w:t>run is the current exp3 or another run</w:t>
            </w:r>
          </w:p>
        </w:tc>
        <w:tc>
          <w:tcPr>
            <w:tcW w:type="dxa" w:w="2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exp3 lineage</w:t>
            </w:r>
          </w:p>
        </w:tc>
      </w:tr>
      <w:tr>
        <w:tblPrEx>
          <w:shd w:val="clear" w:color="auto" w:fill="ced7e7"/>
        </w:tblPrEx>
        <w:trPr>
          <w:trHeight w:val="679" w:hRule="atLeast"/>
        </w:trPr>
        <w:tc>
          <w:tcPr>
            <w:tcW w:type="dxa" w:w="3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pt-PT"/>
              </w:rPr>
              <w:t>Pedro</w:t>
            </w:r>
            <w:r>
              <w:rPr>
                <w:rFonts w:ascii="Times New Roman" w:hAnsi="Times New Roman" w:hint="default"/>
                <w:sz w:val="18"/>
                <w:szCs w:val="18"/>
                <w:u w:color="000000"/>
                <w:shd w:val="nil" w:color="auto" w:fill="auto"/>
                <w:rtl w:val="1"/>
              </w:rPr>
              <w:t>’</w:t>
            </w:r>
            <w:r>
              <w:rPr>
                <w:rFonts w:ascii="Times New Roman" w:hAnsi="Times New Roman"/>
                <w:sz w:val="18"/>
                <w:szCs w:val="18"/>
                <w:u w:color="000000"/>
                <w:shd w:val="nil" w:color="auto" w:fill="auto"/>
                <w:rtl w:val="0"/>
                <w:lang w:val="en-US"/>
              </w:rPr>
              <w:t>s Heliponto folder (Heliponto.rar) and information on how helipad_dataset.rar was assembled</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Origin of the 100 images without a field tile</w:t>
            </w:r>
          </w:p>
        </w:tc>
        <w:tc>
          <w:tcPr>
            <w:tcW w:type="dxa" w:w="2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Geographic coverage and data origin</w:t>
            </w:r>
          </w:p>
        </w:tc>
      </w:tr>
      <w:tr>
        <w:tblPrEx>
          <w:shd w:val="clear" w:color="auto" w:fill="ced7e7"/>
        </w:tblPrEx>
        <w:trPr>
          <w:trHeight w:val="441" w:hRule="atLeast"/>
        </w:trPr>
        <w:tc>
          <w:tcPr>
            <w:tcW w:type="dxa" w:w="3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Per-tile detections (CSV per experiment) for the 7,767 pairs</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Effect of overlap on field rates</w:t>
            </w:r>
          </w:p>
        </w:tc>
        <w:tc>
          <w:tcPr>
            <w:tcW w:type="dxa" w:w="2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QE1: share of the difference explained by lineage</w:t>
            </w:r>
          </w:p>
        </w:tc>
      </w:tr>
      <w:tr>
        <w:tblPrEx>
          <w:shd w:val="clear" w:color="auto" w:fill="ced7e7"/>
        </w:tblPrEx>
        <w:trPr>
          <w:trHeight w:val="441" w:hRule="atLeast"/>
        </w:trPr>
        <w:tc>
          <w:tcPr>
            <w:tcW w:type="dxa" w:w="3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List of the 176 missing Faria Lima tiles and the 5 Av. Paulista tiles</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Complete the inventory (840 vs. 664)</w:t>
            </w:r>
          </w:p>
        </w:tc>
        <w:tc>
          <w:tcPr>
            <w:tcW w:type="dxa" w:w="2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Field denominator</w:t>
            </w:r>
          </w:p>
        </w:tc>
      </w:tr>
      <w:tr>
        <w:tblPrEx>
          <w:shd w:val="clear" w:color="auto" w:fill="ced7e7"/>
        </w:tblPrEx>
        <w:trPr>
          <w:trHeight w:val="441" w:hRule="atLeast"/>
        </w:trPr>
        <w:tc>
          <w:tcPr>
            <w:tcW w:type="dxa" w:w="36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Output from ultralytics 8.4.98 and 8.4.163 on v2 (label verification)</w:t>
            </w:r>
          </w:p>
        </w:tc>
        <w:tc>
          <w:tcPr>
            <w:tcW w:type="dxa" w:w="3300"/>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8"/>
                <w:szCs w:val="18"/>
                <w:u w:color="000000"/>
                <w:shd w:val="nil" w:color="auto" w:fill="auto"/>
                <w:rtl w:val="0"/>
                <w:lang w:val="en-US"/>
              </w:rPr>
              <w:t>How each version handles the 3 mixed-format labels</w:t>
            </w:r>
          </w:p>
        </w:tc>
        <w:tc>
          <w:tcPr>
            <w:tcW w:type="dxa" w:w="2738"/>
            <w:tcBorders>
              <w:top w:val="single" w:color="a6a6a6" w:sz="4" w:space="0" w:shadow="0" w:frame="0"/>
              <w:left w:val="single" w:color="a6a6a6" w:sz="4" w:space="0" w:shadow="0" w:frame="0"/>
              <w:bottom w:val="single" w:color="a6a6a6" w:sz="4" w:space="0" w:shadow="0" w:frame="0"/>
              <w:right w:val="single" w:color="a6a6a6"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18"/>
                <w:szCs w:val="18"/>
                <w:u w:color="000000"/>
                <w:shd w:val="nil" w:color="auto" w:fill="auto"/>
                <w:rtl w:val="0"/>
                <w:lang w:val="en-US"/>
              </w:rPr>
              <w:t>Comparability of exp2 and exp4</w:t>
            </w:r>
          </w:p>
        </w:tc>
      </w:tr>
    </w:tbl>
    <w:p>
      <w:pPr>
        <w:pStyle w:val="Heading"/>
        <w:keepNext w:val="1"/>
        <w:widowControl w:val="0"/>
      </w:pPr>
      <w:r/>
    </w:p>
    <w:sectPr>
      <w:headerReference w:type="default" r:id="rId4"/>
      <w:footerReference w:type="default" r:id="rId5"/>
      <w:pgSz w:w="11900" w:h="16840" w:orient="portrait"/>
      <w:pgMar w:top="1134" w:right="1134" w:bottom="1134" w:left="1134"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Times New Roman" w:hAnsi="Times New Roman"/>
        <w:sz w:val="20"/>
        <w:szCs w:val="20"/>
      </w:rPr>
      <w:fldChar w:fldCharType="begin" w:fldLock="0"/>
    </w:r>
    <w:r>
      <w:rPr>
        <w:rFonts w:ascii="Times New Roman" w:hAnsi="Times New Roman"/>
        <w:sz w:val="20"/>
        <w:szCs w:val="20"/>
      </w:rPr>
      <w:instrText xml:space="preserve"> PAGE </w:instrText>
    </w:r>
    <w:r>
      <w:rPr>
        <w:rFonts w:ascii="Times New Roman" w:hAnsi="Times New Roman"/>
        <w:sz w:val="20"/>
        <w:szCs w:val="20"/>
      </w:rPr>
      <w:fldChar w:fldCharType="separate" w:fldLock="0"/>
    </w:r>
    <w:r>
      <w:rPr>
        <w:rFonts w:ascii="Times New Roman" w:hAnsi="Times New Roman"/>
        <w:sz w:val="20"/>
        <w:szCs w:val="20"/>
      </w:rPr>
    </w:r>
    <w:r>
      <w:rPr>
        <w:rFonts w:ascii="Times New Roman" w:hAnsi="Times New Roman"/>
        <w:sz w:val="20"/>
        <w:szCs w:val="2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505" w:hanging="23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505" w:hanging="23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505" w:hanging="23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505" w:hanging="23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505" w:hanging="23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505" w:hanging="23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5" w:hanging="23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05" w:hanging="235"/>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505" w:hanging="235"/>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260" w:after="110" w:line="240"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1f4e8c"/>
      <w:spacing w:val="0"/>
      <w:kern w:val="0"/>
      <w:position w:val="0"/>
      <w:sz w:val="27"/>
      <w:szCs w:val="27"/>
      <w:u w:val="none" w:color="1f4e8c"/>
      <w:shd w:val="nil" w:color="auto" w:fill="auto"/>
      <w:vertAlign w:val="baseline"/>
      <w:lang w:val="fr-FR"/>
      <w14:textOutline>
        <w14:noFill/>
      </w14:textOutline>
      <w14:textFill>
        <w14:solidFill>
          <w14:srgbClr w14:val="1F4E8C"/>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180" w:after="90" w:line="240"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1f4e8c"/>
      <w:spacing w:val="0"/>
      <w:kern w:val="0"/>
      <w:position w:val="0"/>
      <w:sz w:val="24"/>
      <w:szCs w:val="24"/>
      <w:u w:val="none" w:color="1f4e8c"/>
      <w:shd w:val="nil" w:color="auto" w:fill="auto"/>
      <w:vertAlign w:val="baseline"/>
      <w:lang w:val="en-US"/>
      <w14:textOutline>
        <w14:noFill/>
      </w14:textOutline>
      <w14:textFill>
        <w14:solidFill>
          <w14:srgbClr w14:val="1F4E8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