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line="264" w:lineRule="auto"/>
        <w:jc w:val="center"/>
      </w:pPr>
      <w:r>
        <w:rPr>
          <w:rFonts w:ascii="Aptos" w:hAnsi="Aptos"/>
          <w:color w:val="262B2F"/>
          <w:sz w:val="20"/>
        </w:rPr>
        <w:drawing>
          <wp:inline distT="0" distB="0" distL="0" distR="0">
            <wp:extent cx="914400" cy="1352550"/>
            <wp:effectExtent t="0" r="0" b="0" l="0"/>
            <wp:docPr id="1" name="logo" descr="PUC-SP crest" title="PUC-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1352550"/>
                    </a:xfrm>
                    <a:prstGeom prst="rect">
                      <a:avLst/>
                    </a:prstGeom>
                  </pic:spPr>
                </pic:pic>
              </a:graphicData>
            </a:graphic>
          </wp:inline>
        </w:drawing>
      </w:r>
    </w:p>
    <w:p>
      <w:pPr>
        <w:spacing w:after="100" w:before="0" w:line="264" w:lineRule="auto"/>
        <w:jc w:val="center"/>
      </w:pPr>
      <w:r>
        <w:rPr>
          <w:rFonts w:ascii="Aptos" w:cs="Times New Roman" w:eastAsia="Times New Roman" w:hAnsi="Aptos"/>
          <w:b/>
          <w:bCs/>
          <w:color w:val="1B365D"/>
          <w:sz w:val="22"/>
          <w:szCs w:val="26"/>
        </w:rPr>
        <w:t xml:space="preserve">Pontifical Catholic University of São Paulo</w:t>
      </w:r>
    </w:p>
    <w:p>
      <w:pPr>
        <w:spacing w:after="100" w:before="0" w:line="264" w:lineRule="auto"/>
        <w:jc w:val="center"/>
      </w:pPr>
      <w:r>
        <w:rPr>
          <w:rFonts w:ascii="Aptos" w:cs="Times New Roman" w:eastAsia="Times New Roman" w:hAnsi="Aptos"/>
          <w:color w:val="262B2F"/>
          <w:sz w:val="22"/>
          <w:szCs w:val="24"/>
        </w:rPr>
        <w:t xml:space="preserve">Graduate Studies Program in</w:t>
      </w:r>
    </w:p>
    <w:p>
      <w:pPr>
        <w:spacing w:after="100" w:before="0" w:line="264" w:lineRule="auto"/>
        <w:jc w:val="center"/>
      </w:pPr>
      <w:r>
        <w:rPr>
          <w:rFonts w:ascii="Aptos" w:cs="Times New Roman" w:eastAsia="Times New Roman" w:hAnsi="Aptos"/>
          <w:color w:val="262B2F"/>
          <w:sz w:val="22"/>
          <w:szCs w:val="24"/>
        </w:rPr>
        <w:t xml:space="preserve">Intelligence Technologies and Digital Design (TIDD)</w:t>
      </w:r>
    </w:p>
    <w:p>
      <w:pPr>
        <w:spacing w:after="100" w:before="0" w:line="264" w:lineRule="auto"/>
        <w:jc w:val="center"/>
      </w:pPr>
      <w:r>
        <w:rPr>
          <w:rFonts w:ascii="Aptos" w:cs="Times New Roman" w:eastAsia="Times New Roman" w:hAnsi="Aptos"/>
          <w:b/>
          <w:bCs/>
          <w:color w:val="2B5DA8"/>
          <w:sz w:val="22"/>
          <w:szCs w:val="26"/>
        </w:rPr>
        <w:t xml:space="preserve">Fabiana Rotella Campaner</w:t>
      </w:r>
    </w:p>
    <w:p>
      <w:pPr>
        <w:spacing w:after="100" w:before="760" w:line="264" w:lineRule="auto"/>
        <w:jc w:val="center"/>
      </w:pPr>
      <w:r>
        <w:rPr>
          <w:rFonts w:ascii="Aptos Display" w:cs="Times New Roman" w:eastAsia="Times New Roman" w:hAnsi="Aptos Display"/>
          <w:b/>
          <w:bCs/>
          <w:color w:val="1B365D"/>
          <w:sz w:val="44"/>
          <w:szCs w:val="32"/>
        </w:rPr>
        <w:t xml:space="preserve">Evaluating visual detectors without ground truth</w:t>
      </w:r>
    </w:p>
    <w:p>
      <w:pPr>
        <w:pBdr>
          <w:bottom w:val="single" w:sz="8" w:space="10" w:color="2B5DA8"/>
        </w:pBdr>
        <w:spacing w:after="100" w:before="0" w:line="264" w:lineRule="auto"/>
        <w:jc w:val="center"/>
      </w:pPr>
      <w:r>
        <w:rPr>
          <w:rFonts w:ascii="Aptos" w:cs="Times New Roman" w:eastAsia="Times New Roman" w:hAnsi="Aptos"/>
          <w:color w:val="3D4B5C"/>
          <w:sz w:val="26"/>
          <w:szCs w:val="26"/>
        </w:rPr>
        <w:t xml:space="preserve">Data lineage and human review in helipad detection in satellite imagery of São Paulo</w:t>
      </w:r>
    </w:p>
    <w:p>
      <w:pPr>
        <w:spacing w:after="100" w:before="0" w:line="264" w:lineRule="auto"/>
        <w:jc w:val="center"/>
      </w:pPr>
      <w:r>
        <w:rPr>
          <w:rFonts w:ascii="Aptos" w:cs="Times New Roman" w:eastAsia="Times New Roman" w:hAnsi="Aptos"/>
          <w:color w:val="262B2F"/>
          <w:sz w:val="22"/>
          <w:szCs w:val="24"/>
        </w:rPr>
        <w:t xml:space="preserve">Research pre-proposal</w:t>
      </w:r>
    </w:p>
    <w:p>
      <w:pPr>
        <w:spacing w:after="100" w:before="0" w:line="264" w:lineRule="auto"/>
        <w:jc w:val="center"/>
      </w:pPr>
      <w:r>
        <w:rPr>
          <w:rFonts w:ascii="Aptos" w:cs="Times New Roman" w:eastAsia="Times New Roman" w:hAnsi="Aptos"/>
          <w:color w:val="262B2F"/>
          <w:sz w:val="22"/>
          <w:szCs w:val="24"/>
        </w:rPr>
        <w:t xml:space="preserve">Selection Process 1st/2027, Master's</w:t>
      </w:r>
    </w:p>
    <w:p>
      <w:pPr>
        <w:spacing w:after="100" w:before="0" w:line="264" w:lineRule="auto"/>
        <w:jc w:val="center"/>
      </w:pPr>
      <w:r>
        <w:rPr>
          <w:rFonts w:ascii="Aptos" w:cs="Times New Roman" w:eastAsia="Times New Roman" w:hAnsi="Aptos"/>
          <w:color w:val="262B2F"/>
          <w:sz w:val="22"/>
          <w:szCs w:val="24"/>
        </w:rPr>
        <w:t xml:space="preserve">São Paulo</w:t>
      </w:r>
    </w:p>
    <w:p>
      <w:pPr>
        <w:spacing w:after="100" w:before="0" w:line="264" w:lineRule="auto"/>
        <w:jc w:val="center"/>
      </w:pPr>
      <w:r>
        <w:rPr>
          <w:rFonts w:ascii="Aptos" w:cs="Times New Roman" w:eastAsia="Times New Roman" w:hAnsi="Aptos"/>
          <w:color w:val="262B2F"/>
          <w:sz w:val="22"/>
          <w:szCs w:val="24"/>
        </w:rPr>
        <w:t xml:space="preserve">2026</w:t>
      </w:r>
    </w:p>
    <w:p>
      <w:pPr>
        <w:spacing w:after="100" w:line="264" w:lineRule="auto"/>
        <w:sectPr>
          <w:headerReference w:type="default" r:id="rId10"/>
          <w:footerReference w:type="default" r:id="rId11"/>
          <w:pgSz w:w="11906" w:h="16838" w:orient="portrait"/>
          <w:pgMar w:top="1080" w:right="1181" w:bottom="1080" w:left="1267" w:header="432" w:footer="432" w:gutter="0"/>
          <w:pgNumType/>
          <w:docGrid w:linePitch="360"/>
        </w:sectPr>
      </w:pPr>
    </w:p>
    <w:p>
      <w:pPr>
        <w:keepNext/>
        <w:pBdr>
          <w:bottom w:val="single" w:sz="8" w:space="3" w:color="2B5DA8"/>
        </w:pBdr>
        <w:spacing w:after="120" w:before="240" w:line="264" w:lineRule="auto"/>
      </w:pPr>
      <w:r>
        <w:rPr>
          <w:rFonts w:ascii="Aptos" w:cs="Times New Roman" w:eastAsia="Times New Roman" w:hAnsi="Aptos"/>
          <w:b/>
          <w:bCs/>
          <w:color w:val="1B365D"/>
          <w:sz w:val="30"/>
          <w:szCs w:val="32"/>
        </w:rPr>
        <w:t xml:space="preserve">Contents</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ABSTRACT</w:t>
      </w:r>
      <w:r>
        <w:rPr>
          <w:rFonts w:ascii="Aptos" w:cs="Times New Roman" w:eastAsia="Times New Roman" w:hAnsi="Aptos"/>
          <w:b/>
          <w:bCs/>
          <w:color w:val="262B2F"/>
          <w:sz w:val="20"/>
          <w:szCs w:val="22"/>
        </w:rPr>
        <w:t xml:space="preserve">	3</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1</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RESEARCH QUESTION</w:t>
      </w:r>
      <w:r>
        <w:rPr>
          <w:rFonts w:ascii="Aptos" w:cs="Times New Roman" w:eastAsia="Times New Roman" w:hAnsi="Aptos"/>
          <w:b/>
          <w:bCs/>
          <w:color w:val="262B2F"/>
          <w:sz w:val="20"/>
          <w:szCs w:val="22"/>
        </w:rPr>
        <w:t xml:space="preserve">	3</w:t>
      </w:r>
    </w:p>
    <w:p>
      <w:pPr>
        <w:keepNext/>
        <w:tabs>
          <w:tab w:val="left" w:pos="900"/>
          <w:tab w:val="right" w:pos="9071" w:leader="dot"/>
        </w:tabs>
        <w:spacing w:after="100" w:before="200" w:line="264" w:lineRule="auto"/>
      </w:pPr>
      <w:r>
        <w:rPr>
          <w:rFonts w:ascii="Aptos" w:cs="Times New Roman" w:eastAsia="Times New Roman" w:hAnsi="Aptos"/>
          <w:color w:val="262B2F"/>
          <w:sz w:val="20"/>
          <w:szCs w:val="22"/>
        </w:rPr>
        <w:t xml:space="preserve">1.1</w:t>
      </w:r>
      <w:r>
        <w:rPr>
          <w:rFonts w:ascii="Aptos" w:cs="Times New Roman" w:eastAsia="Times New Roman" w:hAnsi="Aptos"/>
          <w:color w:val="262B2F"/>
          <w:sz w:val="20"/>
        </w:rPr>
        <w:t xml:space="preserve">	</w:t>
      </w:r>
      <w:r>
        <w:rPr>
          <w:rFonts w:ascii="Aptos" w:cs="Times New Roman" w:eastAsia="Times New Roman" w:hAnsi="Aptos"/>
          <w:color w:val="262B2F"/>
          <w:sz w:val="20"/>
          <w:szCs w:val="22"/>
        </w:rPr>
        <w:t xml:space="preserve">Context and problem</w:t>
      </w:r>
      <w:r>
        <w:rPr>
          <w:rFonts w:ascii="Aptos" w:cs="Times New Roman" w:eastAsia="Times New Roman" w:hAnsi="Aptos"/>
          <w:color w:val="262B2F"/>
          <w:sz w:val="20"/>
          <w:szCs w:val="22"/>
        </w:rPr>
        <w:t xml:space="preserve">	3</w:t>
      </w:r>
    </w:p>
    <w:p>
      <w:pPr>
        <w:keepNext/>
        <w:tabs>
          <w:tab w:val="left" w:pos="900"/>
          <w:tab w:val="right" w:pos="9071" w:leader="dot"/>
        </w:tabs>
        <w:spacing w:after="100" w:before="200" w:line="264" w:lineRule="auto"/>
      </w:pPr>
      <w:r>
        <w:rPr>
          <w:rFonts w:ascii="Aptos" w:cs="Times New Roman" w:eastAsia="Times New Roman" w:hAnsi="Aptos"/>
          <w:color w:val="262B2F"/>
          <w:sz w:val="20"/>
          <w:szCs w:val="22"/>
        </w:rPr>
        <w:t xml:space="preserve">1.2</w:t>
      </w:r>
      <w:r>
        <w:rPr>
          <w:rFonts w:ascii="Aptos" w:cs="Times New Roman" w:eastAsia="Times New Roman" w:hAnsi="Aptos"/>
          <w:color w:val="262B2F"/>
          <w:sz w:val="20"/>
        </w:rPr>
        <w:t xml:space="preserve">	</w:t>
      </w:r>
      <w:r>
        <w:rPr>
          <w:rFonts w:ascii="Aptos" w:cs="Times New Roman" w:eastAsia="Times New Roman" w:hAnsi="Aptos"/>
          <w:color w:val="262B2F"/>
          <w:sz w:val="20"/>
          <w:szCs w:val="22"/>
        </w:rPr>
        <w:t xml:space="preserve">Central question and derived questions</w:t>
      </w:r>
      <w:r>
        <w:rPr>
          <w:rFonts w:ascii="Aptos" w:cs="Times New Roman" w:eastAsia="Times New Roman" w:hAnsi="Aptos"/>
          <w:color w:val="262B2F"/>
          <w:sz w:val="20"/>
          <w:szCs w:val="22"/>
        </w:rPr>
        <w:t xml:space="preserve">	5</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2</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STATE OF THE ART</w:t>
      </w:r>
      <w:r>
        <w:rPr>
          <w:rFonts w:ascii="Aptos" w:cs="Times New Roman" w:eastAsia="Times New Roman" w:hAnsi="Aptos"/>
          <w:b/>
          <w:bCs/>
          <w:color w:val="262B2F"/>
          <w:sz w:val="20"/>
          <w:szCs w:val="22"/>
        </w:rPr>
        <w:t xml:space="preserve">	6</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3</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JUSTIFICATIONS</w:t>
      </w:r>
      <w:r>
        <w:rPr>
          <w:rFonts w:ascii="Aptos" w:cs="Times New Roman" w:eastAsia="Times New Roman" w:hAnsi="Aptos"/>
          <w:b/>
          <w:bCs/>
          <w:color w:val="262B2F"/>
          <w:sz w:val="20"/>
          <w:szCs w:val="22"/>
        </w:rPr>
        <w:tab/>
        <w:t>7</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4</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OBJECTIVES</w:t>
      </w:r>
      <w:r>
        <w:rPr>
          <w:rFonts w:ascii="Aptos" w:cs="Times New Roman" w:eastAsia="Times New Roman" w:hAnsi="Aptos"/>
          <w:b/>
          <w:bCs/>
          <w:color w:val="262B2F"/>
          <w:sz w:val="20"/>
          <w:szCs w:val="22"/>
        </w:rPr>
        <w:t xml:space="preserve">	7</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5</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HYPOTHESES</w:t>
      </w:r>
      <w:r>
        <w:rPr>
          <w:rFonts w:ascii="Aptos" w:cs="Times New Roman" w:eastAsia="Times New Roman" w:hAnsi="Aptos"/>
          <w:b/>
          <w:bCs/>
          <w:color w:val="262B2F"/>
          <w:sz w:val="20"/>
          <w:szCs w:val="22"/>
        </w:rPr>
        <w:t xml:space="preserve">	8</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6</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THEORETICAL FRAMEWORK</w:t>
      </w:r>
      <w:r>
        <w:rPr>
          <w:rFonts w:ascii="Aptos" w:cs="Times New Roman" w:eastAsia="Times New Roman" w:hAnsi="Aptos"/>
          <w:b/>
          <w:bCs/>
          <w:color w:val="262B2F"/>
          <w:sz w:val="20"/>
          <w:szCs w:val="22"/>
        </w:rPr>
        <w:t xml:space="preserve">	8</w:t>
      </w:r>
    </w:p>
    <w:p>
      <w:pPr>
        <w:keepNext/>
        <w:tabs>
          <w:tab w:val="left" w:pos="900"/>
          <w:tab w:val="right" w:pos="9071" w:leader="dot"/>
        </w:tabs>
        <w:spacing w:after="100" w:before="200" w:line="264" w:lineRule="auto"/>
      </w:pPr>
      <w:r>
        <w:rPr>
          <w:rFonts w:ascii="Aptos" w:cs="Times New Roman" w:eastAsia="Times New Roman" w:hAnsi="Aptos"/>
          <w:color w:val="262B2F"/>
          <w:sz w:val="20"/>
          <w:szCs w:val="22"/>
        </w:rPr>
        <w:t xml:space="preserve">6.1</w:t>
      </w:r>
      <w:r>
        <w:rPr>
          <w:rFonts w:ascii="Aptos" w:cs="Times New Roman" w:eastAsia="Times New Roman" w:hAnsi="Aptos"/>
          <w:color w:val="262B2F"/>
          <w:sz w:val="20"/>
        </w:rPr>
        <w:t xml:space="preserve">	</w:t>
      </w:r>
      <w:r>
        <w:rPr>
          <w:rFonts w:ascii="Aptos" w:cs="Times New Roman" w:eastAsia="Times New Roman" w:hAnsi="Aptos"/>
          <w:color w:val="262B2F"/>
          <w:sz w:val="20"/>
          <w:szCs w:val="22"/>
        </w:rPr>
        <w:t xml:space="preserve">Evidence when there is no ground truth</w:t>
      </w:r>
      <w:r>
        <w:rPr>
          <w:rFonts w:ascii="Aptos" w:cs="Times New Roman" w:eastAsia="Times New Roman" w:hAnsi="Aptos"/>
          <w:color w:val="262B2F"/>
          <w:sz w:val="20"/>
          <w:szCs w:val="22"/>
        </w:rPr>
        <w:t xml:space="preserve">	8</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7</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METHODOLOGY</w:t>
      </w:r>
      <w:r>
        <w:rPr>
          <w:rFonts w:ascii="Aptos" w:cs="Times New Roman" w:eastAsia="Times New Roman" w:hAnsi="Aptos"/>
          <w:b/>
          <w:bCs/>
          <w:color w:val="262B2F"/>
          <w:sz w:val="20"/>
          <w:szCs w:val="22"/>
        </w:rPr>
        <w:t xml:space="preserve">	9</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8</w:t>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TIMELINE</w:t>
      </w:r>
      <w:r>
        <w:rPr>
          <w:rFonts w:ascii="Aptos" w:cs="Times New Roman" w:eastAsia="Times New Roman" w:hAnsi="Aptos"/>
          <w:b/>
          <w:bCs/>
          <w:color w:val="262B2F"/>
          <w:sz w:val="20"/>
          <w:szCs w:val="22"/>
        </w:rPr>
        <w:t xml:space="preserve">	11</w:t>
      </w:r>
    </w:p>
    <w:p>
      <w:pPr>
        <w:tabs>
          <w:tab w:val="left" w:pos="900"/>
          <w:tab w:val="right" w:pos="9071" w:leader="dot"/>
        </w:tabs>
        <w:spacing w:after="100" w:before="140" w:line="264" w:lineRule="auto"/>
      </w:pPr>
      <w:r>
        <w:rPr>
          <w:rFonts w:ascii="Aptos" w:cs="Times New Roman" w:eastAsia="Times New Roman" w:hAnsi="Aptos"/>
          <w:b/>
          <w:bCs/>
          <w:color w:val="262B2F"/>
          <w:sz w:val="20"/>
          <w:szCs w:val="22"/>
        </w:rPr>
        <w:t xml:space="preserve"/>
      </w:r>
      <w:r>
        <w:rPr>
          <w:rFonts w:ascii="Aptos" w:cs="Times New Roman" w:eastAsia="Times New Roman" w:hAnsi="Aptos"/>
          <w:color w:val="262B2F"/>
          <w:sz w:val="20"/>
        </w:rPr>
        <w:t xml:space="preserve">	</w:t>
      </w:r>
      <w:r>
        <w:rPr>
          <w:rFonts w:ascii="Aptos" w:cs="Times New Roman" w:eastAsia="Times New Roman" w:hAnsi="Aptos"/>
          <w:b/>
          <w:bCs/>
          <w:color w:val="262B2F"/>
          <w:sz w:val="20"/>
          <w:szCs w:val="22"/>
        </w:rPr>
        <w:t xml:space="preserve">PRELIMINARY BIBLIOGRAPHY</w:t>
      </w:r>
      <w:r>
        <w:rPr>
          <w:rFonts w:ascii="Aptos" w:cs="Times New Roman" w:eastAsia="Times New Roman" w:hAnsi="Aptos"/>
          <w:b/>
          <w:bCs/>
          <w:color w:val="262B2F"/>
          <w:sz w:val="20"/>
          <w:szCs w:val="22"/>
        </w:rPr>
        <w:t xml:space="preserve">	12</w:t>
      </w:r>
    </w:p>
    <w:p>
      <w:pPr>
        <w:spacing w:after="100" w:line="264" w:lineRule="auto"/>
        <w:sectPr>
          <w:type w:val="nextPage"/>
          <w:pgSz w:w="11906" w:h="16838" w:orient="portrait"/>
          <w:pgMar w:top="1080" w:right="1181" w:bottom="1080" w:left="1267" w:header="432" w:footer="432" w:gutter="0"/>
          <w:pgNumType/>
          <w:docGrid w:linePitch="360"/>
        </w:sectPr>
      </w:pPr>
    </w:p>
    <w:p>
      <w:pPr>
        <w:spacing w:after="100" w:line="264" w:lineRule="auto" w:before="760"/>
        <w:jc w:val="center"/>
      </w:pPr>
      <w:r>
        <w:rPr>
          <w:rFonts w:ascii="Aptos Display" w:cs="Times New Roman" w:eastAsia="Times New Roman" w:hAnsi="Aptos Display"/>
          <w:b/>
          <w:bCs/>
          <w:color w:val="1B365D"/>
          <w:sz w:val="44"/>
          <w:szCs w:val="32"/>
        </w:rPr>
        <w:t xml:space="preserve">Evaluating visual detectors without ground truth</w:t>
      </w:r>
    </w:p>
    <w:p>
      <w:pPr>
        <w:pBdr>
          <w:bottom w:val="single" w:sz="8" w:space="10" w:color="2B5DA8"/>
        </w:pBdr>
        <w:spacing w:after="100" w:line="264" w:lineRule="auto"/>
        <w:jc w:val="center"/>
      </w:pPr>
      <w:r>
        <w:rPr>
          <w:rFonts w:ascii="Aptos" w:cs="Times New Roman" w:eastAsia="Times New Roman" w:hAnsi="Aptos"/>
          <w:b/>
          <w:bCs/>
          <w:color w:val="3D4B5C"/>
          <w:sz w:val="26"/>
          <w:szCs w:val="24"/>
        </w:rPr>
        <w:t xml:space="preserve">Data lineage and human review in helipad detection in satellite imagery of São Paulo</w:t>
      </w:r>
    </w:p>
    <w:p>
      <w:pPr>
        <w:spacing w:after="100" w:before="0" w:line="264" w:lineRule="auto"/>
        <w:jc w:val="left"/>
      </w:pPr>
      <w:r>
        <w:rPr>
          <w:rFonts w:ascii="Aptos" w:cs="Times New Roman" w:eastAsia="Times New Roman" w:hAnsi="Aptos"/>
          <w:b/>
          <w:bCs/>
          <w:color w:val="2B5DA8"/>
          <w:sz w:val="18"/>
        </w:rPr>
        <w:t xml:space="preserve">Document:</w:t>
      </w:r>
      <w:r>
        <w:rPr>
          <w:rFonts w:ascii="Aptos" w:cs="Times New Roman" w:eastAsia="Times New Roman" w:hAnsi="Aptos"/>
          <w:color w:val="262B2F"/>
          <w:sz w:val="18"/>
        </w:rPr>
        <w:t xml:space="preserve"> research pre-proposal, Selection Process 1st/2027, Master's.</w:t>
      </w:r>
    </w:p>
    <w:p>
      <w:pPr>
        <w:spacing w:after="100" w:before="0" w:line="264" w:lineRule="auto"/>
        <w:jc w:val="left"/>
      </w:pPr>
      <w:r>
        <w:rPr>
          <w:rFonts w:ascii="Aptos" w:cs="Times New Roman" w:eastAsia="Times New Roman" w:hAnsi="Aptos"/>
          <w:b/>
          <w:bCs/>
          <w:color w:val="2B5DA8"/>
          <w:sz w:val="18"/>
        </w:rPr>
        <w:t xml:space="preserve">Program:</w:t>
      </w:r>
      <w:r>
        <w:rPr>
          <w:rFonts w:ascii="Aptos" w:cs="Times New Roman" w:eastAsia="Times New Roman" w:hAnsi="Aptos"/>
          <w:color w:val="262B2F"/>
          <w:sz w:val="18"/>
        </w:rPr>
        <w:t xml:space="preserve"> Intelligence Technologies and Digital Design (TIDD), PUC-SP.</w:t>
      </w:r>
    </w:p>
    <w:p>
      <w:pPr>
        <w:spacing w:after="100" w:before="0" w:line="264" w:lineRule="auto"/>
        <w:jc w:val="left"/>
      </w:pPr>
      <w:r>
        <w:rPr>
          <w:rFonts w:ascii="Aptos" w:cs="Times New Roman" w:eastAsia="Times New Roman" w:hAnsi="Aptos"/>
          <w:b/>
          <w:bCs/>
          <w:color w:val="2B5DA8"/>
          <w:sz w:val="18"/>
        </w:rPr>
        <w:t xml:space="preserve">Structure:</w:t>
      </w:r>
      <w:r>
        <w:rPr>
          <w:rFonts w:ascii="Aptos" w:cs="Times New Roman" w:eastAsia="Times New Roman" w:hAnsi="Aptos"/>
          <w:color w:val="262B2F"/>
          <w:sz w:val="18"/>
        </w:rPr>
        <w:t xml:space="preserve"> follows the program's project outline (SANTAELLA, [n.d.]).</w:t>
      </w:r>
    </w:p>
    <w:p>
      <w:pPr>
        <w:spacing w:after="100" w:before="0" w:line="264" w:lineRule="auto"/>
        <w:jc w:val="left"/>
      </w:pPr>
      <w:r>
        <w:rPr>
          <w:rFonts w:ascii="Aptos" w:cs="Times New Roman" w:eastAsia="Times New Roman" w:hAnsi="Aptos"/>
          <w:b/>
          <w:bCs/>
          <w:color w:val="2B5DA8"/>
          <w:sz w:val="18"/>
        </w:rPr>
        <w:t xml:space="preserve">Area of concentration:</w:t>
      </w:r>
      <w:r>
        <w:rPr>
          <w:rFonts w:ascii="Aptos" w:cs="Times New Roman" w:eastAsia="Times New Roman" w:hAnsi="Aptos"/>
          <w:color w:val="262B2F"/>
          <w:sz w:val="18"/>
        </w:rPr>
        <w:t xml:space="preserve"> Cognitive Processes and Digital Environments.</w:t>
      </w:r>
    </w:p>
    <w:p>
      <w:pPr>
        <w:spacing w:after="100" w:before="0" w:line="264" w:lineRule="auto"/>
        <w:jc w:val="left"/>
      </w:pPr>
      <w:r>
        <w:rPr>
          <w:rFonts w:ascii="Aptos" w:cs="Times New Roman" w:eastAsia="Times New Roman" w:hAnsi="Aptos"/>
          <w:b/>
          <w:bCs/>
          <w:color w:val="2B5DA8"/>
          <w:sz w:val="18"/>
        </w:rPr>
        <w:t xml:space="preserve">Research line:</w:t>
      </w:r>
      <w:r>
        <w:rPr>
          <w:rFonts w:ascii="Aptos" w:cs="Times New Roman" w:eastAsia="Times New Roman" w:hAnsi="Aptos"/>
          <w:color w:val="262B2F"/>
          <w:sz w:val="18"/>
        </w:rPr>
        <w:t xml:space="preserve"> 4. Artificial Intelligence and Management, with secondary adherence to line 3, Human-Computer Interaction and Social Computing.</w:t>
      </w:r>
    </w:p>
    <w:p>
      <w:pPr>
        <w:pBdr>
          <w:left w:val="single" w:sz="24" w:space="8" w:color="2B5DA8"/>
        </w:pBdr>
        <w:shd w:val="clear" w:color="auto" w:fill="EEF3FA"/>
        <w:spacing w:after="100" w:before="0" w:line="264" w:lineRule="auto"/>
        <w:ind w:left="360" w:right="360"/>
        <w:jc w:val="both"/>
      </w:pPr>
      <w:r>
        <w:rPr>
          <w:rFonts w:ascii="Aptos" w:cs="Times New Roman" w:eastAsia="Times New Roman" w:hAnsi="Aptos"/>
          <w:b/>
          <w:bCs/>
          <w:color w:val="1B365D"/>
          <w:sz w:val="20"/>
        </w:rPr>
        <w:t xml:space="preserve">Responsible-use notice.</w:t>
      </w:r>
      <w:r>
        <w:rPr>
          <w:rFonts w:ascii="Aptos" w:cs="Times New Roman" w:eastAsia="Times New Roman" w:hAnsi="Aptos"/>
          <w:color w:val="262B2F"/>
          <w:sz w:val="20"/>
        </w:rPr>
        <w:t xml:space="preserve"> Automated image-based visual detection, subject to errors and not equivalent to operational, legal, safety or aeronautical validation. This research evaluates detectors, not sites: it does not produce, nor does it intend to produce, any validation of helipads for use, landing, delivery, or regulatory compliance.</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Abstract</w:t>
      </w:r>
    </w:p>
    <w:p>
      <w:pPr>
        <w:spacing w:after="100" w:before="0" w:line="264" w:lineRule="auto"/>
        <w:jc w:val="both"/>
      </w:pPr>
      <w:r>
        <w:rPr>
          <w:rFonts w:ascii="Aptos" w:cs="Times New Roman" w:eastAsia="Times New Roman" w:hAnsi="Aptos"/>
          <w:color w:val="262B2F"/>
          <w:sz w:val="20"/>
        </w:rPr>
        <w:t xml:space="preserve">Object detectors trained on few examples are usually evaluated on a small validation set annotated by the team itself, and these metrics, on their own, do not characterize behavior in a real, unannotated region. In the case studied, the Helipad Detector, four experiments with mAP@50 from 0.993 to 0.994 produced, on the same 7,767 field region × tile pairs, detection rates from 9.6% to 21.0%. The dissertation asks how much of this difference is explained by data lineage, validation, and artifacts, and what the precision of the detections is according to sampled human review. It proposes a reproducible protocol with lineage audit, controlled comparison with spatial partitioning, and precision estimation by human review, treated as an act of image interpretation and not as ground truth. A study on reviewers' trust remains as an extension conditional on time and ethics approval.</w:t>
      </w:r>
    </w:p>
    <w:p>
      <w:pPr>
        <w:spacing w:after="100" w:before="0" w:line="264" w:lineRule="auto"/>
        <w:jc w:val="left"/>
      </w:pPr>
      <w:r>
        <w:rPr>
          <w:rFonts w:ascii="Aptos" w:cs="Times New Roman" w:eastAsia="Times New Roman" w:hAnsi="Aptos"/>
          <w:b/>
          <w:bCs/>
          <w:color w:val="2B5DA8"/>
          <w:sz w:val="18"/>
        </w:rPr>
        <w:t xml:space="preserve">Keywords:</w:t>
      </w:r>
      <w:r>
        <w:rPr>
          <w:rFonts w:ascii="Aptos" w:cs="Times New Roman" w:eastAsia="Times New Roman" w:hAnsi="Aptos"/>
          <w:color w:val="262B2F"/>
          <w:sz w:val="18"/>
        </w:rPr>
        <w:t xml:space="preserve"> object detection; model evaluation; human visual reference; image interpretation; trust in automation; satellite imagery.</w:t>
      </w:r>
    </w:p>
    <w:p>
      <w:pPr>
        <w:pStyle w:val="Heading1"/>
        <w:keepNext/>
        <w:pBdr>
          <w:bottom w:val="single" w:sz="8" w:space="3" w:color="2B5DA8"/>
        </w:pBdr>
        <w:spacing w:after="120" w:line="264" w:lineRule="auto" w:before="240"/>
      </w:pPr>
      <w:r>
        <w:rPr>
          <w:rFonts w:ascii="Aptos" w:hAnsi="Aptos" w:cs="Aptos" w:eastAsia="Aptos"/>
          <w:color w:val="1B365D"/>
          <w:sz w:val="30"/>
          <w:szCs w:val="30"/>
        </w:rPr>
        <w:t xml:space="preserve">1. Research question</w:t>
      </w:r>
    </w:p>
    <w:p>
      <w:pPr>
        <w:pStyle w:val="Heading2"/>
        <w:keepNext/>
        <w:spacing w:after="100" w:line="264" w:lineRule="auto" w:before="200"/>
      </w:pPr>
      <w:r>
        <w:rPr>
          <w:rFonts w:ascii="Aptos" w:cs="Times New Roman" w:eastAsia="Times New Roman" w:hAnsi="Aptos"/>
          <w:b/>
          <w:color w:val="2B5DA8"/>
          <w:sz w:val="24"/>
        </w:rPr>
        <w:t xml:space="preserve">1.1 Context and problem</w:t>
      </w:r>
    </w:p>
    <w:p>
      <w:pPr>
        <w:spacing w:after="100" w:before="0" w:line="264" w:lineRule="auto"/>
        <w:jc w:val="both"/>
      </w:pPr>
      <w:r>
        <w:rPr>
          <w:rFonts w:ascii="Aptos" w:cs="Times New Roman" w:eastAsia="Times New Roman" w:hAnsi="Aptos"/>
          <w:color w:val="262B2F"/>
          <w:sz w:val="20"/>
        </w:rPr>
        <w:t xml:space="preserve">The Helipad Detector is a team-developed project, with a </w:t>
      </w:r>
      <w:hyperlink w:history="1" r:id="rId7s8qjo4wgbl2imkjocfji">
        <w:r>
          <w:rPr>
            <w:rFonts w:ascii="Aptos" w:cs="Aptos" w:eastAsia="Aptos" w:hAnsi="Aptos"/>
            <w:color w:val="1D5FD1"/>
            <w:sz w:val="20"/>
            <w:szCs w:val="20"/>
            <w:u w:val="single" w:color="1D5FD1"/>
          </w:rPr>
          <w:t xml:space="preserve">public repository</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and a record of each author's contributions (MINDFUL AI RESEARCH, 2026a). It uses YOLO networks trained for a single class (“helipad”), applied to satellite image crops (</w:t>
      </w:r>
      <w:r>
        <w:rPr>
          <w:rFonts w:ascii="Aptos" w:cs="Times New Roman" w:eastAsia="Times New Roman" w:hAnsi="Aptos"/>
          <w:color w:val="262B2F"/>
          <w:sz w:val="20"/>
        </w:rPr>
        <w:t xml:space="preserve">tiles</w:t>
      </w:r>
      <w:r>
        <w:rPr>
          <w:rFonts w:ascii="Aptos" w:cs="Times New Roman" w:eastAsia="Times New Roman" w:hAnsi="Aptos"/>
          <w:color w:val="262B2F"/>
          <w:sz w:val="20"/>
        </w:rPr>
        <w:t xml:space="preserve"> of 256 × 256 pixels, zoom 19), with field evaluation in ten regions of Greater São Paulo, a scope that the research maintains.</w:t>
      </w:r>
    </w:p>
    <w:p>
      <w:pPr>
        <w:spacing w:after="100" w:before="0" w:line="264" w:lineRule="auto"/>
        <w:jc w:val="both"/>
      </w:pPr>
      <w:r>
        <w:rPr>
          <w:rFonts w:ascii="Aptos" w:cs="Times New Roman" w:eastAsia="Times New Roman" w:hAnsi="Aptos"/>
          <w:color w:val="262B2F"/>
          <w:sz w:val="20"/>
        </w:rPr>
        <w:t xml:space="preserve">The project originated as coursework for the Neural Networks course, in the 5th semester of the undergraduate program in Data Science and Artificial Intelligence at PUC-SP, taught by Prof. Rooney Ribeiro Albuquerque Coelho. The applicant has been part of the project since June 2026. The contribution that underpins this research is the automation of the collection and geocoding of </w:t>
      </w:r>
      <w:r>
        <w:rPr>
          <w:rFonts w:ascii="Aptos" w:cs="Times New Roman" w:eastAsia="Times New Roman" w:hAnsi="Aptos"/>
          <w:color w:val="262B2F"/>
          <w:sz w:val="20"/>
        </w:rPr>
        <w:t xml:space="preserve">tiles</w:t>
      </w:r>
      <w:r>
        <w:rPr>
          <w:rFonts w:ascii="Aptos" w:cs="Times New Roman" w:eastAsia="Times New Roman" w:hAnsi="Aptos"/>
          <w:color w:val="262B2F"/>
          <w:sz w:val="20"/>
        </w:rPr>
        <w:t xml:space="preserve">, the execution of experiments exp2, exp3, and exp4, and the field evaluation in the ten regions, expanded from the region explored by Pedro Vyctor Almeida, author of the original annotated dataset and of exp1. The project's other deliverables (</w:t>
      </w:r>
      <w:hyperlink w:history="1" r:id="rIdyz9ivocnobp53wi4pj5m_">
        <w:r>
          <w:rPr>
            <w:rFonts w:ascii="Aptos" w:cs="Aptos" w:eastAsia="Aptos" w:hAnsi="Aptos"/>
            <w:color w:val="1D5FD1"/>
            <w:sz w:val="20"/>
            <w:szCs w:val="20"/>
            <w:u w:val="single" w:color="1D5FD1"/>
          </w:rPr>
          <w:t xml:space="preserve">interactive dashboard</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w:t>
      </w:r>
      <w:hyperlink w:history="1" r:id="rId14">
        <w:r>
          <w:rPr>
            <w:rFonts w:ascii="Aptos" w:cs="Aptos" w:eastAsia="Aptos" w:hAnsi="Aptos"/>
            <w:color w:val="1D5FD1"/>
            <w:sz w:val="20"/>
            <w:szCs w:val="20"/>
            <w:u w:val="single" w:color="1D5FD1"/>
          </w:rPr>
          <w:t xml:space="preserve">presentation</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and reports in </w:t>
      </w:r>
      <w:hyperlink w:history="1" r:id="rIdlsxavj6obiw6ckrlz28mm">
        <w:r>
          <w:rPr>
            <w:rFonts w:ascii="Aptos" w:cs="Aptos" w:eastAsia="Aptos" w:hAnsi="Aptos"/>
            <w:color w:val="1D5FD1"/>
            <w:sz w:val="20"/>
            <w:szCs w:val="20"/>
            <w:u w:val="single" w:color="1D5FD1"/>
          </w:rPr>
          <w:t xml:space="preserve">Portuguese</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and </w:t>
      </w:r>
      <w:hyperlink w:history="1" r:id="rId2qhn7xensnnimizv5iexq">
        <w:r>
          <w:rPr>
            <w:rFonts w:ascii="Aptos" w:cs="Aptos" w:eastAsia="Aptos" w:hAnsi="Aptos"/>
            <w:color w:val="1D5FD1"/>
            <w:sz w:val="20"/>
            <w:szCs w:val="20"/>
            <w:u w:val="single" w:color="1D5FD1"/>
          </w:rPr>
          <w:t xml:space="preserve">English</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are in the </w:t>
      </w:r>
      <w:hyperlink w:history="1" r:id="rId7s8qjo4wgbl2imkjocfji">
        <w:r>
          <w:rPr>
            <w:rFonts w:ascii="Aptos" w:cs="Aptos" w:eastAsia="Aptos" w:hAnsi="Aptos"/>
            <w:color w:val="1D5FD1"/>
            <w:sz w:val="20"/>
            <w:szCs w:val="20"/>
            <w:u w:val="single" w:color="1D5FD1"/>
          </w:rPr>
          <w:t xml:space="preserve">Helipad Detector</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repository and are not part of this research (MINDFUL AI RESEARCH, 2026b, 2026c, 2026d, 2026e).</w:t>
      </w:r>
    </w:p>
    <w:p>
      <w:pPr>
        <w:spacing w:after="100" w:before="0" w:line="264" w:lineRule="auto"/>
        <w:jc w:val="both"/>
      </w:pPr>
      <w:r>
        <w:rPr>
          <w:rFonts w:ascii="Aptos" w:cs="Times New Roman" w:eastAsia="Times New Roman" w:hAnsi="Aptos"/>
          <w:b/>
          <w:bCs/>
          <w:color w:val="1B365D"/>
          <w:sz w:val="20"/>
        </w:rPr>
        <w:t xml:space="preserve">Ground truth</w:t>
      </w:r>
      <w:r>
        <w:rPr>
          <w:rFonts w:ascii="Aptos" w:cs="Times New Roman" w:eastAsia="Times New Roman" w:hAnsi="Aptos"/>
          <w:color w:val="262B2F"/>
          <w:sz w:val="20"/>
        </w:rPr>
        <w:t xml:space="preserve"> is the independent confirmation, on site or from an official source, of what exists at the detected point. </w:t>
      </w:r>
      <w:r>
        <w:rPr>
          <w:rFonts w:ascii="Aptos" w:cs="Times New Roman" w:eastAsia="Times New Roman" w:hAnsi="Aptos"/>
          <w:b/>
          <w:bCs/>
          <w:color w:val="262B2F"/>
          <w:sz w:val="20"/>
        </w:rPr>
        <w:t xml:space="preserve">Human visual reference</w:t>
      </w:r>
      <w:r>
        <w:rPr>
          <w:rFonts w:ascii="Aptos" w:cs="Times New Roman" w:eastAsia="Times New Roman" w:hAnsi="Aptos"/>
          <w:color w:val="262B2F"/>
          <w:sz w:val="20"/>
        </w:rPr>
        <w:t xml:space="preserve"> is the label that people assign from the same images: an act of interpretation, subject to ambiguity, and not equivalent to ground truth. The project does not have the former at scale.</w:t>
      </w:r>
    </w:p>
    <w:p>
      <w:pPr>
        <w:spacing w:after="100" w:before="0" w:line="264" w:lineRule="auto"/>
        <w:jc w:val="both"/>
      </w:pPr>
      <w:r>
        <w:rPr>
          <w:rFonts w:ascii="Aptos" w:cs="Times New Roman" w:eastAsia="Times New Roman" w:hAnsi="Aptos"/>
          <w:color w:val="262B2F"/>
          <w:sz w:val="20"/>
        </w:rPr>
        <w:t xml:space="preserve">The experiments with YOLOv8n and YOLO11n are practically indistinguishable on validation (mAP@50 from 0.993 to 0.994; Table 1). On the same 7,767 region ×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pairs (5,540 distinct tiles) from ten regions, with a confidence threshold of 0.25, they produce detection rates from 9.64% to 21.00% (Table 2 and Figure 1): the highest is more than double the lowest.</w:t>
      </w:r>
    </w:p>
    <w:p>
      <w:pPr>
        <w:keepNext/>
        <w:spacing w:after="60" w:before="160" w:line="264" w:lineRule="auto"/>
        <w:jc w:val="left"/>
      </w:pPr>
      <w:r>
        <w:rPr>
          <w:rFonts w:ascii="Aptos" w:cs="Times New Roman" w:eastAsia="Times New Roman" w:hAnsi="Aptos"/>
          <w:b/>
          <w:bCs/>
          <w:color w:val="2B5DA8"/>
          <w:sz w:val="18"/>
          <w:szCs w:val="22"/>
        </w:rPr>
        <w:t xml:space="preserve">Table 1.</w:t>
      </w:r>
      <w:r>
        <w:rPr>
          <w:rFonts w:ascii="Aptos" w:cs="Times New Roman" w:eastAsia="Times New Roman" w:hAnsi="Aptos"/>
          <w:b/>
          <w:color w:val="262B2F"/>
          <w:sz w:val="18"/>
          <w:szCs w:val="22"/>
        </w:rPr>
        <w:t xml:space="preserve"> Performance on the validation set (best epoch by mAP@50–95)</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700"/>
        <w:gridCol w:w="1150"/>
        <w:gridCol w:w="1600"/>
        <w:gridCol w:w="850"/>
        <w:gridCol w:w="700"/>
        <w:gridCol w:w="700"/>
        <w:gridCol w:w="1000"/>
        <w:gridCol w:w="2371"/>
      </w:tblGrid>
      <w:tr>
        <w:trPr>
          <w:cantSplit/>
          <w:tblHeader/>
          <w:cantSplit/>
        </w:trPr>
        <w:tc>
          <w:tcPr>
            <w:tcW w:type="dxa" w:w="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Exp.</w:t>
            </w:r>
          </w:p>
        </w:tc>
        <w:tc>
          <w:tcPr>
            <w:tcW w:type="dxa" w:w="115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Model (epochs)</w:t>
            </w:r>
          </w:p>
        </w:tc>
        <w:tc>
          <w:tcPr>
            <w:tcW w:type="dxa" w:w="16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Data (train / val.)</w:t>
            </w:r>
          </w:p>
        </w:tc>
        <w:tc>
          <w:tcPr>
            <w:tcW w:type="dxa" w:w="85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Best epoch</w:t>
            </w:r>
          </w:p>
        </w:tc>
        <w:tc>
          <w:tcPr>
            <w:tcW w:type="dxa" w:w="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Prec.</w:t>
            </w:r>
          </w:p>
        </w:tc>
        <w:tc>
          <w:tcPr>
            <w:tcW w:type="dxa" w:w="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Rec.</w:t>
            </w:r>
          </w:p>
        </w:tc>
        <w:tc>
          <w:tcPr>
            <w:tcW w:type="dxa" w:w="10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mAP@50</w:t>
            </w:r>
          </w:p>
        </w:tc>
        <w:tc>
          <w:tcPr>
            <w:tcW w:type="dxa" w:w="23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mAP@50–95 best (last)</w:t>
            </w:r>
          </w:p>
        </w:tc>
      </w:tr>
      <w:tr>
        <w:trPr>
          <w:cantSplit/>
          <w:cantSplit/>
        </w:trPr>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exp1</w:t>
            </w:r>
          </w:p>
        </w:tc>
        <w:tc>
          <w:tcPr>
            <w:tcW w:type="dxa" w:w="11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YOLOv8n (60)</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Project-2 (178 / 34)†</w:t>
            </w:r>
          </w:p>
        </w:tc>
        <w:tc>
          <w:tcPr>
            <w:tcW w:type="dxa" w:w="8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54</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1.000</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0.963</w:t>
            </w:r>
          </w:p>
        </w:tc>
        <w:tc>
          <w:tcPr>
            <w:tcW w:type="dxa" w:w="1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0.994</w:t>
            </w:r>
          </w:p>
        </w:tc>
        <w:tc>
          <w:tcPr>
            <w:tcW w:type="dxa" w:w="2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0.881 (0.841)</w:t>
            </w:r>
          </w:p>
        </w:tc>
      </w:tr>
      <w:tr>
        <w:trPr>
          <w:cantSplit/>
          <w:cantSplit/>
        </w:trPr>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exp2</w:t>
            </w:r>
          </w:p>
        </w:tc>
        <w:tc>
          <w:tcPr>
            <w:tcW w:type="dxa" w:w="11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YOLOv8n (100)</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Project-2 (178 / 34)</w:t>
            </w:r>
          </w:p>
        </w:tc>
        <w:tc>
          <w:tcPr>
            <w:tcW w:type="dxa" w:w="8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81</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0.982</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0.971</w:t>
            </w:r>
          </w:p>
        </w:tc>
        <w:tc>
          <w:tcPr>
            <w:tcW w:type="dxa" w:w="1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0.993</w:t>
            </w:r>
          </w:p>
        </w:tc>
        <w:tc>
          <w:tcPr>
            <w:tcW w:type="dxa" w:w="2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0.888 (0.841)</w:t>
            </w:r>
          </w:p>
        </w:tc>
      </w:tr>
      <w:tr>
        <w:trPr>
          <w:cantSplit/>
          <w:cantSplit/>
        </w:trPr>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exp3</w:t>
            </w:r>
          </w:p>
        </w:tc>
        <w:tc>
          <w:tcPr>
            <w:tcW w:type="dxa" w:w="11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YOLOv8n (100)</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Project-1, with augmentation§ (356 / 34)</w:t>
            </w:r>
          </w:p>
        </w:tc>
        <w:tc>
          <w:tcPr>
            <w:tcW w:type="dxa" w:w="8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78</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0.943</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1.000</w:t>
            </w:r>
          </w:p>
        </w:tc>
        <w:tc>
          <w:tcPr>
            <w:tcW w:type="dxa" w:w="1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0.993</w:t>
            </w:r>
          </w:p>
        </w:tc>
        <w:tc>
          <w:tcPr>
            <w:tcW w:type="dxa" w:w="2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0.885 (0.841)</w:t>
            </w:r>
          </w:p>
        </w:tc>
      </w:tr>
      <w:tr>
        <w:trPr>
          <w:cantSplit/>
          <w:cantSplit/>
        </w:trPr>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exp4</w:t>
            </w:r>
          </w:p>
        </w:tc>
        <w:tc>
          <w:tcPr>
            <w:tcW w:type="dxa" w:w="11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YOLO11n (100)</w:t>
            </w:r>
          </w:p>
        </w:tc>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Project-2 (178 / 34)‡</w:t>
            </w:r>
          </w:p>
        </w:tc>
        <w:tc>
          <w:tcPr>
            <w:tcW w:type="dxa" w:w="8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54</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0.970</w:t>
            </w:r>
          </w:p>
        </w:tc>
        <w:tc>
          <w:tcPr>
            <w:tcW w:type="dxa" w:w="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0.948</w:t>
            </w:r>
          </w:p>
        </w:tc>
        <w:tc>
          <w:tcPr>
            <w:tcW w:type="dxa" w:w="1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0.993</w:t>
            </w:r>
          </w:p>
        </w:tc>
        <w:tc>
          <w:tcPr>
            <w:tcW w:type="dxa" w:w="2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0.877 (0.854)</w:t>
            </w:r>
          </w:p>
        </w:tc>
      </w:tr>
    </w:tbl>
    <w:p>
      <w:pPr>
        <w:spacing w:after="100" w:before="0" w:line="264" w:lineRule="auto"/>
        <w:jc w:val="both"/>
      </w:pPr>
      <w:r>
        <w:rPr>
          <w:rFonts w:ascii="Aptos" w:cs="Times New Roman" w:eastAsia="Times New Roman" w:hAnsi="Aptos"/>
          <w:color w:val="262B2F"/>
          <w:sz w:val="18"/>
          <w:szCs w:val="19"/>
        </w:rPr>
        <w:t xml:space="preserve">Source: results.csv and args.yaml of the experiments, in the repository; seed 42 and 640 px images in all. †Attribution by documentary evidence, not by count record: the args.yaml and the preserved weights of exp1 (run “exp1-2”, by Pedro Vyctor Almeida) point to version 2 of the dataset and are byte-for-byte identical to those of the applicant's copy; the training log saved in the notebook (116 training images and 33 validation images) is compatible with the original exp1 run, on version 1, of which only the args.yaml remains. Strong indication, to be confirmed in Stage 1. ‡Same data as exp2, but Ultralytics 8.4.163 (exp2: 8.4.98), which flagged as corrupted three training label files that mix polygons and boxes. §Fork of the dataset with data augmentation (rotation of ±15°, brightness, and flips).</w:t>
      </w:r>
    </w:p>
    <w:p>
      <w:pPr>
        <w:spacing w:after="100" w:before="0" w:line="264" w:lineRule="auto"/>
        <w:jc w:val="both"/>
      </w:pPr>
      <w:r>
        <w:rPr>
          <w:rFonts w:ascii="Aptos" w:hAnsi="Aptos" w:cs="Aptos" w:eastAsia="Aptos"/>
          <w:color w:val="262B2F"/>
          <w:sz w:val="20"/>
          <w:szCs w:val="20"/>
        </w:rPr>
        <w:t xml:space="preserve">For this reason, at present, no comparison among the repository's experiments constitutes a controlled experiment; the exp2 × exp4 pair is the closest to one, with the caveat of the Ultralytics version difference and the three flagged label files.</w:t>
      </w:r>
    </w:p>
    <w:p>
      <w:pPr>
        <w:keepNext/>
        <w:spacing w:after="60" w:before="160" w:line="264" w:lineRule="auto"/>
        <w:jc w:val="left"/>
      </w:pPr>
      <w:r>
        <w:rPr>
          <w:rFonts w:ascii="Aptos" w:cs="Times New Roman" w:eastAsia="Times New Roman" w:hAnsi="Aptos"/>
          <w:b/>
          <w:bCs/>
          <w:color w:val="2B5DA8"/>
          <w:sz w:val="18"/>
          <w:szCs w:val="22"/>
        </w:rPr>
        <w:t xml:space="preserve">Table 2.</w:t>
      </w:r>
      <w:r>
        <w:rPr>
          <w:rFonts w:ascii="Aptos" w:cs="Times New Roman" w:eastAsia="Times New Roman" w:hAnsi="Aptos"/>
          <w:b/>
          <w:color w:val="262B2F"/>
          <w:sz w:val="18"/>
          <w:szCs w:val="22"/>
        </w:rPr>
        <w:t xml:space="preserve"> Field detection (confidence threshold 0.25; 7,767 region × </w:t>
      </w:r>
      <w:r>
        <w:rPr>
          <w:rFonts w:ascii="Aptos" w:cs="Times New Roman" w:eastAsia="Times New Roman" w:hAnsi="Aptos"/>
          <w:b/>
          <w:i/>
          <w:iCs/>
          <w:color w:val="262B2F"/>
          <w:sz w:val="18"/>
          <w:szCs w:val="22"/>
        </w:rPr>
        <w:t xml:space="preserve">tile</w:t>
      </w:r>
      <w:r>
        <w:rPr>
          <w:rFonts w:ascii="Aptos" w:cs="Times New Roman" w:eastAsia="Times New Roman" w:hAnsi="Aptos"/>
          <w:b/>
          <w:color w:val="262B2F"/>
          <w:sz w:val="18"/>
          <w:szCs w:val="22"/>
        </w:rPr>
        <w:t xml:space="preserve"> pairs, ten regions)</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2200"/>
        <w:gridCol w:w="2300"/>
        <w:gridCol w:w="1900"/>
        <w:gridCol w:w="2671"/>
      </w:tblGrid>
      <w:tr>
        <w:trPr>
          <w:cantSplit/>
          <w:tblHeader/>
          <w:cantSplit/>
        </w:trPr>
        <w:tc>
          <w:tcPr>
            <w:tcW w:type="dxa" w:w="22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Experiment</w:t>
            </w:r>
          </w:p>
        </w:tc>
        <w:tc>
          <w:tcPr>
            <w:tcW w:type="dxa" w:w="23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Tiles with detection</w:t>
            </w:r>
          </w:p>
        </w:tc>
        <w:tc>
          <w:tcPr>
            <w:tcW w:type="dxa" w:w="19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Rate</w:t>
            </w:r>
          </w:p>
        </w:tc>
        <w:tc>
          <w:tcPr>
            <w:tcW w:type="dxa" w:w="26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Wilson 95% CI (naive)</w:t>
            </w:r>
          </w:p>
        </w:tc>
      </w:tr>
      <w:tr>
        <w:trPr>
          <w:cantSplit/>
          <w:cantSplit/>
        </w:trPr>
        <w:tc>
          <w:tcPr>
            <w:tcW w:type="dxa" w:w="22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exp1</w:t>
            </w:r>
          </w:p>
        </w:tc>
        <w:tc>
          <w:tcPr>
            <w:tcW w:type="dxa" w:w="2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749</w:t>
            </w:r>
          </w:p>
        </w:tc>
        <w:tc>
          <w:tcPr>
            <w:tcW w:type="dxa" w:w="1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9.64%</w:t>
            </w:r>
          </w:p>
        </w:tc>
        <w:tc>
          <w:tcPr>
            <w:tcW w:type="dxa" w:w="26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9.01–10.32%</w:t>
            </w:r>
          </w:p>
        </w:tc>
      </w:tr>
      <w:tr>
        <w:trPr>
          <w:cantSplit/>
          <w:cantSplit/>
        </w:trPr>
        <w:tc>
          <w:tcPr>
            <w:tcW w:type="dxa" w:w="22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exp3</w:t>
            </w:r>
          </w:p>
        </w:tc>
        <w:tc>
          <w:tcPr>
            <w:tcW w:type="dxa" w:w="2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1,389</w:t>
            </w:r>
          </w:p>
        </w:tc>
        <w:tc>
          <w:tcPr>
            <w:tcW w:type="dxa" w:w="1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17.88%</w:t>
            </w:r>
          </w:p>
        </w:tc>
        <w:tc>
          <w:tcPr>
            <w:tcW w:type="dxa" w:w="26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17.05–18.75%</w:t>
            </w:r>
          </w:p>
        </w:tc>
      </w:tr>
      <w:tr>
        <w:trPr>
          <w:cantSplit/>
          <w:cantSplit/>
        </w:trPr>
        <w:tc>
          <w:tcPr>
            <w:tcW w:type="dxa" w:w="22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exp4</w:t>
            </w:r>
          </w:p>
        </w:tc>
        <w:tc>
          <w:tcPr>
            <w:tcW w:type="dxa" w:w="2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1,423</w:t>
            </w:r>
          </w:p>
        </w:tc>
        <w:tc>
          <w:tcPr>
            <w:tcW w:type="dxa" w:w="1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18.32%</w:t>
            </w:r>
          </w:p>
        </w:tc>
        <w:tc>
          <w:tcPr>
            <w:tcW w:type="dxa" w:w="26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17.48–19.20%</w:t>
            </w:r>
          </w:p>
        </w:tc>
      </w:tr>
      <w:tr>
        <w:trPr>
          <w:cantSplit/>
          <w:cantSplit/>
        </w:trPr>
        <w:tc>
          <w:tcPr>
            <w:tcW w:type="dxa" w:w="22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exp2 (rerun)</w:t>
            </w:r>
          </w:p>
        </w:tc>
        <w:tc>
          <w:tcPr>
            <w:tcW w:type="dxa" w:w="2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1,631</w:t>
            </w:r>
          </w:p>
        </w:tc>
        <w:tc>
          <w:tcPr>
            <w:tcW w:type="dxa" w:w="1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21.00%</w:t>
            </w:r>
          </w:p>
        </w:tc>
        <w:tc>
          <w:tcPr>
            <w:tcW w:type="dxa" w:w="26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20.11–21.92%</w:t>
            </w:r>
          </w:p>
        </w:tc>
      </w:tr>
    </w:tbl>
    <w:p>
      <w:pPr>
        <w:spacing w:after="100" w:before="0" w:line="264" w:lineRule="auto"/>
        <w:jc w:val="both"/>
      </w:pPr>
      <w:r>
        <w:rPr>
          <w:rFonts w:ascii="Aptos" w:cs="Times New Roman" w:eastAsia="Times New Roman" w:hAnsi="Aptos"/>
          <w:color w:val="262B2F"/>
          <w:sz w:val="18"/>
          <w:szCs w:val="19"/>
        </w:rPr>
        <w:t xml:space="preserve">Source: detection_summary_by_region*.json reports in the repository. The production run of exp2 (7,943 tiles) detected 1,677 (21.1%). The naive interval treats tiles as independent and therefore underestimates uncertainty, since neighboring tiles are spatially dependent.</w:t>
      </w:r>
    </w:p>
    <w:p>
      <w:pPr>
        <w:keepNext/>
        <w:spacing w:after="100" w:before="60" w:line="264" w:lineRule="auto"/>
        <w:jc w:val="center"/>
      </w:pPr>
      <w:r>
        <w:rPr>
          <w:rFonts w:ascii="Aptos" w:hAnsi="Aptos"/>
          <w:color w:val="262B2F"/>
          <w:sz w:val="20"/>
        </w:rPr>
        <w:drawing>
          <wp:inline distT="0" distB="0" distL="0" distR="0">
            <wp:extent cx="5572125" cy="2419350"/>
            <wp:effectExtent t="0" r="0" b="0" l="0"/>
            <wp:docPr id="1" name="fig1" descr="Bars of validation mAP@50 and field detection rate for exp1 to exp4"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2419350"/>
                    </a:xfrm>
                    <a:prstGeom prst="rect">
                      <a:avLst/>
                    </a:prstGeom>
                  </pic:spPr>
                </pic:pic>
              </a:graphicData>
            </a:graphic>
          </wp:inline>
        </w:drawing>
      </w:r>
    </w:p>
    <w:p>
      <w:pPr>
        <w:spacing w:after="60" w:before="160" w:line="264" w:lineRule="auto"/>
        <w:jc w:val="both"/>
      </w:pPr>
      <w:r>
        <w:rPr>
          <w:rFonts w:ascii="Aptos" w:cs="Times New Roman" w:eastAsia="Times New Roman" w:hAnsi="Aptos"/>
          <w:b/>
          <w:bCs/>
          <w:color w:val="2B5DA8"/>
          <w:sz w:val="18"/>
          <w:szCs w:val="19"/>
        </w:rPr>
        <w:t xml:space="preserve">Figure 1.</w:t>
      </w:r>
      <w:r>
        <w:rPr>
          <w:rFonts w:ascii="Aptos" w:cs="Times New Roman" w:eastAsia="Times New Roman" w:hAnsi="Aptos"/>
          <w:b/>
          <w:color w:val="262B2F"/>
          <w:sz w:val="18"/>
          <w:szCs w:val="19"/>
        </w:rPr>
        <w:t xml:space="preserve"> Same family of models, nearly identical validation metrics, and very different field detection rates. Error bars: 95% Wilson interval (naive). †Data version of exp1 attributed by documentary evidence (Table 1). Source: the author's own elaboration with repository data.</w:t>
      </w:r>
    </w:p>
    <w:p>
      <w:pPr>
        <w:spacing w:after="100" w:before="0" w:line="264" w:lineRule="auto"/>
        <w:jc w:val="both"/>
      </w:pPr>
      <w:r>
        <w:rPr>
          <w:rFonts w:ascii="Aptos" w:hAnsi="Aptos" w:cs="Aptos" w:eastAsia="Aptos"/>
          <w:color w:val="262B2F"/>
          <w:sz w:val="20"/>
          <w:szCs w:val="20"/>
        </w:rPr>
        <w:t xml:space="preserve">The detection rate is the fraction of tiles with at least one detection; it is neither precision nor recall, and without ground truth it is not known whether a higher rate means more helipads found or more false positives. The project has only case-by-case reviews, selected without random sampling (at Faria Lima, for example, three hits, two false positives, and one empty tile, due to a download failure, marked as a detection). Therefore, field precision and the share of the rate caused by defective tiles are currently unknown and will be estimated in Stages 1 and 3. An mAP close to 1 does not reveal this.</w:t>
      </w:r>
    </w:p>
    <w:p>
      <w:pPr>
        <w:spacing w:after="100" w:before="0" w:line="264" w:lineRule="auto"/>
        <w:jc w:val="both"/>
      </w:pPr>
      <w:r>
        <w:rPr>
          <w:rFonts w:ascii="Aptos" w:cs="Times New Roman" w:eastAsia="Times New Roman" w:hAnsi="Aptos"/>
          <w:color w:val="262B2F"/>
          <w:sz w:val="20"/>
        </w:rPr>
        <w:t xml:space="preserve">There is also a leakage risk, already partly measured. Comparing the annotated images, pixel by pixel, with the field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reconstructed from the repository (5,540 distinct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in 7,767 region ×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pairs, since neighboring regions overlap), 125 of the 225 images with coordinates (87 of 177 in training, 25 of 34 in validation, and 13 of 14 in test) are copies of a field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which corresponds to 2.3% of the distinct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The remaining 100 do not match any field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and fall outside the boxes of the ten regions. Training has therefore already seen 87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from the field, and the detection rate on those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tends to be inflated; the overall effect cannot be quantified without the detections per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There is no direct copy between validation or test and training, but 15 of the 34 validation images and 3 of the 14 test images are within one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(about 70 m) of a training image, a neighborhood that will be treated as a risk, and not as confirmed leakage.</w:t>
      </w:r>
    </w:p>
    <w:p>
      <w:pPr>
        <w:pStyle w:val="Heading2"/>
        <w:keepNext/>
        <w:spacing w:after="100" w:line="264" w:lineRule="auto" w:before="200"/>
      </w:pPr>
      <w:r>
        <w:rPr>
          <w:rFonts w:ascii="Aptos" w:cs="Times New Roman" w:eastAsia="Times New Roman" w:hAnsi="Aptos"/>
          <w:b/>
          <w:color w:val="2B5DA8"/>
          <w:sz w:val="24"/>
        </w:rPr>
        <w:t xml:space="preserve">1.2 Central question and derived questions</w:t>
      </w:r>
    </w:p>
    <w:p>
      <w:pPr>
        <w:spacing w:after="100" w:before="0" w:line="264" w:lineRule="auto"/>
        <w:jc w:val="both"/>
      </w:pPr>
      <w:r>
        <w:rPr>
          <w:rFonts w:ascii="Aptos" w:cs="Times New Roman" w:eastAsia="Times New Roman" w:hAnsi="Aptos"/>
          <w:b/>
          <w:bCs/>
          <w:color w:val="1B365D"/>
          <w:sz w:val="20"/>
        </w:rPr>
        <w:t xml:space="preserve">Central question.</w:t>
      </w:r>
      <w:r>
        <w:rPr>
          <w:rFonts w:ascii="Aptos" w:cs="Times New Roman" w:eastAsia="Times New Roman" w:hAnsi="Aptos"/>
          <w:color w:val="262B2F"/>
          <w:sz w:val="20"/>
        </w:rPr>
        <w:t xml:space="preserve"> How much of the field detection difference among YOLO detectors trained on few examples is explained by data lineage, validation choices, and data artifacts, and what is the precision of those detections according to sampled human review?</w:t>
      </w:r>
    </w:p>
    <w:p>
      <w:pPr>
        <w:keepNext/>
        <w:spacing w:after="100" w:before="0" w:line="264" w:lineRule="auto"/>
        <w:jc w:val="both"/>
      </w:pPr>
      <w:r>
        <w:rPr>
          <w:rFonts w:ascii="Aptos" w:cs="Times New Roman" w:eastAsia="Times New Roman" w:hAnsi="Aptos"/>
          <w:b/>
          <w:bCs/>
          <w:color w:val="262B2F"/>
          <w:sz w:val="20"/>
        </w:rPr>
        <w:t xml:space="preserve">Derived questions.</w:t>
      </w:r>
    </w:p>
    <w:p>
      <w:pPr>
        <w:pStyle w:val="ListParagraph"/>
        <w:numPr>
          <w:ilvl w:val="0"/>
          <w:numId w:val="2"/>
        </w:numPr>
        <w:spacing w:after="100" w:line="264" w:lineRule="auto"/>
        <w:jc w:val="both"/>
      </w:pPr>
      <w:r>
        <w:rPr>
          <w:rFonts w:ascii="Aptos" w:cs="Times New Roman" w:eastAsia="Times New Roman" w:hAnsi="Aptos"/>
          <w:b/>
          <w:bCs/>
          <w:color w:val="1B365D"/>
          <w:sz w:val="20"/>
          <w:szCs w:val="23"/>
        </w:rPr>
        <w:t xml:space="preserve">SQ1 (lineage audit).</w:t>
      </w:r>
      <w:r>
        <w:rPr>
          <w:rFonts w:ascii="Aptos" w:cs="Times New Roman" w:eastAsia="Times New Roman" w:hAnsi="Aptos"/>
          <w:color w:val="262B2F"/>
          <w:sz w:val="20"/>
          <w:szCs w:val="23"/>
        </w:rPr>
        <w:t xml:space="preserve"> How much of the field differences stems from data lineage (version, partition, overlap with the field, defective </w:t>
      </w:r>
      <w:r>
        <w:rPr>
          <w:rFonts w:ascii="Aptos" w:cs="Times New Roman" w:eastAsia="Times New Roman" w:hAnsi="Aptos"/>
          <w:i/>
          <w:iCs/>
          <w:color w:val="262B2F"/>
          <w:sz w:val="20"/>
          <w:szCs w:val="23"/>
        </w:rPr>
        <w:t xml:space="preserve">tiles</w:t>
      </w:r>
      <w:r>
        <w:rPr>
          <w:rFonts w:ascii="Aptos" w:cs="Times New Roman" w:eastAsia="Times New Roman" w:hAnsi="Aptos"/>
          <w:color w:val="262B2F"/>
          <w:sz w:val="20"/>
          <w:szCs w:val="23"/>
        </w:rPr>
        <w:t xml:space="preserve">) and how much from architecture?</w:t>
      </w:r>
    </w:p>
    <w:p>
      <w:pPr>
        <w:pStyle w:val="ListParagraph"/>
        <w:numPr>
          <w:ilvl w:val="0"/>
          <w:numId w:val="2"/>
        </w:numPr>
        <w:spacing w:after="100" w:line="264" w:lineRule="auto"/>
        <w:jc w:val="both"/>
      </w:pPr>
      <w:r>
        <w:rPr>
          <w:rFonts w:ascii="Aptos" w:cs="Times New Roman" w:eastAsia="Times New Roman" w:hAnsi="Aptos"/>
          <w:b/>
          <w:bCs/>
          <w:color w:val="1B365D"/>
          <w:sz w:val="20"/>
          <w:szCs w:val="23"/>
        </w:rPr>
        <w:t xml:space="preserve">SQ2 (controlled comparison and spatial partition).</w:t>
      </w:r>
      <w:r>
        <w:rPr>
          <w:rFonts w:ascii="Aptos" w:cs="Times New Roman" w:eastAsia="Times New Roman" w:hAnsi="Aptos"/>
          <w:color w:val="262B2F"/>
          <w:sz w:val="20"/>
          <w:szCs w:val="23"/>
        </w:rPr>
        <w:t xml:space="preserve"> How much do best-epoch selection on the validation set itself and random partitioning overestimate performance in new regions?</w:t>
      </w:r>
    </w:p>
    <w:p>
      <w:pPr>
        <w:pStyle w:val="ListParagraph"/>
        <w:numPr>
          <w:ilvl w:val="0"/>
          <w:numId w:val="2"/>
        </w:numPr>
        <w:spacing w:after="100" w:line="264" w:lineRule="auto"/>
        <w:jc w:val="both"/>
      </w:pPr>
      <w:r>
        <w:rPr>
          <w:rFonts w:ascii="Aptos" w:cs="Times New Roman" w:eastAsia="Times New Roman" w:hAnsi="Aptos"/>
          <w:b/>
          <w:bCs/>
          <w:color w:val="1B365D"/>
          <w:sz w:val="20"/>
          <w:szCs w:val="23"/>
        </w:rPr>
        <w:t xml:space="preserve">SQ3 (sampled human review).</w:t>
      </w:r>
      <w:r>
        <w:rPr>
          <w:rFonts w:ascii="Aptos" w:cs="Times New Roman" w:eastAsia="Times New Roman" w:hAnsi="Aptos"/>
          <w:color w:val="262B2F"/>
          <w:sz w:val="20"/>
          <w:szCs w:val="23"/>
        </w:rPr>
        <w:t xml:space="preserve"> What is the field precision, by confidence band and by region, according to the human visual reference, and how reliable is that reference (agreement and proportion of “uncertain”)?</w:t>
      </w:r>
    </w:p>
    <w:p>
      <w:pPr>
        <w:spacing w:after="100" w:before="80" w:line="264" w:lineRule="auto"/>
        <w:jc w:val="both"/>
      </w:pPr>
      <w:r>
        <w:rPr>
          <w:rFonts w:ascii="Aptos" w:cs="Times New Roman" w:eastAsia="Times New Roman" w:hAnsi="Aptos"/>
          <w:color w:val="262B2F"/>
          <w:sz w:val="20"/>
        </w:rPr>
        <w:t xml:space="preserve">The influence of how confidence is presented on reviewers' decisions (SQ4, exploratory) is an extension conditional on time and ethics approval (section 7).</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2. State of the art</w:t>
      </w:r>
    </w:p>
    <w:p>
      <w:pPr>
        <w:spacing w:after="100" w:before="0" w:line="264" w:lineRule="auto"/>
        <w:jc w:val="both"/>
      </w:pPr>
      <w:r>
        <w:rPr>
          <w:rFonts w:ascii="Aptos" w:cs="Times New Roman" w:eastAsia="Times New Roman" w:hAnsi="Aptos"/>
          <w:b/>
          <w:bCs/>
          <w:color w:val="1B365D"/>
          <w:sz w:val="20"/>
        </w:rPr>
        <w:t xml:space="preserve">Detection in aerial images.</w:t>
      </w:r>
      <w:r>
        <w:rPr>
          <w:rFonts w:ascii="Aptos" w:cs="Times New Roman" w:eastAsia="Times New Roman" w:hAnsi="Aptos"/>
          <w:color w:val="262B2F"/>
          <w:sz w:val="20"/>
        </w:rPr>
        <w:t xml:space="preserve"> Object detection in remote sensing is reviewed by Cheng and Han (2016) and relies on large datasets, such as DOTA (XIA et al., 2018; DING et al., 2022). The YOLO family (REDMON et al., 2016; ULTRALYTICS, 2026), with COCO pretraining (LIN et al., 2014), is the basis of the models used, and Padilla et al. (2021) show that mAP depends on implementation conventions that must be declared. These works address large annotated datasets, not trusting a detector trained on few examples in an unannotated region.</w:t>
      </w:r>
    </w:p>
    <w:p>
      <w:pPr>
        <w:spacing w:after="100" w:before="0" w:line="264" w:lineRule="auto"/>
        <w:jc w:val="both"/>
      </w:pPr>
      <w:r>
        <w:rPr>
          <w:rFonts w:ascii="Aptos" w:cs="Times New Roman" w:eastAsia="Times New Roman" w:hAnsi="Aptos"/>
          <w:b/>
          <w:bCs/>
          <w:color w:val="1B365D"/>
          <w:sz w:val="20"/>
        </w:rPr>
        <w:t xml:space="preserve">Helipad detection.</w:t>
      </w:r>
      <w:r>
        <w:rPr>
          <w:rFonts w:ascii="Aptos" w:cs="Times New Roman" w:eastAsia="Times New Roman" w:hAnsi="Aptos"/>
          <w:color w:val="262B2F"/>
          <w:sz w:val="20"/>
        </w:rPr>
        <w:t xml:space="preserve"> Helipad detection in aerial and satellite images has already been studied. Bitoun and Winkler (2020) present HelipadCat, a dataset of about 6,000 images in 12 categories, built from the FAA database, and a detection method with bounding-box annotations, Mask R-CNN, mAP evaluation, area and shadow filters, and map marker generation. Specht et al. (2021) train convolutional networks (ResNet101, Inception-V3, Xception, and EfficientNet-b0) to classify satellite images as helipad or not, on a dataset of 9,324 images, and report about 95% validation accuracy with EfficientNet-b0; the authors also record inaccuracies in the FAA 5010 database. Suprapto et al. (2021) use Tiny YOLO to detect helipads with an onboard camera, aimed at drone landing, a task distinct from this research. These works show that detecting helipads is not, by itself, the contribution here. The classification accuracy of Specht et al. (2021) is not comparable to the mAP of a detector, since tasks and metrics differ. Bitoun and Winkler (2020), in turn, use bounding boxes and mAP evaluation and are the closest antecedent; a numerical comparison with them would require verifying the compatibility of datasets, train and test splits, and evaluation criteria and, without that, remains methodological and contextual, without claiming performance superiority. The research is delimited by the evaluation of the detector in an unannotated region, with spatial partitioning and sampled human review.</w:t>
      </w:r>
    </w:p>
    <w:p>
      <w:pPr>
        <w:spacing w:after="100" w:before="0" w:line="264" w:lineRule="auto"/>
        <w:jc w:val="both"/>
      </w:pPr>
      <w:r>
        <w:rPr>
          <w:rFonts w:ascii="Aptos" w:cs="Times New Roman" w:eastAsia="Times New Roman" w:hAnsi="Aptos"/>
          <w:b/>
          <w:bCs/>
          <w:color w:val="1B365D"/>
          <w:sz w:val="20"/>
        </w:rPr>
        <w:t xml:space="preserve">Validity of evaluation.</w:t>
      </w:r>
      <w:r>
        <w:rPr>
          <w:rFonts w:ascii="Aptos" w:cs="Times New Roman" w:eastAsia="Times New Roman" w:hAnsi="Aptos"/>
          <w:color w:val="262B2F"/>
          <w:sz w:val="20"/>
        </w:rPr>
        <w:t xml:space="preserve"> Kaufman et al. (2012) formalize data leakage. Roberts et al. (2017) and Ploton et al. (2020) show, for spatial data, that validation that respects spatial structure reveals worse performance than the apparent one; these results come from ecology, and their transfer to detectors on satellite images is a hypothesis to be tested (H2). Dietterich (1998) addresses tests for comparing models, and Brown, Cai, and DasGupta (2001), intervals for proportions, the basis of the Wilson intervals used in Table 2.</w:t>
      </w:r>
    </w:p>
    <w:p>
      <w:pPr>
        <w:spacing w:after="100" w:before="0" w:line="264" w:lineRule="auto"/>
        <w:jc w:val="both"/>
      </w:pPr>
      <w:r>
        <w:rPr>
          <w:rFonts w:ascii="Aptos" w:cs="Times New Roman" w:eastAsia="Times New Roman" w:hAnsi="Aptos"/>
          <w:b/>
          <w:bCs/>
          <w:color w:val="1B365D"/>
          <w:sz w:val="20"/>
        </w:rPr>
        <w:t xml:space="preserve">Calibration.</w:t>
      </w:r>
      <w:r>
        <w:rPr>
          <w:rFonts w:ascii="Aptos" w:cs="Times New Roman" w:eastAsia="Times New Roman" w:hAnsi="Aptos"/>
          <w:color w:val="262B2F"/>
          <w:sz w:val="20"/>
        </w:rPr>
        <w:t xml:space="preserve"> Guo et al. (2017) show that modern networks tend to be poorly calibrated, in image classification; the calibration of detectors with little data will be investigated from precision by confidence band (Stage 3), since confidence is the main signal that reviewers receive.</w:t>
      </w:r>
    </w:p>
    <w:p>
      <w:pPr>
        <w:spacing w:after="100" w:before="0" w:line="264" w:lineRule="auto"/>
        <w:jc w:val="both"/>
      </w:pPr>
      <w:r>
        <w:rPr>
          <w:rFonts w:ascii="Aptos" w:cs="Times New Roman" w:eastAsia="Times New Roman" w:hAnsi="Aptos"/>
          <w:b/>
          <w:bCs/>
          <w:color w:val="1B365D"/>
          <w:sz w:val="20"/>
        </w:rPr>
        <w:t xml:space="preserve">Image interpretation and cognition.</w:t>
      </w:r>
      <w:r>
        <w:rPr>
          <w:rFonts w:ascii="Aptos" w:cs="Times New Roman" w:eastAsia="Times New Roman" w:hAnsi="Aptos"/>
          <w:color w:val="262B2F"/>
          <w:sz w:val="20"/>
        </w:rPr>
        <w:t xml:space="preserve"> In the semiotics of the image, seeing is not recording a fact but interpreting a sign, and interpretation depends on conventions, repertoire, and context (SANTAELLA; NÖTH, 1998). A satellite image is a representation made by a sensor, at a given date and resolution, and using it to assert what exists on the ground requires inference. Distributed cognition (HUTCHINS, 1995) describes reasoning as a process that extends across people, instruments, and procedures. Both support treating the review of detections as a cognitive activity situated in a digital environment, and not as a neutral reading of an answer key.</w:t>
      </w:r>
    </w:p>
    <w:p>
      <w:pPr>
        <w:spacing w:after="100" w:before="0" w:line="264" w:lineRule="auto"/>
        <w:jc w:val="both"/>
      </w:pPr>
      <w:r>
        <w:rPr>
          <w:rFonts w:ascii="Aptos" w:cs="Times New Roman" w:eastAsia="Times New Roman" w:hAnsi="Aptos"/>
          <w:b/>
          <w:bCs/>
          <w:color w:val="1B365D"/>
          <w:sz w:val="20"/>
        </w:rPr>
        <w:t xml:space="preserve">Trust in automation and transparency.</w:t>
      </w:r>
      <w:r>
        <w:rPr>
          <w:rFonts w:ascii="Aptos" w:cs="Times New Roman" w:eastAsia="Times New Roman" w:hAnsi="Aptos"/>
          <w:color w:val="262B2F"/>
          <w:sz w:val="20"/>
        </w:rPr>
        <w:t xml:space="preserve"> Parasuraman and Riley (1997) distinguish use, misuse, disuse, and abuse of automation; Lee and See (2004) address appropriate trust; Amershi et al. (2019) propose human-AI interaction guidelines. </w:t>
      </w:r>
      <w:r>
        <w:rPr>
          <w:rFonts w:ascii="Aptos" w:cs="Times New Roman" w:eastAsia="Times New Roman" w:hAnsi="Aptos"/>
          <w:i/>
          <w:iCs/>
          <w:color w:val="262B2F"/>
          <w:sz w:val="20"/>
        </w:rPr>
        <w:t xml:space="preserve">Model Cards</w:t>
      </w:r>
      <w:r>
        <w:rPr>
          <w:rFonts w:ascii="Aptos" w:cs="Times New Roman" w:eastAsia="Times New Roman" w:hAnsi="Aptos"/>
          <w:color w:val="262B2F"/>
          <w:sz w:val="20"/>
        </w:rPr>
        <w:t xml:space="preserve"> (MITCHELL et al., 2019) and </w:t>
      </w:r>
      <w:r>
        <w:rPr>
          <w:rFonts w:ascii="Aptos" w:cs="Times New Roman" w:eastAsia="Times New Roman" w:hAnsi="Aptos"/>
          <w:i/>
          <w:iCs/>
          <w:color w:val="262B2F"/>
          <w:sz w:val="20"/>
        </w:rPr>
        <w:t xml:space="preserve">Datasheets for Datasets</w:t>
      </w:r>
      <w:r>
        <w:rPr>
          <w:rFonts w:ascii="Aptos" w:cs="Times New Roman" w:eastAsia="Times New Roman" w:hAnsi="Aptos"/>
          <w:color w:val="262B2F"/>
          <w:sz w:val="20"/>
        </w:rPr>
        <w:t xml:space="preserve"> (GEBRU et al., 2021) propose reporting intended uses and limits, a practice that the project adopts.</w:t>
      </w:r>
    </w:p>
    <w:p>
      <w:pPr>
        <w:spacing w:after="100" w:before="0" w:line="264" w:lineRule="auto"/>
        <w:jc w:val="both"/>
      </w:pPr>
      <w:r>
        <w:rPr>
          <w:rFonts w:ascii="Aptos" w:hAnsi="Aptos" w:cs="Aptos" w:eastAsia="Aptos"/>
          <w:color w:val="262B2F"/>
          <w:sz w:val="20"/>
          <w:szCs w:val="20"/>
        </w:rPr>
        <w:t xml:space="preserve">Gap. In the preliminary review, restricted to the sources already consulted, no work was identified that combines, for a rare urban object in satellite images, controlled comparisons, spatial validation, and precision estimation by sampled human review that treats the human reference as interpretation, with agreement and uncertainty declared. The search was exploratory on the web, with combinations of the terms “helipad detection”, “satellite imagery”, “aerial images”, “deep learning”, and “YOLO”, and was not systematic or exhaustive. The systematic review (Stage 1) may change this conclusion.</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3. Justifications</w:t>
      </w:r>
    </w:p>
    <w:p>
      <w:pPr>
        <w:spacing w:after="100" w:before="0" w:line="264" w:lineRule="auto"/>
        <w:jc w:val="both"/>
      </w:pPr>
      <w:r>
        <w:rPr>
          <w:rFonts w:ascii="Aptos" w:cs="Times New Roman" w:eastAsia="Times New Roman" w:hAnsi="Aptos"/>
          <w:b/>
          <w:bCs/>
          <w:color w:val="1B365D"/>
          <w:sz w:val="20"/>
        </w:rPr>
        <w:t xml:space="preserve">Theoretical and practical.</w:t>
      </w:r>
      <w:r>
        <w:rPr>
          <w:rFonts w:ascii="Aptos" w:cs="Times New Roman" w:eastAsia="Times New Roman" w:hAnsi="Aptos"/>
          <w:color w:val="262B2F"/>
          <w:sz w:val="20"/>
        </w:rPr>
        <w:t xml:space="preserve"> The works reviewed address, separately, metrics, evaluation validity, calibration, and trust in automation. This case brings them together in a concrete problem and shows a gap between validation metric and field behavior that is not solved with more training. The resulting protocol (lineage audit, spatial partitioning, sampled human review, and audit log) can be reapplied to other detectors and regions and turns an uninterpreted detection rate into estimates with explicit uncertainty.</w:t>
      </w:r>
    </w:p>
    <w:p>
      <w:pPr>
        <w:spacing w:after="100" w:before="0" w:line="264" w:lineRule="auto"/>
        <w:jc w:val="both"/>
      </w:pPr>
      <w:r>
        <w:rPr>
          <w:rFonts w:ascii="Aptos" w:cs="Times New Roman" w:eastAsia="Times New Roman" w:hAnsi="Aptos"/>
          <w:b/>
          <w:bCs/>
          <w:color w:val="1B365D"/>
          <w:sz w:val="20"/>
        </w:rPr>
        <w:t xml:space="preserve">Fit with TIDD.</w:t>
      </w:r>
      <w:r>
        <w:rPr>
          <w:rFonts w:ascii="Aptos" w:cs="Times New Roman" w:eastAsia="Times New Roman" w:hAnsi="Aptos"/>
          <w:color w:val="262B2F"/>
          <w:sz w:val="20"/>
        </w:rPr>
        <w:t xml:space="preserve"> The object of this research, in the area Cognitive Processes and Digital Environments, is not the detector itself but the production of evidence about it in a digital environment: people look at satellite images in an interface, assign labels (helipad, not helipad, uncertain), and, with them, decide whether to trust the system. Two cognitive phenomena are at play. First, the human visual reference is an act of interpretation: it depends on the reviewer's repertoire and on the image's resolution and date, and generates disagreement and hesitation that need to be measured, not eliminated. Second, the reviewer's trust in the detector is a human-automation interaction phenomenon (PARASURAMAN; RILEY, 1997; LEE; SEE, 2004), influenced by what the interface shows (AMERSHI et al., 2019). The fit is also in the syllabi of the </w:t>
      </w:r>
      <w:hyperlink w:history="1" r:id="rIdvd9naoxbngenl55ctagdu">
        <w:r>
          <w:rPr>
            <w:rFonts w:ascii="Aptos" w:cs="Aptos" w:eastAsia="Aptos" w:hAnsi="Aptos"/>
            <w:color w:val="1D5FD1"/>
            <w:sz w:val="20"/>
            <w:szCs w:val="20"/>
            <w:u w:val="single" w:color="1D5FD1"/>
          </w:rPr>
          <w:t xml:space="preserve">program</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the area of concentration deals with “modeling of cognitive performances: perception, attention, inference”, and line 4 describes the passage to “a world of probabilistic machines, implying distinct logics and risks”, with attention to the ethical and social impacts of AI. A detector whose confidence is read by people is a concrete case of that world. For this reason, the research is situated in line 4, through the evidence produced about a probabilistic machine and the limits of automation, and, secondarily, in line 3, through people's interaction with AI systems and governance.</w:t>
      </w:r>
    </w:p>
    <w:p>
      <w:pPr>
        <w:spacing w:after="100" w:before="0" w:line="264" w:lineRule="auto"/>
        <w:jc w:val="both"/>
      </w:pPr>
      <w:r>
        <w:rPr>
          <w:rFonts w:ascii="Aptos" w:cs="Times New Roman" w:eastAsia="Times New Roman" w:hAnsi="Aptos"/>
          <w:b/>
          <w:bCs/>
          <w:color w:val="1B365D"/>
          <w:sz w:val="20"/>
        </w:rPr>
        <w:t xml:space="preserve">Social and ethical.</w:t>
      </w:r>
      <w:r>
        <w:rPr>
          <w:rFonts w:ascii="Aptos" w:cs="Times New Roman" w:eastAsia="Times New Roman" w:hAnsi="Aptos"/>
          <w:color w:val="262B2F"/>
          <w:sz w:val="20"/>
        </w:rPr>
        <w:t xml:space="preserve"> A helipad detector may be misinterpreted as evidence that a location is safe, operational, or authorized. None of this is true. All outputs will be treated as analytical and non-authoritative, with the notice at the beginning of this document.</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4. Objectives</w:t>
      </w:r>
    </w:p>
    <w:p>
      <w:pPr>
        <w:spacing w:after="100" w:before="0" w:line="264" w:lineRule="auto"/>
        <w:jc w:val="both"/>
      </w:pPr>
      <w:r>
        <w:rPr>
          <w:rFonts w:ascii="Aptos" w:cs="Times New Roman" w:eastAsia="Times New Roman" w:hAnsi="Aptos"/>
          <w:b/>
          <w:bCs/>
          <w:color w:val="1B365D"/>
          <w:sz w:val="20"/>
        </w:rPr>
        <w:t xml:space="preserve">General objective.</w:t>
      </w:r>
      <w:r>
        <w:rPr>
          <w:rFonts w:ascii="Aptos" w:cs="Times New Roman" w:eastAsia="Times New Roman" w:hAnsi="Aptos"/>
          <w:color w:val="262B2F"/>
          <w:sz w:val="20"/>
        </w:rPr>
        <w:t xml:space="preserve"> To propose and test a reproducible protocol for evaluating visual helipad detectors on satellite images without ground truth at scale, treating human review as an interpretive reference, with uncertainty and agreement declared.</w:t>
      </w:r>
    </w:p>
    <w:p>
      <w:pPr>
        <w:keepNext/>
        <w:spacing w:after="100" w:before="0" w:line="264" w:lineRule="auto"/>
        <w:jc w:val="both"/>
      </w:pPr>
      <w:r>
        <w:rPr>
          <w:rFonts w:ascii="Aptos" w:cs="Times New Roman" w:eastAsia="Times New Roman" w:hAnsi="Aptos"/>
          <w:b/>
          <w:bCs/>
          <w:color w:val="262B2F"/>
          <w:sz w:val="20"/>
        </w:rPr>
        <w:t xml:space="preserve">Specific objectives.</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Reconstruct the lineage of the data and configurations of the existing experiments, verifying the overlap between training and field and the defective </w:t>
      </w:r>
      <w:r>
        <w:rPr>
          <w:rFonts w:ascii="Aptos" w:cs="Times New Roman" w:eastAsia="Times New Roman" w:hAnsi="Aptos"/>
          <w:i/>
          <w:iCs/>
          <w:color w:val="262B2F"/>
          <w:sz w:val="20"/>
          <w:szCs w:val="23"/>
        </w:rPr>
        <w:t xml:space="preserve">tiles</w:t>
      </w:r>
      <w:r>
        <w:rPr>
          <w:rFonts w:ascii="Aptos" w:cs="Times New Roman" w:eastAsia="Times New Roman" w:hAnsi="Aptos"/>
          <w:color w:val="262B2F"/>
          <w:sz w:val="20"/>
          <w:szCs w:val="23"/>
        </w:rPr>
        <w:t xml:space="preserve"> (SQ1).</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Carry out controlled comparisons between YOLOv8n and YOLO11n and quantify the optimistic bias of best-epoch selection and of random partitioning, relative to a spatial partition by region (SQ1 and SQ2).</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Estimate field precision, by confidence band and by region, through blind sampled human review, performed by two reviewers (the applicant and Pedro Vyctor Almeida), reporting inter-reviewer agreement and the handling of “uncertain” (SQ3).</w:t>
      </w:r>
    </w:p>
    <w:p>
      <w:pPr>
        <w:pStyle w:val="ListParagraph"/>
        <w:numPr>
          <w:ilvl w:val="0"/>
          <w:numId w:val="3"/>
        </w:numPr>
        <w:spacing w:after="100" w:line="264" w:lineRule="auto"/>
        <w:jc w:val="both"/>
      </w:pPr>
      <w:r>
        <w:rPr>
          <w:rFonts w:ascii="Aptos" w:cs="Times New Roman" w:eastAsia="Times New Roman" w:hAnsi="Aptos"/>
          <w:color w:val="262B2F"/>
          <w:sz w:val="20"/>
          <w:szCs w:val="23"/>
        </w:rPr>
        <w:t xml:space="preserve">Document the system and data with </w:t>
      </w:r>
      <w:r>
        <w:rPr>
          <w:rFonts w:ascii="Aptos" w:cs="Times New Roman" w:eastAsia="Times New Roman" w:hAnsi="Aptos"/>
          <w:i/>
          <w:iCs/>
          <w:color w:val="262B2F"/>
          <w:sz w:val="20"/>
          <w:szCs w:val="23"/>
        </w:rPr>
        <w:t xml:space="preserve">Model Card</w:t>
      </w:r>
      <w:r>
        <w:rPr>
          <w:rFonts w:ascii="Aptos" w:cs="Times New Roman" w:eastAsia="Times New Roman" w:hAnsi="Aptos"/>
          <w:color w:val="262B2F"/>
          <w:sz w:val="20"/>
          <w:szCs w:val="23"/>
        </w:rPr>
        <w:t xml:space="preserve">, </w:t>
      </w:r>
      <w:r>
        <w:rPr>
          <w:rFonts w:ascii="Aptos" w:cs="Times New Roman" w:eastAsia="Times New Roman" w:hAnsi="Aptos"/>
          <w:i/>
          <w:iCs/>
          <w:color w:val="262B2F"/>
          <w:sz w:val="20"/>
          <w:szCs w:val="23"/>
        </w:rPr>
        <w:t xml:space="preserve">Data Card</w:t>
      </w:r>
      <w:r>
        <w:rPr>
          <w:rFonts w:ascii="Aptos" w:cs="Times New Roman" w:eastAsia="Times New Roman" w:hAnsi="Aptos"/>
          <w:color w:val="262B2F"/>
          <w:sz w:val="20"/>
          <w:szCs w:val="23"/>
        </w:rPr>
        <w:t xml:space="preserve">, and an auditable review protocol.</w:t>
      </w:r>
    </w:p>
    <w:p>
      <w:pPr>
        <w:spacing w:after="100" w:before="80" w:line="264" w:lineRule="auto"/>
        <w:jc w:val="both"/>
      </w:pPr>
      <w:r>
        <w:rPr>
          <w:rFonts w:ascii="Aptos" w:cs="Times New Roman" w:eastAsia="Times New Roman" w:hAnsi="Aptos"/>
          <w:b/>
          <w:bCs/>
          <w:color w:val="1B365D"/>
          <w:sz w:val="20"/>
        </w:rPr>
        <w:t xml:space="preserve">Expected results.</w:t>
      </w:r>
      <w:r>
        <w:rPr>
          <w:rFonts w:ascii="Aptos" w:cs="Times New Roman" w:eastAsia="Times New Roman" w:hAnsi="Aptos"/>
          <w:color w:val="262B2F"/>
          <w:sz w:val="20"/>
        </w:rPr>
        <w:t xml:space="preserve"> Lineage report; performance estimates with uncertainty intervals, by partition and by region; precision estimate by sampled human review; </w:t>
      </w:r>
      <w:r>
        <w:rPr>
          <w:rFonts w:ascii="Aptos" w:cs="Times New Roman" w:eastAsia="Times New Roman" w:hAnsi="Aptos"/>
          <w:i/>
          <w:iCs/>
          <w:color w:val="262B2F"/>
          <w:sz w:val="20"/>
        </w:rPr>
        <w:t xml:space="preserve">Model Card</w:t>
      </w:r>
      <w:r>
        <w:rPr>
          <w:rFonts w:ascii="Aptos" w:cs="Times New Roman" w:eastAsia="Times New Roman" w:hAnsi="Aptos"/>
          <w:color w:val="262B2F"/>
          <w:sz w:val="20"/>
        </w:rPr>
        <w:t xml:space="preserve">, </w:t>
      </w:r>
      <w:r>
        <w:rPr>
          <w:rFonts w:ascii="Aptos" w:cs="Times New Roman" w:eastAsia="Times New Roman" w:hAnsi="Aptos"/>
          <w:i/>
          <w:iCs/>
          <w:color w:val="262B2F"/>
          <w:sz w:val="20"/>
        </w:rPr>
        <w:t xml:space="preserve">Data Card</w:t>
      </w:r>
      <w:r>
        <w:rPr>
          <w:rFonts w:ascii="Aptos" w:cs="Times New Roman" w:eastAsia="Times New Roman" w:hAnsi="Aptos"/>
          <w:color w:val="262B2F"/>
          <w:sz w:val="20"/>
        </w:rPr>
        <w:t xml:space="preserve">, and review protocol; at least one paper. Operational, legal, or aeronautical validation of any detected location is not expected, nor will it be claimed.</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5. Hypotheses</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4300"/>
        <w:gridCol w:w="1400"/>
        <w:gridCol w:w="3371"/>
      </w:tblGrid>
      <w:tr>
        <w:trPr>
          <w:cantSplit/>
          <w:tblHeader/>
          <w:cantSplit/>
        </w:trPr>
        <w:tc>
          <w:tcPr>
            <w:tcW w:type="dxa" w:w="43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Hypothesis</w:t>
            </w:r>
          </w:p>
        </w:tc>
        <w:tc>
          <w:tcPr>
            <w:tcW w:type="dxa" w:w="14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Test</w:t>
            </w:r>
          </w:p>
        </w:tc>
        <w:tc>
          <w:tcPr>
            <w:tcW w:type="dxa" w:w="33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Refutation</w:t>
            </w:r>
          </w:p>
        </w:tc>
      </w:tr>
      <w:tr>
        <w:trPr>
          <w:cantSplit/>
          <w:cantSplit/>
        </w:trPr>
        <w:tc>
          <w:tcPr>
            <w:tcW w:type="dxa" w:w="4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b/>
                <w:bCs/>
                <w:color w:val="262B2F"/>
                <w:sz w:val="17"/>
                <w:szCs w:val="19"/>
              </w:rPr>
              <w:t xml:space="preserve">H1.</w:t>
            </w:r>
            <w:r>
              <w:rPr>
                <w:rFonts w:ascii="Aptos" w:cs="Times New Roman" w:eastAsia="Times New Roman" w:hAnsi="Aptos"/>
                <w:color w:val="262B2F"/>
                <w:sz w:val="17"/>
                <w:szCs w:val="19"/>
              </w:rPr>
              <w:t xml:space="preserve"> With practically equal mAP on validation, the field detection rate varies more across data versions and artifacts (such as empty </w:t>
            </w:r>
            <w:r>
              <w:rPr>
                <w:rFonts w:ascii="Aptos" w:cs="Times New Roman" w:eastAsia="Times New Roman" w:hAnsi="Aptos"/>
                <w:i/>
                <w:iCs/>
                <w:color w:val="262B2F"/>
                <w:sz w:val="17"/>
                <w:szCs w:val="19"/>
              </w:rPr>
              <w:t xml:space="preserve">tiles</w:t>
            </w:r>
            <w:r>
              <w:rPr>
                <w:rFonts w:ascii="Aptos" w:cs="Times New Roman" w:eastAsia="Times New Roman" w:hAnsi="Aptos"/>
                <w:color w:val="262B2F"/>
                <w:sz w:val="17"/>
                <w:szCs w:val="19"/>
              </w:rPr>
              <w:t xml:space="preserve">) than across architectures trained on the same data.</w:t>
            </w:r>
          </w:p>
        </w:tc>
        <w:tc>
          <w:tcPr>
            <w:tcW w:type="dxa" w:w="14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Stages 1 and 2</w:t>
            </w:r>
          </w:p>
        </w:tc>
        <w:tc>
          <w:tcPr>
            <w:tcW w:type="dxa" w:w="3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The difference between architectures, with identical data and several seeds, is larger than the difference between data versions.</w:t>
            </w:r>
          </w:p>
        </w:tc>
      </w:tr>
      <w:tr>
        <w:trPr>
          <w:cantSplit/>
          <w:cantSplit/>
        </w:trPr>
        <w:tc>
          <w:tcPr>
            <w:tcW w:type="dxa" w:w="4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b/>
                <w:bCs/>
                <w:color w:val="262B2F"/>
                <w:sz w:val="17"/>
                <w:szCs w:val="19"/>
              </w:rPr>
              <w:t xml:space="preserve">H2.</w:t>
            </w:r>
            <w:r>
              <w:rPr>
                <w:rFonts w:ascii="Aptos" w:cs="Times New Roman" w:eastAsia="Times New Roman" w:hAnsi="Aptos"/>
                <w:color w:val="262B2F"/>
                <w:sz w:val="17"/>
                <w:szCs w:val="19"/>
              </w:rPr>
              <w:t xml:space="preserve"> Best-epoch selection on the same validation set and random partitioning overestimate performance; under spatial partitioning, metrics drop measurably.</w:t>
            </w:r>
          </w:p>
        </w:tc>
        <w:tc>
          <w:tcPr>
            <w:tcW w:type="dxa" w:w="14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Stage 2</w:t>
            </w:r>
          </w:p>
        </w:tc>
        <w:tc>
          <w:tcPr>
            <w:tcW w:type="dxa" w:w="3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The difference between random and spatial partitioning falls within the uncertainty interval (</w:t>
            </w:r>
            <w:r>
              <w:rPr>
                <w:rFonts w:ascii="Aptos" w:cs="Times New Roman" w:eastAsia="Times New Roman" w:hAnsi="Aptos"/>
                <w:i/>
                <w:iCs/>
                <w:color w:val="262B2F"/>
                <w:sz w:val="17"/>
                <w:szCs w:val="19"/>
              </w:rPr>
              <w:t xml:space="preserve">bootstrap</w:t>
            </w:r>
            <w:r>
              <w:rPr>
                <w:rFonts w:ascii="Aptos" w:cs="Times New Roman" w:eastAsia="Times New Roman" w:hAnsi="Aptos"/>
                <w:color w:val="262B2F"/>
                <w:sz w:val="17"/>
                <w:szCs w:val="19"/>
              </w:rPr>
              <w:t xml:space="preserve">).</w:t>
            </w:r>
          </w:p>
        </w:tc>
      </w:tr>
      <w:tr>
        <w:trPr>
          <w:cantSplit/>
          <w:cantSplit/>
        </w:trPr>
        <w:tc>
          <w:tcPr>
            <w:tcW w:type="dxa" w:w="4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b/>
                <w:bCs/>
                <w:color w:val="262B2F"/>
                <w:sz w:val="17"/>
                <w:szCs w:val="19"/>
              </w:rPr>
              <w:t xml:space="preserve">H3.</w:t>
            </w:r>
            <w:r>
              <w:rPr>
                <w:rFonts w:ascii="Aptos" w:cs="Times New Roman" w:eastAsia="Times New Roman" w:hAnsi="Aptos"/>
                <w:color w:val="262B2F"/>
                <w:sz w:val="17"/>
                <w:szCs w:val="19"/>
              </w:rPr>
              <w:t xml:space="preserve"> Field precision, estimated by human review, is lower than validation precision; variation across regions will only be described.</w:t>
            </w:r>
          </w:p>
        </w:tc>
        <w:tc>
          <w:tcPr>
            <w:tcW w:type="dxa" w:w="14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Stage 3</w:t>
            </w:r>
          </w:p>
        </w:tc>
        <w:tc>
          <w:tcPr>
            <w:tcW w:type="dxa" w:w="33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The 95% interval of field precision is compatible with that of validation. With about 30 items per region, differences between regions will not be tested, only described.</w:t>
            </w:r>
          </w:p>
        </w:tc>
      </w:tr>
    </w:tbl>
    <w:p>
      <w:pPr>
        <w:spacing w:after="100" w:before="140" w:line="264" w:lineRule="auto"/>
        <w:jc w:val="both"/>
      </w:pPr>
      <w:r>
        <w:rPr>
          <w:rFonts w:ascii="Aptos" w:cs="Times New Roman" w:eastAsia="Times New Roman" w:hAnsi="Aptos"/>
          <w:b/>
          <w:bCs/>
          <w:color w:val="1B365D"/>
          <w:sz w:val="20"/>
        </w:rPr>
        <w:t xml:space="preserve">Extension (H4, exploratory).</w:t>
      </w:r>
      <w:r>
        <w:rPr>
          <w:rFonts w:ascii="Aptos" w:cs="Times New Roman" w:eastAsia="Times New Roman" w:hAnsi="Aptos"/>
          <w:color w:val="262B2F"/>
          <w:sz w:val="20"/>
        </w:rPr>
        <w:t xml:space="preserve"> Showing calibrated confidence and examples of typical errors reduces the acceptance of false positives by reviewers, compared with showing only the box and raw confidence. Its expected size will not allow strong inference.</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6. Theoretical framework</w:t>
      </w:r>
    </w:p>
    <w:p>
      <w:pPr>
        <w:spacing w:after="100" w:before="0" w:line="264" w:lineRule="auto"/>
        <w:jc w:val="both"/>
      </w:pPr>
      <w:r>
        <w:rPr>
          <w:rFonts w:ascii="Aptos" w:cs="Times New Roman" w:eastAsia="Times New Roman" w:hAnsi="Aptos"/>
          <w:color w:val="262B2F"/>
          <w:sz w:val="20"/>
        </w:rPr>
        <w:t xml:space="preserve">The research rests on four axes, chosen because they stem from the gap between validation metric and field behavior. The first is </w:t>
      </w:r>
      <w:r>
        <w:rPr>
          <w:rFonts w:ascii="Aptos" w:cs="Times New Roman" w:eastAsia="Times New Roman" w:hAnsi="Aptos"/>
          <w:b/>
          <w:bCs/>
          <w:color w:val="262B2F"/>
          <w:sz w:val="20"/>
        </w:rPr>
        <w:t xml:space="preserve">detection as probabilistic prediction</w:t>
      </w:r>
      <w:r>
        <w:rPr>
          <w:rFonts w:ascii="Aptos" w:cs="Times New Roman" w:eastAsia="Times New Roman" w:hAnsi="Aptos"/>
          <w:color w:val="262B2F"/>
          <w:sz w:val="20"/>
        </w:rPr>
        <w:t xml:space="preserve">, summarized by precision, recall, and mAP (LIN et al., 2014; PADILLA et al., 2021). The second is </w:t>
      </w:r>
      <w:r>
        <w:rPr>
          <w:rFonts w:ascii="Aptos" w:cs="Times New Roman" w:eastAsia="Times New Roman" w:hAnsi="Aptos"/>
          <w:b/>
          <w:bCs/>
          <w:color w:val="262B2F"/>
          <w:sz w:val="20"/>
        </w:rPr>
        <w:t xml:space="preserve">evaluation validity</w:t>
      </w:r>
      <w:r>
        <w:rPr>
          <w:rFonts w:ascii="Aptos" w:cs="Times New Roman" w:eastAsia="Times New Roman" w:hAnsi="Aptos"/>
          <w:color w:val="262B2F"/>
          <w:sz w:val="20"/>
        </w:rPr>
        <w:t xml:space="preserve">: leakage (KAUFMAN et al., 2012), spatial dependence (ROBERTS et al., 2017; PLOTON et al., 2020), and model selection on the reporting set itself are sources of optimism. The third is </w:t>
      </w:r>
      <w:r>
        <w:rPr>
          <w:rFonts w:ascii="Aptos" w:cs="Times New Roman" w:eastAsia="Times New Roman" w:hAnsi="Aptos"/>
          <w:b/>
          <w:bCs/>
          <w:color w:val="262B2F"/>
          <w:sz w:val="20"/>
        </w:rPr>
        <w:t xml:space="preserve">image interpretation and the notion of evidence</w:t>
      </w:r>
      <w:r>
        <w:rPr>
          <w:rFonts w:ascii="Aptos" w:cs="Times New Roman" w:eastAsia="Times New Roman" w:hAnsi="Aptos"/>
          <w:color w:val="262B2F"/>
          <w:sz w:val="20"/>
        </w:rPr>
        <w:t xml:space="preserve"> (6.1). The fourth is </w:t>
      </w:r>
      <w:r>
        <w:rPr>
          <w:rFonts w:ascii="Aptos" w:cs="Times New Roman" w:eastAsia="Times New Roman" w:hAnsi="Aptos"/>
          <w:b/>
          <w:bCs/>
          <w:color w:val="262B2F"/>
          <w:sz w:val="20"/>
        </w:rPr>
        <w:t xml:space="preserve">trust, uncertainty, and responsible AI</w:t>
      </w:r>
      <w:r>
        <w:rPr>
          <w:rFonts w:ascii="Aptos" w:cs="Times New Roman" w:eastAsia="Times New Roman" w:hAnsi="Aptos"/>
          <w:color w:val="262B2F"/>
          <w:sz w:val="20"/>
        </w:rPr>
        <w:t xml:space="preserve">: calibration (GUO et al., 2017), appropriate trust (PARASURAMAN; RILEY, 1997; LEE; SEE, 2004; AMERSHI et al., 2019), transparency (MITCHELL et al., 2019; GEBRU et al., 2021), and protection of personal data (BRASIL, 2018), since images of rooftops may allow inferences about people and buildings.</w:t>
      </w:r>
    </w:p>
    <w:p>
      <w:pPr>
        <w:pStyle w:val="Heading2"/>
        <w:keepNext/>
        <w:spacing w:after="100" w:line="264" w:lineRule="auto" w:before="200"/>
      </w:pPr>
      <w:r>
        <w:rPr>
          <w:rFonts w:ascii="Aptos" w:cs="Times New Roman" w:eastAsia="Times New Roman" w:hAnsi="Aptos"/>
          <w:b/>
          <w:color w:val="2B5DA8"/>
          <w:sz w:val="24"/>
        </w:rPr>
        <w:t xml:space="preserve">6.1 Evidence when there is no ground truth</w:t>
      </w:r>
    </w:p>
    <w:p>
      <w:pPr>
        <w:spacing w:after="100" w:before="0" w:line="264" w:lineRule="auto"/>
        <w:jc w:val="both"/>
      </w:pPr>
      <w:r>
        <w:rPr>
          <w:rFonts w:ascii="Aptos" w:cs="Times New Roman" w:eastAsia="Times New Roman" w:hAnsi="Aptos"/>
          <w:color w:val="262B2F"/>
          <w:sz w:val="20"/>
        </w:rPr>
        <w:t xml:space="preserve">Interpreting an image is a situated act: the same crop can be read in different ways depending on the viewer's repertoire and on the image's resolution and date (SANTAELLA; NÖTH, 1998), and the reviewer's judgment is formed in a system that includes interface, criteria guide, and model output (HUTCHINS, 1995). For this reason, the human label is not treated as an answer key. </w:t>
      </w:r>
      <w:r>
        <w:rPr>
          <w:rFonts w:ascii="Aptos" w:cs="Times New Roman" w:eastAsia="Times New Roman" w:hAnsi="Aptos"/>
          <w:b/>
          <w:bCs/>
          <w:color w:val="262B2F"/>
          <w:sz w:val="20"/>
        </w:rPr>
        <w:t xml:space="preserve">Evidence</w:t>
      </w:r>
      <w:r>
        <w:rPr>
          <w:rFonts w:ascii="Aptos" w:cs="Times New Roman" w:eastAsia="Times New Roman" w:hAnsi="Aptos"/>
          <w:color w:val="262B2F"/>
          <w:sz w:val="20"/>
        </w:rPr>
        <w:t xml:space="preserve">, here, is any statement about the detector's field performance that has traceable provenance (lineage), a reproducible procedure, declared uncertainty, and an indication of the level at which it sits (Table 3). A statement without a declared level is not evidence. Disagreement between reviewers and the “uncertain” category are study data, not noise to be discarded.</w:t>
      </w:r>
    </w:p>
    <w:p>
      <w:pPr>
        <w:keepNext/>
        <w:spacing w:after="60" w:before="160" w:line="264" w:lineRule="auto"/>
        <w:jc w:val="left"/>
      </w:pPr>
      <w:r>
        <w:rPr>
          <w:rFonts w:ascii="Aptos" w:cs="Times New Roman" w:eastAsia="Times New Roman" w:hAnsi="Aptos"/>
          <w:b/>
          <w:bCs/>
          <w:color w:val="2B5DA8"/>
          <w:sz w:val="18"/>
          <w:szCs w:val="22"/>
        </w:rPr>
        <w:t xml:space="preserve">Table 3.</w:t>
      </w:r>
      <w:r>
        <w:rPr>
          <w:rFonts w:ascii="Aptos" w:cs="Times New Roman" w:eastAsia="Times New Roman" w:hAnsi="Aptos"/>
          <w:b/>
          <w:color w:val="262B2F"/>
          <w:sz w:val="18"/>
          <w:szCs w:val="22"/>
        </w:rPr>
        <w:t xml:space="preserve"> Evidence levels adopted in the research</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1700"/>
        <w:gridCol w:w="2450"/>
        <w:gridCol w:w="2500"/>
        <w:gridCol w:w="2421"/>
      </w:tblGrid>
      <w:tr>
        <w:trPr>
          <w:cantSplit/>
          <w:tblHeader/>
          <w:cantSplit/>
        </w:trPr>
        <w:tc>
          <w:tcPr>
            <w:tcW w:type="dxa" w:w="1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Level</w:t>
            </w:r>
          </w:p>
        </w:tc>
        <w:tc>
          <w:tcPr>
            <w:tcW w:type="dxa" w:w="245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What it is</w:t>
            </w:r>
          </w:p>
        </w:tc>
        <w:tc>
          <w:tcPr>
            <w:tcW w:type="dxa" w:w="25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What it allows one to claim</w:t>
            </w:r>
          </w:p>
        </w:tc>
        <w:tc>
          <w:tcPr>
            <w:tcW w:type="dxa" w:w="242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5"/>
                <w:szCs w:val="19"/>
              </w:rPr>
              <w:t xml:space="preserve">What it does not allow one to claim</w:t>
            </w:r>
          </w:p>
        </w:tc>
      </w:tr>
      <w:tr>
        <w:trPr>
          <w:cantSplit/>
          <w:cantSplit/>
        </w:trPr>
        <w:tc>
          <w:tcPr>
            <w:tcW w:type="dxa" w:w="1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1. Validation metric</w:t>
            </w:r>
          </w:p>
        </w:tc>
        <w:tc>
          <w:tcPr>
            <w:tcW w:type="dxa" w:w="24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Precision, recall, and mAP on the team-annotated set.</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Performance on the small validation set.</w:t>
            </w:r>
          </w:p>
        </w:tc>
        <w:tc>
          <w:tcPr>
            <w:tcW w:type="dxa" w:w="24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Performance in unannotated regions.</w:t>
            </w:r>
          </w:p>
        </w:tc>
      </w:tr>
      <w:tr>
        <w:trPr>
          <w:cantSplit/>
          <w:cantSplit/>
        </w:trPr>
        <w:tc>
          <w:tcPr>
            <w:tcW w:type="dxa" w:w="1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2. Field detection rate</w:t>
            </w:r>
          </w:p>
        </w:tc>
        <w:tc>
          <w:tcPr>
            <w:tcW w:type="dxa" w:w="24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Fraction of </w:t>
            </w:r>
            <w:r>
              <w:rPr>
                <w:rFonts w:ascii="Aptos" w:cs="Times New Roman" w:eastAsia="Times New Roman" w:hAnsi="Aptos"/>
                <w:i/>
                <w:iCs/>
                <w:color w:val="262B2F"/>
                <w:sz w:val="15"/>
                <w:szCs w:val="19"/>
              </w:rPr>
              <w:t xml:space="preserve">tiles</w:t>
            </w:r>
            <w:r>
              <w:rPr>
                <w:rFonts w:ascii="Aptos" w:cs="Times New Roman" w:eastAsia="Times New Roman" w:hAnsi="Aptos"/>
                <w:color w:val="262B2F"/>
                <w:sz w:val="15"/>
                <w:szCs w:val="19"/>
              </w:rPr>
              <w:t xml:space="preserve"> with at least one detection.</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Compare detectors on the same </w:t>
            </w:r>
            <w:r>
              <w:rPr>
                <w:rFonts w:ascii="Aptos" w:cs="Times New Roman" w:eastAsia="Times New Roman" w:hAnsi="Aptos"/>
                <w:i/>
                <w:iCs/>
                <w:color w:val="262B2F"/>
                <w:sz w:val="15"/>
                <w:szCs w:val="19"/>
              </w:rPr>
              <w:t xml:space="preserve">tiles</w:t>
            </w:r>
            <w:r>
              <w:rPr>
                <w:rFonts w:ascii="Aptos" w:cs="Times New Roman" w:eastAsia="Times New Roman" w:hAnsi="Aptos"/>
                <w:color w:val="262B2F"/>
                <w:sz w:val="15"/>
                <w:szCs w:val="19"/>
              </w:rPr>
              <w:t xml:space="preserve">.</w:t>
            </w:r>
          </w:p>
        </w:tc>
        <w:tc>
          <w:tcPr>
            <w:tcW w:type="dxa" w:w="24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Precision, recall, or number of helipads.</w:t>
            </w:r>
          </w:p>
        </w:tc>
      </w:tr>
      <w:tr>
        <w:trPr>
          <w:cantSplit/>
          <w:cantSplit/>
        </w:trPr>
        <w:tc>
          <w:tcPr>
            <w:tcW w:type="dxa" w:w="1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3. Sampled human visual reference</w:t>
            </w:r>
          </w:p>
        </w:tc>
        <w:tc>
          <w:tcPr>
            <w:tcW w:type="dxa" w:w="24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Labels from two reviewers on a stratified sample, with agreement and “uncertain”.</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Estimate precision by stratum, with explicit uncertainty.</w:t>
            </w:r>
          </w:p>
        </w:tc>
        <w:tc>
          <w:tcPr>
            <w:tcW w:type="dxa" w:w="24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5"/>
                <w:szCs w:val="19"/>
              </w:rPr>
              <w:t xml:space="preserve">Ground truth; large-scale recall.</w:t>
            </w:r>
          </w:p>
        </w:tc>
      </w:tr>
      <w:tr>
        <w:trPr>
          <w:cantSplit/>
          <w:cantSplit/>
        </w:trPr>
        <w:tc>
          <w:tcPr>
            <w:tcW w:type="dxa" w:w="1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4. Ground truth</w:t>
            </w:r>
          </w:p>
        </w:tc>
        <w:tc>
          <w:tcPr>
            <w:tcW w:type="dxa" w:w="24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Independent confirmation, on site or from an official source.</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Out of scope.</w:t>
            </w:r>
          </w:p>
        </w:tc>
        <w:tc>
          <w:tcPr>
            <w:tcW w:type="dxa" w:w="24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5"/>
                <w:szCs w:val="19"/>
              </w:rPr>
              <w:t xml:space="preserve">Will not be produced or claimed.</w:t>
            </w:r>
          </w:p>
        </w:tc>
      </w:tr>
    </w:tbl>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7. Methodology</w:t>
      </w:r>
    </w:p>
    <w:p>
      <w:pPr>
        <w:spacing w:after="100" w:before="0" w:line="264" w:lineRule="auto"/>
        <w:jc w:val="both"/>
      </w:pPr>
      <w:r>
        <w:rPr>
          <w:rFonts w:ascii="Aptos" w:cs="Times New Roman" w:eastAsia="Times New Roman" w:hAnsi="Aptos"/>
          <w:b/>
          <w:bCs/>
          <w:color w:val="1B365D"/>
          <w:sz w:val="20"/>
        </w:rPr>
        <w:t xml:space="preserve">Type of research.</w:t>
      </w:r>
      <w:r>
        <w:rPr>
          <w:rFonts w:ascii="Aptos" w:cs="Times New Roman" w:eastAsia="Times New Roman" w:hAnsi="Aptos"/>
          <w:color w:val="262B2F"/>
          <w:sz w:val="20"/>
        </w:rPr>
        <w:t xml:space="preserve"> Applied and empirical, predominantly quantitative (computational experiments and statistical estimation), with an interpretive component: human review as the production of a visual reference.</w:t>
      </w:r>
    </w:p>
    <w:p>
      <w:pPr>
        <w:spacing w:after="100" w:before="0" w:line="264" w:lineRule="auto"/>
        <w:jc w:val="both"/>
      </w:pPr>
      <w:r>
        <w:rPr>
          <w:rFonts w:ascii="Aptos" w:cs="Times New Roman" w:eastAsia="Times New Roman" w:hAnsi="Aptos"/>
          <w:b/>
          <w:bCs/>
          <w:color w:val="1B365D"/>
          <w:sz w:val="20"/>
        </w:rPr>
        <w:t xml:space="preserve">Starting material and authorization.</w:t>
      </w:r>
      <w:r>
        <w:rPr>
          <w:rFonts w:ascii="Aptos" w:cs="Times New Roman" w:eastAsia="Times New Roman" w:hAnsi="Aptos"/>
          <w:color w:val="262B2F"/>
          <w:sz w:val="20"/>
        </w:rPr>
        <w:t xml:space="preserve"> The repository </w:t>
      </w:r>
      <w:hyperlink w:history="1" r:id="rIduarn90c7pt-qbajgvssdi">
        <w:r>
          <w:rPr>
            <w:rFonts w:ascii="Aptos" w:cs="Aptos" w:eastAsia="Aptos" w:hAnsi="Aptos"/>
            <w:color w:val="1D5FD1"/>
            <w:sz w:val="20"/>
            <w:szCs w:val="20"/>
            <w:u w:val="single" w:color="1D5FD1"/>
          </w:rPr>
          <w:t xml:space="preserve">3-project-ai-ml-yolo-helipad_detector</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from the organization </w:t>
      </w:r>
      <w:hyperlink w:history="1" r:id="rIdxqkr0_b8xxnvngnzyw-vn">
        <w:r>
          <w:rPr>
            <w:rFonts w:ascii="Aptos" w:cs="Aptos" w:eastAsia="Aptos" w:hAnsi="Aptos"/>
            <w:color w:val="1D5FD1"/>
            <w:sz w:val="20"/>
            <w:szCs w:val="20"/>
            <w:u w:val="single" w:color="1D5FD1"/>
          </w:rPr>
          <w:t xml:space="preserve">Mindful-AI-Research</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created by the applicant, is public and gathers experiments exp1 to exp4, the field reports, and the documentation. The use of the repository and data in this research has the authorization of Pedro Vyctor Almeida, co-author of the original annotated dataset, recorded in an </w:t>
      </w:r>
      <w:hyperlink w:history="1" r:id="rId16">
        <w:r>
          <w:rPr>
            <w:rFonts w:ascii="Aptos" w:cs="Aptos" w:eastAsia="Aptos" w:hAnsi="Aptos"/>
            <w:color w:val="1D5FD1"/>
            <w:sz w:val="20"/>
            <w:szCs w:val="20"/>
            <w:u w:val="single" w:color="1D5FD1"/>
          </w:rPr>
          <w:t xml:space="preserve">authorization form</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signed by Pedro Vyctor Almeida and the applicant</w:t>
      </w:r>
      <w:r>
        <w:rPr>
          <w:rFonts w:ascii="Aptos" w:cs="Times New Roman" w:eastAsia="Times New Roman" w:hAnsi="Aptos"/>
          <w:color w:val="262B2F"/>
          <w:sz w:val="20"/>
        </w:rPr>
        <w:t xml:space="preserve">. The data are small (226 images in version 2: 178 training, 34 validation, and 14 test), with images from a single provider and date. The provider's terms of use for derived datasets and redistribution will be verified in Stage 1, before any data publication. The </w:t>
      </w:r>
      <w:hyperlink w:history="1" r:id="rId14">
        <w:r>
          <w:rPr>
            <w:rFonts w:ascii="Aptos" w:cs="Aptos" w:eastAsia="Aptos" w:hAnsi="Aptos"/>
            <w:color w:val="1D5FD1"/>
            <w:sz w:val="20"/>
            <w:szCs w:val="20"/>
            <w:u w:val="single" w:color="1D5FD1"/>
          </w:rPr>
          <w:t xml:space="preserve">project presentation</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summarizes the work and the method.</w:t>
      </w:r>
    </w:p>
    <w:p>
      <w:pPr>
        <w:keepNext/>
        <w:spacing w:after="60" w:before="160" w:line="264" w:lineRule="auto"/>
        <w:jc w:val="left"/>
      </w:pPr>
      <w:r>
        <w:rPr>
          <w:rFonts w:ascii="Aptos" w:cs="Times New Roman" w:eastAsia="Times New Roman" w:hAnsi="Aptos"/>
          <w:b/>
          <w:bCs/>
          <w:color w:val="2B5DA8"/>
          <w:sz w:val="18"/>
          <w:szCs w:val="22"/>
        </w:rPr>
        <w:t xml:space="preserve">Table 4.</w:t>
      </w:r>
      <w:r>
        <w:rPr>
          <w:rFonts w:ascii="Aptos" w:cs="Times New Roman" w:eastAsia="Times New Roman" w:hAnsi="Aptos"/>
          <w:b/>
          <w:color w:val="262B2F"/>
          <w:sz w:val="18"/>
          <w:szCs w:val="22"/>
        </w:rPr>
        <w:t xml:space="preserve"> Dependencies and fallback plans</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2000"/>
        <w:gridCol w:w="2900"/>
        <w:gridCol w:w="4171"/>
      </w:tblGrid>
      <w:tr>
        <w:trPr>
          <w:cantSplit/>
          <w:tblHeader/>
          <w:cantSplit/>
        </w:trPr>
        <w:tc>
          <w:tcPr>
            <w:tcW w:type="dxa" w:w="20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Dependency</w:t>
            </w:r>
          </w:p>
        </w:tc>
        <w:tc>
          <w:tcPr>
            <w:tcW w:type="dxa" w:w="29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Risk</w:t>
            </w:r>
          </w:p>
        </w:tc>
        <w:tc>
          <w:tcPr>
            <w:tcW w:type="dxa" w:w="41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Plan B</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exp1 data version</w:t>
            </w:r>
          </w:p>
        </w:tc>
        <w:tc>
          <w:tcPr>
            <w:tcW w:type="dxa" w:w="2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No count record matching the preserved metrics; attribution to version 2 by documentary evidence.</w:t>
            </w:r>
          </w:p>
        </w:tc>
        <w:tc>
          <w:tcPr>
            <w:tcW w:type="dxa" w:w="41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If Stage 1 does not confirm it, exp1 leaves the comparisons and remains only as a descriptive observation; SQ1 and SQ2 do not depend on it (Stage 2 retrains).</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Flagged labels in exp4</w:t>
            </w:r>
          </w:p>
        </w:tc>
        <w:tc>
          <w:tcPr>
            <w:tcW w:type="dxa" w:w="2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Three training label files mix polygons and boxes; Ultralytics 8.4.163 flags them as corrupted.</w:t>
            </w:r>
          </w:p>
        </w:tc>
        <w:tc>
          <w:tcPr>
            <w:tcW w:type="dxa" w:w="41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Stage 1 standardizes the labels; Stage 2 retrains both models on the same version, with verified data; if unfeasible, exp2 × exp4 stands with a caveat.</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Authorization of use</w:t>
            </w:r>
          </w:p>
        </w:tc>
        <w:tc>
          <w:tcPr>
            <w:tcW w:type="dxa" w:w="2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Pedro Vyctor Almeida withdraws the signed authorization, or the provider's terms (Esri World Imagery, third party) restrict the use or redistribution of the images and of the derived dataset.</w:t>
            </w:r>
          </w:p>
        </w:tc>
        <w:tc>
          <w:tcPr>
            <w:tcW w:type="dxa" w:w="41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Restrict to the material authored by the applicant (collection, geocoding, exp2 to exp4, field reports), re-annotating as needed.</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Second reviewer</w:t>
            </w:r>
          </w:p>
        </w:tc>
        <w:tc>
          <w:tcPr>
            <w:tcW w:type="dxa" w:w="29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Pedro Vyctor Almeida accepted (signed form); the risk is unavailability throughout the project.</w:t>
            </w:r>
          </w:p>
        </w:tc>
        <w:tc>
          <w:tcPr>
            <w:tcW w:type="dxa" w:w="41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Invite a substitute with the same profile; without one, report with a single reviewer and declare the limitation.</w:t>
            </w:r>
          </w:p>
        </w:tc>
      </w:tr>
    </w:tbl>
    <w:p>
      <w:pPr>
        <w:spacing w:after="100" w:before="140" w:line="264" w:lineRule="auto"/>
        <w:jc w:val="both"/>
      </w:pPr>
      <w:r>
        <w:rPr>
          <w:rFonts w:ascii="Aptos" w:cs="Times New Roman" w:eastAsia="Times New Roman" w:hAnsi="Aptos"/>
          <w:b/>
          <w:bCs/>
          <w:color w:val="1B365D"/>
          <w:sz w:val="20"/>
        </w:rPr>
        <w:t xml:space="preserve">Stage 1. Lineage audit and reproducibility.</w:t>
      </w:r>
      <w:r>
        <w:rPr>
          <w:rFonts w:ascii="Aptos" w:cs="Times New Roman" w:eastAsia="Times New Roman" w:hAnsi="Aptos"/>
          <w:color w:val="262B2F"/>
          <w:sz w:val="20"/>
        </w:rPr>
        <w:t xml:space="preserve"> Reconstruct, for each experiment, the data version, the partition, the configuration, and the seed, confirming the exp1 data version, standardizing the labels (most files contain polygons, which detection training converts into boxes; three mix polygons and boxes), and verifying the effect of the Ultralytics version. Extend the training × field cross-check already done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copies and neighborhood) to the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missing from Faria Lima and to the detections per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of each experiment to measure the overlap, measure the share of empty or corrupted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sent to inference, and pin the versions of data, code, and dependencies. In parallel, carry out the systematic literature review, including image semiotics and cognition.</w:t>
      </w:r>
    </w:p>
    <w:p>
      <w:pPr>
        <w:spacing w:after="100" w:before="0" w:line="264" w:lineRule="auto"/>
        <w:jc w:val="both"/>
      </w:pPr>
      <w:r>
        <w:rPr>
          <w:rFonts w:ascii="Aptos" w:cs="Times New Roman" w:eastAsia="Times New Roman" w:hAnsi="Aptos"/>
          <w:b/>
          <w:bCs/>
          <w:color w:val="1B365D"/>
          <w:sz w:val="20"/>
        </w:rPr>
        <w:t xml:space="preserve">Stage 2. Controlled comparisons and spatial partitioning.</w:t>
      </w:r>
      <w:r>
        <w:rPr>
          <w:rFonts w:ascii="Aptos" w:cs="Times New Roman" w:eastAsia="Times New Roman" w:hAnsi="Aptos"/>
          <w:color w:val="262B2F"/>
          <w:sz w:val="20"/>
        </w:rPr>
        <w:t xml:space="preserve"> Train YOLOv8n and YOLO11n with the same data, the same partition, and the same epochs, with at least three seeds, and compare with tests for paired models, such as McNemar and 5×2 cross-validation (DIETTERICH, 1998), and Wilson intervals (BROWN; CAI; DASGUPTA, 2001). Then, train and evaluate with partitioning by region (leaving one out in each round, when feasible), compare with random partitioning, and quantify the difference. Since neighboring regions share tiles (5,540 distinct in 7,767 pairs), the partition will be made over distinct tiles, removing from training the tiles shared with the held-out region. Baixada Santista is a candidate for the held-out region, provided its absence from training is confirmed by coordinates; Faria Lima only qualifies if the two training images that already coincide with its tiles are excluded. The epoch will be chosen on a set separate from the one used for reporting.</w:t>
      </w:r>
    </w:p>
    <w:p>
      <w:pPr>
        <w:spacing w:after="100" w:before="0" w:line="264" w:lineRule="auto"/>
        <w:jc w:val="both"/>
      </w:pPr>
      <w:r>
        <w:rPr>
          <w:rFonts w:ascii="Aptos" w:cs="Times New Roman" w:eastAsia="Times New Roman" w:hAnsi="Aptos"/>
          <w:b/>
          <w:bCs/>
          <w:color w:val="1B365D"/>
          <w:sz w:val="20"/>
        </w:rPr>
        <w:t xml:space="preserve">Stage 3. Sampled human review in the field.</w:t>
      </w:r>
      <w:r>
        <w:rPr>
          <w:rFonts w:ascii="Aptos" w:cs="Times New Roman" w:eastAsia="Times New Roman" w:hAnsi="Aptos"/>
          <w:color w:val="262B2F"/>
          <w:sz w:val="20"/>
        </w:rPr>
        <w:t xml:space="preserve"> Draw, stratified by confidence band and by region, detections from the Stage 2 model(s) over the 7,767 common region × </w:t>
      </w:r>
      <w:r>
        <w:rPr>
          <w:rFonts w:ascii="Aptos" w:cs="Times New Roman" w:eastAsia="Times New Roman" w:hAnsi="Aptos"/>
          <w:i/>
          <w:iCs/>
          <w:color w:val="262B2F"/>
          <w:sz w:val="20"/>
        </w:rPr>
        <w:t xml:space="preserve">tile</w:t>
      </w:r>
      <w:r>
        <w:rPr>
          <w:rFonts w:ascii="Aptos" w:cs="Times New Roman" w:eastAsia="Times New Roman" w:hAnsi="Aptos"/>
          <w:color w:val="262B2F"/>
          <w:sz w:val="20"/>
        </w:rPr>
        <w:t xml:space="preserve"> pairs, plus a sample of </w:t>
      </w:r>
      <w:r>
        <w:rPr>
          <w:rFonts w:ascii="Aptos" w:cs="Times New Roman" w:eastAsia="Times New Roman" w:hAnsi="Aptos"/>
          <w:i/>
          <w:iCs/>
          <w:color w:val="262B2F"/>
          <w:sz w:val="20"/>
        </w:rPr>
        <w:t xml:space="preserve">tiles</w:t>
      </w:r>
      <w:r>
        <w:rPr>
          <w:rFonts w:ascii="Aptos" w:cs="Times New Roman" w:eastAsia="Times New Roman" w:hAnsi="Aptos"/>
          <w:color w:val="262B2F"/>
          <w:sz w:val="20"/>
        </w:rPr>
        <w:t xml:space="preserve"> without detection, composed mainly of tiles on which the experiments disagree, plus a small random baseline sample, to estimate omissions, and produce the human visual reference according to Table 5, with two reviewers: the applicant, Fabiana Rotella Campaner, and Pedro Vyctor Almeida. Precision by stratum is estimated with Wilson intervals and spatial block </w:t>
      </w:r>
      <w:r>
        <w:rPr>
          <w:rFonts w:ascii="Aptos" w:cs="Times New Roman" w:eastAsia="Times New Roman" w:hAnsi="Aptos"/>
          <w:i/>
          <w:iCs/>
          <w:color w:val="262B2F"/>
          <w:sz w:val="20"/>
        </w:rPr>
        <w:t xml:space="preserve">bootstrap</w:t>
      </w:r>
      <w:r>
        <w:rPr>
          <w:rFonts w:ascii="Aptos" w:cs="Times New Roman" w:eastAsia="Times New Roman" w:hAnsi="Aptos"/>
          <w:color w:val="262B2F"/>
          <w:sz w:val="20"/>
        </w:rPr>
        <w:t xml:space="preserve">; the confidence threshold is varied to show how precision and coverage change, and precision by band feeds the reliability diagram (GUO et al., 2017). The result is human visual reference, and not ground truth.</w:t>
      </w:r>
    </w:p>
    <w:p>
      <w:pPr>
        <w:keepNext/>
        <w:spacing w:after="60" w:before="160" w:line="264" w:lineRule="auto"/>
        <w:jc w:val="left"/>
      </w:pPr>
      <w:r>
        <w:rPr>
          <w:rFonts w:ascii="Aptos" w:cs="Times New Roman" w:eastAsia="Times New Roman" w:hAnsi="Aptos"/>
          <w:b/>
          <w:bCs/>
          <w:color w:val="2B5DA8"/>
          <w:sz w:val="18"/>
          <w:szCs w:val="22"/>
        </w:rPr>
        <w:t xml:space="preserve">Table 5.</w:t>
      </w:r>
      <w:r>
        <w:rPr>
          <w:rFonts w:ascii="Aptos" w:cs="Times New Roman" w:eastAsia="Times New Roman" w:hAnsi="Aptos"/>
          <w:b/>
          <w:color w:val="262B2F"/>
          <w:sz w:val="18"/>
          <w:szCs w:val="22"/>
        </w:rPr>
        <w:t xml:space="preserve"> Human review protocol (Stage 3)</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2000"/>
        <w:gridCol w:w="7071"/>
      </w:tblGrid>
      <w:tr>
        <w:trPr>
          <w:cantSplit/>
          <w:tblHeader/>
          <w:cantSplit/>
        </w:trPr>
        <w:tc>
          <w:tcPr>
            <w:tcW w:type="dxa" w:w="20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Item</w:t>
            </w:r>
          </w:p>
        </w:tc>
        <w:tc>
          <w:tcPr>
            <w:tcW w:type="dxa" w:w="70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val="false"/>
              <w:spacing w:after="20" w:line="240" w:lineRule="auto"/>
              <w:jc w:val="left"/>
            </w:pPr>
            <w:r>
              <w:rPr>
                <w:rFonts w:ascii="Aptos" w:cs="Times New Roman" w:eastAsia="Times New Roman" w:hAnsi="Aptos"/>
                <w:b/>
                <w:bCs/>
                <w:color w:val="FFFFFF"/>
                <w:sz w:val="17"/>
                <w:szCs w:val="18"/>
              </w:rPr>
              <w:t xml:space="preserve">Definition</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Reviewers</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Two: the applicant and Pedro Vyctor Almeida, who agreed to participate. He annotated the original dataset and trained exp1, and is therefore not independent of the project; the limitation is declared and a subsample of about 100 items will also be reviewed by a person external to the team, with kappa computed against both reviewers.</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Independence and blinding</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Each reviewer works alone. The queue is generated by a script with a fixed seed, in random order, mixing detections and </w:t>
            </w:r>
            <w:r>
              <w:rPr>
                <w:rFonts w:ascii="Aptos" w:cs="Times New Roman" w:eastAsia="Times New Roman" w:hAnsi="Aptos"/>
                <w:i/>
                <w:iCs/>
                <w:color w:val="262B2F"/>
                <w:sz w:val="17"/>
                <w:szCs w:val="18"/>
              </w:rPr>
              <w:t xml:space="preserve">tiles</w:t>
            </w:r>
            <w:r>
              <w:rPr>
                <w:rFonts w:ascii="Aptos" w:cs="Times New Roman" w:eastAsia="Times New Roman" w:hAnsi="Aptos"/>
                <w:color w:val="262B2F"/>
                <w:sz w:val="17"/>
                <w:szCs w:val="18"/>
              </w:rPr>
              <w:t xml:space="preserve"> without detection; reviewers do not see the confidence, the source experiment, or the stratum. Since both know the detector, and the second reviewer annotated the training data (his criteria may coincide with those of the training label), the main analysis is repeated with each reviewer separately (sensitivity).</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Categories and pilot</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Helipad, not helipad, and uncertain, with visual criteria in a written guide. Pilot of about 50 items to adjust the guide and sample and compute agreement (Cohen's kappa).</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Sample (order of magnitude)</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Three confidence bands (0.25–0.50; 0.50–0.75; ≥ 0.75), with about 100 detections per band, drawn with a minimum quota per region; strata with fewer than about 100 are reviewed in full. Plus about 100 </w:t>
            </w:r>
            <w:r>
              <w:rPr>
                <w:rFonts w:ascii="Aptos" w:cs="Times New Roman" w:eastAsia="Times New Roman" w:hAnsi="Aptos"/>
                <w:i/>
                <w:iCs/>
                <w:color w:val="262B2F"/>
                <w:sz w:val="17"/>
                <w:szCs w:val="18"/>
              </w:rPr>
              <w:t xml:space="preserve">tiles</w:t>
            </w:r>
            <w:r>
              <w:rPr>
                <w:rFonts w:ascii="Aptos" w:cs="Times New Roman" w:eastAsia="Times New Roman" w:hAnsi="Aptos"/>
                <w:color w:val="262B2F"/>
                <w:sz w:val="17"/>
                <w:szCs w:val="18"/>
              </w:rPr>
              <w:t xml:space="preserve"> without detection, composed mainly of tiles on which the experiments disagree (detected by one model and not by another, or with a detection just below the 0.25 threshold), plus a small random baseline sample. Total on the order of 400 items per reviewer, to be adjusted by the pilot.</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Power for rare strata</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val="false"/>
              <w:spacing w:after="20" w:line="240" w:lineRule="auto"/>
              <w:jc w:val="left"/>
            </w:pPr>
            <w:r>
              <w:rPr>
                <w:rFonts w:ascii="Aptos" w:cs="Times New Roman" w:eastAsia="Times New Roman" w:hAnsi="Aptos"/>
                <w:color w:val="262B2F"/>
                <w:sz w:val="17"/>
                <w:szCs w:val="18"/>
              </w:rPr>
              <w:t xml:space="preserve">With n ≈ 100 per band, the half-width of the Wilson interval is about ±10 percentage points (p = 0.5), and comparing two bands has about 80% power for differences of 20 points (50% versus 70%). By region (n ≈ 30), the half-width reaches ±17 points, and results are descriptive. With few expected positives, only the upper bound is reported (rule of three: zero in 100 implies about 3%). Since spatial dependence widens the intervals, block </w:t>
            </w:r>
            <w:r>
              <w:rPr>
                <w:rFonts w:ascii="Aptos" w:cs="Times New Roman" w:eastAsia="Times New Roman" w:hAnsi="Aptos"/>
                <w:i/>
                <w:iCs/>
                <w:color w:val="262B2F"/>
                <w:sz w:val="17"/>
                <w:szCs w:val="18"/>
              </w:rPr>
              <w:t xml:space="preserve">bootstrap</w:t>
            </w:r>
            <w:r>
              <w:rPr>
                <w:rFonts w:ascii="Aptos" w:cs="Times New Roman" w:eastAsia="Times New Roman" w:hAnsi="Aptos"/>
                <w:color w:val="262B2F"/>
                <w:sz w:val="17"/>
                <w:szCs w:val="18"/>
              </w:rPr>
              <w:t xml:space="preserve"> is used. The sample of disagreement tiles is not representative: it shows types of omission, and only the random baseline sample estimates the omission rate.</w:t>
            </w:r>
          </w:p>
        </w:tc>
      </w:tr>
      <w:tr>
        <w:trPr>
          <w:cantSplit/>
          <w:cantSplit/>
        </w:trPr>
        <w:tc>
          <w:tcPr>
            <w:tcW w:type="dxa" w:w="20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“Uncertain” and disagreements</w:t>
            </w:r>
          </w:p>
        </w:tc>
        <w:tc>
          <w:tcPr>
            <w:tcW w:type="dxa" w:w="7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val="false"/>
              <w:spacing w:after="20" w:line="240" w:lineRule="auto"/>
              <w:jc w:val="left"/>
            </w:pPr>
            <w:r>
              <w:rPr>
                <w:rFonts w:ascii="Aptos" w:cs="Times New Roman" w:eastAsia="Times New Roman" w:hAnsi="Aptos"/>
                <w:color w:val="262B2F"/>
                <w:sz w:val="17"/>
                <w:szCs w:val="18"/>
              </w:rPr>
              <w:t xml:space="preserve">“Uncertain” is its own category, never silently merged: precision is reported with “uncertain” as not helipad, as helipad, and excluded, together with its proportion per stratum. Kappa is computed before any resolution; disagreements are discussed in a recorded session and, if they persist, the item stays “uncertain”.</w:t>
            </w:r>
          </w:p>
        </w:tc>
      </w:tr>
    </w:tbl>
    <w:p>
      <w:pPr>
        <w:spacing w:after="100" w:before="140" w:line="264" w:lineRule="auto"/>
        <w:jc w:val="both"/>
      </w:pPr>
      <w:r>
        <w:rPr>
          <w:rFonts w:ascii="Aptos" w:cs="Times New Roman" w:eastAsia="Times New Roman" w:hAnsi="Aptos"/>
          <w:b/>
          <w:bCs/>
          <w:color w:val="1B365D"/>
          <w:sz w:val="20"/>
        </w:rPr>
        <w:t xml:space="preserve">Stage 4. Documentation and audit.</w:t>
      </w:r>
      <w:r>
        <w:rPr>
          <w:rFonts w:ascii="Aptos" w:cs="Times New Roman" w:eastAsia="Times New Roman" w:hAnsi="Aptos"/>
          <w:color w:val="262B2F"/>
          <w:sz w:val="20"/>
        </w:rPr>
        <w:t xml:space="preserve"> Produce </w:t>
      </w:r>
      <w:r>
        <w:rPr>
          <w:rFonts w:ascii="Aptos" w:cs="Times New Roman" w:eastAsia="Times New Roman" w:hAnsi="Aptos"/>
          <w:i/>
          <w:iCs/>
          <w:color w:val="262B2F"/>
          <w:sz w:val="20"/>
        </w:rPr>
        <w:t xml:space="preserve">Model Card</w:t>
      </w:r>
      <w:r>
        <w:rPr>
          <w:rFonts w:ascii="Aptos" w:cs="Times New Roman" w:eastAsia="Times New Roman" w:hAnsi="Aptos"/>
          <w:color w:val="262B2F"/>
          <w:sz w:val="20"/>
        </w:rPr>
        <w:t xml:space="preserve">, </w:t>
      </w:r>
      <w:r>
        <w:rPr>
          <w:rFonts w:ascii="Aptos" w:cs="Times New Roman" w:eastAsia="Times New Roman" w:hAnsi="Aptos"/>
          <w:i/>
          <w:iCs/>
          <w:color w:val="262B2F"/>
          <w:sz w:val="20"/>
        </w:rPr>
        <w:t xml:space="preserve">Data Card</w:t>
      </w:r>
      <w:r>
        <w:rPr>
          <w:rFonts w:ascii="Aptos" w:cs="Times New Roman" w:eastAsia="Times New Roman" w:hAnsi="Aptos"/>
          <w:color w:val="262B2F"/>
          <w:sz w:val="20"/>
        </w:rPr>
        <w:t xml:space="preserve">, review protocol, and audit log schema, with versioned artifacts.</w:t>
      </w:r>
    </w:p>
    <w:p>
      <w:pPr>
        <w:spacing w:after="100" w:before="0" w:line="264" w:lineRule="auto"/>
        <w:jc w:val="both"/>
      </w:pPr>
      <w:r>
        <w:rPr>
          <w:rFonts w:ascii="Aptos" w:cs="Times New Roman" w:eastAsia="Times New Roman" w:hAnsi="Aptos"/>
          <w:b/>
          <w:bCs/>
          <w:color w:val="1B365D"/>
          <w:sz w:val="20"/>
        </w:rPr>
        <w:t xml:space="preserve">Conditional extension (H4, SQ4).</w:t>
      </w:r>
      <w:r>
        <w:rPr>
          <w:rFonts w:ascii="Aptos" w:cs="Times New Roman" w:eastAsia="Times New Roman" w:hAnsi="Aptos"/>
          <w:color w:val="262B2F"/>
          <w:sz w:val="20"/>
        </w:rPr>
        <w:t xml:space="preserve"> Compare two interfaces (box and raw confidence </w:t>
      </w:r>
      <w:r>
        <w:rPr>
          <w:rFonts w:ascii="Aptos" w:cs="Times New Roman" w:eastAsia="Times New Roman" w:hAnsi="Aptos"/>
          <w:i/>
          <w:iCs/>
          <w:color w:val="262B2F"/>
          <w:sz w:val="20"/>
        </w:rPr>
        <w:t xml:space="preserve">versus</w:t>
      </w:r>
      <w:r>
        <w:rPr>
          <w:rFonts w:ascii="Aptos" w:cs="Times New Roman" w:eastAsia="Times New Roman" w:hAnsi="Aptos"/>
          <w:color w:val="262B2F"/>
          <w:sz w:val="20"/>
        </w:rPr>
        <w:t xml:space="preserve"> calibrated confidence with examples of typical errors), measuring acceptance of false positives and decision time. It requires ethics approval: the project will be submitted in semester 2 and the extension will only be carried out if approval arrives before semester 4 and time allows; otherwise, it remains as future work, without prejudice to the central scope. The design and analysis methods of this study will be deepened in a human-computer interaction course (section 8) and in the bibliography to be consulted.</w:t>
      </w:r>
    </w:p>
    <w:p>
      <w:pPr>
        <w:spacing w:after="100" w:before="0" w:line="264" w:lineRule="auto"/>
        <w:jc w:val="both"/>
      </w:pPr>
      <w:r>
        <w:rPr>
          <w:rFonts w:ascii="Aptos" w:cs="Times New Roman" w:eastAsia="Times New Roman" w:hAnsi="Aptos"/>
          <w:b/>
          <w:bCs/>
          <w:color w:val="1B365D"/>
          <w:sz w:val="20"/>
        </w:rPr>
        <w:t xml:space="preserve">Ethics, privacy, and limitations.</w:t>
      </w:r>
      <w:r>
        <w:rPr>
          <w:rFonts w:ascii="Aptos" w:cs="Times New Roman" w:eastAsia="Times New Roman" w:hAnsi="Aptos"/>
          <w:color w:val="262B2F"/>
          <w:sz w:val="20"/>
        </w:rPr>
        <w:t xml:space="preserve"> No publication will identify specific people or buildings, and results will be aggregated by region; the need to process personal data will be assessed in light of the LGPD (BRASIL, 2018). Anticipated limitations: small and geographically heterogeneous dataset; a single provider (Esri World Imagery) and image date; absence of ground truth at scale; cost of human review; ambiguity of visual interpretation; and limited power in rare strata.</w:t>
      </w:r>
    </w:p>
    <w:p>
      <w:pPr>
        <w:pStyle w:val="Heading1"/>
        <w:keepNext/>
        <w:pBdr>
          <w:bottom w:val="single" w:sz="8" w:space="3" w:color="2B5DA8"/>
        </w:pBdr>
        <w:spacing w:after="120" w:line="264" w:lineRule="auto" w:before="240"/>
      </w:pPr>
      <w:r>
        <w:rPr>
          <w:rFonts w:ascii="Aptos" w:cs="Times New Roman" w:eastAsia="Times New Roman" w:hAnsi="Aptos"/>
          <w:b/>
          <w:color w:val="1B365D"/>
          <w:sz w:val="30"/>
        </w:rPr>
        <w:t xml:space="preserve">8. Timeline (24 months, within the program's 18 to 30)</w:t>
      </w:r>
    </w:p>
    <w:tbl>
      <w:tblPr>
        <w:tblW w:type="dxa" w:w="9071"/>
        <w:jc w:val="center"/>
        <w:tblBorders>
          <w:top w:val="single" w:color="C9D3E3" w:sz="4"/>
          <w:left w:val="single" w:color="C9D3E3" w:sz="4"/>
          <w:bottom w:val="single" w:color="C9D3E3" w:sz="4"/>
          <w:right w:val="single" w:color="C9D3E3" w:sz="4"/>
          <w:insideH w:val="single" w:color="C9D3E3" w:sz="4"/>
          <w:insideV w:val="single" w:color="C9D3E3" w:sz="4"/>
        </w:tblBorders>
        <w:tblLayout w:type="autofit"/>
      </w:tblPr>
      <w:tblGrid>
        <w:gridCol w:w="1500"/>
        <w:gridCol w:w="4871"/>
        <w:gridCol w:w="2700"/>
      </w:tblGrid>
      <w:tr>
        <w:trPr>
          <w:cantSplit/>
          <w:tblHeader/>
          <w:cantSplit/>
        </w:trPr>
        <w:tc>
          <w:tcPr>
            <w:tcW w:type="dxa" w:w="15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Semester</w:t>
            </w:r>
          </w:p>
        </w:tc>
        <w:tc>
          <w:tcPr>
            <w:tcW w:type="dxa" w:w="4871"/>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Activities</w:t>
            </w:r>
          </w:p>
        </w:tc>
        <w:tc>
          <w:tcPr>
            <w:tcW w:type="dxa" w:w="2700"/>
            <w:tcBorders>
              <w:top w:val="single" w:color="C9D3E3" w:sz="4"/>
              <w:left w:val="single" w:color="C9D3E3" w:sz="4"/>
              <w:bottom w:val="single" w:color="C9D3E3" w:sz="4"/>
              <w:right w:val="single" w:color="C9D3E3" w:sz="4"/>
            </w:tcBorders>
            <w:shd w:fill="1B365D" w:color="auto" w:val="clear"/>
            <w:tcMar>
              <w:top w:type="dxa" w:w="50"/>
              <w:left w:type="dxa" w:w="90"/>
              <w:bottom w:type="dxa" w:w="50"/>
              <w:right w:type="dxa" w:w="90"/>
            </w:tcMar>
            <w:vAlign w:val="center"/>
          </w:tcPr>
          <w:p>
            <w:pPr>
              <w:keepNext/>
              <w:spacing w:after="20" w:line="240" w:lineRule="auto"/>
              <w:jc w:val="left"/>
            </w:pPr>
            <w:r>
              <w:rPr>
                <w:rFonts w:ascii="Aptos" w:cs="Times New Roman" w:eastAsia="Times New Roman" w:hAnsi="Aptos"/>
                <w:b/>
                <w:bCs/>
                <w:color w:val="FFFFFF"/>
                <w:sz w:val="17"/>
                <w:szCs w:val="19"/>
              </w:rPr>
              <w:t xml:space="preserve">Deliverables</w:t>
            </w:r>
          </w:p>
        </w:tc>
      </w:tr>
      <w:tr>
        <w:trPr>
          <w:cantSplit/>
          <w:cantSplit/>
        </w:trPr>
        <w:tc>
          <w:tcPr>
            <w:tcW w:type="dxa" w:w="1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1 (months 1–6)</w:t>
            </w:r>
          </w:p>
        </w:tc>
        <w:tc>
          <w:tcPr>
            <w:tcW w:type="dxa" w:w="48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Courses: Epistemology and Research Methodology (EMP, mandatory) and Fundamentals of Artificial Intelligence (FIA, line 4, module 1); foreign-language proficiency, within 6 months of enrollment (call notice, item 6.4); systematic review; Stage 1; design of the review protocol.</w:t>
            </w:r>
          </w:p>
        </w:tc>
        <w:tc>
          <w:tcPr>
            <w:tcW w:type="dxa" w:w="2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Lineage report; review protocol (v1)</w:t>
            </w:r>
          </w:p>
        </w:tc>
      </w:tr>
      <w:tr>
        <w:trPr>
          <w:cantSplit/>
          <w:cantSplit/>
        </w:trPr>
        <w:tc>
          <w:tcPr>
            <w:tcW w:type="dxa" w:w="1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2 (months 7–12)</w:t>
            </w:r>
          </w:p>
        </w:tc>
        <w:tc>
          <w:tcPr>
            <w:tcW w:type="dxa" w:w="48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Courses: two electives, candidates Human-Computer Interaction and User Experience (line 3) and Theory of Signs, Symbols, and Codes (line 4); Stage 2; review pilot; submission to the ethics committee (extension).</w:t>
            </w:r>
          </w:p>
        </w:tc>
        <w:tc>
          <w:tcPr>
            <w:tcW w:type="dxa" w:w="2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Results of SQ1 and SQ2; pilot report</w:t>
            </w:r>
          </w:p>
        </w:tc>
      </w:tr>
      <w:tr>
        <w:trPr>
          <w:cantSplit/>
          <w:cantSplit/>
        </w:trPr>
        <w:tc>
          <w:tcPr>
            <w:tcW w:type="dxa" w:w="1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3 (months 13–18)</w:t>
            </w:r>
          </w:p>
        </w:tc>
        <w:tc>
          <w:tcPr>
            <w:tcW w:type="dxa" w:w="48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Qualifying exam (semester 3); Stage 3; decision on the extension, with ethics approval in hand.</w:t>
            </w:r>
          </w:p>
        </w:tc>
        <w:tc>
          <w:tcPr>
            <w:tcW w:type="dxa" w:w="2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FFFFFF"/>
          </w:tcPr>
          <w:p>
            <w:pPr>
              <w:keepNext/>
              <w:spacing w:after="20" w:line="240" w:lineRule="auto"/>
              <w:jc w:val="left"/>
            </w:pPr>
            <w:r>
              <w:rPr>
                <w:rFonts w:ascii="Aptos" w:cs="Times New Roman" w:eastAsia="Times New Roman" w:hAnsi="Aptos"/>
                <w:color w:val="262B2F"/>
                <w:sz w:val="17"/>
                <w:szCs w:val="19"/>
              </w:rPr>
              <w:t xml:space="preserve">Qualifying text; results of SQ3</w:t>
            </w:r>
          </w:p>
        </w:tc>
      </w:tr>
      <w:tr>
        <w:trPr>
          <w:cantSplit/>
          <w:cantSplit/>
        </w:trPr>
        <w:tc>
          <w:tcPr>
            <w:tcW w:type="dxa" w:w="1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4 (months 19–24)</w:t>
            </w:r>
          </w:p>
        </w:tc>
        <w:tc>
          <w:tcPr>
            <w:tcW w:type="dxa" w:w="48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Stage 4; extension with reviewers, if approved and time allows; writing; paper; defense.</w:t>
            </w:r>
          </w:p>
        </w:tc>
        <w:tc>
          <w:tcPr>
            <w:tcW w:type="dxa" w:w="27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shd w:fill="EEF3FA"/>
          </w:tcPr>
          <w:p>
            <w:pPr>
              <w:keepNext/>
              <w:spacing w:after="20" w:line="240" w:lineRule="auto"/>
              <w:jc w:val="left"/>
            </w:pPr>
            <w:r>
              <w:rPr>
                <w:rFonts w:ascii="Aptos" w:cs="Times New Roman" w:eastAsia="Times New Roman" w:hAnsi="Aptos"/>
                <w:color w:val="262B2F"/>
                <w:sz w:val="17"/>
                <w:szCs w:val="19"/>
              </w:rPr>
              <w:t xml:space="preserve">Dissertation; at least one paper submitted</w:t>
            </w:r>
          </w:p>
        </w:tc>
      </w:tr>
    </w:tbl>
    <w:p>
      <w:pPr>
        <w:spacing w:after="100" w:before="0" w:line="264" w:lineRule="auto"/>
        <w:jc w:val="both"/>
      </w:pPr>
      <w:r>
        <w:rPr>
          <w:rFonts w:ascii="Aptos" w:cs="Times New Roman" w:eastAsia="Times New Roman" w:hAnsi="Aptos"/>
          <w:color w:val="262B2F"/>
          <w:sz w:val="20"/>
          <w:szCs w:val="19"/>
        </w:rPr>
        <w:t xml:space="preserve">The TIDD master's program lasts 18 to 30 months (</w:t>
      </w:r>
      <w:hyperlink w:history="1" r:id="rIdawxe67czhi1zf-itb6642">
        <w:r>
          <w:rPr>
            <w:rFonts w:ascii="Aptos" w:cs="Aptos" w:eastAsia="Aptos" w:hAnsi="Aptos"/>
            <w:color w:val="1D5FD1"/>
            <w:sz w:val="20"/>
            <w:szCs w:val="20"/>
            <w:u w:val="single" w:color="1D5FD1"/>
          </w:rPr>
          <w:t xml:space="preserve">program page</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19"/>
        </w:rPr>
        <w:t xml:space="preserve">); 24 are proposed. The candidate courses depend on what is offered, since the program states that the syllabus of each receives, every semester, a content specification; the qualifying exam follows the program's regulations.</w:t>
      </w:r>
    </w:p>
    <w:p>
      <w:pPr>
        <w:pStyle w:val="Heading1"/>
        <w:keepNext/>
        <w:pageBreakBefore/>
        <w:pBdr>
          <w:bottom w:val="single" w:sz="8" w:space="3" w:color="2B5DA8"/>
        </w:pBdr>
        <w:spacing w:after="120" w:line="264" w:lineRule="auto" w:before="240"/>
      </w:pPr>
      <w:r>
        <w:rPr>
          <w:rFonts w:ascii="Aptos" w:cs="Times New Roman" w:eastAsia="Times New Roman" w:hAnsi="Aptos"/>
          <w:b/>
          <w:color w:val="1B365D"/>
          <w:sz w:val="30"/>
        </w:rPr>
        <w:t xml:space="preserve">Preliminary bibliography</w:t>
      </w:r>
    </w:p>
    <w:p>
      <w:pPr>
        <w:spacing w:after="100" w:before="0" w:line="264" w:lineRule="auto"/>
        <w:jc w:val="left"/>
      </w:pPr>
      <w:r>
        <w:rPr>
          <w:rFonts w:ascii="Aptos" w:cs="Times New Roman" w:eastAsia="Times New Roman" w:hAnsi="Aptos"/>
          <w:color w:val="262B2F"/>
          <w:sz w:val="20"/>
        </w:rPr>
        <w:t xml:space="preserve">Preliminary list, according to ABNT standards, of the works consulted in preparing this project, followed by the works to be consulted. It will be supplemented during the systematic literature review.</w:t>
      </w:r>
    </w:p>
    <w:p>
      <w:pPr>
        <w:spacing w:after="100" w:before="0" w:line="264" w:lineRule="auto"/>
        <w:jc w:val="left"/>
      </w:pPr>
      <w:r>
        <w:rPr>
          <w:rFonts w:ascii="Aptos" w:cs="Times New Roman" w:eastAsia="Times New Roman" w:hAnsi="Aptos"/>
          <w:color w:val="262B2F"/>
          <w:sz w:val="20"/>
          <w:szCs w:val="22"/>
        </w:rPr>
        <w:t xml:space="preserve">AMERSHI, S. et al. Guidelines for human-AI interaction.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PROCEEDINGS OF THE 2019 CHI CONFERENCE ON HUMAN FACTORS IN COMPUTING SYSTEMS, 2019, Glasgow. New York: ACM, 2019. p. 1–13.</w:t>
      </w:r>
    </w:p>
    <w:p>
      <w:pPr>
        <w:spacing w:after="100" w:before="0" w:line="264" w:lineRule="auto"/>
        <w:jc w:val="left"/>
      </w:pPr>
      <w:r>
        <w:rPr>
          <w:rFonts w:ascii="Aptos" w:cs="Times New Roman" w:eastAsia="Times New Roman" w:hAnsi="Aptos"/>
          <w:color w:val="262B2F"/>
          <w:sz w:val="20"/>
          <w:szCs w:val="22"/>
        </w:rPr>
        <w:t xml:space="preserve">BITOUN, J.; WINKLER, S. HelipadCat: categorised helipad image dataset and detection method. In: IEEE REGION 10 CONFERENCE (TENCON), 2020, Osaka, Japan. </w:t>
      </w:r>
      <w:r>
        <w:rPr>
          <w:rFonts w:ascii="Aptos" w:cs="Times New Roman" w:eastAsia="Times New Roman" w:hAnsi="Aptos"/>
          <w:color w:val="262B2F"/>
          <w:sz w:val="20"/>
          <w:szCs w:val="22"/>
          <w:i/>
        </w:rPr>
        <w:t xml:space="preserve">Proceedings</w:t>
      </w:r>
      <w:r>
        <w:rPr>
          <w:rFonts w:ascii="Aptos" w:cs="Times New Roman" w:eastAsia="Times New Roman" w:hAnsi="Aptos"/>
          <w:color w:val="262B2F"/>
          <w:sz w:val="20"/>
          <w:szCs w:val="22"/>
        </w:rPr>
        <w:t xml:space="preserve"> [...]. [S. l.]: IEEE, 2020. p. 685–689.</w:t>
      </w:r>
    </w:p>
    <w:p>
      <w:pPr>
        <w:spacing w:after="100" w:before="0" w:line="264" w:lineRule="auto"/>
        <w:jc w:val="left"/>
      </w:pPr>
      <w:r>
        <w:rPr>
          <w:rFonts w:ascii="Aptos" w:cs="Times New Roman" w:eastAsia="Times New Roman" w:hAnsi="Aptos"/>
          <w:color w:val="262B2F"/>
          <w:sz w:val="20"/>
          <w:szCs w:val="22"/>
        </w:rPr>
        <w:t xml:space="preserve">BRASIL. </w:t>
      </w:r>
      <w:r>
        <w:rPr>
          <w:rFonts w:ascii="Aptos" w:cs="Times New Roman" w:eastAsia="Times New Roman" w:hAnsi="Aptos"/>
          <w:i/>
          <w:iCs/>
          <w:color w:val="262B2F"/>
          <w:sz w:val="20"/>
          <w:szCs w:val="22"/>
        </w:rPr>
        <w:t xml:space="preserve">Law No. 13,709, of 14 August 2018</w:t>
      </w:r>
      <w:r>
        <w:rPr>
          <w:rFonts w:ascii="Aptos" w:cs="Times New Roman" w:eastAsia="Times New Roman" w:hAnsi="Aptos"/>
          <w:color w:val="262B2F"/>
          <w:sz w:val="20"/>
          <w:szCs w:val="22"/>
        </w:rPr>
        <w:t xml:space="preserve">. General Personal Data Protection Law (LGPD). Brasília, DF: Presidency of the Republic, 2018. Available at: </w:t>
      </w:r>
      <w:hyperlink w:history="1" r:id="rId17">
        <w:r>
          <w:rPr>
            <w:rFonts w:ascii="Aptos" w:cs="Aptos" w:eastAsia="Aptos" w:hAnsi="Aptos"/>
            <w:color w:val="1D5FD1"/>
            <w:sz w:val="20"/>
            <w:szCs w:val="20"/>
            <w:u w:val="single" w:color="1D5FD1"/>
          </w:rPr>
          <w:t xml:space="preserve">https://www.planalto.gov.br/ccivil_03/_ato2015-2018/2018/lei/l13709.htm</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Accessed: 13 Oct. 2026.</w:t>
      </w:r>
    </w:p>
    <w:p>
      <w:pPr>
        <w:spacing w:after="100" w:before="0" w:line="264" w:lineRule="auto"/>
        <w:jc w:val="left"/>
      </w:pPr>
      <w:r>
        <w:rPr>
          <w:rFonts w:ascii="Aptos" w:cs="Times New Roman" w:eastAsia="Times New Roman" w:hAnsi="Aptos"/>
          <w:color w:val="262B2F"/>
          <w:sz w:val="20"/>
          <w:szCs w:val="22"/>
        </w:rPr>
        <w:t xml:space="preserve">BROWN, L. D.; CAI, T. T.; DASGUPTA, A. Interval estimation for a binomial proportion. </w:t>
      </w:r>
      <w:r>
        <w:rPr>
          <w:rFonts w:ascii="Aptos" w:cs="Times New Roman" w:eastAsia="Times New Roman" w:hAnsi="Aptos"/>
          <w:i/>
          <w:iCs/>
          <w:color w:val="262B2F"/>
          <w:sz w:val="20"/>
          <w:szCs w:val="22"/>
        </w:rPr>
        <w:t xml:space="preserve">Statistical Science</w:t>
      </w:r>
      <w:r>
        <w:rPr>
          <w:rFonts w:ascii="Aptos" w:cs="Times New Roman" w:eastAsia="Times New Roman" w:hAnsi="Aptos"/>
          <w:color w:val="262B2F"/>
          <w:sz w:val="20"/>
          <w:szCs w:val="22"/>
        </w:rPr>
        <w:t xml:space="preserve">, v. 16, n. 2, p. 101–133, 2001. </w:t>
      </w:r>
      <w:hyperlink w:history="1" r:id="rIdpwrggovlx278bsibscvnl">
        <w:r>
          <w:rPr>
            <w:rFonts w:ascii="Aptos" w:cs="Aptos" w:eastAsia="Aptos" w:hAnsi="Aptos"/>
            <w:color w:val="1D5FD1"/>
            <w:sz w:val="20"/>
            <w:szCs w:val="20"/>
            <w:u w:val="single" w:color="1D5FD1"/>
          </w:rPr>
          <w:t xml:space="preserve">DOI 10.1214/ss/1009213286</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w:t>
      </w:r>
    </w:p>
    <w:p>
      <w:pPr>
        <w:spacing w:after="100" w:before="0" w:line="264" w:lineRule="auto"/>
        <w:jc w:val="left"/>
      </w:pPr>
      <w:r>
        <w:rPr>
          <w:rFonts w:ascii="Aptos" w:cs="Times New Roman" w:eastAsia="Times New Roman" w:hAnsi="Aptos"/>
          <w:color w:val="262B2F"/>
          <w:sz w:val="20"/>
          <w:szCs w:val="22"/>
        </w:rPr>
        <w:t xml:space="preserve">CHENG, G.; HAN, J. A survey on object detection in optical remote sensing images. </w:t>
      </w:r>
      <w:r>
        <w:rPr>
          <w:rFonts w:ascii="Aptos" w:cs="Times New Roman" w:eastAsia="Times New Roman" w:hAnsi="Aptos"/>
          <w:i/>
          <w:iCs/>
          <w:color w:val="262B2F"/>
          <w:sz w:val="20"/>
          <w:szCs w:val="22"/>
        </w:rPr>
        <w:t xml:space="preserve">ISPRS Journal of Photogrammetry and Remote Sensing</w:t>
      </w:r>
      <w:r>
        <w:rPr>
          <w:rFonts w:ascii="Aptos" w:cs="Times New Roman" w:eastAsia="Times New Roman" w:hAnsi="Aptos"/>
          <w:color w:val="262B2F"/>
          <w:sz w:val="20"/>
          <w:szCs w:val="22"/>
        </w:rPr>
        <w:t xml:space="preserve">, v. 117, p. 11–28, 2016.</w:t>
      </w:r>
    </w:p>
    <w:p>
      <w:pPr>
        <w:spacing w:after="100" w:before="0" w:line="264" w:lineRule="auto"/>
        <w:jc w:val="left"/>
      </w:pPr>
      <w:r>
        <w:rPr>
          <w:rFonts w:ascii="Aptos" w:cs="Times New Roman" w:eastAsia="Times New Roman" w:hAnsi="Aptos"/>
          <w:color w:val="262B2F"/>
          <w:sz w:val="20"/>
          <w:szCs w:val="22"/>
        </w:rPr>
        <w:t xml:space="preserve">DIETTERICH, T. G. Approximate statistical tests for comparing supervised classification learning algorithms. </w:t>
      </w:r>
      <w:r>
        <w:rPr>
          <w:rFonts w:ascii="Aptos" w:cs="Times New Roman" w:eastAsia="Times New Roman" w:hAnsi="Aptos"/>
          <w:i/>
          <w:iCs/>
          <w:color w:val="262B2F"/>
          <w:sz w:val="20"/>
          <w:szCs w:val="22"/>
        </w:rPr>
        <w:t xml:space="preserve">Neural Computation</w:t>
      </w:r>
      <w:r>
        <w:rPr>
          <w:rFonts w:ascii="Aptos" w:cs="Times New Roman" w:eastAsia="Times New Roman" w:hAnsi="Aptos"/>
          <w:color w:val="262B2F"/>
          <w:sz w:val="20"/>
          <w:szCs w:val="22"/>
        </w:rPr>
        <w:t xml:space="preserve">, v. 10, n. 7, p. 1895–1923, 1998.</w:t>
      </w:r>
    </w:p>
    <w:p>
      <w:pPr>
        <w:spacing w:after="100" w:before="0" w:line="264" w:lineRule="auto"/>
        <w:jc w:val="left"/>
      </w:pPr>
      <w:r>
        <w:rPr>
          <w:rFonts w:ascii="Aptos" w:cs="Times New Roman" w:eastAsia="Times New Roman" w:hAnsi="Aptos"/>
          <w:color w:val="262B2F"/>
          <w:sz w:val="20"/>
          <w:szCs w:val="22"/>
        </w:rPr>
        <w:t xml:space="preserve">DING, J. et al. Object detection in aerial images: a large-scale benchmark and challenges. </w:t>
      </w:r>
      <w:r>
        <w:rPr>
          <w:rFonts w:ascii="Aptos" w:cs="Times New Roman" w:eastAsia="Times New Roman" w:hAnsi="Aptos"/>
          <w:i/>
          <w:iCs/>
          <w:color w:val="262B2F"/>
          <w:sz w:val="20"/>
          <w:szCs w:val="22"/>
        </w:rPr>
        <w:t xml:space="preserve">IEEE Transactions on Pattern Analysis and Machine Intelligence</w:t>
      </w:r>
      <w:r>
        <w:rPr>
          <w:rFonts w:ascii="Aptos" w:cs="Times New Roman" w:eastAsia="Times New Roman" w:hAnsi="Aptos"/>
          <w:color w:val="262B2F"/>
          <w:sz w:val="20"/>
          <w:szCs w:val="22"/>
        </w:rPr>
        <w:t xml:space="preserve">, v. 44, n. 11, p. 7778–7796, 2022.</w:t>
      </w:r>
    </w:p>
    <w:p>
      <w:pPr>
        <w:spacing w:after="100" w:before="0" w:line="264" w:lineRule="auto"/>
        <w:jc w:val="left"/>
      </w:pPr>
      <w:r>
        <w:rPr>
          <w:rFonts w:ascii="Aptos" w:cs="Times New Roman" w:eastAsia="Times New Roman" w:hAnsi="Aptos"/>
          <w:color w:val="262B2F"/>
          <w:sz w:val="20"/>
          <w:szCs w:val="22"/>
        </w:rPr>
        <w:t xml:space="preserve">GEBRU, T. et al. Datasheets for datasets. </w:t>
      </w:r>
      <w:r>
        <w:rPr>
          <w:rFonts w:ascii="Aptos" w:cs="Times New Roman" w:eastAsia="Times New Roman" w:hAnsi="Aptos"/>
          <w:i/>
          <w:iCs/>
          <w:color w:val="262B2F"/>
          <w:sz w:val="20"/>
          <w:szCs w:val="22"/>
        </w:rPr>
        <w:t xml:space="preserve">Communications of the ACM</w:t>
      </w:r>
      <w:r>
        <w:rPr>
          <w:rFonts w:ascii="Aptos" w:cs="Times New Roman" w:eastAsia="Times New Roman" w:hAnsi="Aptos"/>
          <w:color w:val="262B2F"/>
          <w:sz w:val="20"/>
          <w:szCs w:val="22"/>
        </w:rPr>
        <w:t xml:space="preserve">, v. 64, n. 12, p. 86–92, 2021.</w:t>
      </w:r>
    </w:p>
    <w:p>
      <w:pPr>
        <w:spacing w:after="100" w:before="0" w:line="264" w:lineRule="auto"/>
        <w:jc w:val="left"/>
      </w:pPr>
      <w:r>
        <w:rPr>
          <w:rFonts w:ascii="Aptos" w:cs="Times New Roman" w:eastAsia="Times New Roman" w:hAnsi="Aptos"/>
          <w:color w:val="262B2F"/>
          <w:sz w:val="20"/>
          <w:szCs w:val="22"/>
        </w:rPr>
        <w:t xml:space="preserve">GUO, C. et al. On calibration of modern neural networks.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INTERNATIONAL CONFERENCE ON MACHINE LEARNING (ICML), 34., 2017, Sydney. [S. l.]: PMLR, 2017. </w:t>
      </w:r>
      <w:r>
        <w:rPr>
          <w:rFonts w:ascii="Aptos" w:cs="Times New Roman" w:eastAsia="Times New Roman" w:hAnsi="Aptos"/>
          <w:i/>
          <w:iCs/>
          <w:color w:val="262B2F"/>
          <w:sz w:val="20"/>
          <w:szCs w:val="22"/>
        </w:rPr>
        <w:t xml:space="preserve">Proceedings of Machine Learning Research</w:t>
      </w:r>
      <w:r>
        <w:rPr>
          <w:rFonts w:ascii="Aptos" w:cs="Times New Roman" w:eastAsia="Times New Roman" w:hAnsi="Aptos"/>
          <w:color w:val="262B2F"/>
          <w:sz w:val="20"/>
          <w:szCs w:val="22"/>
        </w:rPr>
        <w:t xml:space="preserve">, v. 70, p. 1321–1330, 2017.</w:t>
      </w:r>
    </w:p>
    <w:p>
      <w:pPr>
        <w:spacing w:after="100" w:before="0" w:line="264" w:lineRule="auto"/>
        <w:jc w:val="left"/>
      </w:pPr>
      <w:r>
        <w:rPr>
          <w:rFonts w:ascii="Aptos" w:cs="Times New Roman" w:eastAsia="Times New Roman" w:hAnsi="Aptos"/>
          <w:color w:val="262B2F"/>
          <w:sz w:val="20"/>
          <w:szCs w:val="22"/>
        </w:rPr>
        <w:t xml:space="preserve">HUTCHINS, E. </w:t>
      </w:r>
      <w:r>
        <w:rPr>
          <w:rFonts w:ascii="Aptos" w:cs="Times New Roman" w:eastAsia="Times New Roman" w:hAnsi="Aptos"/>
          <w:i/>
          <w:iCs/>
          <w:color w:val="262B2F"/>
          <w:sz w:val="20"/>
          <w:szCs w:val="22"/>
        </w:rPr>
        <w:t xml:space="preserve">Cognition in the wild</w:t>
      </w:r>
      <w:r>
        <w:rPr>
          <w:rFonts w:ascii="Aptos" w:cs="Times New Roman" w:eastAsia="Times New Roman" w:hAnsi="Aptos"/>
          <w:color w:val="262B2F"/>
          <w:sz w:val="20"/>
          <w:szCs w:val="22"/>
        </w:rPr>
        <w:t xml:space="preserve">. Cambridge, MA: MIT Press, 1995.</w:t>
      </w:r>
    </w:p>
    <w:p>
      <w:pPr>
        <w:spacing w:after="100" w:before="0" w:line="264" w:lineRule="auto"/>
        <w:jc w:val="left"/>
      </w:pPr>
      <w:r>
        <w:rPr>
          <w:rFonts w:ascii="Aptos" w:cs="Times New Roman" w:eastAsia="Times New Roman" w:hAnsi="Aptos"/>
          <w:color w:val="262B2F"/>
          <w:sz w:val="20"/>
          <w:szCs w:val="22"/>
        </w:rPr>
        <w:t xml:space="preserve">KAUFMAN, S. et al. Leakage in data mining: formulation, detection, and avoidance. </w:t>
      </w:r>
      <w:r>
        <w:rPr>
          <w:rFonts w:ascii="Aptos" w:cs="Times New Roman" w:eastAsia="Times New Roman" w:hAnsi="Aptos"/>
          <w:i/>
          <w:iCs/>
          <w:color w:val="262B2F"/>
          <w:sz w:val="20"/>
          <w:szCs w:val="22"/>
        </w:rPr>
        <w:t xml:space="preserve">ACM Transactions on Knowledge Discovery from Data</w:t>
      </w:r>
      <w:r>
        <w:rPr>
          <w:rFonts w:ascii="Aptos" w:cs="Times New Roman" w:eastAsia="Times New Roman" w:hAnsi="Aptos"/>
          <w:color w:val="262B2F"/>
          <w:sz w:val="20"/>
          <w:szCs w:val="22"/>
        </w:rPr>
        <w:t xml:space="preserve">, v. 6, n. 4, art. 15, 2012.</w:t>
      </w:r>
    </w:p>
    <w:p>
      <w:pPr>
        <w:spacing w:after="100" w:before="0" w:line="264" w:lineRule="auto"/>
        <w:jc w:val="left"/>
      </w:pPr>
      <w:r>
        <w:rPr>
          <w:rFonts w:ascii="Aptos" w:cs="Times New Roman" w:eastAsia="Times New Roman" w:hAnsi="Aptos"/>
          <w:color w:val="262B2F"/>
          <w:sz w:val="20"/>
          <w:szCs w:val="22"/>
        </w:rPr>
        <w:t xml:space="preserve">LEE, J. D.; SEE, K. A. Trust in automation: designing for appropriate reliance. </w:t>
      </w:r>
      <w:r>
        <w:rPr>
          <w:rFonts w:ascii="Aptos" w:cs="Times New Roman" w:eastAsia="Times New Roman" w:hAnsi="Aptos"/>
          <w:i/>
          <w:iCs/>
          <w:color w:val="262B2F"/>
          <w:sz w:val="20"/>
          <w:szCs w:val="22"/>
        </w:rPr>
        <w:t xml:space="preserve">Human Factors</w:t>
      </w:r>
      <w:r>
        <w:rPr>
          <w:rFonts w:ascii="Aptos" w:cs="Times New Roman" w:eastAsia="Times New Roman" w:hAnsi="Aptos"/>
          <w:color w:val="262B2F"/>
          <w:sz w:val="20"/>
          <w:szCs w:val="22"/>
        </w:rPr>
        <w:t xml:space="preserve">, v. 46, n. 1, p. 50–80, 2004.</w:t>
      </w:r>
    </w:p>
    <w:p>
      <w:pPr>
        <w:spacing w:after="100" w:before="0" w:line="264" w:lineRule="auto"/>
        <w:jc w:val="left"/>
      </w:pPr>
      <w:r>
        <w:rPr>
          <w:rFonts w:ascii="Aptos" w:cs="Times New Roman" w:eastAsia="Times New Roman" w:hAnsi="Aptos"/>
          <w:color w:val="262B2F"/>
          <w:sz w:val="20"/>
          <w:szCs w:val="22"/>
        </w:rPr>
        <w:t xml:space="preserve">LIN, T.-Y. et al. </w:t>
      </w:r>
      <w:r>
        <w:rPr>
          <w:rFonts w:ascii="Aptos" w:cs="Times New Roman" w:eastAsia="Times New Roman" w:hAnsi="Aptos"/>
          <w:i/>
          <w:iCs/>
          <w:color w:val="262B2F"/>
          <w:sz w:val="20"/>
          <w:szCs w:val="22"/>
        </w:rPr>
        <w:t xml:space="preserve">Microsoft COCO: common objects in context</w:t>
      </w:r>
      <w:r>
        <w:rPr>
          <w:rFonts w:ascii="Aptos" w:cs="Times New Roman" w:eastAsia="Times New Roman" w:hAnsi="Aptos"/>
          <w:color w:val="262B2F"/>
          <w:sz w:val="20"/>
          <w:szCs w:val="22"/>
        </w:rPr>
        <w:t xml:space="preserve">. </w:t>
      </w:r>
      <w:hyperlink w:history="1" r:id="rIdxg7tracag44dcfntylrfz">
        <w:r>
          <w:rPr>
            <w:rFonts w:ascii="Aptos" w:cs="Aptos" w:eastAsia="Aptos" w:hAnsi="Aptos"/>
            <w:color w:val="1D5FD1"/>
            <w:sz w:val="20"/>
            <w:szCs w:val="20"/>
            <w:u w:val="single" w:color="1D5FD1"/>
          </w:rPr>
          <w:t xml:space="preserve">arXiv:1405.0312</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2014. Available at: </w:t>
      </w:r>
      <w:hyperlink w:history="1" r:id="rIdxg7tracag44dcfntylrfz">
        <w:r>
          <w:rPr>
            <w:rFonts w:ascii="Aptos" w:cs="Aptos" w:eastAsia="Aptos" w:hAnsi="Aptos"/>
            <w:color w:val="1D5FD1"/>
            <w:sz w:val="20"/>
            <w:szCs w:val="20"/>
            <w:u w:val="single" w:color="1D5FD1"/>
          </w:rPr>
          <w:t xml:space="preserve">https://arxiv.org/abs/1405.0312</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Accessed: 13 Oct. 2026.</w:t>
      </w:r>
    </w:p>
    <w:p>
      <w:pPr>
        <w:spacing w:after="100" w:before="0" w:line="264" w:lineRule="auto"/>
        <w:jc w:val="left"/>
      </w:pPr>
      <w:r>
        <w:rPr>
          <w:rFonts w:ascii="Aptos" w:hAnsi="Aptos" w:cs="Aptos" w:eastAsia="Aptos"/>
          <w:color w:val="262B2F"/>
          <w:sz w:val="20"/>
          <w:szCs w:val="20"/>
        </w:rPr>
        <w:t xml:space="preserve">MINDFUL AI RESEARCH. Helipad Detector: 3-project-ai-ml-yolo-helipad_detector. Repository. GitHub, 2026a. Available at: </w:t>
      </w:r>
      <w:hyperlink r:id="rId7s8qjo4wgbl2imkjocfji">
        <w:r>
          <w:rPr>
            <w:rFonts w:ascii="Aptos" w:cs="Aptos" w:eastAsia="Aptos" w:hAnsi="Aptos"/>
            <w:color w:val="1D5FD1"/>
            <w:sz w:val="20"/>
            <w:szCs w:val="20"/>
            <w:u w:val="single" w:color="1D5FD1"/>
          </w:rPr>
          <w:t xml:space="preserve">https://github.com/Mindful-AI-Research/3-project-ai-ml-yolo-helipad_detector</w:t>
        </w:r>
        <w:r>
          <w:rPr>
            <w:rFonts w:ascii="Aptos" w:cs="Aptos" w:eastAsia="Aptos" w:hAnsi="Aptos"/>
            <w:color w:val="1D5FD1"/>
            <w:sz w:val="20"/>
            <w:szCs w:val="20"/>
            <w:u w:val="single" w:color="1D5FD1"/>
          </w:rPr>
          <w:t xml:space="preserve"> ↗</w:t>
        </w:r>
      </w:hyperlink>
      <w:r>
        <w:rPr>
          <w:rFonts w:ascii="Aptos" w:hAnsi="Aptos" w:cs="Aptos" w:eastAsia="Aptos"/>
          <w:color w:val="262B2F"/>
          <w:sz w:val="20"/>
          <w:szCs w:val="20"/>
        </w:rPr>
        <w:t xml:space="preserve">. Accessed: 13 Oct. 2026.</w:t>
      </w:r>
    </w:p>
    <w:p>
      <w:pPr>
        <w:spacing w:after="100" w:before="0" w:line="264" w:lineRule="auto"/>
        <w:jc w:val="left"/>
      </w:pPr>
      <w:r>
        <w:rPr>
          <w:rFonts w:ascii="Aptos" w:cs="Times New Roman" w:eastAsia="Times New Roman" w:hAnsi="Aptos"/>
          <w:color w:val="262B2F"/>
          <w:sz w:val="20"/>
          <w:szCs w:val="22"/>
        </w:rPr>
        <w:t xml:space="preserve">MINDFUL AI RESEARCH. Bilingual dashboard: Streamlit. Helipad Detector project material. 2026b. Available at: </w:t>
      </w:r>
      <w:hyperlink w:history="1" r:id="rIdm-tep5x3iim0qxiiwncj3">
        <w:r>
          <w:rPr>
            <w:rFonts w:ascii="Aptos" w:cs="Aptos" w:eastAsia="Aptos" w:hAnsi="Aptos"/>
            <w:color w:val="1D5FD1"/>
            <w:sz w:val="20"/>
            <w:szCs w:val="20"/>
            <w:u w:val="single" w:color="1D5FD1"/>
          </w:rPr>
          <w:t xml:space="preserve">https://helipad-detector-sp.streamlit.app/</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Accessed: 13 Oct. 2026.</w:t>
      </w:r>
    </w:p>
    <w:p>
      <w:pPr>
        <w:spacing w:after="100" w:before="0" w:line="264" w:lineRule="auto"/>
        <w:jc w:val="left"/>
      </w:pPr>
      <w:r>
        <w:rPr>
          <w:rFonts w:ascii="Aptos" w:cs="Times New Roman" w:eastAsia="Times New Roman" w:hAnsi="Aptos"/>
          <w:color w:val="262B2F"/>
          <w:sz w:val="20"/>
          <w:szCs w:val="22"/>
        </w:rPr>
        <w:t xml:space="preserve">MINDFUL AI RESEARCH. Full Data Analysis Report: English. Helipad Detector project material. 2026c. Available at: </w:t>
      </w:r>
      <w:hyperlink w:history="1" r:id="rIddwqmkc3hoaul851omiyax">
        <w:r>
          <w:rPr>
            <w:rFonts w:ascii="Aptos" w:cs="Aptos" w:eastAsia="Aptos" w:hAnsi="Aptos"/>
            <w:color w:val="1D5FD1"/>
            <w:sz w:val="20"/>
            <w:szCs w:val="20"/>
            <w:u w:val="single" w:color="1D5FD1"/>
          </w:rPr>
          <w:t xml:space="preserve">https://github.com/Mindful-AI-Research/3-project-ai-ml-yolo-helipad_detector/blob/db052a43d2b02254237735716dc841a3611d9e98/reports/helipad_detector_full_report/%F0%9F%87%AC%F0%9F%87%A7Helipad_Detector_Full_Report.pdf</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Accessed: 13 Oct. 2026.</w:t>
      </w:r>
    </w:p>
    <w:p>
      <w:pPr>
        <w:spacing w:after="100" w:before="0" w:line="264" w:lineRule="auto"/>
        <w:jc w:val="left"/>
      </w:pPr>
      <w:r>
        <w:rPr>
          <w:rFonts w:ascii="Aptos" w:cs="Times New Roman" w:eastAsia="Times New Roman" w:hAnsi="Aptos"/>
          <w:color w:val="262B2F"/>
          <w:sz w:val="20"/>
          <w:szCs w:val="22"/>
        </w:rPr>
        <w:t xml:space="preserve">MINDFUL AI RESEARCH. Full data analysis report: Portuguese. Helipad Detector project material. 2026d. Available at: </w:t>
      </w:r>
      <w:hyperlink w:history="1" r:id="rIdlexkklfrrjymbtcb8uz8p">
        <w:r>
          <w:rPr>
            <w:rFonts w:ascii="Aptos" w:cs="Aptos" w:eastAsia="Aptos" w:hAnsi="Aptos"/>
            <w:color w:val="1D5FD1"/>
            <w:sz w:val="20"/>
            <w:szCs w:val="20"/>
            <w:u w:val="single" w:color="1D5FD1"/>
          </w:rPr>
          <w:t xml:space="preserve">https://github.com/Mindful-AI-Research/3-project-ai-ml-yolo-helipad_detector/blob/3849b944fbfbf2df224fbd7e636751872c35258a/reports/helipad_detector_full_report/%F0%9F%87%A7%F0%9F%87%B7Helipad_Detector_Relatorio_Completo.pdf</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Accessed: 13 Oct. 2026.</w:t>
      </w:r>
    </w:p>
    <w:p>
      <w:pPr>
        <w:spacing w:after="100" w:before="0" w:line="264" w:lineRule="auto"/>
        <w:jc w:val="left"/>
      </w:pPr>
      <w:r>
        <w:rPr>
          <w:rFonts w:ascii="Aptos" w:cs="Times New Roman" w:eastAsia="Times New Roman" w:hAnsi="Aptos"/>
          <w:color w:val="262B2F"/>
          <w:sz w:val="20"/>
          <w:szCs w:val="22"/>
        </w:rPr>
        <w:t xml:space="preserve">MINDFUL AI RESEARCH. Helipad Detector project presentation. Helipad Detector project material. 2026e. Available at: </w:t>
      </w:r>
      <w:hyperlink w:history="1" r:id="rId14">
        <w:r>
          <w:rPr>
            <w:rFonts w:ascii="Aptos" w:cs="Aptos" w:eastAsia="Aptos" w:hAnsi="Aptos"/>
            <w:color w:val="1D5FD1"/>
            <w:sz w:val="20"/>
            <w:szCs w:val="20"/>
            <w:u w:val="single" w:color="1D5FD1"/>
          </w:rPr>
          <w:t xml:space="preserve">https://timely-brioche-b6c92f.netlify.app/</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Accessed: 13 Oct. 2026.</w:t>
      </w:r>
    </w:p>
    <w:p>
      <w:pPr>
        <w:spacing w:after="100" w:before="0" w:line="264" w:lineRule="auto"/>
        <w:jc w:val="left"/>
      </w:pPr>
      <w:r>
        <w:rPr>
          <w:rFonts w:ascii="Aptos" w:cs="Times New Roman" w:eastAsia="Times New Roman" w:hAnsi="Aptos"/>
          <w:color w:val="262B2F"/>
          <w:sz w:val="20"/>
          <w:szCs w:val="22"/>
        </w:rPr>
        <w:t xml:space="preserve">MITCHELL, M. et al. Model cards for model reporting.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PROCEEDINGS OF THE CONFERENCE ON FAIRNESS, ACCOUNTABILITY, AND TRANSPARENCY, 2019, Atlanta. New York: ACM, 2019. p. 220–229.</w:t>
      </w:r>
    </w:p>
    <w:p>
      <w:pPr>
        <w:spacing w:after="100" w:before="0" w:line="264" w:lineRule="auto"/>
        <w:jc w:val="left"/>
      </w:pPr>
      <w:r>
        <w:rPr>
          <w:rFonts w:ascii="Aptos" w:cs="Times New Roman" w:eastAsia="Times New Roman" w:hAnsi="Aptos"/>
          <w:color w:val="262B2F"/>
          <w:sz w:val="20"/>
          <w:szCs w:val="22"/>
        </w:rPr>
        <w:t xml:space="preserve">PADILLA, R. et al. A comparative analysis of object detection metrics with a companion open-source toolkit. </w:t>
      </w:r>
      <w:r>
        <w:rPr>
          <w:rFonts w:ascii="Aptos" w:cs="Times New Roman" w:eastAsia="Times New Roman" w:hAnsi="Aptos"/>
          <w:i/>
          <w:iCs/>
          <w:color w:val="262B2F"/>
          <w:sz w:val="20"/>
          <w:szCs w:val="22"/>
        </w:rPr>
        <w:t xml:space="preserve">Electronics</w:t>
      </w:r>
      <w:r>
        <w:rPr>
          <w:rFonts w:ascii="Aptos" w:cs="Times New Roman" w:eastAsia="Times New Roman" w:hAnsi="Aptos"/>
          <w:color w:val="262B2F"/>
          <w:sz w:val="20"/>
          <w:szCs w:val="22"/>
        </w:rPr>
        <w:t xml:space="preserve">, v. 10, n. 3, art. 279, 2021.</w:t>
      </w:r>
    </w:p>
    <w:p>
      <w:pPr>
        <w:spacing w:after="100" w:before="0" w:line="264" w:lineRule="auto"/>
        <w:jc w:val="left"/>
      </w:pPr>
      <w:r>
        <w:rPr>
          <w:rFonts w:ascii="Aptos" w:cs="Times New Roman" w:eastAsia="Times New Roman" w:hAnsi="Aptos"/>
          <w:color w:val="262B2F"/>
          <w:sz w:val="20"/>
          <w:szCs w:val="22"/>
        </w:rPr>
        <w:t xml:space="preserve">PARASURAMAN, R.; RILEY, V. Humans and automation: use, misuse, disuse, abuse. </w:t>
      </w:r>
      <w:r>
        <w:rPr>
          <w:rFonts w:ascii="Aptos" w:cs="Times New Roman" w:eastAsia="Times New Roman" w:hAnsi="Aptos"/>
          <w:i/>
          <w:iCs/>
          <w:color w:val="262B2F"/>
          <w:sz w:val="20"/>
          <w:szCs w:val="22"/>
        </w:rPr>
        <w:t xml:space="preserve">Human Factors</w:t>
      </w:r>
      <w:r>
        <w:rPr>
          <w:rFonts w:ascii="Aptos" w:cs="Times New Roman" w:eastAsia="Times New Roman" w:hAnsi="Aptos"/>
          <w:color w:val="262B2F"/>
          <w:sz w:val="20"/>
          <w:szCs w:val="22"/>
        </w:rPr>
        <w:t xml:space="preserve">, v. 39, n. 2, p. 230–253, 1997.</w:t>
      </w:r>
    </w:p>
    <w:p>
      <w:pPr>
        <w:spacing w:after="100" w:before="0" w:line="264" w:lineRule="auto"/>
        <w:jc w:val="left"/>
      </w:pPr>
      <w:r>
        <w:rPr>
          <w:rFonts w:ascii="Aptos" w:cs="Times New Roman" w:eastAsia="Times New Roman" w:hAnsi="Aptos"/>
          <w:color w:val="262B2F"/>
          <w:sz w:val="20"/>
          <w:szCs w:val="22"/>
        </w:rPr>
        <w:t xml:space="preserve">PLOTON, P. et al. Spatial validation reveals poor predictive performance of large-scale ecological mapping models. </w:t>
      </w:r>
      <w:r>
        <w:rPr>
          <w:rFonts w:ascii="Aptos" w:cs="Times New Roman" w:eastAsia="Times New Roman" w:hAnsi="Aptos"/>
          <w:i/>
          <w:iCs/>
          <w:color w:val="262B2F"/>
          <w:sz w:val="20"/>
          <w:szCs w:val="22"/>
        </w:rPr>
        <w:t xml:space="preserve">Nature Communications</w:t>
      </w:r>
      <w:r>
        <w:rPr>
          <w:rFonts w:ascii="Aptos" w:cs="Times New Roman" w:eastAsia="Times New Roman" w:hAnsi="Aptos"/>
          <w:color w:val="262B2F"/>
          <w:sz w:val="20"/>
          <w:szCs w:val="22"/>
        </w:rPr>
        <w:t xml:space="preserve">, v. 11, art. 4540, 2020. </w:t>
      </w:r>
      <w:hyperlink w:history="1" r:id="rIdgnxsr84mcwzqh0z6yma2o">
        <w:r>
          <w:rPr>
            <w:rFonts w:ascii="Aptos" w:cs="Aptos" w:eastAsia="Aptos" w:hAnsi="Aptos"/>
            <w:color w:val="1D5FD1"/>
            <w:sz w:val="20"/>
            <w:szCs w:val="20"/>
            <w:u w:val="single" w:color="1D5FD1"/>
          </w:rPr>
          <w:t xml:space="preserve">DOI 10.1038/s41467-020-18321-y</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w:t>
      </w:r>
    </w:p>
    <w:p>
      <w:pPr>
        <w:spacing w:after="100" w:before="0" w:line="264" w:lineRule="auto"/>
        <w:jc w:val="left"/>
      </w:pPr>
      <w:r>
        <w:rPr>
          <w:rFonts w:ascii="Aptos" w:cs="Times New Roman" w:eastAsia="Times New Roman" w:hAnsi="Aptos"/>
          <w:color w:val="262B2F"/>
          <w:sz w:val="20"/>
          <w:szCs w:val="22"/>
        </w:rPr>
        <w:t xml:space="preserve">REDMON, J. et al. You only look once: unified, real-time object detection.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IEEE CONFERENCE ON COMPUTER VISION AND PATTERN RECOGNITION (CVPR), 2016, Las Vegas. [S. l.]: IEEE, 2016. p. 779–788.</w:t>
      </w:r>
    </w:p>
    <w:p>
      <w:pPr>
        <w:spacing w:after="100" w:before="0" w:line="264" w:lineRule="auto"/>
        <w:jc w:val="left"/>
      </w:pPr>
      <w:r>
        <w:rPr>
          <w:rFonts w:ascii="Aptos" w:cs="Times New Roman" w:eastAsia="Times New Roman" w:hAnsi="Aptos"/>
          <w:color w:val="262B2F"/>
          <w:sz w:val="20"/>
          <w:szCs w:val="22"/>
        </w:rPr>
        <w:t xml:space="preserve">ROBERTS, D. R. et al. Cross-validation strategies for data with temporal, spatial, hierarchical, or phylogenetic structure. </w:t>
      </w:r>
      <w:r>
        <w:rPr>
          <w:rFonts w:ascii="Aptos" w:cs="Times New Roman" w:eastAsia="Times New Roman" w:hAnsi="Aptos"/>
          <w:i/>
          <w:iCs/>
          <w:color w:val="262B2F"/>
          <w:sz w:val="20"/>
          <w:szCs w:val="22"/>
        </w:rPr>
        <w:t xml:space="preserve">Ecography</w:t>
      </w:r>
      <w:r>
        <w:rPr>
          <w:rFonts w:ascii="Aptos" w:cs="Times New Roman" w:eastAsia="Times New Roman" w:hAnsi="Aptos"/>
          <w:color w:val="262B2F"/>
          <w:sz w:val="20"/>
          <w:szCs w:val="22"/>
        </w:rPr>
        <w:t xml:space="preserve">, v. 40, n. 8, p. 913–929, 2017.</w:t>
      </w:r>
    </w:p>
    <w:p>
      <w:pPr>
        <w:spacing w:after="100" w:before="0" w:line="264" w:lineRule="auto"/>
        <w:jc w:val="left"/>
      </w:pPr>
      <w:r>
        <w:rPr>
          <w:rFonts w:ascii="Aptos" w:cs="Times New Roman" w:eastAsia="Times New Roman" w:hAnsi="Aptos"/>
          <w:color w:val="262B2F"/>
          <w:sz w:val="20"/>
          <w:szCs w:val="22"/>
        </w:rPr>
        <w:t xml:space="preserve">SANTAELLA, L. </w:t>
      </w:r>
      <w:r>
        <w:rPr>
          <w:rFonts w:ascii="Aptos" w:cs="Times New Roman" w:eastAsia="Times New Roman" w:hAnsi="Aptos"/>
          <w:i/>
          <w:iCs/>
          <w:color w:val="262B2F"/>
          <w:sz w:val="20"/>
          <w:szCs w:val="22"/>
        </w:rPr>
        <w:t xml:space="preserve">Roteiro de projeto</w:t>
      </w:r>
      <w:r>
        <w:rPr>
          <w:rFonts w:ascii="Aptos" w:cs="Times New Roman" w:eastAsia="Times New Roman" w:hAnsi="Aptos"/>
          <w:color w:val="262B2F"/>
          <w:sz w:val="20"/>
          <w:szCs w:val="22"/>
        </w:rPr>
        <w:t xml:space="preserve">. São Paulo: PEPG in Intelligence Technologies and Digital Design, PUC-SP, [n.d.]. Available at: </w:t>
      </w:r>
      <w:hyperlink w:history="1" r:id="rIdpezwkf9ehhh8ex12knmy7">
        <w:r>
          <w:rPr>
            <w:rFonts w:ascii="Aptos" w:cs="Aptos" w:eastAsia="Aptos" w:hAnsi="Aptos"/>
            <w:color w:val="1D5FD1"/>
            <w:sz w:val="20"/>
            <w:szCs w:val="20"/>
            <w:u w:val="single" w:color="1D5FD1"/>
          </w:rPr>
          <w:t xml:space="preserve">https://www.pucsp.br/pos-graduacao/mestrado-e-doutorado/tecnologias-da-inteligencia-e-design-digital</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Accessed: 13 Oct. 2026.</w:t>
      </w:r>
    </w:p>
    <w:p>
      <w:pPr>
        <w:spacing w:after="100" w:before="0" w:line="264" w:lineRule="auto"/>
        <w:jc w:val="left"/>
      </w:pPr>
      <w:r>
        <w:rPr>
          <w:rFonts w:ascii="Aptos" w:cs="Times New Roman" w:eastAsia="Times New Roman" w:hAnsi="Aptos"/>
          <w:color w:val="262B2F"/>
          <w:sz w:val="20"/>
          <w:szCs w:val="22"/>
        </w:rPr>
        <w:t xml:space="preserve">SANTAELLA, L.; NÖTH, W. </w:t>
      </w:r>
      <w:r>
        <w:rPr>
          <w:rFonts w:ascii="Aptos" w:cs="Times New Roman" w:eastAsia="Times New Roman" w:hAnsi="Aptos"/>
          <w:i/>
          <w:iCs/>
          <w:color w:val="262B2F"/>
          <w:sz w:val="20"/>
          <w:szCs w:val="22"/>
        </w:rPr>
        <w:t xml:space="preserve">Imagem</w:t>
      </w:r>
      <w:r>
        <w:rPr>
          <w:rFonts w:ascii="Aptos" w:cs="Times New Roman" w:eastAsia="Times New Roman" w:hAnsi="Aptos"/>
          <w:color w:val="262B2F"/>
          <w:sz w:val="20"/>
          <w:szCs w:val="22"/>
        </w:rPr>
        <w:t xml:space="preserve">: cognição, semiótica, mídia. São Paulo: Iluminuras, 1998.</w:t>
      </w:r>
    </w:p>
    <w:p>
      <w:pPr>
        <w:spacing w:after="100" w:before="0" w:line="264" w:lineRule="auto"/>
        <w:jc w:val="left"/>
      </w:pPr>
      <w:r>
        <w:rPr>
          <w:rFonts w:ascii="Aptos" w:cs="Times New Roman" w:eastAsia="Times New Roman" w:hAnsi="Aptos"/>
          <w:color w:val="262B2F"/>
          <w:sz w:val="20"/>
          <w:szCs w:val="22"/>
        </w:rPr>
        <w:t xml:space="preserve">SPECHT, D.; RASOOL, G.; BOUAYNAYA, N.; JOHNSON, C. Intelligent helipad detection from satellite imagery. In: VERTICAL FLIGHT SOCIETY ANNUAL FORUM AND TECHNOLOGY DISPLAY, 77., 2021, online. </w:t>
      </w:r>
      <w:r>
        <w:rPr>
          <w:rFonts w:ascii="Aptos" w:cs="Times New Roman" w:eastAsia="Times New Roman" w:hAnsi="Aptos"/>
          <w:color w:val="262B2F"/>
          <w:sz w:val="20"/>
          <w:szCs w:val="22"/>
          <w:i/>
        </w:rPr>
        <w:t xml:space="preserve">Proceedings</w:t>
      </w:r>
      <w:r>
        <w:rPr>
          <w:rFonts w:ascii="Aptos" w:cs="Times New Roman" w:eastAsia="Times New Roman" w:hAnsi="Aptos"/>
          <w:color w:val="262B2F"/>
          <w:sz w:val="20"/>
          <w:szCs w:val="22"/>
        </w:rPr>
        <w:t xml:space="preserve"> [...]. [S. l.]: Vertical Flight Society, 2021. DOI 10.4050/F-0077-2021-16856.</w:t>
      </w:r>
    </w:p>
    <w:p>
      <w:pPr>
        <w:spacing w:after="100" w:before="0" w:line="264" w:lineRule="auto"/>
        <w:jc w:val="left"/>
      </w:pPr>
      <w:r>
        <w:rPr>
          <w:rFonts w:ascii="Aptos" w:cs="Times New Roman" w:eastAsia="Times New Roman" w:hAnsi="Aptos"/>
          <w:color w:val="262B2F"/>
          <w:sz w:val="20"/>
          <w:szCs w:val="22"/>
        </w:rPr>
        <w:t xml:space="preserve">SUPRAPTO, B. Y. et al. The detection system of helipad for unmanned aerial vehicle landing using YOLO algorithm. </w:t>
      </w:r>
      <w:r>
        <w:rPr>
          <w:rFonts w:ascii="Aptos" w:cs="Times New Roman" w:eastAsia="Times New Roman" w:hAnsi="Aptos"/>
          <w:color w:val="262B2F"/>
          <w:sz w:val="20"/>
          <w:szCs w:val="22"/>
          <w:i/>
        </w:rPr>
        <w:t xml:space="preserve">Jurnal Ilmiah Teknik Elektro Komputer dan Informatika</w:t>
      </w:r>
      <w:r>
        <w:rPr>
          <w:rFonts w:ascii="Aptos" w:cs="Times New Roman" w:eastAsia="Times New Roman" w:hAnsi="Aptos"/>
          <w:color w:val="262B2F"/>
          <w:sz w:val="20"/>
          <w:szCs w:val="22"/>
        </w:rPr>
        <w:t xml:space="preserve"> (JITEKI), v. 7, n. 2, p. 193–206, 2021. DOI 10.26555/jiteki.v7i2.20684.</w:t>
      </w:r>
    </w:p>
    <w:p>
      <w:pPr>
        <w:spacing w:after="100" w:before="0" w:line="264" w:lineRule="auto"/>
        <w:jc w:val="left"/>
      </w:pPr>
      <w:r>
        <w:rPr>
          <w:rFonts w:ascii="Aptos" w:cs="Times New Roman" w:eastAsia="Times New Roman" w:hAnsi="Aptos"/>
          <w:color w:val="262B2F"/>
          <w:sz w:val="20"/>
          <w:szCs w:val="22"/>
        </w:rPr>
        <w:t xml:space="preserve">ULTRALYTICS. </w:t>
      </w:r>
      <w:r>
        <w:rPr>
          <w:rFonts w:ascii="Aptos" w:cs="Times New Roman" w:eastAsia="Times New Roman" w:hAnsi="Aptos"/>
          <w:i/>
          <w:iCs/>
          <w:color w:val="262B2F"/>
          <w:sz w:val="20"/>
          <w:szCs w:val="22"/>
        </w:rPr>
        <w:t xml:space="preserve">Ultralytics YOLO</w:t>
      </w:r>
      <w:r>
        <w:rPr>
          <w:rFonts w:ascii="Aptos" w:cs="Times New Roman" w:eastAsia="Times New Roman" w:hAnsi="Aptos"/>
          <w:color w:val="262B2F"/>
          <w:sz w:val="20"/>
          <w:szCs w:val="22"/>
        </w:rPr>
        <w:t xml:space="preserve">. Software. [S. l.]: Ultralytics, 2026. Available at: </w:t>
      </w:r>
      <w:hyperlink w:history="1" r:id="rIdp7orry5esfp0slb5nel3c">
        <w:r>
          <w:rPr>
            <w:rFonts w:ascii="Aptos" w:cs="Aptos" w:eastAsia="Aptos" w:hAnsi="Aptos"/>
            <w:color w:val="1D5FD1"/>
            <w:sz w:val="20"/>
            <w:szCs w:val="20"/>
            <w:u w:val="single" w:color="1D5FD1"/>
          </w:rPr>
          <w:t xml:space="preserve">https://github.com/ultralytics/ultralytics</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szCs w:val="22"/>
        </w:rPr>
        <w:t xml:space="preserve">. Accessed: 13 Oct. 2026.</w:t>
      </w:r>
    </w:p>
    <w:p>
      <w:pPr>
        <w:spacing w:after="100" w:before="0" w:line="264" w:lineRule="auto"/>
        <w:jc w:val="left"/>
      </w:pPr>
      <w:r>
        <w:rPr>
          <w:rFonts w:ascii="Aptos" w:cs="Times New Roman" w:eastAsia="Times New Roman" w:hAnsi="Aptos"/>
          <w:color w:val="262B2F"/>
          <w:sz w:val="20"/>
          <w:szCs w:val="22"/>
        </w:rPr>
        <w:t xml:space="preserve">XIA, G.-S. et al. DOTA: a large-scale dataset for object detection in aerial images. </w:t>
      </w:r>
      <w:r>
        <w:rPr>
          <w:rFonts w:ascii="Aptos" w:cs="Times New Roman" w:eastAsia="Times New Roman" w:hAnsi="Aptos"/>
          <w:i/>
          <w:iCs/>
          <w:color w:val="262B2F"/>
          <w:sz w:val="20"/>
          <w:szCs w:val="22"/>
        </w:rPr>
        <w:t xml:space="preserve">In</w:t>
      </w:r>
      <w:r>
        <w:rPr>
          <w:rFonts w:ascii="Aptos" w:cs="Times New Roman" w:eastAsia="Times New Roman" w:hAnsi="Aptos"/>
          <w:color w:val="262B2F"/>
          <w:sz w:val="20"/>
          <w:szCs w:val="22"/>
        </w:rPr>
        <w:t xml:space="preserve">: IEEE/CVF CONFERENCE ON COMPUTER VISION AND PATTERN RECOGNITION (CVPR), 2018, Salt Lake City. [S. l.]: IEEE, 2018. p. 3974–3983.</w:t>
      </w:r>
    </w:p>
    <w:p>
      <w:pPr>
        <w:spacing w:after="100" w:before="200" w:line="264" w:lineRule="auto"/>
        <w:jc w:val="left"/>
      </w:pPr>
      <w:r>
        <w:rPr>
          <w:rFonts w:ascii="Aptos" w:cs="Times New Roman" w:eastAsia="Times New Roman" w:hAnsi="Aptos"/>
          <w:b/>
          <w:bCs/>
          <w:color w:val="1B365D"/>
          <w:sz w:val="20"/>
        </w:rPr>
        <w:t xml:space="preserve">Works to consult</w:t>
      </w:r>
      <w:r>
        <w:rPr>
          <w:rFonts w:ascii="Aptos" w:cs="Times New Roman" w:eastAsia="Times New Roman" w:hAnsi="Aptos"/>
          <w:color w:val="262B2F"/>
          <w:sz w:val="20"/>
        </w:rPr>
        <w:t xml:space="preserve"> (bibliography of the program's courses, </w:t>
      </w:r>
      <w:hyperlink w:history="1" r:id="rIdr3vuxadfb_so8f7blru6h">
        <w:r>
          <w:rPr>
            <w:rFonts w:ascii="Aptos" w:cs="Aptos" w:eastAsia="Aptos" w:hAnsi="Aptos"/>
            <w:color w:val="1D5FD1"/>
            <w:sz w:val="20"/>
            <w:szCs w:val="20"/>
            <w:u w:val="single" w:color="1D5FD1"/>
          </w:rPr>
          <w:t xml:space="preserve">TIDD page</w:t>
        </w:r>
        <w:r>
          <w:rPr>
            <w:rFonts w:ascii="Aptos" w:cs="Aptos" w:eastAsia="Aptos" w:hAnsi="Aptos"/>
            <w:color w:val="1D5FD1"/>
            <w:sz w:val="20"/>
            <w:szCs w:val="20"/>
            <w:u w:val="single" w:color="1D5FD1"/>
          </w:rPr>
          <w:t xml:space="preserve"> ↗</w:t>
        </w:r>
      </w:hyperlink>
      <w:r>
        <w:rPr>
          <w:rFonts w:ascii="Aptos" w:cs="Times New Roman" w:eastAsia="Times New Roman" w:hAnsi="Aptos"/>
          <w:color w:val="262B2F"/>
          <w:sz w:val="20"/>
        </w:rPr>
        <w:t xml:space="preserve">; not yet consulted for this project):</w:t>
      </w:r>
    </w:p>
    <w:p>
      <w:pPr>
        <w:spacing w:after="100" w:before="0" w:line="264" w:lineRule="auto"/>
        <w:jc w:val="left"/>
      </w:pPr>
      <w:r>
        <w:rPr>
          <w:rFonts w:ascii="Aptos" w:cs="Times New Roman" w:eastAsia="Times New Roman" w:hAnsi="Aptos"/>
          <w:color w:val="262B2F"/>
          <w:sz w:val="20"/>
          <w:szCs w:val="22"/>
        </w:rPr>
        <w:t xml:space="preserve">CHALMERS, A. F. </w:t>
      </w:r>
      <w:r>
        <w:rPr>
          <w:rFonts w:ascii="Aptos" w:cs="Times New Roman" w:eastAsia="Times New Roman" w:hAnsi="Aptos"/>
          <w:i/>
          <w:iCs/>
          <w:color w:val="262B2F"/>
          <w:sz w:val="20"/>
          <w:szCs w:val="22"/>
        </w:rPr>
        <w:t xml:space="preserve">O que é ciência, afinal?</w:t>
      </w:r>
      <w:r>
        <w:rPr>
          <w:rFonts w:ascii="Aptos" w:cs="Times New Roman" w:eastAsia="Times New Roman" w:hAnsi="Aptos"/>
          <w:color w:val="262B2F"/>
          <w:sz w:val="20"/>
          <w:szCs w:val="22"/>
        </w:rPr>
        <w:t xml:space="preserve"> São Paulo: Brasiliense, 1993.</w:t>
      </w:r>
    </w:p>
    <w:p>
      <w:pPr>
        <w:spacing w:after="100" w:before="0" w:line="264" w:lineRule="auto"/>
        <w:jc w:val="left"/>
      </w:pPr>
      <w:r>
        <w:rPr>
          <w:rFonts w:ascii="Aptos" w:cs="Times New Roman" w:eastAsia="Times New Roman" w:hAnsi="Aptos"/>
          <w:color w:val="262B2F"/>
          <w:sz w:val="20"/>
          <w:szCs w:val="22"/>
        </w:rPr>
        <w:t xml:space="preserve">LAZAR, J.; FENG, J.; HOCHHEISER, H. </w:t>
      </w:r>
      <w:r>
        <w:rPr>
          <w:rFonts w:ascii="Aptos" w:cs="Times New Roman" w:eastAsia="Times New Roman" w:hAnsi="Aptos"/>
          <w:i/>
          <w:iCs/>
          <w:color w:val="262B2F"/>
          <w:sz w:val="20"/>
          <w:szCs w:val="22"/>
        </w:rPr>
        <w:t xml:space="preserve">Research methods in human-computer interaction</w:t>
      </w:r>
      <w:r>
        <w:rPr>
          <w:rFonts w:ascii="Aptos" w:cs="Times New Roman" w:eastAsia="Times New Roman" w:hAnsi="Aptos"/>
          <w:color w:val="262B2F"/>
          <w:sz w:val="20"/>
          <w:szCs w:val="22"/>
        </w:rPr>
        <w:t xml:space="preserve">. 2nd ed. Cambridge, MA: Morgan Kaufmann, 2017.</w:t>
      </w:r>
    </w:p>
    <w:p>
      <w:pPr>
        <w:spacing w:after="100" w:before="0" w:line="264" w:lineRule="auto"/>
        <w:jc w:val="left"/>
      </w:pPr>
      <w:r>
        <w:rPr>
          <w:rFonts w:ascii="Aptos" w:cs="Times New Roman" w:eastAsia="Times New Roman" w:hAnsi="Aptos"/>
          <w:color w:val="262B2F"/>
          <w:sz w:val="20"/>
          <w:szCs w:val="22"/>
        </w:rPr>
        <w:t xml:space="preserve">RUSSELL, S.; NORVIG, P. </w:t>
      </w:r>
      <w:r>
        <w:rPr>
          <w:rFonts w:ascii="Aptos" w:cs="Times New Roman" w:eastAsia="Times New Roman" w:hAnsi="Aptos"/>
          <w:i/>
          <w:iCs/>
          <w:color w:val="262B2F"/>
          <w:sz w:val="20"/>
          <w:szCs w:val="22"/>
        </w:rPr>
        <w:t xml:space="preserve">Inteligência artificial</w:t>
      </w:r>
      <w:r>
        <w:rPr>
          <w:rFonts w:ascii="Aptos" w:cs="Times New Roman" w:eastAsia="Times New Roman" w:hAnsi="Aptos"/>
          <w:color w:val="262B2F"/>
          <w:sz w:val="20"/>
          <w:szCs w:val="22"/>
        </w:rPr>
        <w:t xml:space="preserve">. 3rd ed. Rio de Janeiro: Elsevier, 2013.</w:t>
      </w:r>
    </w:p>
    <w:p>
      <w:pPr>
        <w:spacing w:after="100" w:before="0" w:line="264" w:lineRule="auto"/>
        <w:jc w:val="left"/>
      </w:pPr>
      <w:r>
        <w:rPr>
          <w:rFonts w:ascii="Aptos" w:cs="Times New Roman" w:eastAsia="Times New Roman" w:hAnsi="Aptos"/>
          <w:color w:val="262B2F"/>
          <w:sz w:val="20"/>
          <w:szCs w:val="22"/>
        </w:rPr>
        <w:t xml:space="preserve">SANTAELLA, L. </w:t>
      </w:r>
      <w:r>
        <w:rPr>
          <w:rFonts w:ascii="Aptos" w:cs="Times New Roman" w:eastAsia="Times New Roman" w:hAnsi="Aptos"/>
          <w:i/>
          <w:iCs/>
          <w:color w:val="262B2F"/>
          <w:sz w:val="20"/>
          <w:szCs w:val="22"/>
        </w:rPr>
        <w:t xml:space="preserve">Comunicação &amp; pesquisa</w:t>
      </w:r>
      <w:r>
        <w:rPr>
          <w:rFonts w:ascii="Aptos" w:cs="Times New Roman" w:eastAsia="Times New Roman" w:hAnsi="Aptos"/>
          <w:color w:val="262B2F"/>
          <w:sz w:val="20"/>
          <w:szCs w:val="22"/>
        </w:rPr>
        <w:t xml:space="preserve">. 2nd ed. São Paulo: Hacker; Bluecom, 2010.</w:t>
      </w:r>
    </w:p>
    <w:p>
      <w:pPr>
        <w:spacing w:after="100" w:before="0" w:line="264" w:lineRule="auto"/>
        <w:jc w:val="left"/>
      </w:pPr>
      <w:r>
        <w:rPr>
          <w:rFonts w:ascii="Aptos" w:cs="Times New Roman" w:eastAsia="Times New Roman" w:hAnsi="Aptos"/>
          <w:color w:val="262B2F"/>
          <w:sz w:val="20"/>
          <w:szCs w:val="22"/>
        </w:rPr>
        <w:t xml:space="preserve">SANTAELLA, L.; VIEIRA, J. A. </w:t>
      </w:r>
      <w:r>
        <w:rPr>
          <w:rFonts w:ascii="Aptos" w:cs="Times New Roman" w:eastAsia="Times New Roman" w:hAnsi="Aptos"/>
          <w:i/>
          <w:iCs/>
          <w:color w:val="262B2F"/>
          <w:sz w:val="20"/>
          <w:szCs w:val="22"/>
        </w:rPr>
        <w:t xml:space="preserve">Metaciência</w:t>
      </w:r>
      <w:r>
        <w:rPr>
          <w:rFonts w:ascii="Aptos" w:cs="Times New Roman" w:eastAsia="Times New Roman" w:hAnsi="Aptos"/>
          <w:color w:val="262B2F"/>
          <w:sz w:val="20"/>
          <w:szCs w:val="22"/>
        </w:rPr>
        <w:t xml:space="preserve">. São Paulo: Mérito, 2008.</w:t>
      </w:r>
    </w:p>
    <w:sectPr>
      <w:footerReference w:type="default" r:id="rId7"/>
      <w:type w:val="nextPage"/>
      <w:pgSz w:w="11906" w:h="16838" w:orient="portrait"/>
      <w:pgMar w:top="1080" w:right="1181" w:bottom="1080" w:left="1267" w:header="432" w:footer="432" w:gutter="0"/>
      <w:pgNumType w:start="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4" w:color="2B5DA8"/>
      </w:pBdr>
      <w:jc w:val="center"/>
    </w:pPr>
    <w:r>
      <w:rPr>
        <w:rFonts w:ascii="Aptos" w:hAnsi="Aptos"/>
        <w:color w:val="5F656A"/>
        <w:sz w:val="16"/>
      </w:rPr>
      <w:t>Fabiana Rotella Campaner  •  Selection Process 1st/2027</w:t>
    </w:r>
    <w:r>
      <w:rPr>
        <w:rFonts w:ascii="Aptos" w:hAnsi="Aptos"/>
        <w:color w:val="5F656A"/>
        <w:sz w:val="16"/>
      </w:rPr>
      <w:t xml:space="preserve">  •  p. </w:t>
    </w:r>
    <w:fldSimple w:instr="PAGE">
      <w:r>
        <w:rPr>
          <w:rFonts w:ascii="Aptos" w:hAnsi="Aptos"/>
          <w:color w:val="5F656A"/>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2B5DA8"/>
      </w:pBdr>
      <w:jc w:val="center"/>
    </w:pPr>
    <w:r>
      <w:rPr>
        <w:rFonts w:ascii="Aptos" w:hAnsi="Aptos"/>
        <w:color w:val="5F656A"/>
        <w:sz w:val="16"/>
      </w:rPr>
      <w:t>Fabiana Rotella Campaner  •  Selection Process 1st/2027</w:t>
    </w:r>
    <w:r>
      <w:rPr>
        <w:rFonts w:ascii="Aptos" w:hAnsi="Aptos"/>
        <w:color w:val="5F656A"/>
        <w:sz w:val="16"/>
      </w:rPr>
      <w:t xml:space="preserve">  •  p. </w:t>
    </w:r>
    <w:fldSimple w:instr="PAGE">
      <w:r>
        <w:rPr>
          <w:rFonts w:ascii="Aptos" w:hAnsi="Aptos"/>
          <w:color w:val="5F656A"/>
          <w:sz w:val="16"/>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2B5DA8"/>
      </w:pBdr>
      <w:tabs>
        <w:tab w:val="clear" w:pos="4513"/>
        <w:tab w:val="clear" w:pos="9026"/>
        <w:tab w:val="right" w:pos="9071"/>
      </w:tabs>
    </w:pPr>
    <w:r>
      <w:rPr>
        <w:rFonts w:ascii="Aptos" w:hAnsi="Aptos"/>
        <w:color w:val="1B365D"/>
        <w:sz w:val="16"/>
      </w:rPr>
      <w:t xml:space="preserve">PUC-SP  /  TIDD</w:t>
    </w:r>
    <w:r>
      <w:rPr>
        <w:rFonts w:ascii="Aptos" w:hAnsi="Aptos"/>
        <w:color w:val="1B365D"/>
        <w:sz w:val="16"/>
      </w:rPr>
      <w:tab/>
    </w:r>
    <w:r>
      <w:rPr>
        <w:rFonts w:ascii="Aptos" w:hAnsi="Aptos"/>
        <w:color w:val="5F656A"/>
        <w:sz w:val="16"/>
      </w:rPr>
      <w:t xml:space="preserve">RESEARCH PRE-PROPOSAL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F4E8C"/>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4E8C"/>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s8qjo4wgbl2imkjocfji" Type="http://schemas.openxmlformats.org/officeDocument/2006/relationships/hyperlink" Target="https://github.com/Mindful-AI-Research/3-project-ai-ml-yolo-helipad_detector" TargetMode="External"/><Relationship Id="rIdyz9ivocnobp53wi4pj5m_" Type="http://schemas.openxmlformats.org/officeDocument/2006/relationships/hyperlink" Target="https://helipad-detector-sp.streamlit.app/" TargetMode="External"/><Relationship Id="rIdbetk7hncxwletbph0fugs" Type="http://schemas.openxmlformats.org/officeDocument/2006/relationships/hyperlink" Target="https://helipad-detector-sp.streamlit.app/" TargetMode="External"/><Relationship Id="rId2qhn7xensnnimizv5iexq" Type="http://schemas.openxmlformats.org/officeDocument/2006/relationships/hyperlink" Target="https://github.com/Mindful-AI-Research/3-project-ai-ml-yolo-helipad_detector/blob/db052a43d2b02254237735716dc841a3611d9e98/reports/helipad_detector_full_report/%F0%9F%87%AC%F0%9F%87%A7Helipad_Detector_Full_Report.pdf" TargetMode="External"/><Relationship Id="rIdlsxavj6obiw6ckrlz28mm"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g0lybszg3gy91a9nt2dxs" Type="http://schemas.openxmlformats.org/officeDocument/2006/relationships/hyperlink" Target="https://github.com/Mindful-AI-Research/3-project-ai-ml-yolo-helipad_detector" TargetMode="External"/><Relationship Id="rIdi6hkr0ewehj2vivhs2ngx"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vd9naoxbngenl55ctagdu" Type="http://schemas.openxmlformats.org/officeDocument/2006/relationships/hyperlink" Target="https://www.pucsp.br/pos-graduacao/mestrado-e-doutorado/tecnologias-da-inteligencia-e-design-digital" TargetMode="External"/><Relationship Id="rIduarn90c7pt-qbajgvssdi" Type="http://schemas.openxmlformats.org/officeDocument/2006/relationships/hyperlink" Target="https://github.com/Mindful-AI-Research/3-project-ai-ml-yolo-helipad_detector" TargetMode="External"/><Relationship Id="rIdxqkr0_b8xxnvngnzyw-vn" Type="http://schemas.openxmlformats.org/officeDocument/2006/relationships/hyperlink" Target="https://github.com/Mindful-AI-Research" TargetMode="External"/><Relationship Id="rId3_zaclc42yasnlf9i-sc0" Type="http://schemas.openxmlformats.org/officeDocument/2006/relationships/hyperlink" Target="https://github.com/Mindful-AI-Research/3-project-ai-ml-yolo-helipad_detector/blob/07af322f33d2e180d16d0b9abc1be989511513d7/TIDD-PhD-Application-Documents/docs-fabi-phd-submission/termo_autorizacao_pedro_vyctor_almeida.pdf" TargetMode="External"/><Relationship Id="rIdawxe67czhi1zf-itb6642" Type="http://schemas.openxmlformats.org/officeDocument/2006/relationships/hyperlink" Target="https://www.pucsp.br/pos-graduacao/mestrado-e-doutorado/tecnologias-da-inteligencia-e-design-digital" TargetMode="External"/><Relationship Id="rIdpwrggovlx278bsibscvnl" Type="http://schemas.openxmlformats.org/officeDocument/2006/relationships/hyperlink" Target="https://doi.org/10.1214/ss/1009213286" TargetMode="External"/><Relationship Id="rIdxg7tracag44dcfntylrfz" Type="http://schemas.openxmlformats.org/officeDocument/2006/relationships/hyperlink" Target="https://arxiv.org/abs/1405.0312" TargetMode="External"/><Relationship Id="rIdyxw6sdcuabbccnaupe__1" Type="http://schemas.openxmlformats.org/officeDocument/2006/relationships/hyperlink" Target="https://github.com/Mindful-AI-Research/3-project-ai-ml-yolo-helipad_detector" TargetMode="External"/><Relationship Id="rIdm-tep5x3iim0qxiiwncj3" Type="http://schemas.openxmlformats.org/officeDocument/2006/relationships/hyperlink" Target="https://helipad-detector-sp.streamlit.app/" TargetMode="External"/><Relationship Id="rIddwqmkc3hoaul851omiyax" Type="http://schemas.openxmlformats.org/officeDocument/2006/relationships/hyperlink" Target="https://github.com/Mindful-AI-Research/3-project-ai-ml-yolo-helipad_detector/blob/db052a43d2b02254237735716dc841a3611d9e98/reports/helipad_detector_full_report/%F0%9F%87%AC%F0%9F%87%A7Helipad_Detector_Full_Report.pdf" TargetMode="External"/><Relationship Id="rIdlexkklfrrjymbtcb8uz8p"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gnxsr84mcwzqh0z6yma2o" Type="http://schemas.openxmlformats.org/officeDocument/2006/relationships/hyperlink" Target="https://doi.org/10.1038/s41467-020-18321-y" TargetMode="External"/><Relationship Id="rIdpezwkf9ehhh8ex12knmy7" Type="http://schemas.openxmlformats.org/officeDocument/2006/relationships/hyperlink" Target="https://www.pucsp.br/pos-graduacao/mestrado-e-doutorado/tecnologias-da-inteligencia-e-design-digital" TargetMode="External"/><Relationship Id="rIdp7orry5esfp0slb5nel3c" Type="http://schemas.openxmlformats.org/officeDocument/2006/relationships/hyperlink" Target="https://github.com/ultralytics/ultralytics" TargetMode="External"/><Relationship Id="rIdr3vuxadfb_so8f7blru6h" Type="http://schemas.openxmlformats.org/officeDocument/2006/relationships/hyperlink" Target="https://www.pucsp.br/pos-graduacao/mestrado-e-doutorado/tecnologias-da-inteligencia-e-design-digital" TargetMode="External"/><Relationship Id="rId8" Type="http://schemas.openxmlformats.org/officeDocument/2006/relationships/image" Target="media/d127fb17d5c67801c144e3b8b5fe4227afee2bf5.png"/><Relationship Id="rId9" Type="http://schemas.openxmlformats.org/officeDocument/2006/relationships/image" Target="media/76c9fc88bffbae2e1ab8a3723b567618beb86bee.png"/><Relationship Id="rId32" Type="http://schemas.openxmlformats.org/officeDocument/2006/relationships/fontTable" Target="fontTable.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yperlink" Target="https://github.com/Mindful-AI-Research/3-project-ai-ml-yolo-helipad_detector/blob/b8c96d7637c22dbd0f6fae4e084dc4becb1bf70d/docs/evidence/term_authorization_pedro/termo_autorizacao_pedro_vyctor_almeida.pdf" TargetMode="External"/><Relationship Id="rId13" Type="http://schemas.openxmlformats.org/officeDocument/2006/relationships/hyperlink" Target="https://github.com/Mindful-AI-Research/3-project-ai-ml-yolo-helipad_detector/blob/b8c96d7637c22dbd0f6fae4e084dc4becb1bf70d/docs/evidence/term_authorization_pedro/term_authorization_pedro_vyctor_almeida.pdf" TargetMode="External"/><Relationship Id="rId14" Type="http://schemas.openxmlformats.org/officeDocument/2006/relationships/hyperlink" Target="https://timely-brioche-b6c92f.netlify.app/" TargetMode="External"/><Relationship Id="rId15" Type="http://schemas.openxmlformats.org/officeDocument/2006/relationships/hyperlink" Target="https://github.com/Mindful-AI-Research/3-project-ai-ml-yolo-helipad_detector/blob/3849b944fbfbf2df224fbd7e636751872c35258a/reports/helipad_detector_full_report/%F0%9F%87%A7%F0%9F%87%B7Helipad_Detector_Relatorio_Completo.pdf" TargetMode="External"/><Relationship Id="rId16" Type="http://schemas.openxmlformats.org/officeDocument/2006/relationships/hyperlink" Target="https://github.com/Mindful-AI-Research/3-project-ai-ml-yolo-helipad_detector/blob/6813a71381a48dda1a96cb126a4d36d9293c8501/term_authorization_pedro_and_fabiana_signed.pdf" TargetMode="External"/><Relationship Id="rId17" Type="http://schemas.openxmlformats.org/officeDocument/2006/relationships/hyperlink" Target="https://www.planalto.gov.br/ccivil_03/_ato2015-2018/2018/lei/l13709.htm"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visual detectors without ground truth</dc:title>
  <dc:creator>Fabiana Rotella Campaner</dc:creator>
  <cp:lastModifiedBy>Un-named</cp:lastModifiedBy>
  <cp:revision>1</cp:revision>
  <dcterms:created xsi:type="dcterms:W3CDTF">2026-10-15T20:42:18.496Z</dcterms:created>
  <dcterms:modified xsi:type="dcterms:W3CDTF">2026-10-15T20:42:18.496Z</dcterms:modified>
  <dc:subject>Research pre-proposal — TIDD/PUC-SP Master's — Selection Process 1st/2027</dc:subject>
</cp:coreProperties>
</file>

<file path=docProps/custom.xml><?xml version="1.0" encoding="utf-8"?>
<Properties xmlns="http://schemas.openxmlformats.org/officeDocument/2006/custom-properties" xmlns:vt="http://schemas.openxmlformats.org/officeDocument/2006/docPropsVTypes"/>
</file>