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D303" w14:textId="77777777" w:rsidR="00B67736" w:rsidRDefault="00000000">
      <w:pPr>
        <w:spacing w:after="80" w:line="360" w:lineRule="auto"/>
        <w:jc w:val="center"/>
        <w:rPr>
          <w:rFonts w:hint="eastAsia"/>
        </w:rPr>
      </w:pPr>
      <w:r>
        <w:rPr>
          <w:b/>
          <w:bCs/>
          <w:sz w:val="32"/>
          <w:szCs w:val="32"/>
        </w:rPr>
        <w:t>《深度学习》期末项目开题报告</w:t>
      </w:r>
    </w:p>
    <w:p w14:paraId="6A1EF1D4" w14:textId="537F0DE3" w:rsidR="00B67736" w:rsidRDefault="00000000">
      <w:pPr>
        <w:spacing w:after="60" w:line="360" w:lineRule="auto"/>
        <w:jc w:val="center"/>
        <w:rPr>
          <w:rFonts w:hint="eastAsia"/>
        </w:rPr>
      </w:pPr>
      <w:r>
        <w:rPr>
          <w:b/>
          <w:bCs/>
          <w:sz w:val="24"/>
          <w:szCs w:val="24"/>
        </w:rPr>
        <w:t>项目名称：基于 RAG 的违规案例智能检索与问答</w:t>
      </w:r>
      <w:r w:rsidR="00F86F65">
        <w:rPr>
          <w:rFonts w:hint="eastAsia"/>
          <w:b/>
          <w:bCs/>
          <w:sz w:val="24"/>
          <w:szCs w:val="24"/>
        </w:rPr>
        <w:t>助手</w:t>
      </w:r>
    </w:p>
    <w:p w14:paraId="305598DD" w14:textId="77777777" w:rsidR="00F86F65" w:rsidRDefault="00000000">
      <w:pPr>
        <w:spacing w:after="120" w:line="360" w:lineRule="auto"/>
        <w:jc w:val="center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赛道：B（大模型微调与应用 Standard Track）  ·  研究类型：独立研究</w:t>
      </w:r>
    </w:p>
    <w:p w14:paraId="403046C1" w14:textId="54C47CB4" w:rsidR="00B67736" w:rsidRDefault="00000000">
      <w:pPr>
        <w:spacing w:after="120" w:line="360" w:lineRule="auto"/>
        <w:jc w:val="center"/>
        <w:rPr>
          <w:rFonts w:hint="eastAsia"/>
        </w:rPr>
      </w:pPr>
      <w:r>
        <w:rPr>
          <w:color w:val="666666"/>
          <w:sz w:val="20"/>
          <w:szCs w:val="20"/>
        </w:rPr>
        <w:t>组员：许</w:t>
      </w:r>
      <w:proofErr w:type="gramStart"/>
      <w:r>
        <w:rPr>
          <w:color w:val="666666"/>
          <w:sz w:val="20"/>
          <w:szCs w:val="20"/>
        </w:rPr>
        <w:t>浩</w:t>
      </w:r>
      <w:proofErr w:type="gramEnd"/>
      <w:r>
        <w:rPr>
          <w:color w:val="666666"/>
          <w:sz w:val="20"/>
          <w:szCs w:val="20"/>
        </w:rPr>
        <w:t>财、</w:t>
      </w:r>
      <w:r w:rsidR="00F86F65">
        <w:rPr>
          <w:rFonts w:hint="eastAsia"/>
          <w:color w:val="666666"/>
          <w:sz w:val="20"/>
          <w:szCs w:val="20"/>
        </w:rPr>
        <w:t>JIA TONG</w:t>
      </w:r>
      <w:r>
        <w:rPr>
          <w:color w:val="666666"/>
          <w:sz w:val="20"/>
          <w:szCs w:val="20"/>
        </w:rPr>
        <w:t>、戴一鑫、张彦扬、王怡菲</w:t>
      </w:r>
    </w:p>
    <w:p w14:paraId="171733CE" w14:textId="77777777" w:rsidR="00B67736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一、赛道选择与研究类型</w:t>
      </w:r>
    </w:p>
    <w:p w14:paraId="702B2992" w14:textId="77777777" w:rsidR="00B67736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本项目选择</w:t>
      </w:r>
      <w:r>
        <w:rPr>
          <w:b/>
          <w:bCs/>
          <w:color w:val="000000"/>
        </w:rPr>
        <w:t>赛道 B（大模型微调与应用）</w:t>
      </w:r>
      <w:r>
        <w:rPr>
          <w:color w:val="000000"/>
        </w:rPr>
        <w:t>，研究类型为</w:t>
      </w:r>
      <w:r>
        <w:rPr>
          <w:b/>
          <w:bCs/>
          <w:color w:val="000000"/>
        </w:rPr>
        <w:t>独立研究</w:t>
      </w:r>
      <w:r>
        <w:rPr>
          <w:color w:val="000000"/>
        </w:rPr>
        <w:t>。核心任务是在</w:t>
      </w:r>
      <w:proofErr w:type="gramStart"/>
      <w:r>
        <w:rPr>
          <w:color w:val="000000"/>
        </w:rPr>
        <w:t>预训练</w:t>
      </w:r>
      <w:proofErr w:type="gramEnd"/>
      <w:r>
        <w:rPr>
          <w:color w:val="000000"/>
        </w:rPr>
        <w:t xml:space="preserve"> LLM 基础上，通过 </w:t>
      </w:r>
      <w:proofErr w:type="spellStart"/>
      <w:r>
        <w:rPr>
          <w:color w:val="000000"/>
        </w:rPr>
        <w:t>LoRA</w:t>
      </w:r>
      <w:proofErr w:type="spellEnd"/>
      <w:r>
        <w:rPr>
          <w:color w:val="000000"/>
        </w:rPr>
        <w:t xml:space="preserve"> 微调与检索增强生成（RAG）构建面向真实商业场景的垂直领域问答系统，并完成微调前后定量对比、幻觉评估与部署成本分析，符合赛道 B 的核心要求。</w:t>
      </w:r>
    </w:p>
    <w:p w14:paraId="42E6A7AC" w14:textId="77777777" w:rsidR="00B67736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二、问题陈述</w:t>
      </w:r>
    </w:p>
    <w:p w14:paraId="25BB3F09" w14:textId="77777777" w:rsidR="00B67736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背景痛点：</w:t>
      </w:r>
      <w:r>
        <w:rPr>
          <w:color w:val="000000"/>
        </w:rPr>
        <w:t>上市公司财务人员、内审、注册会计师与投行尽调人员在日常工作中频繁遇到"某行为是否违规、历史上类似违规如何处罚、涉及哪些法条"等实务问题；但证监会处罚信息分散于公告 PDF 与商业数据库中，人工检索耗时长、覆盖不全，且误判可能引发重大合</w:t>
      </w:r>
      <w:proofErr w:type="gramStart"/>
      <w:r>
        <w:rPr>
          <w:color w:val="000000"/>
        </w:rPr>
        <w:t>规</w:t>
      </w:r>
      <w:proofErr w:type="gramEnd"/>
      <w:r>
        <w:rPr>
          <w:color w:val="000000"/>
        </w:rPr>
        <w:t>风险。</w:t>
      </w:r>
    </w:p>
    <w:p w14:paraId="1B6E1609" w14:textId="77777777" w:rsidR="00B67736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研究空白：</w:t>
      </w:r>
      <w:r>
        <w:rPr>
          <w:color w:val="000000"/>
        </w:rPr>
        <w:t>通用大模型虽</w:t>
      </w:r>
      <w:proofErr w:type="gramStart"/>
      <w:r>
        <w:rPr>
          <w:color w:val="000000"/>
        </w:rPr>
        <w:t>具备强通识</w:t>
      </w:r>
      <w:proofErr w:type="gramEnd"/>
      <w:r>
        <w:rPr>
          <w:color w:val="000000"/>
        </w:rPr>
        <w:t>与语言能力，但在证券监管这一垂直领域普遍存在</w:t>
      </w:r>
      <w:r>
        <w:rPr>
          <w:b/>
          <w:bCs/>
          <w:color w:val="000000"/>
        </w:rPr>
        <w:t>事实幻觉、</w:t>
      </w:r>
      <w:proofErr w:type="gramStart"/>
      <w:r>
        <w:rPr>
          <w:b/>
          <w:bCs/>
          <w:color w:val="000000"/>
        </w:rPr>
        <w:t>法条错引</w:t>
      </w:r>
      <w:proofErr w:type="gramEnd"/>
      <w:r>
        <w:rPr>
          <w:b/>
          <w:bCs/>
          <w:color w:val="000000"/>
        </w:rPr>
        <w:t>、缺乏可溯源引用</w:t>
      </w:r>
      <w:r>
        <w:rPr>
          <w:color w:val="000000"/>
        </w:rPr>
        <w:t>等问题，现有开源 RAG 方案多为通用模板，未针对监管合</w:t>
      </w:r>
      <w:proofErr w:type="gramStart"/>
      <w:r>
        <w:rPr>
          <w:color w:val="000000"/>
        </w:rPr>
        <w:t>规</w:t>
      </w:r>
      <w:proofErr w:type="gramEnd"/>
      <w:r>
        <w:rPr>
          <w:color w:val="000000"/>
        </w:rPr>
        <w:t>这一强结构化、强边界场景做意图规划</w:t>
      </w:r>
      <w:proofErr w:type="gramStart"/>
      <w:r>
        <w:rPr>
          <w:color w:val="000000"/>
        </w:rPr>
        <w:t>与拒答机制</w:t>
      </w:r>
      <w:proofErr w:type="gramEnd"/>
      <w:r>
        <w:rPr>
          <w:color w:val="000000"/>
        </w:rPr>
        <w:t>设计。</w:t>
      </w:r>
    </w:p>
    <w:p w14:paraId="695021F9" w14:textId="77777777" w:rsidR="00B67736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项目目标：</w:t>
      </w:r>
      <w:r>
        <w:rPr>
          <w:color w:val="000000"/>
        </w:rPr>
        <w:t>构建一个以证监会处罚数据为知识底座、以</w:t>
      </w:r>
      <w:r>
        <w:rPr>
          <w:b/>
          <w:bCs/>
          <w:color w:val="000000"/>
        </w:rPr>
        <w:t>"意图规划 + 双路检索 + 重排 + 领域微调 LLM"</w:t>
      </w:r>
      <w:r>
        <w:rPr>
          <w:color w:val="000000"/>
        </w:rPr>
        <w:t>为核心流程的问答助手，同时验证其在回答准确性、可溯源性与系统安全边界上相对通用 LLM 与通用 RAG 基线的提升效果。</w:t>
      </w:r>
    </w:p>
    <w:p w14:paraId="42342AF8" w14:textId="77777777" w:rsidR="00B67736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三、数据来源</w:t>
      </w:r>
    </w:p>
    <w:p w14:paraId="666139F1" w14:textId="77777777" w:rsidR="00B67736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数据主源：</w:t>
      </w:r>
      <w:r>
        <w:rPr>
          <w:color w:val="000000"/>
        </w:rPr>
        <w:t>CNRDS 数据库"证监会处罚信息表"，共 14,743 行 × 24 列，经去重、拆分合并单元格、长文本规范化后得到 8,000+ 条有效记录。字段覆盖主体（公司全称、股票代码、当事人）、时间（公告日期、处罚日期）、违规（</w:t>
      </w:r>
      <w:proofErr w:type="spellStart"/>
      <w:r>
        <w:rPr>
          <w:color w:val="000000"/>
        </w:rPr>
        <w:t>ViolationType</w:t>
      </w:r>
      <w:proofErr w:type="spellEnd"/>
      <w:r>
        <w:rPr>
          <w:color w:val="000000"/>
        </w:rPr>
        <w:t>、Activity、Law）、处罚（</w:t>
      </w:r>
      <w:proofErr w:type="spellStart"/>
      <w:r>
        <w:rPr>
          <w:color w:val="000000"/>
        </w:rPr>
        <w:t>PunishmentMeasure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PunishmentType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SumPenalty</w:t>
      </w:r>
      <w:proofErr w:type="spellEnd"/>
      <w:r>
        <w:rPr>
          <w:color w:val="000000"/>
        </w:rPr>
        <w:t>）全链路。对 Activity 与 Law 字段做 BERT Embedding 后聚类，最优 K=6，对应信息披露、内幕交易、市场操纵等</w:t>
      </w:r>
      <w:r>
        <w:rPr>
          <w:b/>
          <w:bCs/>
          <w:color w:val="000000"/>
        </w:rPr>
        <w:t>六大违规方向</w:t>
      </w:r>
      <w:r>
        <w:rPr>
          <w:color w:val="000000"/>
        </w:rPr>
        <w:t>作为系统边界。CNRDS 为商业学术数据库，经导师确认可用于课程研究；成果仅做脱敏样例展示，符合学术诚信要求。</w:t>
      </w:r>
    </w:p>
    <w:p w14:paraId="3AF8C830" w14:textId="77777777" w:rsidR="00B67736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四、技术方案</w:t>
      </w:r>
    </w:p>
    <w:p w14:paraId="58A25D13" w14:textId="77777777" w:rsidR="00F86F65" w:rsidRDefault="00000000">
      <w:pPr>
        <w:spacing w:after="60" w:line="360" w:lineRule="auto"/>
        <w:ind w:firstLine="480"/>
        <w:jc w:val="both"/>
        <w:rPr>
          <w:color w:val="000000"/>
        </w:rPr>
      </w:pPr>
      <w:r>
        <w:rPr>
          <w:color w:val="000000"/>
        </w:rPr>
        <w:t>系统采用"</w:t>
      </w:r>
      <w:r>
        <w:rPr>
          <w:b/>
          <w:bCs/>
          <w:color w:val="000000"/>
        </w:rPr>
        <w:t>意图</w:t>
      </w:r>
      <w:proofErr w:type="gramStart"/>
      <w:r>
        <w:rPr>
          <w:b/>
          <w:bCs/>
          <w:color w:val="000000"/>
        </w:rPr>
        <w:t>规划器</w:t>
      </w:r>
      <w:proofErr w:type="gramEnd"/>
      <w:r>
        <w:rPr>
          <w:b/>
          <w:bCs/>
          <w:color w:val="000000"/>
        </w:rPr>
        <w:t xml:space="preserve"> + 双路检索 + 重排 + 微调 LLM + 多维评估</w:t>
      </w:r>
      <w:r>
        <w:rPr>
          <w:color w:val="000000"/>
        </w:rPr>
        <w:t>"五层架构（见图 1）。</w:t>
      </w:r>
    </w:p>
    <w:p w14:paraId="1DF6F37D" w14:textId="77777777" w:rsidR="00F86F65" w:rsidRDefault="00000000">
      <w:pPr>
        <w:spacing w:after="60" w:line="360" w:lineRule="auto"/>
        <w:ind w:firstLine="480"/>
        <w:jc w:val="both"/>
        <w:rPr>
          <w:color w:val="000000"/>
        </w:rPr>
      </w:pPr>
      <w:r>
        <w:rPr>
          <w:color w:val="000000"/>
        </w:rPr>
        <w:t>① 意图</w:t>
      </w:r>
      <w:proofErr w:type="gramStart"/>
      <w:r>
        <w:rPr>
          <w:color w:val="000000"/>
        </w:rPr>
        <w:t>规划器</w:t>
      </w:r>
      <w:proofErr w:type="gramEnd"/>
      <w:r>
        <w:rPr>
          <w:color w:val="000000"/>
        </w:rPr>
        <w:t>基于 Prompt + Few-shot 的 LLM Router，并辅以正则规则兜底，判断是否调用检索并管控边界；</w:t>
      </w:r>
    </w:p>
    <w:p w14:paraId="4A02200B" w14:textId="77777777" w:rsidR="00F86F65" w:rsidRDefault="00000000">
      <w:pPr>
        <w:spacing w:after="60" w:line="360" w:lineRule="auto"/>
        <w:ind w:firstLine="480"/>
        <w:jc w:val="both"/>
        <w:rPr>
          <w:color w:val="000000"/>
        </w:rPr>
      </w:pPr>
      <w:r>
        <w:rPr>
          <w:color w:val="000000"/>
        </w:rPr>
        <w:t>② 精确检索采用 SQL/Pandas 过滤与 BM25 倒排，针对股票代码、违规类型等结构化字段；向</w:t>
      </w:r>
      <w:r>
        <w:rPr>
          <w:color w:val="000000"/>
        </w:rPr>
        <w:lastRenderedPageBreak/>
        <w:t>量检索采用 BGE-M3 Embedding 与 FAISS ANN，针对 Activity/Law 等长文本，分块策略为 Recursive Chunking（256~512 tokens，overlap 64）；闲聊与越界问题由 Safety Prompt 兜底拒答；</w:t>
      </w:r>
    </w:p>
    <w:p w14:paraId="24E3976A" w14:textId="77777777" w:rsidR="00F86F65" w:rsidRDefault="00000000">
      <w:pPr>
        <w:spacing w:after="60" w:line="360" w:lineRule="auto"/>
        <w:ind w:firstLine="480"/>
        <w:jc w:val="both"/>
        <w:rPr>
          <w:color w:val="000000"/>
        </w:rPr>
      </w:pPr>
      <w:r>
        <w:rPr>
          <w:color w:val="000000"/>
        </w:rPr>
        <w:t>③ 重排层使用 BGE-</w:t>
      </w:r>
      <w:proofErr w:type="spellStart"/>
      <w:r>
        <w:rPr>
          <w:color w:val="000000"/>
        </w:rPr>
        <w:t>Reranker</w:t>
      </w:r>
      <w:proofErr w:type="spellEnd"/>
      <w:r>
        <w:rPr>
          <w:color w:val="000000"/>
        </w:rPr>
        <w:t>（Cross-Encoder）配合 RRF 融合与 MMR 去冗；</w:t>
      </w:r>
    </w:p>
    <w:p w14:paraId="5BE7624D" w14:textId="77777777" w:rsidR="00F86F65" w:rsidRDefault="00000000">
      <w:pPr>
        <w:spacing w:after="60" w:line="360" w:lineRule="auto"/>
        <w:ind w:firstLine="480"/>
        <w:jc w:val="both"/>
        <w:rPr>
          <w:color w:val="000000"/>
        </w:rPr>
      </w:pPr>
      <w:r>
        <w:rPr>
          <w:color w:val="000000"/>
        </w:rPr>
        <w:t xml:space="preserve">④ 回复模型以 Qwen2.5-7B 为基座，采用 </w:t>
      </w:r>
      <w:proofErr w:type="spellStart"/>
      <w:r>
        <w:rPr>
          <w:color w:val="000000"/>
        </w:rPr>
        <w:t>LoRA</w:t>
      </w:r>
      <w:proofErr w:type="spellEnd"/>
      <w:r>
        <w:rPr>
          <w:color w:val="000000"/>
        </w:rPr>
        <w:t>（rank=8, alpha=16）</w:t>
      </w:r>
      <w:proofErr w:type="gramStart"/>
      <w:r>
        <w:rPr>
          <w:color w:val="000000"/>
        </w:rPr>
        <w:t>在自构</w:t>
      </w:r>
      <w:proofErr w:type="gramEnd"/>
      <w:r>
        <w:rPr>
          <w:color w:val="000000"/>
        </w:rPr>
        <w:t xml:space="preserve"> QA 对上做 SFT，可选 DPO 偏好对齐；</w:t>
      </w:r>
    </w:p>
    <w:p w14:paraId="7524BA04" w14:textId="4A348537" w:rsidR="00B67736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⑤ 评估采用 Ragas 四指标（Context Precision/Recall、Faithfulness、Answer Relevancy）配合幻觉率、拒答率、延迟与显存，并与未微调 baseline 做消融对比。</w:t>
      </w:r>
    </w:p>
    <w:p w14:paraId="1D0130D4" w14:textId="77777777" w:rsidR="00B67736" w:rsidRDefault="00000000">
      <w:pPr>
        <w:spacing w:before="6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098193" wp14:editId="63BC88BE">
            <wp:extent cx="6477000" cy="3724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F4C7" w14:textId="77777777" w:rsidR="00B67736" w:rsidRDefault="00000000">
      <w:pPr>
        <w:spacing w:after="100" w:line="360" w:lineRule="auto"/>
        <w:jc w:val="center"/>
        <w:rPr>
          <w:rFonts w:hint="eastAsia"/>
        </w:rPr>
      </w:pPr>
      <w:r>
        <w:rPr>
          <w:i/>
          <w:iCs/>
          <w:color w:val="666666"/>
          <w:sz w:val="20"/>
          <w:szCs w:val="20"/>
        </w:rPr>
        <w:t>图 1  基于 RAG 的证券违规案例智能检索与问答系统 — 技术方案总</w:t>
      </w:r>
      <w:proofErr w:type="gramStart"/>
      <w:r>
        <w:rPr>
          <w:i/>
          <w:iCs/>
          <w:color w:val="666666"/>
          <w:sz w:val="20"/>
          <w:szCs w:val="20"/>
        </w:rPr>
        <w:t>览</w:t>
      </w:r>
      <w:proofErr w:type="gramEnd"/>
    </w:p>
    <w:p w14:paraId="0C4D663D" w14:textId="77777777" w:rsidR="00B67736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五、分工计划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549"/>
        <w:gridCol w:w="3969"/>
      </w:tblGrid>
      <w:tr w:rsidR="00B67736" w14:paraId="2F489650" w14:textId="77777777" w:rsidTr="00F86F6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057F3E0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rPr>
                <w:b/>
                <w:bCs/>
              </w:rPr>
              <w:t>成员</w:t>
            </w:r>
          </w:p>
        </w:tc>
        <w:tc>
          <w:tcPr>
            <w:tcW w:w="4549" w:type="dxa"/>
          </w:tcPr>
          <w:p w14:paraId="19339751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rPr>
                <w:b/>
                <w:bCs/>
              </w:rPr>
              <w:t>核心职责</w:t>
            </w:r>
          </w:p>
        </w:tc>
        <w:tc>
          <w:tcPr>
            <w:tcW w:w="3969" w:type="dxa"/>
          </w:tcPr>
          <w:p w14:paraId="6B40C814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rPr>
                <w:b/>
                <w:bCs/>
              </w:rPr>
              <w:t>关联模块</w:t>
            </w:r>
          </w:p>
        </w:tc>
      </w:tr>
      <w:tr w:rsidR="00B67736" w14:paraId="79BE4892" w14:textId="77777777" w:rsidTr="00F86F6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EBB3609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许</w:t>
            </w:r>
            <w:proofErr w:type="gramStart"/>
            <w:r>
              <w:t>浩</w:t>
            </w:r>
            <w:proofErr w:type="gramEnd"/>
            <w:r>
              <w:t>财</w:t>
            </w:r>
          </w:p>
        </w:tc>
        <w:tc>
          <w:tcPr>
            <w:tcW w:w="4549" w:type="dxa"/>
          </w:tcPr>
          <w:p w14:paraId="3F14A8DF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技术架构整合、意图</w:t>
            </w:r>
            <w:proofErr w:type="gramStart"/>
            <w:r>
              <w:t>规划器</w:t>
            </w:r>
            <w:proofErr w:type="gramEnd"/>
            <w:r>
              <w:t>设计、整体串通</w:t>
            </w:r>
          </w:p>
        </w:tc>
        <w:tc>
          <w:tcPr>
            <w:tcW w:w="3969" w:type="dxa"/>
          </w:tcPr>
          <w:p w14:paraId="169F564B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Intent Planner · 系统集成 · 交付</w:t>
            </w:r>
          </w:p>
        </w:tc>
      </w:tr>
      <w:tr w:rsidR="00B67736" w14:paraId="720D8AED" w14:textId="77777777" w:rsidTr="00F86F6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3F2F444" w14:textId="1854448E" w:rsidR="00B67736" w:rsidRDefault="00F86F65">
            <w:pPr>
              <w:spacing w:before="20" w:after="20" w:line="360" w:lineRule="auto"/>
              <w:rPr>
                <w:rFonts w:hint="eastAsia"/>
              </w:rPr>
            </w:pPr>
            <w:r>
              <w:rPr>
                <w:rFonts w:hint="eastAsia"/>
              </w:rPr>
              <w:t>JIA TONG</w:t>
            </w:r>
          </w:p>
        </w:tc>
        <w:tc>
          <w:tcPr>
            <w:tcW w:w="4549" w:type="dxa"/>
          </w:tcPr>
          <w:p w14:paraId="6A91857B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数据清洗、Embedding、README 与数据样例</w:t>
            </w:r>
          </w:p>
        </w:tc>
        <w:tc>
          <w:tcPr>
            <w:tcW w:w="3969" w:type="dxa"/>
          </w:tcPr>
          <w:p w14:paraId="6BBAA309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知识库构建 · 向量检索索引</w:t>
            </w:r>
          </w:p>
        </w:tc>
      </w:tr>
      <w:tr w:rsidR="00B67736" w14:paraId="5D3C6945" w14:textId="77777777" w:rsidTr="00F86F6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C978D47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戴一鑫</w:t>
            </w:r>
          </w:p>
        </w:tc>
        <w:tc>
          <w:tcPr>
            <w:tcW w:w="4549" w:type="dxa"/>
          </w:tcPr>
          <w:p w14:paraId="2D1394EA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QA 对生成、问题分类、系统边界定义</w:t>
            </w:r>
          </w:p>
        </w:tc>
        <w:tc>
          <w:tcPr>
            <w:tcW w:w="3969" w:type="dxa"/>
          </w:tcPr>
          <w:p w14:paraId="6344B0B8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训练数据 · 拒答策略</w:t>
            </w:r>
          </w:p>
        </w:tc>
      </w:tr>
      <w:tr w:rsidR="00B67736" w14:paraId="36D6986F" w14:textId="77777777" w:rsidTr="00F86F6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19F6184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张彦扬</w:t>
            </w:r>
          </w:p>
        </w:tc>
        <w:tc>
          <w:tcPr>
            <w:tcW w:w="4549" w:type="dxa"/>
          </w:tcPr>
          <w:p w14:paraId="0A6D02E9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QA 对生成、问题分类、Prompt 模板设计</w:t>
            </w:r>
          </w:p>
        </w:tc>
        <w:tc>
          <w:tcPr>
            <w:tcW w:w="3969" w:type="dxa"/>
          </w:tcPr>
          <w:p w14:paraId="13156529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训练数据 · 生成器提示工程</w:t>
            </w:r>
          </w:p>
        </w:tc>
      </w:tr>
      <w:tr w:rsidR="00B67736" w14:paraId="2E68C76D" w14:textId="77777777" w:rsidTr="00F86F6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1A29930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王怡菲</w:t>
            </w:r>
          </w:p>
        </w:tc>
        <w:tc>
          <w:tcPr>
            <w:tcW w:w="4549" w:type="dxa"/>
          </w:tcPr>
          <w:p w14:paraId="35DBAF7D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模型选型、评估指标体系、消融实验</w:t>
            </w:r>
          </w:p>
        </w:tc>
        <w:tc>
          <w:tcPr>
            <w:tcW w:w="3969" w:type="dxa"/>
          </w:tcPr>
          <w:p w14:paraId="47E81B36" w14:textId="77777777" w:rsidR="00B67736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Fine-tuning · Evaluation</w:t>
            </w:r>
          </w:p>
        </w:tc>
      </w:tr>
    </w:tbl>
    <w:p w14:paraId="04B76E27" w14:textId="77777777" w:rsidR="00B67736" w:rsidRDefault="00000000">
      <w:pPr>
        <w:spacing w:line="360" w:lineRule="auto"/>
        <w:jc w:val="both"/>
        <w:rPr>
          <w:rFonts w:hint="eastAsia"/>
        </w:rPr>
      </w:pPr>
      <w:r>
        <w:rPr>
          <w:color w:val="000000"/>
        </w:rPr>
        <w:t xml:space="preserve"> </w:t>
      </w:r>
    </w:p>
    <w:sectPr w:rsidR="00B6773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3D06C" w14:textId="77777777" w:rsidR="0041626B" w:rsidRDefault="0041626B" w:rsidP="00F86F65">
      <w:pPr>
        <w:rPr>
          <w:rFonts w:hint="eastAsia"/>
        </w:rPr>
      </w:pPr>
      <w:r>
        <w:separator/>
      </w:r>
    </w:p>
  </w:endnote>
  <w:endnote w:type="continuationSeparator" w:id="0">
    <w:p w14:paraId="677A5892" w14:textId="77777777" w:rsidR="0041626B" w:rsidRDefault="0041626B" w:rsidP="00F86F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82DDE" w14:textId="77777777" w:rsidR="0041626B" w:rsidRDefault="0041626B" w:rsidP="00F86F65">
      <w:pPr>
        <w:rPr>
          <w:rFonts w:hint="eastAsia"/>
        </w:rPr>
      </w:pPr>
      <w:r>
        <w:separator/>
      </w:r>
    </w:p>
  </w:footnote>
  <w:footnote w:type="continuationSeparator" w:id="0">
    <w:p w14:paraId="05690253" w14:textId="77777777" w:rsidR="0041626B" w:rsidRDefault="0041626B" w:rsidP="00F86F6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F7E"/>
    <w:multiLevelType w:val="hybridMultilevel"/>
    <w:tmpl w:val="26D4F386"/>
    <w:lvl w:ilvl="0" w:tplc="0DB894E8">
      <w:start w:val="1"/>
      <w:numFmt w:val="bullet"/>
      <w:lvlText w:val="●"/>
      <w:lvlJc w:val="left"/>
      <w:pPr>
        <w:ind w:left="720" w:hanging="360"/>
      </w:pPr>
    </w:lvl>
    <w:lvl w:ilvl="1" w:tplc="1E0AACA2">
      <w:start w:val="1"/>
      <w:numFmt w:val="bullet"/>
      <w:lvlText w:val="○"/>
      <w:lvlJc w:val="left"/>
      <w:pPr>
        <w:ind w:left="1440" w:hanging="360"/>
      </w:pPr>
    </w:lvl>
    <w:lvl w:ilvl="2" w:tplc="6DA26EF4">
      <w:start w:val="1"/>
      <w:numFmt w:val="bullet"/>
      <w:lvlText w:val="■"/>
      <w:lvlJc w:val="left"/>
      <w:pPr>
        <w:ind w:left="2160" w:hanging="360"/>
      </w:pPr>
    </w:lvl>
    <w:lvl w:ilvl="3" w:tplc="09207534">
      <w:start w:val="1"/>
      <w:numFmt w:val="bullet"/>
      <w:lvlText w:val="●"/>
      <w:lvlJc w:val="left"/>
      <w:pPr>
        <w:ind w:left="2880" w:hanging="360"/>
      </w:pPr>
    </w:lvl>
    <w:lvl w:ilvl="4" w:tplc="EC529DAE">
      <w:start w:val="1"/>
      <w:numFmt w:val="bullet"/>
      <w:lvlText w:val="○"/>
      <w:lvlJc w:val="left"/>
      <w:pPr>
        <w:ind w:left="3600" w:hanging="360"/>
      </w:pPr>
    </w:lvl>
    <w:lvl w:ilvl="5" w:tplc="B192AC02">
      <w:start w:val="1"/>
      <w:numFmt w:val="bullet"/>
      <w:lvlText w:val="■"/>
      <w:lvlJc w:val="left"/>
      <w:pPr>
        <w:ind w:left="4320" w:hanging="360"/>
      </w:pPr>
    </w:lvl>
    <w:lvl w:ilvl="6" w:tplc="59C09E74">
      <w:start w:val="1"/>
      <w:numFmt w:val="bullet"/>
      <w:lvlText w:val="●"/>
      <w:lvlJc w:val="left"/>
      <w:pPr>
        <w:ind w:left="5040" w:hanging="360"/>
      </w:pPr>
    </w:lvl>
    <w:lvl w:ilvl="7" w:tplc="36861B70">
      <w:start w:val="1"/>
      <w:numFmt w:val="bullet"/>
      <w:lvlText w:val="●"/>
      <w:lvlJc w:val="left"/>
      <w:pPr>
        <w:ind w:left="5760" w:hanging="360"/>
      </w:pPr>
    </w:lvl>
    <w:lvl w:ilvl="8" w:tplc="D98688E4">
      <w:start w:val="1"/>
      <w:numFmt w:val="bullet"/>
      <w:lvlText w:val="●"/>
      <w:lvlJc w:val="left"/>
      <w:pPr>
        <w:ind w:left="6480" w:hanging="360"/>
      </w:pPr>
    </w:lvl>
  </w:abstractNum>
  <w:num w:numId="1" w16cid:durableId="1250775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736"/>
    <w:rsid w:val="0041626B"/>
    <w:rsid w:val="00915777"/>
    <w:rsid w:val="00B67736"/>
    <w:rsid w:val="00F8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62027"/>
  <w15:docId w15:val="{66E87D6C-98E0-432E-8C82-094B32A1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86F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86F6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86F6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86F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T206120</cp:lastModifiedBy>
  <cp:revision>1</cp:revision>
  <dcterms:created xsi:type="dcterms:W3CDTF">2026-04-18T17:00:00Z</dcterms:created>
  <dcterms:modified xsi:type="dcterms:W3CDTF">2026-04-18T17:07:00Z</dcterms:modified>
</cp:coreProperties>
</file>