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 w:lineRule="auto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《深度学习》期末项目开题报告</w:t>
      </w:r>
    </w:p>
    <w:p>
      <w:pPr>
        <w:spacing w:after="60" w:line="360" w:lineRule="auto"/>
        <w:jc w:val="center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项目名称：基于 RAG 的证券违规案例智能检索与问答系统</w:t>
      </w:r>
    </w:p>
    <w:p>
      <w:pPr>
        <w:spacing w:after="120" w:line="360" w:lineRule="auto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赛道：B（大模型微调与应用 Standard Track）  ·  研究类型：独立研究  ·  组员：许浩财、贾彤、戴一鑫、张彦扬、王怡菲</w:t>
      </w:r>
    </w:p>
    <w:p>
      <w:pPr>
        <w:spacing w:after="60" w:before="120" w:line="360" w:lineRule="auto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一、赛道选择与研究类型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本项目选择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赛道 B（大模型微调与应用）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，研究类型为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独立研究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。核心任务是在预训练大语言模型基础上，通过领域微调与检索增强生成两项关键技术，构建面向真实商业场景的垂直领域问答系统，并完成微调前后的定量对比、幻觉评估与部署成本分析，符合赛道 B 的核心要求。</w:t>
      </w:r>
    </w:p>
    <w:p>
      <w:pPr>
        <w:spacing w:after="60" w:before="120" w:line="360" w:lineRule="auto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二、问题陈述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背景痛点：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上市公司财务人员、内审、注册会计师与投行尽调人员在日常工作中频繁遇到"某行为是否违规、历史上类似违规如何处罚、涉及哪些法条"等实务问题；但证监会处罚信息分散于公告文件与商业数据库中，人工检索耗时长、覆盖不全，且误判可能引发重大合规风险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研究空白：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通用大模型虽具备强通识与语言能力，但在证券监管这一垂直领域普遍存在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事实幻觉、法条错引、缺乏可溯源引用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等问题；现有开源检索增强方案多为通用模板，未针对监管合规这一强结构化、强边界场景进行意图识别与拒答机制设计。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项目目标：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构建一个以证监会处罚数据为知识底座、以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"意图识别 + 双路检索 + 重排融合 + 领域微调 + 多维评估"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为核心流程的问答助手，并从回答准确性、可溯源性与系统安全边界三个维度，验证其相对通用大模型与通用检索增强基线的提升效果。</w:t>
      </w:r>
    </w:p>
    <w:p>
      <w:pPr>
        <w:spacing w:after="60" w:before="120" w:line="360" w:lineRule="auto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三、数据来源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数据主源：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CNRDS 数据库"证监会处罚信息表"，共 14,743 行 × 24 列，经去重、拆分合并单元格与长文本规范化后得到 8,000 余条有效记录。字段覆盖主体（公司全称、股票代码、当事人）、时间（公告日期、处罚日期）、违规（违规类型、违规行为、违反法规）、处罚（处分措施、处罚方式、罚款金额）全链路。对违规行为与法规字段做语义向量化后进行聚类，最优类别数为 6，对应信息披露、内幕交易、市场操纵等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六大违规方向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，作为系统的知识边界。CNRDS 为商业学术数据库，经导师确认可用于课程研究；成果仅做脱敏样例展示，符合学术诚信要求。</w:t>
      </w:r>
    </w:p>
    <w:p>
      <w:pPr>
        <w:spacing w:after="60" w:before="120" w:line="360" w:lineRule="auto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四、技术方案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系统采用"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意图识别 + 双路检索 + 重排融合 + 领域微调 + 多维评估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"的五层架构（见图 1），各层职责与方法选型如下。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① 意图识别层：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对用户问题先做分类判断，识别其属于结构化查询、语义模糊查询，还是越界与闲聊问题，并据此决定下游调用路径，同时负责系统边界管控与拒答触发。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② 双路检索层：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对判定为结构化的问题采用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精确检索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，基于字段过滤与关键词匹配，用于企业代码、违规类型、处罚方式等明确条件的查询；对判定为语义模糊的问题采用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向量检索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，将问题与案例统一表示为语义向量，按相似度召回近似案例；越界问题则交由拒答策略统一处置。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③ 重排融合层：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对双路召回结果进行加权融合，并通过更强的排序模型做二次精排，同时剔除重复内容，确保进入生成环节的候选材料既相关又不冗余。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④ 领域微调回复层（本项目微调重点）：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以开源中文基座大模型为底座，结合自构的证券合规问答对数据，采用轻量级参数高效微调方法进行领域适配，使模型学会以严谨的合规表达风格作答，并在输出中规范地标注引用来源，此部分即为赛道 B 所要求的微调核心环节。</w:t>
      </w:r>
    </w:p>
    <w:p>
      <w:pPr>
        <w:spacing w:after="60" w:before="0" w:line="360" w:lineRule="auto"/>
        <w:ind w:firstLine="480"/>
        <w:jc w:val="both"/>
      </w:pP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⑤ 多维评估层：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围绕</w:t>
      </w:r>
      <w:r>
        <w:rPr>
          <w:rFonts w:ascii="SimSun" w:cs="SimSun" w:eastAsia="SimSun" w:hAnsi="SimSun"/>
          <w:b/>
          <w:bCs/>
          <w:color w:val="000000"/>
          <w:sz w:val="22"/>
          <w:szCs w:val="22"/>
        </w:rPr>
        <w:t xml:space="preserve">检索准确性、生成忠实度、幻觉与拒答安全性、端到端效率</w:t>
      </w: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四个维度构建评估体系，并将微调后的系统与未微调版本、通用大模型基线进行消融对比，定量刻画检索增强与领域微调各自带来的贡献。</w:t>
      </w:r>
    </w:p>
    <w:p>
      <w:pPr>
        <w:spacing w:after="40" w:before="60" w:line="360" w:lineRule="auto"/>
        <w:jc w:val="center"/>
      </w:pPr>
      <w:r>
        <w:drawing>
          <wp:inline distT="0" distB="0" distL="0" distR="0">
            <wp:extent cx="6477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 w:lineRule="auto"/>
        <w:jc w:val="center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图 1  基于 RAG 的证券违规案例智能检索与问答系统 — 技术方案总览</w:t>
      </w:r>
    </w:p>
    <w:p>
      <w:pPr>
        <w:spacing w:after="60" w:before="120" w:line="360" w:lineRule="auto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五、分工计划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成员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关联模块</w:t>
            </w:r>
          </w:p>
        </w:tc>
      </w:tr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许浩财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技术架构整合、意图识别层设计、整体串通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意图识别 · 系统集成 · 交付</w:t>
            </w:r>
          </w:p>
        </w:tc>
      </w:tr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贾  彤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数据清洗、向量化建库、说明文档与数据样例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知识库构建 · 向量检索索引</w:t>
            </w:r>
          </w:p>
        </w:tc>
      </w:tr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戴一鑫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问答对构造、问题分类、系统边界定义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训练数据 · 拒答策略</w:t>
            </w:r>
          </w:p>
        </w:tc>
      </w:tr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张彦扬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问答对构造、问题分类、提示模板设计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训练数据 · 生成提示工程</w:t>
            </w:r>
          </w:p>
        </w:tc>
      </w:tr>
      <w:tr>
        <w:tc>
          <w:tcPr>
            <w:tcW w:type="dxa" w:w="14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王怡菲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模型选型、评估指标体系、消融实验</w:t>
            </w:r>
          </w:p>
        </w:tc>
        <w:tc>
          <w:tcPr>
            <w:tcW w:type="dxa" w:w="3800"/>
          </w:tcPr>
          <w:p>
            <w:pPr>
              <w:spacing w:after="20" w:before="20" w:line="360" w:lineRule="auto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模型微调 · 评估</w:t>
            </w:r>
          </w:p>
        </w:tc>
      </w:tr>
    </w:tbl>
    <w:p>
      <w:pPr>
        <w:spacing w:after="0" w:before="0" w:line="360" w:lineRule="auto"/>
        <w:jc w:val="both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9a59a01166f2cec7b474a03ceba3a771f77c8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2026-04-18T17:11:50.260Z</dcterms:created>
  <dcterms:modified xsi:type="dcterms:W3CDTF">2026-04-18T17:11:50.264Z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