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黑体" w:hAnsi="黑体" w:eastAsia="黑体"/>
          <w:b/>
          <w:sz w:val="44"/>
        </w:rPr>
        <w:t>《深度学习》课程期末项目要求</w:t>
      </w:r>
    </w:p>
    <w:p>
      <w:pPr>
        <w:jc w:val="center"/>
      </w:pPr>
      <w:r>
        <w:rPr>
          <w:rFonts w:ascii="宋体" w:hAnsi="宋体" w:eastAsia="宋体"/>
          <w:sz w:val="28"/>
        </w:rPr>
        <w:t>2025-2026学年春季学期</w:t>
      </w:r>
    </w:p>
    <w:p/>
    <w:p>
      <w:pPr>
        <w:pStyle w:val="Heading1"/>
      </w:pPr>
      <w:r>
        <w:rPr>
          <w:rFonts w:ascii="黑体" w:hAnsi="黑体" w:eastAsia="黑体"/>
          <w:sz w:val="32"/>
        </w:rPr>
        <w:t>一、项目概述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本项目要求学生运用课程所学的深度学习技术，针对真实的商业问题开展应用研究。项目成果以学术论文形式呈现，重点考察研究问题的新颖性、方法运用的合理性以及团队协作能力。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项目要素</w:t>
            </w:r>
          </w:p>
        </w:tc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具体要求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团队规模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4-5人/组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项目周期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第6周-第15周（共10周）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成果形式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研究论文（参照商科会议论文规范）+ 代码仓库 + 展示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二、技术赛道选择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学生可根据自身技术背景，自选以下三个赛道之一。不同赛道对应不同的技术要求与评分侧重。</w:t>
      </w:r>
    </w:p>
    <w:p>
      <w:pPr>
        <w:pStyle w:val="Heading2"/>
      </w:pPr>
      <w:r>
        <w:rPr>
          <w:rFonts w:ascii="黑体" w:hAnsi="黑体" w:eastAsia="黑体"/>
          <w:sz w:val="28"/>
        </w:rPr>
        <w:t>[A] 经典模型深度应用 Foundation Track</w:t>
      </w:r>
    </w:p>
    <w:p>
      <w:r>
        <w:rPr>
          <w:rFonts w:ascii="宋体" w:hAnsi="宋体" w:eastAsia="宋体"/>
          <w:b/>
          <w:sz w:val="24"/>
        </w:rPr>
        <w:t>技术范围：CNN、RNN/LSTM、GRU、VAE、GAN 等经典深度学习架构（非Transformer类大模型）。</w:t>
      </w:r>
    </w:p>
    <w:p>
      <w:r>
        <w:rPr>
          <w:rFonts w:ascii="宋体" w:hAnsi="宋体" w:eastAsia="宋体"/>
          <w:b w:val="0"/>
          <w:sz w:val="24"/>
        </w:rPr>
        <w:t>适用场景：时间序列预测（销售/股价）、图像分类（质检/零售）、异常检测（风控）等。</w:t>
      </w:r>
    </w:p>
    <w:p>
      <w:r>
        <w:rPr>
          <w:rFonts w:ascii="宋体" w:hAnsi="宋体" w:eastAsia="宋体"/>
          <w:b w:val="0"/>
          <w:sz w:val="24"/>
        </w:rPr>
        <w:t>聚焦方向：本赛道强调扎实的工程实践与严谨的方法论对比，需在以下至少两点体现深度：</w:t>
      </w:r>
    </w:p>
    <w:p>
      <w:pPr>
        <w:pStyle w:val="ListBullet"/>
      </w:pPr>
      <w:r>
        <w:rPr>
          <w:rFonts w:ascii="宋体" w:hAnsi="宋体" w:eastAsia="宋体"/>
          <w:sz w:val="24"/>
        </w:rPr>
        <w:t>数据工程复杂度：涉及多源数据清洗、非结构化数据处理或大规模特征工程。</w:t>
      </w:r>
    </w:p>
    <w:p>
      <w:pPr>
        <w:pStyle w:val="ListBullet"/>
      </w:pPr>
      <w:r>
        <w:rPr>
          <w:rFonts w:ascii="宋体" w:hAnsi="宋体" w:eastAsia="宋体"/>
          <w:sz w:val="24"/>
        </w:rPr>
        <w:t>基线对比严谨性：必须与传统机器学习方法（XGBoost/Logistic Regression）及业务规则进行详细对比，论证深度学习的必要性。</w:t>
      </w:r>
    </w:p>
    <w:p>
      <w:pPr>
        <w:pStyle w:val="ListBullet"/>
      </w:pPr>
      <w:r>
        <w:rPr>
          <w:rFonts w:ascii="宋体" w:hAnsi="宋体" w:eastAsia="宋体"/>
          <w:sz w:val="24"/>
        </w:rPr>
        <w:t>商业新颖性：解决一个未被充分探索的细分商业问题（如特定行业的长尾需求）。</w:t>
      </w:r>
    </w:p>
    <w:p>
      <w:pPr>
        <w:pStyle w:val="Heading2"/>
      </w:pPr>
      <w:r>
        <w:rPr>
          <w:rFonts w:ascii="黑体" w:hAnsi="黑体" w:eastAsia="黑体"/>
          <w:sz w:val="28"/>
        </w:rPr>
        <w:t>[B] 大模型微调与应用 Standard Track ★推荐</w:t>
      </w:r>
    </w:p>
    <w:p>
      <w:r>
        <w:rPr>
          <w:rFonts w:ascii="宋体" w:hAnsi="宋体" w:eastAsia="宋体"/>
          <w:b/>
          <w:sz w:val="24"/>
        </w:rPr>
        <w:t>技术范围：基于预训练大模型（LLM、VLM、Audio Model）进行Fine-tuning（LoRA/P-Tuning等）或构建RAG（检索增强生成）系统。</w:t>
      </w:r>
    </w:p>
    <w:p>
      <w:r>
        <w:rPr>
          <w:rFonts w:ascii="宋体" w:hAnsi="宋体" w:eastAsia="宋体"/>
          <w:b w:val="0"/>
          <w:sz w:val="24"/>
        </w:rPr>
        <w:t>适用场景：智能客服、舆情分析、合同审查、营销文案生成、商业报告摘要等。</w:t>
      </w:r>
    </w:p>
    <w:p>
      <w:r>
        <w:rPr>
          <w:rFonts w:ascii="宋体" w:hAnsi="宋体" w:eastAsia="宋体"/>
          <w:b w:val="0"/>
          <w:sz w:val="24"/>
        </w:rPr>
        <w:t>核心要求：</w:t>
      </w:r>
    </w:p>
    <w:p>
      <w:pPr>
        <w:pStyle w:val="ListBullet"/>
      </w:pPr>
      <w:r>
        <w:rPr>
          <w:rFonts w:ascii="宋体" w:hAnsi="宋体" w:eastAsia="宋体"/>
          <w:sz w:val="24"/>
        </w:rPr>
        <w:t>需展示微调前后的效果对比（定量指标 + 案例分析）。</w:t>
      </w:r>
    </w:p>
    <w:p>
      <w:pPr>
        <w:pStyle w:val="ListBullet"/>
      </w:pPr>
      <w:r>
        <w:rPr>
          <w:rFonts w:ascii="宋体" w:hAnsi="宋体" w:eastAsia="宋体"/>
          <w:sz w:val="24"/>
        </w:rPr>
        <w:t>需识别并缓解大模型在特定场景下的幻觉/不适配问题，并给出量化评估。</w:t>
      </w:r>
    </w:p>
    <w:p>
      <w:pPr>
        <w:pStyle w:val="ListBullet"/>
      </w:pPr>
      <w:r>
        <w:rPr>
          <w:rFonts w:ascii="宋体" w:hAnsi="宋体" w:eastAsia="宋体"/>
          <w:sz w:val="24"/>
        </w:rPr>
        <w:t>需考虑实际部署因素：成本（Token消耗/推理延迟）与隐私合规。</w:t>
      </w:r>
    </w:p>
    <w:p>
      <w:pPr>
        <w:pStyle w:val="Heading2"/>
      </w:pPr>
      <w:r>
        <w:rPr>
          <w:rFonts w:ascii="黑体" w:hAnsi="黑体" w:eastAsia="黑体"/>
          <w:sz w:val="28"/>
        </w:rPr>
        <w:t>[C] 前沿探索与架构创新 Advanced Track</w:t>
      </w:r>
    </w:p>
    <w:p>
      <w:r>
        <w:rPr>
          <w:rFonts w:ascii="宋体" w:hAnsi="宋体" w:eastAsia="宋体"/>
          <w:b/>
          <w:sz w:val="24"/>
        </w:rPr>
        <w:t>技术范围：</w:t>
      </w:r>
    </w:p>
    <w:p>
      <w:pPr>
        <w:pStyle w:val="ListBullet"/>
      </w:pPr>
      <w:r>
        <w:rPr>
          <w:rFonts w:ascii="宋体" w:hAnsi="宋体" w:eastAsia="宋体"/>
          <w:sz w:val="24"/>
        </w:rPr>
        <w:t>领域预训练：在特定垂直领域语料上从头预训练或持续预训练（Continual Pre-training）模型。</w:t>
      </w:r>
    </w:p>
    <w:p>
      <w:pPr>
        <w:pStyle w:val="ListBullet"/>
      </w:pPr>
      <w:r>
        <w:rPr>
          <w:rFonts w:ascii="宋体" w:hAnsi="宋体" w:eastAsia="宋体"/>
          <w:sz w:val="24"/>
        </w:rPr>
        <w:t>算法改进：对现有架构进行修改以适应特定商业约束（如极低延迟、极低显存、可解释性增强）。</w:t>
      </w:r>
    </w:p>
    <w:p>
      <w:r>
        <w:rPr>
          <w:rFonts w:ascii="宋体" w:hAnsi="宋体" w:eastAsia="宋体"/>
          <w:b w:val="0"/>
          <w:sz w:val="24"/>
        </w:rPr>
        <w:t>核心要求：</w:t>
      </w:r>
    </w:p>
    <w:p>
      <w:pPr>
        <w:pStyle w:val="ListBullet"/>
      </w:pPr>
      <w:r>
        <w:rPr>
          <w:rFonts w:ascii="宋体" w:hAnsi="宋体" w:eastAsia="宋体"/>
          <w:sz w:val="24"/>
        </w:rPr>
        <w:t>需具备较高的技术实现难度与创新性。</w:t>
      </w:r>
    </w:p>
    <w:p>
      <w:pPr>
        <w:pStyle w:val="ListBullet"/>
      </w:pPr>
      <w:r>
        <w:rPr>
          <w:rFonts w:ascii="宋体" w:hAnsi="宋体" w:eastAsia="宋体"/>
          <w:sz w:val="24"/>
        </w:rPr>
        <w:t>需有充分的消融实验（Ablation Study）证明改进的有效性。</w:t>
      </w:r>
    </w:p>
    <w:p>
      <w:pPr>
        <w:pStyle w:val="ListBullet"/>
      </w:pPr>
      <w:r>
        <w:rPr>
          <w:rFonts w:ascii="宋体" w:hAnsi="宋体" w:eastAsia="宋体"/>
          <w:sz w:val="24"/>
        </w:rPr>
        <w:t>选择此赛道需在开题时通过技术可行性审核，或至少一名组员有相关项目/实习经验。</w:t>
      </w:r>
    </w:p>
    <w:p>
      <w:r>
        <w:rPr>
          <w:rFonts w:ascii="宋体" w:hAnsi="宋体" w:eastAsia="宋体"/>
          <w:b/>
          <w:sz w:val="24"/>
        </w:rPr>
        <w:t>风险提示：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此赛道风险较高。若最终未能达成预期技术目标，需在论文中充分展示探索过程的学术价值（失败原因分析、经验教训、对后续研究的启示），仍可获得合理评分。</w:t>
      </w:r>
    </w:p>
    <w:p>
      <w:pPr>
        <w:pStyle w:val="Heading2"/>
      </w:pPr>
      <w:r>
        <w:rPr>
          <w:rFonts w:ascii="黑体" w:hAnsi="黑体" w:eastAsia="黑体"/>
          <w:sz w:val="28"/>
        </w:rPr>
        <w:t>研究类型说明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在任一赛道内，均可选择以下两种研究类型：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研究类型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评分特点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独立研究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针对真实商业场景，提出原创研究问题，设计并实现解决方案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创新性权重高，得分区间更宽（优秀作品可获高分）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论文复现与拓展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复现近3年商科/IS顶级期刊会议的DL应用论文，并在数据集、模型或实验设计上进行拓展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复现准确性是基础，拓展深度决定得分上限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b w:val="0"/>
          <w:sz w:val="24"/>
        </w:rPr>
        <w:t>注：如项目涉及多赛道技术（如RAG + 传统时序模型的混合方案），以核心创新点所属赛道为准。</w:t>
      </w:r>
    </w:p>
    <w:p>
      <w:pPr>
        <w:pStyle w:val="Heading1"/>
      </w:pPr>
      <w:r>
        <w:rPr>
          <w:rFonts w:ascii="黑体" w:hAnsi="黑体" w:eastAsia="黑体"/>
          <w:sz w:val="32"/>
        </w:rPr>
        <w:t>三、数据要求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数据类型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评分影响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企业真实数据（非公开）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通过实习、合作企业或导师渠道获取的脱敏企业数据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加分项，体现实践价值与工作量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爬虫获取数据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自行爬取的社交媒体/电商/新闻数据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需说明合规性，注意API使用条款；清洗工作量大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高质量公开数据集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如Kaggle、UCI、政府开放数据等权威来源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基准要求，需充分探索性分析。不能用完全不知道字段含义的数据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b w:val="0"/>
          <w:sz w:val="24"/>
        </w:rPr>
        <w:t>注：使用企业数据需在论文中注明数据来源。报告中需详细描述数据来源、规模、字段含义、预处理步骤。</w:t>
      </w:r>
    </w:p>
    <w:p>
      <w:pPr>
        <w:pStyle w:val="Heading1"/>
      </w:pPr>
      <w:r>
        <w:rPr>
          <w:rFonts w:ascii="黑体" w:hAnsi="黑体" w:eastAsia="黑体"/>
          <w:sz w:val="32"/>
        </w:rPr>
        <w:t>四、最终汇报要求</w:t>
      </w:r>
    </w:p>
    <w:p>
      <w:r>
        <w:rPr>
          <w:rFonts w:ascii="宋体" w:hAnsi="宋体" w:eastAsia="宋体"/>
          <w:b/>
          <w:sz w:val="24"/>
        </w:rPr>
        <w:t>时长：严格控制在15分钟内（超时将打断）。</w:t>
      </w:r>
    </w:p>
    <w:p>
      <w:r>
        <w:rPr>
          <w:rFonts w:ascii="宋体" w:hAnsi="宋体" w:eastAsia="宋体"/>
          <w:b w:val="0"/>
          <w:sz w:val="24"/>
        </w:rPr>
        <w:t>内容结构建议：</w:t>
      </w:r>
    </w:p>
    <w:p>
      <w:pPr>
        <w:pStyle w:val="ListBullet"/>
      </w:pPr>
      <w:r>
        <w:rPr>
          <w:rFonts w:ascii="宋体" w:hAnsi="宋体" w:eastAsia="宋体"/>
          <w:sz w:val="24"/>
        </w:rPr>
        <w:t>商业痛点/研究空白（2 min）：为什么这个问题值得解决？市场规模/影响？</w:t>
      </w:r>
    </w:p>
    <w:p>
      <w:pPr>
        <w:pStyle w:val="ListBullet"/>
      </w:pPr>
      <w:r>
        <w:rPr>
          <w:rFonts w:ascii="宋体" w:hAnsi="宋体" w:eastAsia="宋体"/>
          <w:sz w:val="24"/>
        </w:rPr>
        <w:t>数据与方法（5 min）：数据来源、预处理、模型选择理由、技术架构。</w:t>
      </w:r>
    </w:p>
    <w:p>
      <w:pPr>
        <w:pStyle w:val="ListBullet"/>
      </w:pPr>
      <w:r>
        <w:rPr>
          <w:rFonts w:ascii="宋体" w:hAnsi="宋体" w:eastAsia="宋体"/>
          <w:sz w:val="24"/>
        </w:rPr>
        <w:t>结果与评估（5 min）：量化指标、与Baseline对比（消融实验）。</w:t>
      </w:r>
    </w:p>
    <w:p>
      <w:pPr>
        <w:pStyle w:val="ListBullet"/>
      </w:pPr>
      <w:r>
        <w:rPr>
          <w:rFonts w:ascii="宋体" w:hAnsi="宋体" w:eastAsia="宋体"/>
          <w:sz w:val="24"/>
        </w:rPr>
        <w:t>研究贡献与管理启示、局限（3 min）：创新点（如果有）、部署成本、伦理风险、未来改进方向。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形式：PPT/Keynote，鼓励现场运行Demo或播放演示视频。</w:t>
      </w:r>
    </w:p>
    <w:p>
      <w:pPr>
        <w:pStyle w:val="Heading1"/>
      </w:pPr>
      <w:r>
        <w:rPr>
          <w:rFonts w:ascii="黑体" w:hAnsi="黑体" w:eastAsia="黑体"/>
          <w:sz w:val="32"/>
        </w:rPr>
        <w:t>五、论文规范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参照商科会议论文标准，论文应包含以下结构：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章节</w:t>
            </w:r>
          </w:p>
        </w:tc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核心内容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1. 引言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研究背景、问题陈述、研究贡献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2. 文献综述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相关理论、技术方法、研究空白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3. 研究方法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数据描述、模型架构、实验设计（涉及公式要插入公式，或用LaTeX）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4. 实验结果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主要发现、对比分析、消融实验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5. 讨论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理论贡献、实践启示、局限性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6. 结论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核心发现总结、未来研究方向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总篇幅要求：正文8-12页（不含参考文献和附录），单栏，1.5倍行距。</w:t>
      </w:r>
    </w:p>
    <w:p>
      <w:pPr>
        <w:pStyle w:val="ListBullet"/>
      </w:pPr>
      <w:r>
        <w:rPr>
          <w:rFonts w:ascii="宋体" w:hAnsi="宋体" w:eastAsia="宋体"/>
          <w:sz w:val="24"/>
        </w:rPr>
        <w:t>报告中需包含"Team Contributions"章节，详细说明每位成员的贡献（如：A负责数据收集与清洗，B负责模型开发，C负责商业分析等）。</w:t>
      </w:r>
    </w:p>
    <w:p>
      <w:pPr>
        <w:pStyle w:val="ListBullet"/>
      </w:pPr>
      <w:r>
        <w:rPr>
          <w:rFonts w:ascii="宋体" w:hAnsi="宋体" w:eastAsia="宋体"/>
          <w:sz w:val="24"/>
        </w:rPr>
        <w:t>报告中需附带"AI Contribution Statement"章节，说明使用了哪些AI工具、用于什么环节、以及人工核查的过程。</w:t>
      </w:r>
    </w:p>
    <w:p>
      <w:pPr>
        <w:pStyle w:val="Heading1"/>
      </w:pPr>
      <w:r>
        <w:rPr>
          <w:rFonts w:ascii="黑体" w:hAnsi="黑体" w:eastAsia="黑体"/>
          <w:sz w:val="32"/>
        </w:rPr>
        <w:t>六、评分标准（100分）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评分维度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分值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评分要点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研究问题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15分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商业价值/研究价值（5分）</w:t>
              <w:br/>
              <w:t>问题定义清晰度（5分）</w:t>
              <w:br/>
              <w:t>与现有文献的差异化（5分）</w:t>
              <w:br/>
              <w:t>加分项：问题新颖、填补研究空白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技术实现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35分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模型选择与设计合理性（10分）</w:t>
              <w:br/>
              <w:t>代码质量与可复现性（10分）</w:t>
              <w:br/>
              <w:t>实验设计完整性（5分）</w:t>
              <w:br/>
              <w:t>模型评估：Baseline对比，消融实验（10分）</w:t>
              <w:br/>
              <w:t>加分项：技术创新、可解释性、提供复现性包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数据工作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15分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数据质量与规模（5分）</w:t>
              <w:br/>
              <w:t>预处理与特征工程（10分）</w:t>
              <w:br/>
              <w:t>加分项：使用企业数据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论文写作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20分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结构完整性与逻辑性（10分）</w:t>
              <w:br/>
              <w:t>学术写作规范（5分）</w:t>
              <w:br/>
              <w:t>图表质量（5分）</w:t>
              <w:br/>
              <w:t>加分项：失败分析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答辩展示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15分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演示清晰度（5分）</w:t>
              <w:br/>
              <w:t>问题回答（5分）</w:t>
              <w:br/>
              <w:t>团队协作展示（5分）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各赛道评分侧重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赛道A（经典模型）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赛道B（大模型微调）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赛道C（前沿探索）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2"/>
              </w:rPr>
              <w:t>技术实现侧重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2"/>
              </w:rPr>
              <w:t>工程严谨性与基线对比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2"/>
              </w:rPr>
              <w:t>微调效果与实用性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2"/>
              </w:rPr>
              <w:t>创新性与消融实验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2"/>
              </w:rPr>
              <w:t>容错空间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2"/>
              </w:rPr>
              <w:t>标准评分标准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2"/>
              </w:rPr>
              <w:t>标准评分标准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2"/>
              </w:rPr>
              <w:t>允许「有价值的失败」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总体评分标准：</w:t>
      </w:r>
    </w:p>
    <w:p>
      <w:pPr>
        <w:pStyle w:val="ListBullet"/>
      </w:pPr>
      <w:r>
        <w:rPr>
          <w:rFonts w:ascii="宋体" w:hAnsi="宋体" w:eastAsia="宋体"/>
          <w:sz w:val="24"/>
        </w:rPr>
        <w:t>A (90-100)：有潜力投稿商科/技术会议工作坊水平</w:t>
      </w:r>
    </w:p>
    <w:p>
      <w:pPr>
        <w:pStyle w:val="ListBullet"/>
      </w:pPr>
      <w:r>
        <w:rPr>
          <w:rFonts w:ascii="宋体" w:hAnsi="宋体" w:eastAsia="宋体"/>
          <w:sz w:val="24"/>
        </w:rPr>
        <w:t>B (80-89)：达到高质量课程项目水平</w:t>
      </w:r>
    </w:p>
    <w:p>
      <w:pPr>
        <w:pStyle w:val="ListBullet"/>
      </w:pPr>
      <w:r>
        <w:rPr>
          <w:rFonts w:ascii="宋体" w:hAnsi="宋体" w:eastAsia="宋体"/>
          <w:sz w:val="24"/>
        </w:rPr>
        <w:t>C (70-79)：达到基本及格水平</w:t>
      </w:r>
    </w:p>
    <w:p>
      <w:pPr>
        <w:pStyle w:val="Heading1"/>
      </w:pPr>
      <w:r>
        <w:rPr>
          <w:rFonts w:ascii="黑体" w:hAnsi="黑体" w:eastAsia="黑体"/>
          <w:sz w:val="32"/>
        </w:rPr>
        <w:t>七、时间安排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阶段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时间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交付内容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开题报告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第8周结束（讲完LLM训练）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1页开题报告：选择赛道（A/B/C）与研究类型、问题陈述、数据来源、技术方案、分工计划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中期检查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第12周周日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1页报告汇报进度：数据准备完成、基线模型跑通、初步结果展示（如果有）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汇报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第15周课堂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15分钟，答辩PPT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最终报告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第16周周日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论文终稿 + 代码仓库（含README，更详细的数据说明/样例）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八、提交要求</w:t>
      </w:r>
    </w:p>
    <w:p>
      <w:pPr>
        <w:pStyle w:val="ListBullet"/>
      </w:pPr>
      <w:r>
        <w:rPr>
          <w:rFonts w:ascii="宋体" w:hAnsi="宋体" w:eastAsia="宋体"/>
          <w:sz w:val="24"/>
        </w:rPr>
        <w:t>论文：PDF格式，命名为「组号_赛道_项目名称.pdf」</w:t>
      </w:r>
    </w:p>
    <w:p>
      <w:pPr>
        <w:pStyle w:val="ListBullet"/>
      </w:pPr>
      <w:r>
        <w:rPr>
          <w:rFonts w:ascii="宋体" w:hAnsi="宋体" w:eastAsia="宋体"/>
          <w:sz w:val="24"/>
        </w:rPr>
        <w:t>代码：Zip包或者GitHub/GitLab仓库链接，包含完整README（环境配置、运行说明、结果复现步骤）</w:t>
      </w:r>
    </w:p>
    <w:p>
      <w:pPr>
        <w:pStyle w:val="ListBullet"/>
      </w:pPr>
      <w:r>
        <w:rPr>
          <w:rFonts w:ascii="宋体" w:hAnsi="宋体" w:eastAsia="宋体"/>
          <w:sz w:val="24"/>
        </w:rPr>
        <w:t>数据：如使用公开数据集需提供下载链接；如使用企业数据需提供脱敏样例（不少于100条）</w:t>
      </w:r>
    </w:p>
    <w:p>
      <w:pPr>
        <w:pStyle w:val="ListBullet"/>
      </w:pPr>
      <w:r>
        <w:rPr>
          <w:rFonts w:ascii="宋体" w:hAnsi="宋体" w:eastAsia="宋体"/>
          <w:sz w:val="24"/>
        </w:rPr>
        <w:t>答辩PPT：15页以内，突出研究问题、方法创新、核心结果</w:t>
      </w:r>
    </w:p>
    <w:p>
      <w:pPr>
        <w:pStyle w:val="Heading1"/>
      </w:pPr>
      <w:r>
        <w:rPr>
          <w:rFonts w:ascii="黑体" w:hAnsi="黑体" w:eastAsia="黑体"/>
          <w:sz w:val="32"/>
        </w:rPr>
        <w:t>九、学术诚信</w:t>
      </w:r>
    </w:p>
    <w:p>
      <w:pPr>
        <w:pStyle w:val="ListBullet"/>
      </w:pPr>
      <w:r>
        <w:rPr>
          <w:rFonts w:ascii="宋体" w:hAnsi="宋体" w:eastAsia="宋体"/>
          <w:sz w:val="24"/>
        </w:rPr>
        <w:t>代码如参考开源项目需注明来源并说明修改部分</w:t>
      </w:r>
    </w:p>
    <w:p>
      <w:pPr>
        <w:pStyle w:val="ListBullet"/>
      </w:pPr>
      <w:r>
        <w:rPr>
          <w:rFonts w:ascii="宋体" w:hAnsi="宋体" w:eastAsia="宋体"/>
          <w:sz w:val="24"/>
        </w:rPr>
        <w:t>论文查重率不得超过20%（排除参考文献）</w:t>
      </w:r>
    </w:p>
    <w:p>
      <w:pPr>
        <w:pStyle w:val="ListBullet"/>
      </w:pPr>
      <w:r>
        <w:rPr>
          <w:rFonts w:ascii="宋体" w:hAnsi="宋体" w:eastAsia="宋体"/>
          <w:sz w:val="24"/>
        </w:rPr>
        <w:t>发现抄袭或数据造假，该组全体成员本课程成绩记为不及格</w:t>
      </w:r>
    </w:p>
    <w:p>
      <w:pPr>
        <w:pStyle w:val="Heading1"/>
      </w:pPr>
      <w:r>
        <w:rPr>
          <w:rFonts w:ascii="黑体" w:hAnsi="黑体" w:eastAsia="黑体"/>
          <w:sz w:val="32"/>
        </w:rPr>
        <w:t>十、生成式AI使用政策</w:t>
      </w:r>
    </w:p>
    <w:p>
      <w:r>
        <w:rPr>
          <w:rFonts w:ascii="宋体" w:hAnsi="宋体" w:eastAsia="宋体"/>
          <w:b/>
          <w:sz w:val="24"/>
        </w:rPr>
        <w:t>允许：</w:t>
      </w:r>
    </w:p>
    <w:p>
      <w:pPr>
        <w:pStyle w:val="ListBullet"/>
      </w:pPr>
      <w:r>
        <w:rPr>
          <w:rFonts w:ascii="宋体" w:hAnsi="宋体" w:eastAsia="宋体"/>
          <w:sz w:val="24"/>
        </w:rPr>
        <w:t>使用AI辅助代码调试、文献检索、语法润色、思路头脑风暴。</w:t>
      </w:r>
    </w:p>
    <w:p>
      <w:r>
        <w:rPr>
          <w:rFonts w:ascii="宋体" w:hAnsi="宋体" w:eastAsia="宋体"/>
          <w:b/>
          <w:sz w:val="24"/>
        </w:rPr>
        <w:t>禁止：</w:t>
      </w:r>
    </w:p>
    <w:p>
      <w:pPr>
        <w:pStyle w:val="ListBullet"/>
      </w:pPr>
      <w:r>
        <w:rPr>
          <w:rFonts w:ascii="宋体" w:hAnsi="宋体" w:eastAsia="宋体"/>
          <w:sz w:val="24"/>
        </w:rPr>
        <w:t>直接使用AI生成报告的核心分析内容、实验结论或商业洞察。</w:t>
      </w:r>
    </w:p>
    <w:p>
      <w:pPr>
        <w:pStyle w:val="ListBullet"/>
      </w:pPr>
      <w:r>
        <w:rPr>
          <w:rFonts w:ascii="宋体" w:hAnsi="宋体" w:eastAsia="宋体"/>
          <w:sz w:val="24"/>
        </w:rPr>
        <w:t>直接使用AI生成核心模型代码（如不理解其原理）。</w:t>
      </w:r>
    </w:p>
    <w:p>
      <w:pPr>
        <w:pStyle w:val="ListBullet"/>
      </w:pPr>
      <w:r>
        <w:rPr>
          <w:rFonts w:ascii="宋体" w:hAnsi="宋体" w:eastAsia="宋体"/>
          <w:sz w:val="24"/>
        </w:rPr>
        <w:t>伪造数据或实验结果。</w:t>
      </w:r>
    </w:p>
    <w:p>
      <w:r>
        <w:rPr>
          <w:rFonts w:ascii="宋体" w:hAnsi="宋体" w:eastAsia="宋体"/>
          <w:b/>
          <w:sz w:val="24"/>
        </w:rPr>
        <w:t>披露要求：报告中需附带"AI Contribution Statement"章节。</w:t>
      </w:r>
    </w:p>
    <w:p>
      <w:pPr>
        <w:pStyle w:val="Heading1"/>
      </w:pPr>
      <w:r>
        <w:rPr>
          <w:rFonts w:ascii="黑体" w:hAnsi="黑体" w:eastAsia="黑体"/>
          <w:sz w:val="32"/>
        </w:rPr>
        <w:t>十一、资源支持</w:t>
      </w:r>
    </w:p>
    <w:p>
      <w:pPr>
        <w:pStyle w:val="ListBullet"/>
      </w:pPr>
      <w:r>
        <w:rPr>
          <w:rFonts w:ascii="宋体" w:hAnsi="宋体" w:eastAsia="宋体"/>
          <w:sz w:val="24"/>
        </w:rPr>
        <w:t>计算资源：推荐用阿里云免费额度（三个月）https://www.canirun.ai/</w:t>
      </w:r>
    </w:p>
    <w:p>
      <w:pPr>
        <w:pStyle w:val="ListBullet"/>
      </w:pPr>
      <w:r>
        <w:rPr>
          <w:rFonts w:ascii="宋体" w:hAnsi="宋体" w:eastAsia="宋体"/>
          <w:sz w:val="24"/>
        </w:rPr>
        <w:t>课题方向：无合适选题的小组，可联系老师</w:t>
      </w:r>
    </w:p>
    <w:p>
      <w:pPr>
        <w:pStyle w:val="ListBullet"/>
      </w:pPr>
      <w:r>
        <w:rPr>
          <w:rFonts w:ascii="宋体" w:hAnsi="宋体" w:eastAsia="宋体"/>
          <w:sz w:val="24"/>
        </w:rPr>
        <w:t>数据资源：无合适数据的小组，可联系老师</w:t>
      </w:r>
    </w:p>
    <w:p>
      <w:pPr>
        <w:pStyle w:val="ListBullet"/>
      </w:pPr>
      <w:r>
        <w:rPr>
          <w:rFonts w:ascii="宋体" w:hAnsi="宋体" w:eastAsia="宋体"/>
          <w:sz w:val="24"/>
        </w:rPr>
        <w:t>论文资源：计划复现论文、无合适论文的小组，可联系老师</w:t>
      </w:r>
    </w:p>
    <w:p>
      <w:pPr>
        <w:pStyle w:val="ListBullet"/>
      </w:pPr>
      <w:r>
        <w:rPr>
          <w:rFonts w:ascii="宋体" w:hAnsi="宋体" w:eastAsia="宋体"/>
          <w:sz w:val="24"/>
        </w:rPr>
        <w:t>助教支持：具体技术问题可通过课程群或邮件咨询</w:t>
      </w:r>
    </w:p>
    <w:p/>
    <w:p>
      <w:pPr>
        <w:ind w:firstLine="480"/>
      </w:pPr>
      <w:r>
        <w:rPr>
          <w:rFonts w:ascii="宋体" w:hAnsi="宋体" w:eastAsia="宋体"/>
          <w:b w:val="0"/>
          <w:sz w:val="24"/>
        </w:rPr>
        <w:t>如有疑问，请联系课程助教。祝各组项目顺利！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