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A0A0A"/>
          <w:sz w:val="72"/>
          <w:szCs w:val="72"/>
        </w:rPr>
        <w:t xml:space="preserve">ZONE COACH</w:t>
      </w:r>
    </w:p>
    <w:p>
      <w:pPr>
        <w:spacing w:after="80"/>
      </w:pPr>
      <w:r>
        <w:rPr>
          <w:rFonts w:ascii="Arial" w:cs="Arial" w:eastAsia="Arial" w:hAnsi="Arial"/>
          <w:color w:val="3A3A3C"/>
          <w:sz w:val="32"/>
          <w:szCs w:val="32"/>
        </w:rPr>
        <w:t xml:space="preserve">Cognitive State Diagnostic &amp; Training</w:t>
      </w:r>
    </w:p>
    <w:p>
      <w:pPr>
        <w:spacing w:after="480"/>
      </w:pPr>
      <w:r>
        <w:rPr>
          <w:rFonts w:ascii="Arial" w:cs="Arial" w:eastAsia="Arial" w:hAnsi="Arial"/>
          <w:color w:val="3A3A3C"/>
          <w:sz w:val="22"/>
          <w:szCs w:val="22"/>
        </w:rPr>
        <w:t xml:space="preserve">MVP Product Specification  ·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Classification</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Internal — Research &amp; Product</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Status</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Draft for review — v0.2</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Scope</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MVP mobile web application (iOS + Android browser)</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Session target</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3 minutes per session; 5-session onboarding arc</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Primary output</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Real-time cusp geometry regime classification + CCC trajectory</w:t>
            </w:r>
          </w:p>
        </w:tc>
      </w:tr>
      <w:tr>
        <w:tc>
          <w:tcPr>
            <w:tcW w:type="dxa" w:w="234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Key update (v0.2)</w:t>
            </w:r>
          </w:p>
        </w:tc>
        <w:tc>
          <w:tcPr>
            <w:tcW w:type="dxa" w:w="702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Probe trials redesigned with global summation mechanism; eccentricity contrast between standard (1.5°) and probe (3.5°) trials; fourth regime classifier stream added; app renamed Zone Coach</w:t>
            </w:r>
          </w:p>
        </w:tc>
      </w:tr>
    </w:tbl>
    <w:p>
      <w:pPr>
        <w:spacing w:after="480"/>
      </w:pPr>
    </w:p>
    <w:p>
      <w:pPr>
        <w:pStyle w:val="Heading1"/>
        <w:spacing w:after="160" w:before="480"/>
      </w:pPr>
      <w:r>
        <w:rPr>
          <w:rFonts w:ascii="Arial" w:cs="Arial" w:eastAsia="Arial" w:hAnsi="Arial"/>
          <w:b/>
          <w:bCs/>
          <w:color w:val="0A0A0A"/>
          <w:sz w:val="36"/>
          <w:szCs w:val="36"/>
        </w:rPr>
        <w:t xml:space="preserve">1.  Purpose &amp; Scientific Foundation</w:t>
      </w:r>
    </w:p>
    <w:p>
      <w:pPr>
        <w:spacing w:after="160"/>
      </w:pPr>
      <w:r>
        <w:rPr>
          <w:rFonts w:ascii="Arial" w:cs="Arial" w:eastAsia="Arial" w:hAnsi="Arial"/>
          <w:b w:val="false"/>
          <w:bCs w:val="false"/>
          <w:color w:val="0A0A0A"/>
          <w:sz w:val="20"/>
          <w:szCs w:val="20"/>
        </w:rPr>
        <w:t xml:space="preserve">Zone Coach is a mobile web application that measures and trains cognitive dynamical state using a pre-semantic adaptation of the Backward Masking Majority Function Task (MFT-M). Unlike conventional cognitive training or wellness apps, Zone Coach does not make claims about improving intelligence or reducing stress in generic terms. It measures and trains a specific dynamical property: whether the user's cognitive system is currently operating in the Griffiths Phase (GP) regime — the near-critical bifurcating dynamic that underlies fluid intelligence, creative recombination, and adaptive decision-making.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A7A" w:sz="12"/>
              <w:bottom w:val="none" w:color="FFFFFF" w:sz="0"/>
              <w:right w:val="none" w:color="FFFFFF" w:sz="0"/>
            </w:tcBorders>
            <w:shd w:fill="D0E4F7" w:val="clear"/>
            <w:tcMar>
              <w:top w:type="dxa" w:w="120"/>
              <w:left w:type="dxa" w:w="200"/>
              <w:bottom w:type="dxa" w:w="120"/>
              <w:right w:type="dxa" w:w="200"/>
            </w:tcMar>
          </w:tcPr>
          <w:p>
            <w:pPr>
              <w:spacing w:after="0"/>
            </w:pPr>
            <w:r>
              <w:rPr>
                <w:rFonts w:ascii="Arial" w:cs="Arial" w:eastAsia="Arial" w:hAnsi="Arial"/>
                <w:color w:val="0A0A0A"/>
                <w:sz w:val="19"/>
                <w:szCs w:val="19"/>
              </w:rPr>
              <w:t xml:space="preserve">The scientific basis is the Trident G framework (allostatic cusp geometry of cognition) integrated with the Zhang-Tang GP architecture and the Wu et al. (2016) information-theoretic model of cognitive control capacity. The MFT-M is the only validated behavioural task that directly quantifies the capacity of cognitive control (CCC) in bits per second, providing the measurement substrate for real-time cusp geometry classification.</w:t>
            </w:r>
          </w:p>
        </w:tc>
      </w:tr>
    </w:tbl>
    <w:p>
      <w:pPr>
        <w:spacing w:after="160"/>
      </w:pPr>
    </w:p>
    <w:p>
      <w:pPr>
        <w:pStyle w:val="Heading2"/>
        <w:pBdr>
          <w:bottom w:val="single" w:color="B8860B" w:sz="4" w:space="4"/>
        </w:pBdr>
        <w:spacing w:after="120" w:before="360"/>
      </w:pPr>
      <w:r>
        <w:rPr>
          <w:rFonts w:ascii="Arial" w:cs="Arial" w:eastAsia="Arial" w:hAnsi="Arial"/>
          <w:b/>
          <w:bCs/>
          <w:color w:val="1A4A7A"/>
          <w:sz w:val="26"/>
          <w:szCs w:val="26"/>
        </w:rPr>
        <w:t xml:space="preserve">1.1  The Four Regime States</w:t>
      </w:r>
    </w:p>
    <w:p>
      <w:pPr>
        <w:spacing w:after="160"/>
      </w:pPr>
      <w:r>
        <w:rPr>
          <w:rFonts w:ascii="Arial" w:cs="Arial" w:eastAsia="Arial" w:hAnsi="Arial"/>
          <w:b w:val="false"/>
          <w:bCs w:val="false"/>
          <w:color w:val="0A0A0A"/>
          <w:sz w:val="20"/>
          <w:szCs w:val="20"/>
        </w:rPr>
        <w:t xml:space="preserve">The cusp potential V(x; ξ, δ) = x⁴ − ξx² − δx describes four qualitatively distinct dynamical regimes. Each has a specific MFT-M performance signature that enables real-time classification: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780"/>
        <w:gridCol w:w="2100"/>
        <w:gridCol w:w="2100"/>
        <w:gridCol w:w="2040"/>
      </w:tblGrid>
      <w:tr>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78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ξ</w:t>
            </w:r>
          </w:p>
        </w:tc>
        <w:tc>
          <w:tcPr>
            <w:tcW w:type="dxa" w:w="78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δ</w:t>
            </w:r>
          </w:p>
        </w:tc>
        <w:tc>
          <w:tcPr>
            <w:tcW w:type="dxa" w:w="210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MFT-M Signature</w:t>
            </w:r>
          </w:p>
        </w:tc>
        <w:tc>
          <w:tcPr>
            <w:tcW w:type="dxa" w:w="210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Probe Signature</w:t>
            </w:r>
          </w:p>
        </w:tc>
        <w:tc>
          <w:tcPr>
            <w:tcW w:type="dxa" w:w="204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Training Response</w:t>
            </w:r>
          </w:p>
        </w:tc>
      </w:tr>
      <w:tr>
        <w:tc>
          <w:tcPr>
            <w:tcW w:type="dxa" w:w="1560"/>
            <w:tcBorders>
              <w:top w:val="single" w:color="3A3A3C" w:sz="1"/>
              <w:left w:val="single" w:color="3A3A3C" w:sz="1"/>
              <w:bottom w:val="single" w:color="3A3A3C" w:sz="1"/>
              <w:right w:val="single" w:color="3A3A3C" w:sz="1"/>
            </w:tcBorders>
            <w:shd w:fill="D0F0D8" w:val="clear"/>
            <w:tcMar>
              <w:top w:type="dxa" w:w="100"/>
              <w:left w:type="dxa" w:w="140"/>
              <w:bottom w:type="dxa" w:w="100"/>
              <w:right w:type="dxa" w:w="140"/>
            </w:tcMar>
            <w:vAlign w:val="center"/>
          </w:tcPr>
          <w:p>
            <w:r>
              <w:rPr>
                <w:rFonts w:ascii="Arial" w:cs="Arial" w:eastAsia="Arial" w:hAnsi="Arial"/>
                <w:b/>
                <w:bCs/>
                <w:color w:val="1A5C2A"/>
                <w:sz w:val="19"/>
                <w:szCs w:val="19"/>
              </w:rPr>
              <w:t xml:space="preserve">IN THE ZONE</w:t>
            </w:r>
          </w:p>
        </w:tc>
        <w:tc>
          <w:tcPr>
            <w:tcW w:type="dxa" w:w="7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≈0</w:t>
            </w:r>
          </w:p>
        </w:tc>
        <w:tc>
          <w:tcPr>
            <w:tcW w:type="dxa" w:w="7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balanced</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Accuracy tracks model; steep slope at boundary; smooth RT-entropy curve; low SE CCC</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Fast dimension detection + fast exploitation</w:t>
            </w:r>
          </w:p>
        </w:tc>
        <w:tc>
          <w:tcPr>
            <w:tcW w:type="dxa" w:w="20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Maintain boundary pressure; standard probe rate</w:t>
            </w:r>
          </w:p>
        </w:tc>
      </w:tr>
      <w:tr>
        <w:tc>
          <w:tcPr>
            <w:tcW w:type="dxa" w:w="156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r>
              <w:rPr>
                <w:rFonts w:ascii="Arial" w:cs="Arial" w:eastAsia="Arial" w:hAnsi="Arial"/>
                <w:b/>
                <w:bCs/>
                <w:color w:val="3A3A3C"/>
                <w:sz w:val="19"/>
                <w:szCs w:val="19"/>
              </w:rPr>
              <w:t xml:space="preserve">FLAT</w:t>
            </w:r>
          </w:p>
        </w:tc>
        <w:tc>
          <w:tcPr>
            <w:tcW w:type="dxa" w:w="7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&lt;0</w:t>
            </w:r>
          </w:p>
        </w:tc>
        <w:tc>
          <w:tcPr>
            <w:tcW w:type="dxa" w:w="7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n/a</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Accuracy above model; shallow boundary slope; fast uniform RTs; CCC drifts upward</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Slow detection; normal exploitation once found</w:t>
            </w:r>
          </w:p>
        </w:tc>
        <w:tc>
          <w:tcPr>
            <w:tcW w:type="dxa" w:w="20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Select above CCC boundary; upregulate difficulty immediately</w:t>
            </w:r>
          </w:p>
        </w:tc>
      </w:tr>
      <w:tr>
        <w:tc>
          <w:tcPr>
            <w:tcW w:type="dxa" w:w="1560"/>
            <w:tcBorders>
              <w:top w:val="single" w:color="3A3A3C" w:sz="1"/>
              <w:left w:val="single" w:color="3A3A3C" w:sz="1"/>
              <w:bottom w:val="single" w:color="3A3A3C" w:sz="1"/>
              <w:right w:val="single" w:color="3A3A3C" w:sz="1"/>
            </w:tcBorders>
            <w:shd w:fill="D0E4F7" w:val="clear"/>
            <w:tcMar>
              <w:top w:type="dxa" w:w="100"/>
              <w:left w:type="dxa" w:w="140"/>
              <w:bottom w:type="dxa" w:w="100"/>
              <w:right w:type="dxa" w:w="140"/>
            </w:tcMar>
            <w:vAlign w:val="center"/>
          </w:tcPr>
          <w:p>
            <w:r>
              <w:rPr>
                <w:rFonts w:ascii="Arial" w:cs="Arial" w:eastAsia="Arial" w:hAnsi="Arial"/>
                <w:b/>
                <w:bCs/>
                <w:color w:val="1A4A7A"/>
                <w:sz w:val="19"/>
                <w:szCs w:val="19"/>
              </w:rPr>
              <w:t xml:space="preserve">LOCKED IN</w:t>
            </w:r>
          </w:p>
        </w:tc>
        <w:tc>
          <w:tcPr>
            <w:tcW w:type="dxa" w:w="7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≫0</w:t>
            </w:r>
          </w:p>
        </w:tc>
        <w:tc>
          <w:tcPr>
            <w:tcW w:type="dxa" w:w="7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&gt;0</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Above-model within schema; cliff outside schema; fast RTs spiking at boundary</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Schema-perseverative slow detection; RT prolongation before shift</w:t>
            </w:r>
          </w:p>
        </w:tc>
        <w:tc>
          <w:tcPr>
            <w:tcW w:type="dxa" w:w="20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Introduce novel feature dimension; suspend probes temporarily</w:t>
            </w:r>
          </w:p>
        </w:tc>
      </w:tr>
      <w:tr>
        <w:tc>
          <w:tcPr>
            <w:tcW w:type="dxa" w:w="1560"/>
            <w:tcBorders>
              <w:top w:val="single" w:color="3A3A3C" w:sz="1"/>
              <w:left w:val="single" w:color="3A3A3C" w:sz="1"/>
              <w:bottom w:val="single" w:color="3A3A3C" w:sz="1"/>
              <w:right w:val="single" w:color="3A3A3C" w:sz="1"/>
            </w:tcBorders>
            <w:shd w:fill="F7D0D0" w:val="clear"/>
            <w:tcMar>
              <w:top w:type="dxa" w:w="100"/>
              <w:left w:type="dxa" w:w="140"/>
              <w:bottom w:type="dxa" w:w="100"/>
              <w:right w:type="dxa" w:w="140"/>
            </w:tcMar>
            <w:vAlign w:val="center"/>
          </w:tcPr>
          <w:p>
            <w:r>
              <w:rPr>
                <w:rFonts w:ascii="Arial" w:cs="Arial" w:eastAsia="Arial" w:hAnsi="Arial"/>
                <w:b/>
                <w:bCs/>
                <w:color w:val="8B1A1A"/>
                <w:sz w:val="19"/>
                <w:szCs w:val="19"/>
              </w:rPr>
              <w:t xml:space="preserve">SPUN OUT</w:t>
            </w:r>
          </w:p>
        </w:tc>
        <w:tc>
          <w:tcPr>
            <w:tcW w:type="dxa" w:w="7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≫0</w:t>
            </w:r>
          </w:p>
        </w:tc>
        <w:tc>
          <w:tcPr>
            <w:tcW w:type="dxa" w:w="7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&lt;0</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Below-model; non-monotonic pattern; high RT variance; unstable CCC SE</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Fast detection; slow/failed exploitation — finds dimension, cannot consolidate</w:t>
            </w:r>
          </w:p>
        </w:tc>
        <w:tc>
          <w:tcPr>
            <w:tcW w:type="dxa" w:w="20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Back off below boundary; positive prediction errors; suspend probes</w:t>
            </w:r>
          </w:p>
        </w:tc>
      </w:tr>
    </w:tbl>
    <w:p>
      <w:pPr>
        <w:spacing w:after="160"/>
      </w:pPr>
    </w:p>
    <w:p>
      <w:pPr>
        <w:pStyle w:val="Heading2"/>
        <w:pBdr>
          <w:bottom w:val="single" w:color="B8860B" w:sz="4" w:space="4"/>
        </w:pBdr>
        <w:spacing w:after="120" w:before="360"/>
      </w:pPr>
      <w:r>
        <w:rPr>
          <w:rFonts w:ascii="Arial" w:cs="Arial" w:eastAsia="Arial" w:hAnsi="Arial"/>
          <w:b/>
          <w:bCs/>
          <w:color w:val="1A4A7A"/>
          <w:sz w:val="26"/>
          <w:szCs w:val="26"/>
        </w:rPr>
        <w:t xml:space="preserve">1.2  Why Pre-Semantic Stimuli</w:t>
      </w:r>
    </w:p>
    <w:p>
      <w:pPr>
        <w:spacing w:after="160"/>
      </w:pPr>
      <w:r>
        <w:rPr>
          <w:rFonts w:ascii="Arial" w:cs="Arial" w:eastAsia="Arial" w:hAnsi="Arial"/>
          <w:b w:val="false"/>
          <w:bCs w:val="false"/>
          <w:color w:val="0A0A0A"/>
          <w:sz w:val="20"/>
          <w:szCs w:val="20"/>
        </w:rPr>
        <w:t xml:space="preserve">Standard MFT-M uses directional arrows — a semantically loaded stimulus that allows FPCN-A (mutual information arm) to recruit compiled Gc knowledge, bypassing the genuine bifurcating dynamic the task is intended to stress. The Zone Coach MVP uses three pre-semantic feature dimensions instead:</w:t>
      </w:r>
    </w:p>
    <w:p>
      <w:pPr>
        <w:pStyle w:val="ListParagraph"/>
        <w:numPr>
          <w:ilvl w:val="0"/>
          <w:numId w:val="2"/>
        </w:numPr>
        <w:spacing w:after="80"/>
      </w:pPr>
      <w:r>
        <w:rPr>
          <w:rFonts w:ascii="Arial" w:cs="Arial" w:eastAsia="Arial" w:hAnsi="Arial"/>
          <w:color w:val="0A0A0A"/>
          <w:sz w:val="20"/>
          <w:szCs w:val="20"/>
        </w:rPr>
        <w:t xml:space="preserve">Orientation gratings — sinusoidal patches varying in orientation (0°–180°); majority judgment over orientation angle</w:t>
      </w:r>
    </w:p>
    <w:p>
      <w:pPr>
        <w:pStyle w:val="ListParagraph"/>
        <w:numPr>
          <w:ilvl w:val="0"/>
          <w:numId w:val="2"/>
        </w:numPr>
        <w:spacing w:after="80"/>
      </w:pPr>
      <w:r>
        <w:rPr>
          <w:rFonts w:ascii="Arial" w:cs="Arial" w:eastAsia="Arial" w:hAnsi="Arial"/>
          <w:color w:val="0A0A0A"/>
          <w:sz w:val="20"/>
          <w:szCs w:val="20"/>
        </w:rPr>
        <w:t xml:space="preserve">Spatial frequency patches — sinusoidal patches varying in cycles/degree; majority judgment over SF category</w:t>
      </w:r>
    </w:p>
    <w:p>
      <w:pPr>
        <w:pStyle w:val="ListParagraph"/>
        <w:numPr>
          <w:ilvl w:val="0"/>
          <w:numId w:val="2"/>
        </w:numPr>
        <w:spacing w:after="80"/>
      </w:pPr>
      <w:r>
        <w:rPr>
          <w:rFonts w:ascii="Arial" w:cs="Arial" w:eastAsia="Arial" w:hAnsi="Arial"/>
          <w:color w:val="0A0A0A"/>
          <w:sz w:val="20"/>
          <w:szCs w:val="20"/>
        </w:rPr>
        <w:t xml:space="preserve">Luminance discs — uniform circular patches varying in luminance level; majority judgment over brightness</w:t>
      </w:r>
    </w:p>
    <w:p>
      <w:pPr>
        <w:spacing w:after="80"/>
      </w:pPr>
    </w:p>
    <w:p>
      <w:pPr>
        <w:spacing w:after="160"/>
      </w:pPr>
      <w:r>
        <w:rPr>
          <w:rFonts w:ascii="Arial" w:cs="Arial" w:eastAsia="Arial" w:hAnsi="Arial"/>
          <w:b w:val="false"/>
          <w:bCs w:val="false"/>
          <w:color w:val="0A0A0A"/>
          <w:sz w:val="20"/>
          <w:szCs w:val="20"/>
        </w:rPr>
        <w:t xml:space="preserve">These dimensions exist on continuous manifolds rather than discrete categories, preventing the mutual information arm from collapsing the judgment to a simple classification boundary. No semantic content is present anywhere in the stimulus display.</w:t>
      </w:r>
    </w:p>
    <w:p>
      <w:pPr>
        <w:spacing w:after="240"/>
      </w:pPr>
    </w:p>
    <w:p>
      <w:pPr>
        <w:pStyle w:val="Heading1"/>
        <w:spacing w:after="160" w:before="480"/>
      </w:pPr>
      <w:r>
        <w:rPr>
          <w:rFonts w:ascii="Arial" w:cs="Arial" w:eastAsia="Arial" w:hAnsi="Arial"/>
          <w:b/>
          <w:bCs/>
          <w:color w:val="0A0A0A"/>
          <w:sz w:val="36"/>
          <w:szCs w:val="36"/>
        </w:rPr>
        <w:t xml:space="preserve">2.  Task Architecture</w:t>
      </w:r>
    </w:p>
    <w:p>
      <w:pPr>
        <w:pStyle w:val="Heading2"/>
        <w:pBdr>
          <w:bottom w:val="single" w:color="B8860B" w:sz="4" w:space="4"/>
        </w:pBdr>
        <w:spacing w:after="120" w:before="360"/>
      </w:pPr>
      <w:r>
        <w:rPr>
          <w:rFonts w:ascii="Arial" w:cs="Arial" w:eastAsia="Arial" w:hAnsi="Arial"/>
          <w:b/>
          <w:bCs/>
          <w:color w:val="1A4A7A"/>
          <w:sz w:val="26"/>
          <w:szCs w:val="26"/>
        </w:rPr>
        <w:t xml:space="preserve">2.1  Trial Structure</w:t>
      </w:r>
    </w:p>
    <w:p>
      <w:pPr>
        <w:spacing w:after="160"/>
      </w:pPr>
      <w:r>
        <w:rPr>
          <w:rFonts w:ascii="Arial" w:cs="Arial" w:eastAsia="Arial" w:hAnsi="Arial"/>
          <w:b w:val="false"/>
          <w:bCs w:val="false"/>
          <w:color w:val="0A0A0A"/>
          <w:sz w:val="20"/>
          <w:szCs w:val="20"/>
        </w:rPr>
        <w:t xml:space="preserve">Each trial follows the original MFT-M timing structure, optimised for mobile: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Event</w:t>
            </w:r>
          </w:p>
        </w:tc>
        <w:tc>
          <w:tcPr>
            <w:tcW w:type="dxa" w:w="234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c>
          <w:tcPr>
            <w:tcW w:type="dxa" w:w="234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Content</w:t>
            </w:r>
          </w:p>
        </w:tc>
        <w:tc>
          <w:tcPr>
            <w:tcW w:type="dxa" w:w="234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Purpose</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Fixation</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300–500 ms (jittered)</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Central crosshair on dark field</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Baseline and attention focus</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Feature cue</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100 ms</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Brief label: ORIENT / SF / LUM</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Dimension specification; adds cognitive control load</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Stimulus array</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ET: 250 / 500 / 1000 ms</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3–8 patches at octagon positions, 1.5° eccentricity</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MFT-M majority judgment</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Backward mask</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500 ms</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8 solid discs at patch positions</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Terminates processing; enforces ET constraint</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Response window</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Up to 1500 ms</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Touch left/right (or majority/uncertain)</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Response collection</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Feedback</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200 ms</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Brief colour flash (green/red)</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Prediction-error signal for CCC learning</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Post-trial</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400–600 ms</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Fixation cross</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Inter-trial interval; mini-consolidation</w:t>
            </w:r>
          </w:p>
        </w:tc>
      </w:tr>
    </w:tbl>
    <w:p>
      <w:pPr>
        <w:spacing w:after="160"/>
      </w:pPr>
    </w:p>
    <w:p>
      <w:pPr>
        <w:spacing w:after="160"/>
      </w:pPr>
      <w:r>
        <w:rPr>
          <w:rFonts w:ascii="Arial" w:cs="Arial" w:eastAsia="Arial" w:hAnsi="Arial"/>
          <w:b w:val="false"/>
          <w:bCs w:val="false"/>
          <w:color w:val="0A0A0A"/>
          <w:sz w:val="20"/>
          <w:szCs w:val="20"/>
        </w:rPr>
        <w:t xml:space="preserve">Total trial duration: approximately 3.0–3.5 seconds. A 3-minute session accommodates approximately 50–55 trials.</w:t>
      </w:r>
    </w:p>
    <w:p>
      <w:pPr>
        <w:pStyle w:val="Heading2"/>
        <w:pBdr>
          <w:bottom w:val="single" w:color="B8860B" w:sz="4" w:space="4"/>
        </w:pBdr>
        <w:spacing w:after="120" w:before="360"/>
      </w:pPr>
      <w:r>
        <w:rPr>
          <w:rFonts w:ascii="Arial" w:cs="Arial" w:eastAsia="Arial" w:hAnsi="Arial"/>
          <w:b/>
          <w:bCs/>
          <w:color w:val="1A4A7A"/>
          <w:sz w:val="26"/>
          <w:szCs w:val="26"/>
        </w:rPr>
        <w:t xml:space="preserve">2.2  Stimulus Parameters</w:t>
      </w:r>
    </w:p>
    <w:p>
      <w:pPr>
        <w:spacing w:after="120"/>
      </w:pPr>
      <w:r>
        <w:rPr>
          <w:rFonts w:ascii="Arial" w:cs="Arial" w:eastAsia="Arial" w:hAnsi="Arial"/>
          <w:b/>
          <w:bCs/>
          <w:color w:val="1A4A7A"/>
          <w:sz w:val="20"/>
          <w:szCs w:val="20"/>
        </w:rPr>
        <w:t xml:space="preserve">Set sizes:  </w:t>
      </w:r>
      <w:r>
        <w:rPr>
          <w:rFonts w:ascii="Arial" w:cs="Arial" w:eastAsia="Arial" w:hAnsi="Arial"/>
          <w:color w:val="0A0A0A"/>
          <w:sz w:val="20"/>
          <w:szCs w:val="20"/>
        </w:rPr>
        <w:t xml:space="preserve">3 and 5 patches (set size 1 excluded as per He et al. 2021 efficiency analysis)</w:t>
      </w:r>
    </w:p>
    <w:p>
      <w:pPr>
        <w:spacing w:after="120"/>
      </w:pPr>
      <w:r>
        <w:rPr>
          <w:rFonts w:ascii="Arial" w:cs="Arial" w:eastAsia="Arial" w:hAnsi="Arial"/>
          <w:b/>
          <w:bCs/>
          <w:color w:val="1A4A7A"/>
          <w:sz w:val="20"/>
          <w:szCs w:val="20"/>
        </w:rPr>
        <w:t xml:space="preserve">Arrow ratios:  </w:t>
      </w:r>
      <w:r>
        <w:rPr>
          <w:rFonts w:ascii="Arial" w:cs="Arial" w:eastAsia="Arial" w:hAnsi="Arial"/>
          <w:color w:val="0A0A0A"/>
          <w:sz w:val="20"/>
          <w:szCs w:val="20"/>
        </w:rPr>
        <w:t xml:space="preserve">3:2, 4:1, and 2:1 (incongruent conditions only; congruent conditions excluded as redundant for CCC estimation)</w:t>
      </w:r>
    </w:p>
    <w:p>
      <w:pPr>
        <w:spacing w:after="120"/>
      </w:pPr>
      <w:r>
        <w:rPr>
          <w:rFonts w:ascii="Arial" w:cs="Arial" w:eastAsia="Arial" w:hAnsi="Arial"/>
          <w:b/>
          <w:bCs/>
          <w:color w:val="1A4A7A"/>
          <w:sz w:val="20"/>
          <w:szCs w:val="20"/>
        </w:rPr>
        <w:t xml:space="preserve">Exposure times:  </w:t>
      </w:r>
      <w:r>
        <w:rPr>
          <w:rFonts w:ascii="Arial" w:cs="Arial" w:eastAsia="Arial" w:hAnsi="Arial"/>
          <w:color w:val="0A0A0A"/>
          <w:sz w:val="20"/>
          <w:szCs w:val="20"/>
        </w:rPr>
        <w:t xml:space="preserve">250 ms, 500 ms, 1000 ms (2000 ms condition dropped per He et al. recommendation for healthy adults)</w:t>
      </w:r>
    </w:p>
    <w:p>
      <w:pPr>
        <w:spacing w:after="120"/>
      </w:pPr>
      <w:r>
        <w:rPr>
          <w:rFonts w:ascii="Arial" w:cs="Arial" w:eastAsia="Arial" w:hAnsi="Arial"/>
          <w:b/>
          <w:bCs/>
          <w:color w:val="1A4A7A"/>
          <w:sz w:val="20"/>
          <w:szCs w:val="20"/>
        </w:rPr>
        <w:t xml:space="preserve">Standard trial eccentricity:  </w:t>
      </w:r>
      <w:r>
        <w:rPr>
          <w:rFonts w:ascii="Arial" w:cs="Arial" w:eastAsia="Arial" w:hAnsi="Arial"/>
          <w:color w:val="0A0A0A"/>
          <w:sz w:val="20"/>
          <w:szCs w:val="20"/>
        </w:rPr>
        <w:t xml:space="preserve">1.5° from fixation — preserved from original MFT-M. This eccentricity is specifically chosen to prevent global orientation pooling: items are close enough that peripheral texture pooling across the array is ambiguous, requiring the grouping search to operate item by item rather than on a global texture signal.</w:t>
      </w:r>
    </w:p>
    <w:p>
      <w:pPr>
        <w:spacing w:after="120"/>
      </w:pPr>
      <w:r>
        <w:rPr>
          <w:rFonts w:ascii="Arial" w:cs="Arial" w:eastAsia="Arial" w:hAnsi="Arial"/>
          <w:b/>
          <w:bCs/>
          <w:color w:val="1A4A7A"/>
          <w:sz w:val="20"/>
          <w:szCs w:val="20"/>
        </w:rPr>
        <w:t xml:space="preserve">Probe trial eccentricity:  </w:t>
      </w:r>
      <w:r>
        <w:rPr>
          <w:rFonts w:ascii="Arial" w:cs="Arial" w:eastAsia="Arial" w:hAnsi="Arial"/>
          <w:color w:val="0A0A0A"/>
          <w:sz w:val="20"/>
          <w:szCs w:val="20"/>
        </w:rPr>
        <w:t xml:space="preserve">3.5° from fixation (to be confirmed by psychophysical pilot in Phase 1). At this eccentricity, global orientation pooling across the array becomes reliably available as an automatic peripheral response — see section 2.3 for how this is exploited in probe trial design.</w:t>
      </w:r>
    </w:p>
    <w:p>
      <w:pPr>
        <w:spacing w:after="120"/>
      </w:pPr>
      <w:r>
        <w:rPr>
          <w:rFonts w:ascii="Arial" w:cs="Arial" w:eastAsia="Arial" w:hAnsi="Arial"/>
          <w:b/>
          <w:bCs/>
          <w:color w:val="1A4A7A"/>
          <w:sz w:val="20"/>
          <w:szCs w:val="20"/>
        </w:rPr>
        <w:t xml:space="preserve">Patch size:  </w:t>
      </w:r>
      <w:r>
        <w:rPr>
          <w:rFonts w:ascii="Arial" w:cs="Arial" w:eastAsia="Arial" w:hAnsi="Arial"/>
          <w:color w:val="0A0A0A"/>
          <w:sz w:val="20"/>
          <w:szCs w:val="20"/>
        </w:rPr>
        <w:t xml:space="preserve">0.37° visual angle; scaled proportionally if eccentricity is adjusted for probe trials</w:t>
      </w:r>
    </w:p>
    <w:p>
      <w:pPr>
        <w:spacing w:after="120"/>
      </w:pPr>
      <w:r>
        <w:rPr>
          <w:rFonts w:ascii="Arial" w:cs="Arial" w:eastAsia="Arial" w:hAnsi="Arial"/>
          <w:b/>
          <w:bCs/>
          <w:color w:val="1A4A7A"/>
          <w:sz w:val="20"/>
          <w:szCs w:val="20"/>
        </w:rPr>
        <w:t xml:space="preserve">Feature ranges:  </w:t>
      </w:r>
      <w:r>
        <w:rPr>
          <w:rFonts w:ascii="Arial" w:cs="Arial" w:eastAsia="Arial" w:hAnsi="Arial"/>
          <w:color w:val="0A0A0A"/>
          <w:sz w:val="20"/>
          <w:szCs w:val="20"/>
        </w:rPr>
        <w:t xml:space="preserve">Orientation: 6 values spanning 0°–150° in 30° steps; SF: 3 categories (2, 5, 8 c/d); Luminance: 3 categories (0.15, 0.50, 0.85 normalised)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E6C8" w:val="clear"/>
            <w:tcMar>
              <w:top w:type="dxa" w:w="120"/>
              <w:left w:type="dxa" w:w="200"/>
              <w:bottom w:type="dxa" w:w="120"/>
              <w:right w:type="dxa" w:w="200"/>
            </w:tcMar>
          </w:tcPr>
          <w:p>
            <w:pPr>
              <w:spacing w:after="0"/>
            </w:pPr>
            <w:r>
              <w:rPr>
                <w:rFonts w:ascii="Arial" w:cs="Arial" w:eastAsia="Arial" w:hAnsi="Arial"/>
                <w:color w:val="0A0A0A"/>
                <w:sz w:val="19"/>
                <w:szCs w:val="19"/>
              </w:rPr>
              <w:t xml:space="preserve">Visual angle calculation is performed at session start using the device screen size (from window.screen) and an assumed 35 cm viewing distance. A brief on-screen ruler calibration step (optional) allows users to refine the viewing distance estimate. CCC estimates are flagged with a device quality tier (A/B/C) based on measured frame jitter.</w:t>
            </w:r>
          </w:p>
        </w:tc>
      </w:tr>
    </w:tbl>
    <w:p>
      <w:pPr>
        <w:pStyle w:val="Heading2"/>
        <w:pBdr>
          <w:bottom w:val="single" w:color="B8860B" w:sz="4" w:space="4"/>
        </w:pBdr>
        <w:spacing w:after="120" w:before="360"/>
      </w:pPr>
      <w:r>
        <w:rPr>
          <w:rFonts w:ascii="Arial" w:cs="Arial" w:eastAsia="Arial" w:hAnsi="Arial"/>
          <w:b/>
          <w:bCs/>
          <w:color w:val="1A4A7A"/>
          <w:sz w:val="26"/>
          <w:szCs w:val="26"/>
        </w:rPr>
        <w:t xml:space="preserve">2.3  The Dimension-Shift Probe Trial</w:t>
      </w:r>
    </w:p>
    <w:p>
      <w:pPr>
        <w:spacing w:after="160"/>
      </w:pPr>
      <w:r>
        <w:rPr>
          <w:rFonts w:ascii="Arial" w:cs="Arial" w:eastAsia="Arial" w:hAnsi="Arial"/>
          <w:b w:val="false"/>
          <w:bCs w:val="false"/>
          <w:color w:val="0A0A0A"/>
          <w:sz w:val="20"/>
          <w:szCs w:val="20"/>
        </w:rPr>
        <w:t xml:space="preserve">Probe trials are the primary regime discriminator. They are inserted by the CAT system when SE(CCC) falls below 0.03 — indicating the within-session CCC estimate has stabilised and the system may be compiling a strategy.</w:t>
      </w:r>
    </w:p>
    <w:p>
      <w:pPr>
        <w:spacing w:after="80"/>
      </w:pPr>
    </w:p>
    <w:p>
      <w:pPr>
        <w:pStyle w:val="Heading3"/>
        <w:spacing w:after="80" w:before="240"/>
      </w:pPr>
      <w:r>
        <w:rPr>
          <w:rFonts w:ascii="Arial" w:cs="Arial" w:eastAsia="Arial" w:hAnsi="Arial"/>
          <w:b/>
          <w:bCs/>
          <w:color w:val="3A3A3C"/>
          <w:sz w:val="22"/>
          <w:szCs w:val="22"/>
        </w:rPr>
        <w:t xml:space="preserve">Dimension shift</w:t>
      </w:r>
    </w:p>
    <w:p>
      <w:pPr>
        <w:spacing w:after="160"/>
      </w:pPr>
      <w:r>
        <w:rPr>
          <w:rFonts w:ascii="Arial" w:cs="Arial" w:eastAsia="Arial" w:hAnsi="Arial"/>
          <w:b w:val="false"/>
          <w:bCs w:val="false"/>
          <w:color w:val="0A0A0A"/>
          <w:sz w:val="20"/>
          <w:szCs w:val="20"/>
        </w:rPr>
        <w:t xml:space="preserve">In a probe trial, the feature cue specifies dimension A but the stimulus array carries majority signal in dimension B. The correct response requires detecting the dimension mismatch and applying the grouping search to the actual signal dimension. This is not explicitly signalled to the user — it is an unmarked trial from the user's perspective, distinguished only by the brief gold background pulse that signals a challenge event.</w:t>
      </w:r>
    </w:p>
    <w:p>
      <w:pPr>
        <w:spacing w:after="80"/>
      </w:pPr>
    </w:p>
    <w:p>
      <w:pPr>
        <w:pStyle w:val="Heading3"/>
        <w:spacing w:after="80" w:before="240"/>
      </w:pPr>
      <w:r>
        <w:rPr>
          <w:rFonts w:ascii="Arial" w:cs="Arial" w:eastAsia="Arial" w:hAnsi="Arial"/>
          <w:b/>
          <w:bCs/>
          <w:color w:val="3A3A3C"/>
          <w:sz w:val="22"/>
          <w:szCs w:val="22"/>
        </w:rPr>
        <w:t xml:space="preserve">Global summation as the salient wrong-direction signal</w:t>
      </w:r>
    </w:p>
    <w:p>
      <w:pPr>
        <w:spacing w:after="160"/>
      </w:pPr>
      <w:r>
        <w:rPr>
          <w:rFonts w:ascii="Arial" w:cs="Arial" w:eastAsia="Arial" w:hAnsi="Arial"/>
          <w:b w:val="false"/>
          <w:bCs w:val="false"/>
          <w:color w:val="0A0A0A"/>
          <w:sz w:val="20"/>
          <w:szCs w:val="20"/>
        </w:rPr>
        <w:t xml:space="preserve">The probe trial's psychophysical design exploits the contrast between the eccentricities used in standard versus probe trials. On standard trials (1.5° eccentricity), global orientation pooling across the array is ambiguous — items are close enough to fixation that peripheral pooling cannot reliably extract a majority orientation signal without item-by-item attention. The grouping search algorithm must operate locally.</w:t>
      </w:r>
    </w:p>
    <w:p>
      <w:pPr>
        <w:spacing w:after="80"/>
      </w:pPr>
    </w:p>
    <w:p>
      <w:pPr>
        <w:spacing w:after="160"/>
      </w:pPr>
      <w:r>
        <w:rPr>
          <w:rFonts w:ascii="Arial" w:cs="Arial" w:eastAsia="Arial" w:hAnsi="Arial"/>
          <w:b w:val="false"/>
          <w:bCs w:val="false"/>
          <w:color w:val="0A0A0A"/>
          <w:sz w:val="20"/>
          <w:szCs w:val="20"/>
        </w:rPr>
        <w:t xml:space="preserve">On probe trials, patches are arranged at 3.5° eccentricity. At this eccentricity, global orientation pooling across the octagon array becomes reliably available as an automatic peripheral response. The visual system's global form mechanisms — operating via V2/V4 and the texture discrimination pathway — extract a majority orientation signal from the array without requiring focal attention to individual items.</w:t>
      </w:r>
    </w:p>
    <w:p>
      <w:pPr>
        <w:spacing w:after="80"/>
      </w:pPr>
    </w:p>
    <w:p>
      <w:pPr>
        <w:spacing w:after="160"/>
      </w:pPr>
      <w:r>
        <w:rPr>
          <w:rFonts w:ascii="Arial" w:cs="Arial" w:eastAsia="Arial" w:hAnsi="Arial"/>
          <w:b w:val="false"/>
          <w:bCs w:val="false"/>
          <w:color w:val="0A0A0A"/>
          <w:sz w:val="20"/>
          <w:szCs w:val="20"/>
        </w:rPr>
        <w:t xml:space="preserve">Critically, when the cue specifies orientation but the relevant dimension is luminance, this global orientation pooling generates a strong, fast, automatic response in the wrong direction. The probe trial therefore requires two simultaneous operations:</w:t>
      </w:r>
    </w:p>
    <w:p>
      <w:pPr>
        <w:pStyle w:val="ListParagraph"/>
        <w:numPr>
          <w:ilvl w:val="0"/>
          <w:numId w:val="3"/>
        </w:numPr>
        <w:spacing w:after="80"/>
      </w:pPr>
      <w:r>
        <w:rPr>
          <w:rFonts w:ascii="Arial" w:cs="Arial" w:eastAsia="Arial" w:hAnsi="Arial"/>
          <w:color w:val="0A0A0A"/>
          <w:sz w:val="20"/>
          <w:szCs w:val="20"/>
        </w:rPr>
        <w:t xml:space="preserve">Suppress the salient automatic global pooling response in the cued (wrong) dimension.</w:t>
      </w:r>
    </w:p>
    <w:p>
      <w:pPr>
        <w:pStyle w:val="ListParagraph"/>
        <w:numPr>
          <w:ilvl w:val="0"/>
          <w:numId w:val="3"/>
        </w:numPr>
        <w:spacing w:after="80"/>
      </w:pPr>
      <w:r>
        <w:rPr>
          <w:rFonts w:ascii="Arial" w:cs="Arial" w:eastAsia="Arial" w:hAnsi="Arial"/>
          <w:color w:val="0A0A0A"/>
          <w:sz w:val="20"/>
          <w:szCs w:val="20"/>
        </w:rPr>
        <w:t xml:space="preserve">Activate local item-by-item grouping search in the actual signal dimension (luminance or SF), which does not benefit from the same global pooling shortcut.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1A6A" w:sz="12"/>
              <w:bottom w:val="none" w:color="FFFFFF" w:sz="0"/>
              <w:right w:val="none" w:color="FFFFFF" w:sz="0"/>
            </w:tcBorders>
            <w:shd w:fill="EAD8F5" w:val="clear"/>
            <w:tcMar>
              <w:top w:type="dxa" w:w="120"/>
              <w:left w:type="dxa" w:w="200"/>
              <w:bottom w:type="dxa" w:w="120"/>
              <w:right w:type="dxa" w:w="200"/>
            </w:tcMar>
          </w:tcPr>
          <w:p>
            <w:pPr>
              <w:spacing w:after="0"/>
            </w:pPr>
            <w:r>
              <w:rPr>
                <w:rFonts w:ascii="Arial" w:cs="Arial" w:eastAsia="Arial" w:hAnsi="Arial"/>
                <w:color w:val="0A0A0A"/>
                <w:sz w:val="19"/>
                <w:szCs w:val="19"/>
              </w:rPr>
              <w:t xml:space="preserve">This is a more precise operationalisation of the arm-suspension mechanism than dimension-shift alone. It is not merely that the constraint arm's current strategy is searching the wrong dimension — a strong subcortical automatic response is actively pulling in the wrong direction and must be overridden. The probe trial is a miniature version of Transition Event 2 (GP bifurcation response): the system must suppress a compelling automated response before genuine FPCN-B search can operate.</w:t>
            </w:r>
          </w:p>
        </w:tc>
      </w:tr>
    </w:tbl>
    <w:p>
      <w:pPr>
        <w:spacing w:after="80"/>
      </w:pPr>
    </w:p>
    <w:p>
      <w:pPr>
        <w:pStyle w:val="Heading3"/>
        <w:spacing w:after="80" w:before="240"/>
      </w:pPr>
      <w:r>
        <w:rPr>
          <w:rFonts w:ascii="Arial" w:cs="Arial" w:eastAsia="Arial" w:hAnsi="Arial"/>
          <w:b/>
          <w:bCs/>
          <w:color w:val="3A3A3C"/>
          <w:sz w:val="22"/>
          <w:szCs w:val="22"/>
        </w:rPr>
        <w:t xml:space="preserve">Probe trial regime signatures</w:t>
      </w:r>
    </w:p>
    <w:p>
      <w:pPr>
        <w:spacing w:after="160"/>
      </w:pPr>
      <w:r>
        <w:rPr>
          <w:rFonts w:ascii="Arial" w:cs="Arial" w:eastAsia="Arial" w:hAnsi="Arial"/>
          <w:b w:val="false"/>
          <w:bCs w:val="false"/>
          <w:color w:val="0A0A0A"/>
          <w:sz w:val="20"/>
          <w:szCs w:val="20"/>
        </w:rPr>
        <w:t xml:space="preserve">The combination of dimension shift and global pooling suppression produces distinct RT and accuracy signatures for each regime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700"/>
        <w:gridCol w:w="2550"/>
        <w:gridCol w:w="2550"/>
      </w:tblGrid>
      <w:tr>
        <w:tc>
          <w:tcPr>
            <w:tcW w:type="dxa" w:w="15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270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RT pattern</w:t>
            </w:r>
          </w:p>
        </w:tc>
        <w:tc>
          <w:tcPr>
            <w:tcW w:type="dxa" w:w="255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Accuracy pattern</w:t>
            </w:r>
          </w:p>
        </w:tc>
        <w:tc>
          <w:tcPr>
            <w:tcW w:type="dxa" w:w="255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Mechanism</w:t>
            </w:r>
          </w:p>
        </w:tc>
      </w:tr>
      <w:tr>
        <w:tc>
          <w:tcPr>
            <w:tcW w:type="dxa" w:w="1560"/>
            <w:tcBorders>
              <w:top w:val="single" w:color="3A3A3C" w:sz="1"/>
              <w:left w:val="single" w:color="3A3A3C" w:sz="1"/>
              <w:bottom w:val="single" w:color="3A3A3C" w:sz="1"/>
              <w:right w:val="single" w:color="3A3A3C" w:sz="1"/>
            </w:tcBorders>
            <w:shd w:fill="D0F0D8" w:val="clear"/>
            <w:tcMar>
              <w:top w:type="dxa" w:w="100"/>
              <w:left w:type="dxa" w:w="140"/>
              <w:bottom w:type="dxa" w:w="100"/>
              <w:right w:type="dxa" w:w="140"/>
            </w:tcMar>
            <w:vAlign w:val="center"/>
          </w:tcPr>
          <w:p>
            <w:r>
              <w:rPr>
                <w:rFonts w:ascii="Arial" w:cs="Arial" w:eastAsia="Arial" w:hAnsi="Arial"/>
                <w:b/>
                <w:bCs/>
                <w:color w:val="1A5C2A"/>
                <w:sz w:val="18"/>
                <w:szCs w:val="18"/>
              </w:rPr>
              <w:t xml:space="preserve">IN THE ZONE</w:t>
            </w:r>
          </w:p>
        </w:tc>
        <w:tc>
          <w:tcPr>
            <w:tcW w:type="dxa" w:w="27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Moderately slower than standard; single-peak RT distribution</w:t>
            </w:r>
          </w:p>
        </w:tc>
        <w:tc>
          <w:tcPr>
            <w:tcW w:type="dxa" w:w="255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Fast recovery to above-chance on correct dimension within 2–3 trials</w:t>
            </w:r>
          </w:p>
        </w:tc>
        <w:tc>
          <w:tcPr>
            <w:tcW w:type="dxa" w:w="255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Global pooling detected and suppressed cleanly; FPCN-B activates and finds correct dimension; consolidation rapid</w:t>
            </w:r>
          </w:p>
        </w:tc>
      </w:tr>
      <w:tr>
        <w:tc>
          <w:tcPr>
            <w:tcW w:type="dxa" w:w="1560"/>
            <w:tcBorders>
              <w:top w:val="single" w:color="3A3A3C" w:sz="1"/>
              <w:left w:val="single" w:color="3A3A3C" w:sz="1"/>
              <w:bottom w:val="single" w:color="3A3A3C" w:sz="1"/>
              <w:right w:val="single" w:color="3A3A3C" w:sz="1"/>
            </w:tcBorders>
            <w:shd w:fill="F2F2F7" w:val="clear"/>
            <w:tcMar>
              <w:top w:type="dxa" w:w="100"/>
              <w:left w:type="dxa" w:w="140"/>
              <w:bottom w:type="dxa" w:w="100"/>
              <w:right w:type="dxa" w:w="140"/>
            </w:tcMar>
            <w:vAlign w:val="center"/>
          </w:tcPr>
          <w:p>
            <w:r>
              <w:rPr>
                <w:rFonts w:ascii="Arial" w:cs="Arial" w:eastAsia="Arial" w:hAnsi="Arial"/>
                <w:b/>
                <w:bCs/>
                <w:color w:val="3A3A3C"/>
                <w:sz w:val="18"/>
                <w:szCs w:val="18"/>
              </w:rPr>
              <w:t xml:space="preserve">FLAT</w:t>
            </w:r>
          </w:p>
        </w:tc>
        <w:tc>
          <w:tcPr>
            <w:tcW w:type="dxa" w:w="27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Equal to or faster than standard trials; low RT variance</w:t>
            </w:r>
          </w:p>
        </w:tc>
        <w:tc>
          <w:tcPr>
            <w:tcW w:type="dxa" w:w="255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Poor on probe trial itself; normal on subsequent standard trials</w:t>
            </w:r>
          </w:p>
        </w:tc>
        <w:tc>
          <w:tcPr>
            <w:tcW w:type="dxa" w:w="255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Automatic global pooling response executes without bifurcation competition; no override attempted; system defaults to pooling answer</w:t>
            </w:r>
          </w:p>
        </w:tc>
      </w:tr>
      <w:tr>
        <w:tc>
          <w:tcPr>
            <w:tcW w:type="dxa" w:w="1560"/>
            <w:tcBorders>
              <w:top w:val="single" w:color="3A3A3C" w:sz="1"/>
              <w:left w:val="single" w:color="3A3A3C" w:sz="1"/>
              <w:bottom w:val="single" w:color="3A3A3C" w:sz="1"/>
              <w:right w:val="single" w:color="3A3A3C" w:sz="1"/>
            </w:tcBorders>
            <w:shd w:fill="D0E4F7" w:val="clear"/>
            <w:tcMar>
              <w:top w:type="dxa" w:w="100"/>
              <w:left w:type="dxa" w:w="140"/>
              <w:bottom w:type="dxa" w:w="100"/>
              <w:right w:type="dxa" w:w="140"/>
            </w:tcMar>
            <w:vAlign w:val="center"/>
          </w:tcPr>
          <w:p>
            <w:r>
              <w:rPr>
                <w:rFonts w:ascii="Arial" w:cs="Arial" w:eastAsia="Arial" w:hAnsi="Arial"/>
                <w:b/>
                <w:bCs/>
                <w:color w:val="1A4A7A"/>
                <w:sz w:val="18"/>
                <w:szCs w:val="18"/>
              </w:rPr>
              <w:t xml:space="preserve">LOCKED IN</w:t>
            </w:r>
          </w:p>
        </w:tc>
        <w:tc>
          <w:tcPr>
            <w:tcW w:type="dxa" w:w="27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Bimodal RT distribution: one fast peak (pooling response fires), one slow peak (eventual override); high RT variance</w:t>
            </w:r>
          </w:p>
        </w:tc>
        <w:tc>
          <w:tcPr>
            <w:tcW w:type="dxa" w:w="255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One or two incorrect responses followed by correct recovery; slow but eventual</w:t>
            </w:r>
          </w:p>
        </w:tc>
        <w:tc>
          <w:tcPr>
            <w:tcW w:type="dxa" w:w="255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MI-dominant system preferentially executes the schema-consistent fast pooling response; override occurs only after repeated failure signal; schema-perseverative</w:t>
            </w:r>
          </w:p>
        </w:tc>
      </w:tr>
      <w:tr>
        <w:tc>
          <w:tcPr>
            <w:tcW w:type="dxa" w:w="1560"/>
            <w:tcBorders>
              <w:top w:val="single" w:color="3A3A3C" w:sz="1"/>
              <w:left w:val="single" w:color="3A3A3C" w:sz="1"/>
              <w:bottom w:val="single" w:color="3A3A3C" w:sz="1"/>
              <w:right w:val="single" w:color="3A3A3C" w:sz="1"/>
            </w:tcBorders>
            <w:shd w:fill="F7D0D0" w:val="clear"/>
            <w:tcMar>
              <w:top w:type="dxa" w:w="100"/>
              <w:left w:type="dxa" w:w="140"/>
              <w:bottom w:type="dxa" w:w="100"/>
              <w:right w:type="dxa" w:w="140"/>
            </w:tcMar>
            <w:vAlign w:val="center"/>
          </w:tcPr>
          <w:p>
            <w:r>
              <w:rPr>
                <w:rFonts w:ascii="Arial" w:cs="Arial" w:eastAsia="Arial" w:hAnsi="Arial"/>
                <w:b/>
                <w:bCs/>
                <w:color w:val="8B1A1A"/>
                <w:sz w:val="18"/>
                <w:szCs w:val="18"/>
              </w:rPr>
              <w:t xml:space="preserve">SPUN OUT</w:t>
            </w:r>
          </w:p>
        </w:tc>
        <w:tc>
          <w:tcPr>
            <w:tcW w:type="dxa" w:w="27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Slower than standard; high RT variance; no bimodal structure</w:t>
            </w:r>
          </w:p>
        </w:tc>
        <w:tc>
          <w:tcPr>
            <w:tcW w:type="dxa" w:w="255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Correct dimension detected quickly; accuracy on correct dimension fails to stabilise in subsequent trials</w:t>
            </w:r>
          </w:p>
        </w:tc>
        <w:tc>
          <w:tcPr>
            <w:tcW w:type="dxa" w:w="255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Entropy arm finds correct dimension rapidly; mutual information arm cannot apply sufficient constraint to consolidate — fast detection, failed exploitation</w:t>
            </w:r>
          </w:p>
        </w:tc>
      </w:tr>
    </w:tbl>
    <w:p>
      <w:pPr>
        <w:spacing w:after="160"/>
      </w:pPr>
    </w:p>
    <w:p>
      <w:pPr>
        <w:spacing w:after="160"/>
      </w:pPr>
      <w:r>
        <w:rPr>
          <w:rFonts w:ascii="Arial" w:cs="Arial" w:eastAsia="Arial" w:hAnsi="Arial"/>
          <w:b w:val="false"/>
          <w:bCs w:val="false"/>
          <w:color w:val="0A0A0A"/>
          <w:sz w:val="20"/>
          <w:szCs w:val="20"/>
        </w:rPr>
        <w:t xml:space="preserve">Maximum 5 probe trials per session. Minimum 8 standard trials between consecutive probes to prevent probe adaptation. The eccentricity shift from 1.5° to 3.5° is implemented by scaling the octagon radius in the WebGL coordinate system — no structural change to the trial flow is required.</w:t>
      </w:r>
    </w:p>
    <w:p>
      <w:pPr>
        <w:pStyle w:val="Heading2"/>
        <w:pBdr>
          <w:bottom w:val="single" w:color="B8860B" w:sz="4" w:space="4"/>
        </w:pBdr>
        <w:spacing w:after="120" w:before="360"/>
      </w:pPr>
      <w:r>
        <w:rPr>
          <w:rFonts w:ascii="Arial" w:cs="Arial" w:eastAsia="Arial" w:hAnsi="Arial"/>
          <w:b/>
          <w:bCs/>
          <w:color w:val="1A4A7A"/>
          <w:sz w:val="26"/>
          <w:szCs w:val="26"/>
        </w:rPr>
        <w:t xml:space="preserve">2.4  The Adaptive CAT Procedure</w:t>
      </w:r>
    </w:p>
    <w:p>
      <w:pPr>
        <w:spacing w:after="160"/>
      </w:pPr>
      <w:r>
        <w:rPr>
          <w:rFonts w:ascii="Arial" w:cs="Arial" w:eastAsia="Arial" w:hAnsi="Arial"/>
          <w:b w:val="false"/>
          <w:bCs w:val="false"/>
          <w:color w:val="0A0A0A"/>
          <w:sz w:val="20"/>
          <w:szCs w:val="20"/>
        </w:rPr>
        <w:t xml:space="preserve">The CAT procedure follows He et al. (2021) with three modifications for the regime-diagnostic function:</w:t>
      </w:r>
    </w:p>
    <w:p>
      <w:pPr>
        <w:spacing w:after="80"/>
      </w:pPr>
    </w:p>
    <w:p>
      <w:pPr>
        <w:pStyle w:val="ListParagraph"/>
        <w:numPr>
          <w:ilvl w:val="0"/>
          <w:numId w:val="3"/>
        </w:numPr>
        <w:spacing w:after="80"/>
      </w:pPr>
      <w:r>
        <w:rPr>
          <w:rFonts w:ascii="Arial" w:cs="Arial" w:eastAsia="Arial" w:hAnsi="Arial"/>
          <w:color w:val="0A0A0A"/>
          <w:sz w:val="20"/>
          <w:szCs w:val="20"/>
        </w:rPr>
        <w:t xml:space="preserve">Session opening sweep (10 trials): conditions sampled across the full difficulty range rather than concentrated at the CCC boundary, to initialise ξ and δ estimates before switching to boundary-concentrated CAT selection.</w:t>
      </w:r>
    </w:p>
    <w:p>
      <w:pPr>
        <w:pStyle w:val="ListParagraph"/>
        <w:numPr>
          <w:ilvl w:val="0"/>
          <w:numId w:val="3"/>
        </w:numPr>
        <w:spacing w:after="80"/>
      </w:pPr>
      <w:r>
        <w:rPr>
          <w:rFonts w:ascii="Arial" w:cs="Arial" w:eastAsia="Arial" w:hAnsi="Arial"/>
          <w:color w:val="0A0A0A"/>
          <w:sz w:val="20"/>
          <w:szCs w:val="20"/>
        </w:rPr>
        <w:t xml:space="preserve">Regime-adaptive condition selection: once regime classification is active (session 3+), the CAT selection rule is modulated by current regime state. Flat: select above CCC boundary. Spun Out: select below CCC boundary. Locked In: introduce novel feature dimension. In the Zone: standard boundary selection.</w:t>
      </w:r>
    </w:p>
    <w:p>
      <w:pPr>
        <w:pStyle w:val="ListParagraph"/>
        <w:numPr>
          <w:ilvl w:val="0"/>
          <w:numId w:val="3"/>
        </w:numPr>
        <w:spacing w:after="80"/>
      </w:pPr>
      <w:r>
        <w:rPr>
          <w:rFonts w:ascii="Arial" w:cs="Arial" w:eastAsia="Arial" w:hAnsi="Arial"/>
          <w:color w:val="0A0A0A"/>
          <w:sz w:val="20"/>
          <w:szCs w:val="20"/>
        </w:rPr>
        <w:t xml:space="preserve">Probe insertion: triggered by SE(CCC) &lt; 0.03, with minimum 8 standard trials between probes to prevent probe adaptation. Maximum 5 probes per session.</w:t>
      </w:r>
    </w:p>
    <w:p>
      <w:pPr>
        <w:spacing w:after="240"/>
      </w:pPr>
    </w:p>
    <w:p>
      <w:pPr>
        <w:pStyle w:val="Heading1"/>
        <w:spacing w:after="160" w:before="480"/>
      </w:pPr>
      <w:r>
        <w:rPr>
          <w:rFonts w:ascii="Arial" w:cs="Arial" w:eastAsia="Arial" w:hAnsi="Arial"/>
          <w:b/>
          <w:bCs/>
          <w:color w:val="0A0A0A"/>
          <w:sz w:val="36"/>
          <w:szCs w:val="36"/>
        </w:rPr>
        <w:t xml:space="preserve">3.  Regime Classification Algorithm</w:t>
      </w:r>
    </w:p>
    <w:p>
      <w:pPr>
        <w:pStyle w:val="Heading2"/>
        <w:pBdr>
          <w:bottom w:val="single" w:color="B8860B" w:sz="4" w:space="4"/>
        </w:pBdr>
        <w:spacing w:after="120" w:before="360"/>
      </w:pPr>
      <w:r>
        <w:rPr>
          <w:rFonts w:ascii="Arial" w:cs="Arial" w:eastAsia="Arial" w:hAnsi="Arial"/>
          <w:b/>
          <w:bCs/>
          <w:color w:val="1A4A7A"/>
          <w:sz w:val="26"/>
          <w:szCs w:val="26"/>
        </w:rPr>
        <w:t xml:space="preserve">3.1  Real-Time Estimation</w:t>
      </w:r>
    </w:p>
    <w:p>
      <w:pPr>
        <w:spacing w:after="160"/>
      </w:pPr>
      <w:r>
        <w:rPr>
          <w:rFonts w:ascii="Arial" w:cs="Arial" w:eastAsia="Arial" w:hAnsi="Arial"/>
          <w:b w:val="false"/>
          <w:bCs w:val="false"/>
          <w:color w:val="0A0A0A"/>
          <w:sz w:val="20"/>
          <w:szCs w:val="20"/>
        </w:rPr>
        <w:t xml:space="preserve">Three running estimates are computed from a rolling 20-trial window after every trial:</w:t>
      </w:r>
    </w:p>
    <w:p>
      <w:pPr>
        <w:spacing w:after="80"/>
      </w:pPr>
    </w:p>
    <w:p>
      <w:pPr>
        <w:spacing w:after="120"/>
      </w:pPr>
      <w:r>
        <w:rPr>
          <w:rFonts w:ascii="Arial" w:cs="Arial" w:eastAsia="Arial" w:hAnsi="Arial"/>
          <w:b/>
          <w:bCs/>
          <w:color w:val="1A4A7A"/>
          <w:sz w:val="20"/>
          <w:szCs w:val="20"/>
        </w:rPr>
        <w:t xml:space="preserve">Residual stream:  </w:t>
      </w:r>
      <w:r>
        <w:rPr>
          <w:rFonts w:ascii="Arial" w:cs="Arial" w:eastAsia="Arial" w:hAnsi="Arial"/>
          <w:color w:val="0A0A0A"/>
          <w:sz w:val="20"/>
          <w:szCs w:val="20"/>
        </w:rPr>
        <w:t xml:space="preserve">Observed accuracy minus model-predicted E[accuracy] at each trial's condition. Sign and variance determine initial regime screening: positive low-variance → Flat or Locked In; negative low-variance → Locked In outside schema; high variance → Spun Out; near-zero low-variance → candidate In the Zone.</w:t>
      </w:r>
    </w:p>
    <w:p>
      <w:pPr>
        <w:spacing w:after="120"/>
      </w:pPr>
      <w:r>
        <w:rPr>
          <w:rFonts w:ascii="Arial" w:cs="Arial" w:eastAsia="Arial" w:hAnsi="Arial"/>
          <w:b/>
          <w:bCs/>
          <w:color w:val="1A4A7A"/>
          <w:sz w:val="20"/>
          <w:szCs w:val="20"/>
        </w:rPr>
        <w:t xml:space="preserve">ξ estimate:  </w:t>
      </w:r>
      <w:r>
        <w:rPr>
          <w:rFonts w:ascii="Arial" w:cs="Arial" w:eastAsia="Arial" w:hAnsi="Arial"/>
          <w:color w:val="0A0A0A"/>
          <w:sz w:val="20"/>
          <w:szCs w:val="20"/>
        </w:rPr>
        <w:t xml:space="preserve">First derivative of the accuracy-by-information-rate function estimated from the rolling window via local linear regression. Near-zero (steep slope) → In the Zone candidate. Flat slope → Flat or Spun Out. Steep with schema cliff → Locked In.</w:t>
      </w:r>
    </w:p>
    <w:p>
      <w:pPr>
        <w:spacing w:after="120"/>
      </w:pPr>
      <w:r>
        <w:rPr>
          <w:rFonts w:ascii="Arial" w:cs="Arial" w:eastAsia="Arial" w:hAnsi="Arial"/>
          <w:b/>
          <w:bCs/>
          <w:color w:val="1A4A7A"/>
          <w:sz w:val="20"/>
          <w:szCs w:val="20"/>
        </w:rPr>
        <w:t xml:space="preserve">δ estimate:  </w:t>
      </w:r>
      <w:r>
        <w:rPr>
          <w:rFonts w:ascii="Arial" w:cs="Arial" w:eastAsia="Arial" w:hAnsi="Arial"/>
          <w:color w:val="0A0A0A"/>
          <w:sz w:val="20"/>
          <w:szCs w:val="20"/>
        </w:rPr>
        <w:t xml:space="preserve">RT asymmetry ratio: median RT on hard incongruent conditions (3:2) divided by median RT on easy conditions (4:1 and 2:1) within the same set size. High ratio (&gt;2.0) → MI-dominant tilt (Locked In). Low ratio (&lt;1.3) → entropy-dominant tilt (Spun Out or In the Zone depending on ξ).</w:t>
      </w:r>
    </w:p>
    <w:p>
      <w:pPr>
        <w:spacing w:after="120"/>
      </w:pPr>
      <w:r>
        <w:rPr>
          <w:rFonts w:ascii="Arial" w:cs="Arial" w:eastAsia="Arial" w:hAnsi="Arial"/>
          <w:b/>
          <w:bCs/>
          <w:color w:val="1A4A7A"/>
          <w:sz w:val="20"/>
          <w:szCs w:val="20"/>
        </w:rPr>
        <w:t xml:space="preserve">Probe RT pattern:  </w:t>
      </w:r>
      <w:r>
        <w:rPr>
          <w:rFonts w:ascii="Arial" w:cs="Arial" w:eastAsia="Arial" w:hAnsi="Arial"/>
          <w:color w:val="0A0A0A"/>
          <w:sz w:val="20"/>
          <w:szCs w:val="20"/>
        </w:rPr>
        <w:t xml:space="preserve">Computed per probe event — probe trial RT relative to the preceding 5-trial standard RT baseline, plus RT distribution shape (unimodal vs bimodal) and post-probe accuracy recovery rate. Four signatures: (1) moderately slower + unimodal + fast recovery → In the Zone; (2) equal or faster + unimodal + no recovery attempt → Flat (global pooling executed without override); (3) bimodal with fast peak then slow peak + eventual recovery → Locked In (pooling response fires then overridden); (4) slower + unimodal + fast detection then failed consolidation → Spun Out. This estimate carries the highest single-trial diagnostic weight of the four running estimates and is the primary discriminator between Flat and Locked In, which standard trial metrics cannot cleanly separate.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1A6A" w:sz="12"/>
              <w:bottom w:val="none" w:color="FFFFFF" w:sz="0"/>
              <w:right w:val="none" w:color="FFFFFF" w:sz="0"/>
            </w:tcBorders>
            <w:shd w:fill="EAD8F5" w:val="clear"/>
            <w:tcMar>
              <w:top w:type="dxa" w:w="120"/>
              <w:left w:type="dxa" w:w="200"/>
              <w:bottom w:type="dxa" w:w="120"/>
              <w:right w:type="dxa" w:w="200"/>
            </w:tcMar>
          </w:tcPr>
          <w:p>
            <w:pPr>
              <w:spacing w:after="0"/>
            </w:pPr>
            <w:r>
              <w:rPr>
                <w:rFonts w:ascii="Arial" w:cs="Arial" w:eastAsia="Arial" w:hAnsi="Arial"/>
                <w:color w:val="0A0A0A"/>
                <w:sz w:val="19"/>
                <w:szCs w:val="19"/>
              </w:rPr>
              <w:t xml:space="preserve">The regime classifier is a decision tree over the three running estimates plus the probe trial signatures, not a continuous model. This is intentional: the cusp geometry describes qualitative regime transitions, and a discrete classifier is more appropriate than a regression model that implies continuous gradation between regimes.</w:t>
            </w:r>
          </w:p>
        </w:tc>
      </w:tr>
    </w:tbl>
    <w:p>
      <w:pPr>
        <w:pStyle w:val="Heading2"/>
        <w:pBdr>
          <w:bottom w:val="single" w:color="B8860B" w:sz="4" w:space="4"/>
        </w:pBdr>
        <w:spacing w:after="120" w:before="360"/>
      </w:pPr>
      <w:r>
        <w:rPr>
          <w:rFonts w:ascii="Arial" w:cs="Arial" w:eastAsia="Arial" w:hAnsi="Arial"/>
          <w:b/>
          <w:bCs/>
          <w:color w:val="1A4A7A"/>
          <w:sz w:val="26"/>
          <w:szCs w:val="26"/>
        </w:rPr>
        <w:t xml:space="preserve">3.2  Bayesian Longitudinal Posterior</w:t>
      </w:r>
    </w:p>
    <w:p>
      <w:pPr>
        <w:spacing w:after="160"/>
      </w:pPr>
      <w:r>
        <w:rPr>
          <w:rFonts w:ascii="Arial" w:cs="Arial" w:eastAsia="Arial" w:hAnsi="Arial"/>
          <w:b w:val="false"/>
          <w:bCs w:val="false"/>
          <w:color w:val="0A0A0A"/>
          <w:sz w:val="20"/>
          <w:szCs w:val="20"/>
        </w:rPr>
        <w:t xml:space="preserve">Across sessions, a per-user Bayesian posterior over characteristic ξ and δ is maintained. Each session's regime classification votes update the posterior. Confidence in the regime classification output is reported as the posterior probability of the classified regime, not as a point estimate.</w:t>
      </w:r>
    </w:p>
    <w:p>
      <w:pPr>
        <w:spacing w:after="80"/>
      </w:pPr>
    </w:p>
    <w:p>
      <w:pPr>
        <w:spacing w:after="160"/>
      </w:pPr>
      <w:r>
        <w:rPr>
          <w:rFonts w:ascii="Arial" w:cs="Arial" w:eastAsia="Arial" w:hAnsi="Arial"/>
          <w:b w:val="false"/>
          <w:bCs w:val="false"/>
          <w:color w:val="0A0A0A"/>
          <w:sz w:val="20"/>
          <w:szCs w:val="20"/>
        </w:rPr>
        <w:t xml:space="preserve">The posterior enables three longitudinal metrics visible in the user dashboard: characteristic regime (modal classification across sessions), regime stability (posterior entropy — low means consistent, high means variable), and trajectory (directional drift of ξ and δ estimates across sessions — the training signal).</w:t>
      </w:r>
    </w:p>
    <w:p>
      <w:pPr>
        <w:spacing w:after="240"/>
      </w:pPr>
    </w:p>
    <w:p>
      <w:pPr>
        <w:pStyle w:val="Heading1"/>
        <w:spacing w:after="160" w:before="480"/>
      </w:pPr>
      <w:r>
        <w:rPr>
          <w:rFonts w:ascii="Arial" w:cs="Arial" w:eastAsia="Arial" w:hAnsi="Arial"/>
          <w:b/>
          <w:bCs/>
          <w:color w:val="0A0A0A"/>
          <w:sz w:val="36"/>
          <w:szCs w:val="36"/>
        </w:rPr>
        <w:t xml:space="preserve">4.  Session Flow &amp; Gamification</w:t>
      </w:r>
    </w:p>
    <w:p>
      <w:pPr>
        <w:pStyle w:val="Heading2"/>
        <w:pBdr>
          <w:bottom w:val="single" w:color="B8860B" w:sz="4" w:space="4"/>
        </w:pBdr>
        <w:spacing w:after="120" w:before="360"/>
      </w:pPr>
      <w:r>
        <w:rPr>
          <w:rFonts w:ascii="Arial" w:cs="Arial" w:eastAsia="Arial" w:hAnsi="Arial"/>
          <w:b/>
          <w:bCs/>
          <w:color w:val="1A4A7A"/>
          <w:sz w:val="26"/>
          <w:szCs w:val="26"/>
        </w:rPr>
        <w:t xml:space="preserve">4.1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A" w:sz="12"/>
              <w:bottom w:val="none" w:color="FFFFFF" w:sz="0"/>
              <w:right w:val="none" w:color="FFFFFF" w:sz="0"/>
            </w:tcBorders>
            <w:shd w:fill="D0F0D8" w:val="clear"/>
            <w:tcMar>
              <w:top w:type="dxa" w:w="120"/>
              <w:left w:type="dxa" w:w="200"/>
              <w:bottom w:type="dxa" w:w="120"/>
              <w:right w:type="dxa" w:w="200"/>
            </w:tcMar>
          </w:tcPr>
          <w:p>
            <w:pPr>
              <w:spacing w:after="0"/>
            </w:pPr>
            <w:r>
              <w:rPr>
                <w:rFonts w:ascii="Arial" w:cs="Arial" w:eastAsia="Arial" w:hAnsi="Arial"/>
                <w:color w:val="0A0A0A"/>
                <w:sz w:val="19"/>
                <w:szCs w:val="19"/>
              </w:rPr>
              <w:t xml:space="preserve">Gamification is structural, not cosmetic. The game mechanics are the task mechanics — the engagement loop is generated by the same dynamics that make the training work. The target state (In the Zone) is made intrinsically rewarding by making it the explicit game goal, visible in real time.</w:t>
            </w:r>
          </w:p>
        </w:tc>
      </w:tr>
    </w:tbl>
    <w:p>
      <w:pPr>
        <w:spacing w:after="160"/>
      </w:pPr>
    </w:p>
    <w:p>
      <w:pPr>
        <w:pStyle w:val="Heading2"/>
        <w:pBdr>
          <w:bottom w:val="single" w:color="B8860B" w:sz="4" w:space="4"/>
        </w:pBdr>
        <w:spacing w:after="120" w:before="360"/>
      </w:pPr>
      <w:r>
        <w:rPr>
          <w:rFonts w:ascii="Arial" w:cs="Arial" w:eastAsia="Arial" w:hAnsi="Arial"/>
          <w:b/>
          <w:bCs/>
          <w:color w:val="1A4A7A"/>
          <w:sz w:val="26"/>
          <w:szCs w:val="26"/>
        </w:rPr>
        <w:t xml:space="preserve">4.2  The Zone Coach Map — Primary Visual</w:t>
      </w:r>
    </w:p>
    <w:p>
      <w:pPr>
        <w:spacing w:after="160"/>
      </w:pPr>
      <w:r>
        <w:rPr>
          <w:rFonts w:ascii="Arial" w:cs="Arial" w:eastAsia="Arial" w:hAnsi="Arial"/>
          <w:b w:val="false"/>
          <w:bCs w:val="false"/>
          <w:color w:val="0A0A0A"/>
          <w:sz w:val="20"/>
          <w:szCs w:val="20"/>
        </w:rPr>
        <w:t xml:space="preserve">The central game visual is a 2D field representing the cusp geometry — ξ on the vertical axis (deep well at top, shallow at centre), δ on the horizontal axis (MI-dominant right, entropy-dominant left). A glowing point represents the user's current estimated regime position, updated every 5 trials.</w:t>
      </w:r>
    </w:p>
    <w:p>
      <w:pPr>
        <w:spacing w:after="80"/>
      </w:pPr>
    </w:p>
    <w:p>
      <w:pPr>
        <w:spacing w:after="160"/>
      </w:pPr>
      <w:r>
        <w:rPr>
          <w:rFonts w:ascii="Arial" w:cs="Arial" w:eastAsia="Arial" w:hAnsi="Arial"/>
          <w:b w:val="false"/>
          <w:bCs w:val="false"/>
          <w:color w:val="0A0A0A"/>
          <w:sz w:val="20"/>
          <w:szCs w:val="20"/>
        </w:rPr>
        <w:t xml:space="preserve">The central region — the Ψ-band — is highlighted with a soft glow. The objective is to navigate the point into the Zone and maintain it there. The visual language is deliberately minimal and abstract: no arrows, no score counters cluttering the stimulus display. The map occupies the inter-trial interval, not the stimulus window.</w:t>
      </w:r>
    </w:p>
    <w:p>
      <w:pPr>
        <w:pStyle w:val="Heading2"/>
        <w:pBdr>
          <w:bottom w:val="single" w:color="B8860B" w:sz="4" w:space="4"/>
        </w:pBdr>
        <w:spacing w:after="120" w:before="360"/>
      </w:pPr>
      <w:r>
        <w:rPr>
          <w:rFonts w:ascii="Arial" w:cs="Arial" w:eastAsia="Arial" w:hAnsi="Arial"/>
          <w:b/>
          <w:bCs/>
          <w:color w:val="1A4A7A"/>
          <w:sz w:val="26"/>
          <w:szCs w:val="26"/>
        </w:rPr>
        <w:t xml:space="preserve">4.3  The Session Arc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2100"/>
        <w:gridCol w:w="2100"/>
      </w:tblGrid>
      <w:tr>
        <w:tc>
          <w:tcPr>
            <w:tcW w:type="dxa" w:w="120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Sessions</w:t>
            </w:r>
          </w:p>
        </w:tc>
        <w:tc>
          <w:tcPr>
            <w:tcW w:type="dxa" w:w="180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216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 Behaviour</w:t>
            </w:r>
          </w:p>
        </w:tc>
        <w:tc>
          <w:tcPr>
            <w:tcW w:type="dxa" w:w="210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Regime Output</w:t>
            </w:r>
          </w:p>
        </w:tc>
        <w:tc>
          <w:tcPr>
            <w:tcW w:type="dxa" w:w="210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User Experience</w:t>
            </w:r>
          </w:p>
        </w:tc>
      </w:tr>
      <w:tr>
        <w:tc>
          <w:tcPr>
            <w:tcW w:type="dxa" w:w="12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1–2</w:t>
            </w:r>
          </w:p>
        </w:tc>
        <w:tc>
          <w:tcPr>
            <w:tcW w:type="dxa" w:w="18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Calibration</w:t>
            </w:r>
          </w:p>
        </w:tc>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Full difficulty sweep (10 trials) + CAT boundary tracking</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Wide posterior; low confidence classification</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Discovering your position in the Zone map</w:t>
            </w:r>
          </w:p>
        </w:tc>
      </w:tr>
      <w:tr>
        <w:tc>
          <w:tcPr>
            <w:tcW w:type="dxa" w:w="12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3–4</w:t>
            </w:r>
          </w:p>
        </w:tc>
        <w:tc>
          <w:tcPr>
            <w:tcW w:type="dxa" w:w="18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Refinement</w:t>
            </w:r>
          </w:p>
        </w:tc>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Bayesian posterior narrowing; regime-adaptive condition selection begins</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Regime classification emerging; inter-session variance informative</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Your Zone signature becoming visible</w:t>
            </w:r>
          </w:p>
        </w:tc>
      </w:tr>
      <w:tr>
        <w:tc>
          <w:tcPr>
            <w:tcW w:type="dxa" w:w="12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A0A0A"/>
                <w:sz w:val="20"/>
                <w:szCs w:val="20"/>
              </w:rPr>
              <w:t xml:space="preserve">5+</w:t>
            </w:r>
          </w:p>
        </w:tc>
        <w:tc>
          <w:tcPr>
            <w:tcW w:type="dxa" w:w="18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Operational</w:t>
            </w:r>
          </w:p>
        </w:tc>
        <w:tc>
          <w:tcPr>
            <w:tcW w:type="dxa" w:w="216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Full regime-adaptive CAT; probe rate modulated by current state</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Reliable regime classification; longitudinal trajectory active</w:t>
            </w:r>
          </w:p>
        </w:tc>
        <w:tc>
          <w:tcPr>
            <w:tcW w:type="dxa" w:w="210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Daily check-in; training targeting your profile</w:t>
            </w:r>
          </w:p>
        </w:tc>
      </w:tr>
    </w:tbl>
    <w:p>
      <w:pPr>
        <w:spacing w:after="160"/>
      </w:pPr>
    </w:p>
    <w:p>
      <w:pPr>
        <w:pStyle w:val="Heading2"/>
        <w:pBdr>
          <w:bottom w:val="single" w:color="B8860B" w:sz="4" w:space="4"/>
        </w:pBdr>
        <w:spacing w:after="120" w:before="360"/>
      </w:pPr>
      <w:r>
        <w:rPr>
          <w:rFonts w:ascii="Arial" w:cs="Arial" w:eastAsia="Arial" w:hAnsi="Arial"/>
          <w:b/>
          <w:bCs/>
          <w:color w:val="1A4A7A"/>
          <w:sz w:val="26"/>
          <w:szCs w:val="26"/>
        </w:rPr>
        <w:t xml:space="preserve">4.4  Engagement Mechanics</w:t>
      </w:r>
    </w:p>
    <w:p>
      <w:pPr>
        <w:pStyle w:val="Heading3"/>
        <w:spacing w:after="80" w:before="240"/>
      </w:pPr>
      <w:r>
        <w:rPr>
          <w:rFonts w:ascii="Arial" w:cs="Arial" w:eastAsia="Arial" w:hAnsi="Arial"/>
          <w:b/>
          <w:bCs/>
          <w:color w:val="3A3A3C"/>
          <w:sz w:val="22"/>
          <w:szCs w:val="22"/>
        </w:rPr>
        <w:t xml:space="preserve">Zone streak</w:t>
      </w:r>
    </w:p>
    <w:p>
      <w:pPr>
        <w:spacing w:after="160"/>
      </w:pPr>
      <w:r>
        <w:rPr>
          <w:rFonts w:ascii="Arial" w:cs="Arial" w:eastAsia="Arial" w:hAnsi="Arial"/>
          <w:b w:val="false"/>
          <w:bCs w:val="false"/>
          <w:color w:val="0A0A0A"/>
          <w:sz w:val="20"/>
          <w:szCs w:val="20"/>
        </w:rPr>
        <w:t xml:space="preserve">Consecutive 5-trial windows classified In the Zone increment a streak counter. Breaking the streak — drifting Flat, Locked In, or Spun Out — ends the streak without penalty framing. Longest streak is the primary session achievement metric, more architecturally honest than accuracy score.</w:t>
      </w:r>
    </w:p>
    <w:p>
      <w:pPr>
        <w:pStyle w:val="Heading3"/>
        <w:spacing w:after="80" w:before="240"/>
      </w:pPr>
      <w:r>
        <w:rPr>
          <w:rFonts w:ascii="Arial" w:cs="Arial" w:eastAsia="Arial" w:hAnsi="Arial"/>
          <w:b/>
          <w:bCs/>
          <w:color w:val="3A3A3C"/>
          <w:sz w:val="22"/>
          <w:szCs w:val="22"/>
        </w:rPr>
        <w:t xml:space="preserve">Probe events</w:t>
      </w:r>
    </w:p>
    <w:p>
      <w:pPr>
        <w:spacing w:after="160"/>
      </w:pPr>
      <w:r>
        <w:rPr>
          <w:rFonts w:ascii="Arial" w:cs="Arial" w:eastAsia="Arial" w:hAnsi="Arial"/>
          <w:b w:val="false"/>
          <w:bCs w:val="false"/>
          <w:color w:val="0A0A0A"/>
          <w:sz w:val="20"/>
          <w:szCs w:val="20"/>
        </w:rPr>
        <w:t xml:space="preserve">Probe trials are signalled by a brief background colour shift (gold pulse, 200 ms) immediately before the trial begins — marking the event as a challenge moment without revealing which dimension will shift. Recovery speed (trials to return to Zone after probe) is tracked and improves visibly over weeks of training.</w:t>
      </w:r>
    </w:p>
    <w:p>
      <w:pPr>
        <w:pStyle w:val="Heading3"/>
        <w:spacing w:after="80" w:before="240"/>
      </w:pPr>
      <w:r>
        <w:rPr>
          <w:rFonts w:ascii="Arial" w:cs="Arial" w:eastAsia="Arial" w:hAnsi="Arial"/>
          <w:b/>
          <w:bCs/>
          <w:color w:val="3A3A3C"/>
          <w:sz w:val="22"/>
          <w:szCs w:val="22"/>
        </w:rPr>
        <w:t xml:space="preserve">Session history heatmap</w:t>
      </w:r>
    </w:p>
    <w:p>
      <w:pPr>
        <w:spacing w:after="160"/>
      </w:pPr>
      <w:r>
        <w:rPr>
          <w:rFonts w:ascii="Arial" w:cs="Arial" w:eastAsia="Arial" w:hAnsi="Arial"/>
          <w:b w:val="false"/>
          <w:bCs w:val="false"/>
          <w:color w:val="0A0A0A"/>
          <w:sz w:val="20"/>
          <w:szCs w:val="20"/>
        </w:rPr>
        <w:t xml:space="preserve">Post-session screen shows a rolling 30-day heatmap of regime states — a grid of coloured dots (green = Zone, grey = Flat, blue = Locked In, red = Spun Out) providing the longitudinal Zone map. The heatmap is the primary cross-session feedback mechanism and the main retention hook.</w:t>
      </w:r>
    </w:p>
    <w:p>
      <w:pPr>
        <w:pStyle w:val="Heading3"/>
        <w:spacing w:after="80" w:before="240"/>
      </w:pPr>
      <w:r>
        <w:rPr>
          <w:rFonts w:ascii="Arial" w:cs="Arial" w:eastAsia="Arial" w:hAnsi="Arial"/>
          <w:b/>
          <w:bCs/>
          <w:color w:val="3A3A3C"/>
          <w:sz w:val="22"/>
          <w:szCs w:val="22"/>
        </w:rPr>
        <w:t xml:space="preserve">Profile reveal (session 5)</w:t>
      </w:r>
    </w:p>
    <w:p>
      <w:pPr>
        <w:spacing w:after="160"/>
      </w:pPr>
      <w:r>
        <w:rPr>
          <w:rFonts w:ascii="Arial" w:cs="Arial" w:eastAsia="Arial" w:hAnsi="Arial"/>
          <w:b w:val="false"/>
          <w:bCs w:val="false"/>
          <w:color w:val="0A0A0A"/>
          <w:sz w:val="20"/>
          <w:szCs w:val="20"/>
        </w:rPr>
        <w:t xml:space="preserve">At session 5, the Bayesian posterior has sufficient confidence to display the user's characteristic regime profile — a named dynamical signature (In the Zone, Flat, Locked In, Spun Out, or Mixed) with a plain-language explanation of what it means and what the training is targeting. This is the re-engagement event that resets the motivation clock at the end of the calibration arc.</w:t>
      </w:r>
    </w:p>
    <w:p>
      <w:pPr>
        <w:pStyle w:val="Heading3"/>
        <w:spacing w:after="80" w:before="240"/>
      </w:pPr>
      <w:r>
        <w:rPr>
          <w:rFonts w:ascii="Arial" w:cs="Arial" w:eastAsia="Arial" w:hAnsi="Arial"/>
          <w:b/>
          <w:bCs/>
          <w:color w:val="3A3A3C"/>
          <w:sz w:val="22"/>
          <w:szCs w:val="22"/>
        </w:rPr>
        <w:t xml:space="preserve">No leaderboards, no peer comparison</w:t>
      </w:r>
    </w:p>
    <w:p>
      <w:pPr>
        <w:spacing w:after="160"/>
      </w:pPr>
      <w:r>
        <w:rPr>
          <w:rFonts w:ascii="Arial" w:cs="Arial" w:eastAsia="Arial" w:hAnsi="Arial"/>
          <w:b w:val="false"/>
          <w:bCs w:val="false"/>
          <w:color w:val="0A0A0A"/>
          <w:sz w:val="20"/>
          <w:szCs w:val="20"/>
        </w:rPr>
        <w:t xml:space="preserve">Zone time and CCC are personal metrics only. Leaderboards would reward absolute CCC level (a trait variable largely outside the user's control) rather than regime navigation quality (the trainable target). Social features, if added in later versions, would compare trajectory gradient — rate of improvement — not absolute level.</w:t>
      </w:r>
    </w:p>
    <w:p>
      <w:pPr>
        <w:spacing w:after="240"/>
      </w:pPr>
    </w:p>
    <w:p>
      <w:pPr>
        <w:pStyle w:val="Heading1"/>
        <w:spacing w:after="160" w:before="480"/>
      </w:pPr>
      <w:r>
        <w:rPr>
          <w:rFonts w:ascii="Arial" w:cs="Arial" w:eastAsia="Arial" w:hAnsi="Arial"/>
          <w:b/>
          <w:bCs/>
          <w:color w:val="0A0A0A"/>
          <w:sz w:val="36"/>
          <w:szCs w:val="36"/>
        </w:rPr>
        <w:t xml:space="preserve">5.  Technical Specification</w:t>
      </w:r>
    </w:p>
    <w:p>
      <w:pPr>
        <w:pStyle w:val="Heading2"/>
        <w:pBdr>
          <w:bottom w:val="single" w:color="B8860B" w:sz="4" w:space="4"/>
        </w:pBdr>
        <w:spacing w:after="120" w:before="360"/>
      </w:pPr>
      <w:r>
        <w:rPr>
          <w:rFonts w:ascii="Arial" w:cs="Arial" w:eastAsia="Arial" w:hAnsi="Arial"/>
          <w:b/>
          <w:bCs/>
          <w:color w:val="1A4A7A"/>
          <w:sz w:val="26"/>
          <w:szCs w:val="26"/>
        </w:rPr>
        <w:t xml:space="preserve">5.1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351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351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Rationale</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Stimulus rendering</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WebGL fragment shaders (GLSL)</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Frame-rate sinusoidal gratings without JS per-pixel cost; orientation/SF/luminance as uniforms</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Trial loop</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requestAnimationFrame + frame counter</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Frame-locked ET; avoids setTimeout jitter; mask fires at exact frame N</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Timing calibration</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Session-start 100-frame measurement</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Detects actual refresh rate (60/90/120Hz); constrains ET to integer frame multiples</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CAT algorithm</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Web Worker (off main thread)</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CCC estimation + condition selection without main thread timing interference</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Data persistence</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Firebase Firestore</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Longitudinal session data; Bayesian posterior per user; cross-device continuity</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Frontend</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React + Tailwind</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Component architecture for session flow; landscape lock enforced</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Backend</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Firebase Functions</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Session aggregation; regime classification; organisational dashboard</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Auth</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Firebase Auth</w:t>
            </w:r>
          </w:p>
        </w:tc>
        <w:tc>
          <w:tcPr>
            <w:tcW w:type="dxa" w:w="351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Anonymous (consumer) + email/SSO (enterprise)</w:t>
            </w:r>
          </w:p>
        </w:tc>
      </w:tr>
    </w:tbl>
    <w:p>
      <w:pPr>
        <w:spacing w:after="160"/>
      </w:pPr>
    </w:p>
    <w:p>
      <w:pPr>
        <w:pStyle w:val="Heading2"/>
        <w:pBdr>
          <w:bottom w:val="single" w:color="B8860B" w:sz="4" w:space="4"/>
        </w:pBdr>
        <w:spacing w:after="120" w:before="360"/>
      </w:pPr>
      <w:r>
        <w:rPr>
          <w:rFonts w:ascii="Arial" w:cs="Arial" w:eastAsia="Arial" w:hAnsi="Arial"/>
          <w:b/>
          <w:bCs/>
          <w:color w:val="1A4A7A"/>
          <w:sz w:val="26"/>
          <w:szCs w:val="26"/>
        </w:rPr>
        <w:t xml:space="preserve">5.2  Timing Architecture</w:t>
      </w:r>
    </w:p>
    <w:p>
      <w:pPr>
        <w:spacing w:after="160"/>
      </w:pPr>
      <w:r>
        <w:rPr>
          <w:rFonts w:ascii="Arial" w:cs="Arial" w:eastAsia="Arial" w:hAnsi="Arial"/>
          <w:b w:val="false"/>
          <w:bCs w:val="false"/>
          <w:color w:val="0A0A0A"/>
          <w:sz w:val="20"/>
          <w:szCs w:val="20"/>
        </w:rPr>
        <w:t xml:space="preserve">Timing precision is the critical engineering constraint. The MFT-M's validity depends on ET accuracy; mobile browser timing variance must be characterised and controlled.</w:t>
      </w:r>
    </w:p>
    <w:p>
      <w:pPr>
        <w:spacing w:after="80"/>
      </w:pPr>
    </w:p>
    <w:p>
      <w:pPr>
        <w:pStyle w:val="ListParagraph"/>
        <w:numPr>
          <w:ilvl w:val="0"/>
          <w:numId w:val="3"/>
        </w:numPr>
        <w:spacing w:after="80"/>
      </w:pPr>
      <w:r>
        <w:rPr>
          <w:rFonts w:ascii="Arial" w:cs="Arial" w:eastAsia="Arial" w:hAnsi="Arial"/>
          <w:color w:val="0A0A0A"/>
          <w:sz w:val="20"/>
          <w:szCs w:val="20"/>
        </w:rPr>
        <w:t xml:space="preserve">Session start: measure actual frame interval over 100 frames via requestAnimationFrame timestamp differences.</w:t>
      </w:r>
    </w:p>
    <w:p>
      <w:pPr>
        <w:pStyle w:val="ListParagraph"/>
        <w:numPr>
          <w:ilvl w:val="0"/>
          <w:numId w:val="3"/>
        </w:numPr>
        <w:spacing w:after="80"/>
      </w:pPr>
      <w:r>
        <w:rPr>
          <w:rFonts w:ascii="Arial" w:cs="Arial" w:eastAsia="Arial" w:hAnsi="Arial"/>
          <w:color w:val="0A0A0A"/>
          <w:sz w:val="20"/>
          <w:szCs w:val="20"/>
        </w:rPr>
        <w:t xml:space="preserve">ET values are rounded to the nearest integer multiple of the measured frame interval. If measured frame interval &gt; 20 ms (&lt; 50 Hz), session is flagged as low quality and user is advised to close background apps.</w:t>
      </w:r>
    </w:p>
    <w:p>
      <w:pPr>
        <w:pStyle w:val="ListParagraph"/>
        <w:numPr>
          <w:ilvl w:val="0"/>
          <w:numId w:val="3"/>
        </w:numPr>
        <w:spacing w:after="80"/>
      </w:pPr>
      <w:r>
        <w:rPr>
          <w:rFonts w:ascii="Arial" w:cs="Arial" w:eastAsia="Arial" w:hAnsi="Arial"/>
          <w:color w:val="0A0A0A"/>
          <w:sz w:val="20"/>
          <w:szCs w:val="20"/>
        </w:rPr>
        <w:t xml:space="preserve">Stimulus onset is scheduled N frames ahead using a frame counter, not setTimeout. Mask fires at exactly frameCount + N_ET frames.</w:t>
      </w:r>
    </w:p>
    <w:p>
      <w:pPr>
        <w:pStyle w:val="ListParagraph"/>
        <w:numPr>
          <w:ilvl w:val="0"/>
          <w:numId w:val="3"/>
        </w:numPr>
        <w:spacing w:after="80"/>
      </w:pPr>
      <w:r>
        <w:rPr>
          <w:rFonts w:ascii="Arial" w:cs="Arial" w:eastAsia="Arial" w:hAnsi="Arial"/>
          <w:color w:val="0A0A0A"/>
          <w:sz w:val="20"/>
          <w:szCs w:val="20"/>
        </w:rPr>
        <w:t xml:space="preserve">Touch response latency: touch-action: manipulation on all interactive elements; fastclick equivalent implemented to eliminate 300 ms tap delay.</w:t>
      </w:r>
    </w:p>
    <w:p>
      <w:pPr>
        <w:pStyle w:val="ListParagraph"/>
        <w:numPr>
          <w:ilvl w:val="0"/>
          <w:numId w:val="3"/>
        </w:numPr>
        <w:spacing w:after="80"/>
      </w:pPr>
      <w:r>
        <w:rPr>
          <w:rFonts w:ascii="Arial" w:cs="Arial" w:eastAsia="Arial" w:hAnsi="Arial"/>
          <w:color w:val="0A0A0A"/>
          <w:sz w:val="20"/>
          <w:szCs w:val="20"/>
        </w:rPr>
        <w:t xml:space="preserve">All timing data (intended ET, actual onset-to-offset frame count, response time) is logged per trial for quality audit.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E6C8" w:val="clear"/>
            <w:tcMar>
              <w:top w:type="dxa" w:w="120"/>
              <w:left w:type="dxa" w:w="200"/>
              <w:bottom w:type="dxa" w:w="120"/>
              <w:right w:type="dxa" w:w="200"/>
            </w:tcMar>
          </w:tcPr>
          <w:p>
            <w:pPr>
              <w:spacing w:after="0"/>
            </w:pPr>
            <w:r>
              <w:rPr>
                <w:rFonts w:ascii="Arial" w:cs="Arial" w:eastAsia="Arial" w:hAnsi="Arial"/>
                <w:color w:val="0A0A0A"/>
                <w:sz w:val="19"/>
                <w:szCs w:val="19"/>
              </w:rPr>
              <w:t xml:space="preserve">Device quality tiers: Tier A (frame jitter SD &lt; 2 ms, refresh rate ≥ 60 Hz) — full task; Tier B (jitter SD 2–5 ms) — task with quality flag; Tier C (jitter SD &gt; 5 ms or refresh &lt; 60 Hz) — session not used for CCC estimation but regime classification from RT patterns still available.</w:t>
            </w:r>
          </w:p>
        </w:tc>
      </w:tr>
    </w:tbl>
    <w:p>
      <w:pPr>
        <w:pStyle w:val="Heading2"/>
        <w:pBdr>
          <w:bottom w:val="single" w:color="B8860B" w:sz="4" w:space="4"/>
        </w:pBdr>
        <w:spacing w:after="120" w:before="360"/>
      </w:pPr>
      <w:r>
        <w:rPr>
          <w:rFonts w:ascii="Arial" w:cs="Arial" w:eastAsia="Arial" w:hAnsi="Arial"/>
          <w:b/>
          <w:bCs/>
          <w:color w:val="1A4A7A"/>
          <w:sz w:val="26"/>
          <w:szCs w:val="26"/>
        </w:rPr>
        <w:t xml:space="preserve">5.3  WebGL Stimulus Renderer</w:t>
      </w:r>
    </w:p>
    <w:p>
      <w:pPr>
        <w:spacing w:after="160"/>
      </w:pPr>
      <w:r>
        <w:rPr>
          <w:rFonts w:ascii="Arial" w:cs="Arial" w:eastAsia="Arial" w:hAnsi="Arial"/>
          <w:b w:val="false"/>
          <w:bCs w:val="false"/>
          <w:color w:val="0A0A0A"/>
          <w:sz w:val="20"/>
          <w:szCs w:val="20"/>
        </w:rPr>
        <w:t xml:space="preserve">Each stimulus patch is rendered as a GLSL fragment shader on a WebGL canvas. Key shader uniforms per patch:</w:t>
      </w:r>
    </w:p>
    <w:p>
      <w:pPr>
        <w:pStyle w:val="ListParagraph"/>
        <w:numPr>
          <w:ilvl w:val="0"/>
          <w:numId w:val="2"/>
        </w:numPr>
        <w:spacing w:after="80"/>
      </w:pPr>
      <w:r>
        <w:rPr>
          <w:rFonts w:ascii="Arial" w:cs="Arial" w:eastAsia="Arial" w:hAnsi="Arial"/>
          <w:color w:val="0A0A0A"/>
          <w:sz w:val="20"/>
          <w:szCs w:val="20"/>
        </w:rPr>
        <w:t xml:space="preserve">u_orientation: float (radians) — grating orientation for orientation trials</w:t>
      </w:r>
    </w:p>
    <w:p>
      <w:pPr>
        <w:pStyle w:val="ListParagraph"/>
        <w:numPr>
          <w:ilvl w:val="0"/>
          <w:numId w:val="2"/>
        </w:numPr>
        <w:spacing w:after="80"/>
      </w:pPr>
      <w:r>
        <w:rPr>
          <w:rFonts w:ascii="Arial" w:cs="Arial" w:eastAsia="Arial" w:hAnsi="Arial"/>
          <w:color w:val="0A0A0A"/>
          <w:sz w:val="20"/>
          <w:szCs w:val="20"/>
        </w:rPr>
        <w:t xml:space="preserve">u_sf: float (cycles/pixel) — spatial frequency for SF trials</w:t>
      </w:r>
    </w:p>
    <w:p>
      <w:pPr>
        <w:pStyle w:val="ListParagraph"/>
        <w:numPr>
          <w:ilvl w:val="0"/>
          <w:numId w:val="2"/>
        </w:numPr>
        <w:spacing w:after="80"/>
      </w:pPr>
      <w:r>
        <w:rPr>
          <w:rFonts w:ascii="Arial" w:cs="Arial" w:eastAsia="Arial" w:hAnsi="Arial"/>
          <w:color w:val="0A0A0A"/>
          <w:sz w:val="20"/>
          <w:szCs w:val="20"/>
        </w:rPr>
        <w:t xml:space="preserve">u_luminance: float (0–1) — luminance level for luminance trials</w:t>
      </w:r>
    </w:p>
    <w:p>
      <w:pPr>
        <w:pStyle w:val="ListParagraph"/>
        <w:numPr>
          <w:ilvl w:val="0"/>
          <w:numId w:val="2"/>
        </w:numPr>
        <w:spacing w:after="80"/>
      </w:pPr>
      <w:r>
        <w:rPr>
          <w:rFonts w:ascii="Arial" w:cs="Arial" w:eastAsia="Arial" w:hAnsi="Arial"/>
          <w:color w:val="0A0A0A"/>
          <w:sz w:val="20"/>
          <w:szCs w:val="20"/>
        </w:rPr>
        <w:t xml:space="preserve">u_dimension: int (0/1/2) — active dimension selector</w:t>
      </w:r>
    </w:p>
    <w:p>
      <w:pPr>
        <w:pStyle w:val="ListParagraph"/>
        <w:numPr>
          <w:ilvl w:val="0"/>
          <w:numId w:val="2"/>
        </w:numPr>
        <w:spacing w:after="80"/>
      </w:pPr>
      <w:r>
        <w:rPr>
          <w:rFonts w:ascii="Arial" w:cs="Arial" w:eastAsia="Arial" w:hAnsi="Arial"/>
          <w:color w:val="0A0A0A"/>
          <w:sz w:val="20"/>
          <w:szCs w:val="20"/>
        </w:rPr>
        <w:t xml:space="preserve">u_radius: float — circular mask radius in normalised coordinates</w:t>
      </w:r>
    </w:p>
    <w:p>
      <w:pPr>
        <w:spacing w:after="80"/>
      </w:pPr>
    </w:p>
    <w:p>
      <w:pPr>
        <w:spacing w:after="160"/>
      </w:pPr>
      <w:r>
        <w:rPr>
          <w:rFonts w:ascii="Arial" w:cs="Arial" w:eastAsia="Arial" w:hAnsi="Arial"/>
          <w:b w:val="false"/>
          <w:bCs w:val="false"/>
          <w:color w:val="0A0A0A"/>
          <w:sz w:val="20"/>
          <w:szCs w:val="20"/>
        </w:rPr>
        <w:t xml:space="preserve">All 8 patch positions are pre-computed at session start from screen dimensions and assumed viewing distance. Patches not active in the current trial are set to alpha 0 rather than removed from the DOM to avoid re-render costs.</w:t>
      </w:r>
    </w:p>
    <w:p>
      <w:pPr>
        <w:pStyle w:val="Heading2"/>
        <w:pBdr>
          <w:bottom w:val="single" w:color="B8860B" w:sz="4" w:space="4"/>
        </w:pBdr>
        <w:spacing w:after="120" w:before="360"/>
      </w:pPr>
      <w:r>
        <w:rPr>
          <w:rFonts w:ascii="Arial" w:cs="Arial" w:eastAsia="Arial" w:hAnsi="Arial"/>
          <w:b/>
          <w:bCs/>
          <w:color w:val="1A4A7A"/>
          <w:sz w:val="26"/>
          <w:szCs w:val="26"/>
        </w:rPr>
        <w:t xml:space="preserve">5.4  Data Model</w:t>
      </w:r>
    </w:p>
    <w:p>
      <w:pPr>
        <w:spacing w:after="160"/>
      </w:pPr>
      <w:r>
        <w:rPr>
          <w:rFonts w:ascii="Arial" w:cs="Arial" w:eastAsia="Arial" w:hAnsi="Arial"/>
          <w:b w:val="false"/>
          <w:bCs w:val="false"/>
          <w:color w:val="0A0A0A"/>
          <w:sz w:val="20"/>
          <w:szCs w:val="20"/>
        </w:rPr>
        <w:t xml:space="preserve">Per-trial data logged to Firestore:</w:t>
      </w:r>
    </w:p>
    <w:p>
      <w:pPr>
        <w:pStyle w:val="ListParagraph"/>
        <w:numPr>
          <w:ilvl w:val="0"/>
          <w:numId w:val="2"/>
        </w:numPr>
        <w:spacing w:after="80"/>
      </w:pPr>
      <w:r>
        <w:rPr>
          <w:rFonts w:ascii="Arial" w:cs="Arial" w:eastAsia="Arial" w:hAnsi="Arial"/>
          <w:color w:val="0A0A0A"/>
          <w:sz w:val="20"/>
          <w:szCs w:val="20"/>
        </w:rPr>
        <w:t xml:space="preserve">userId, sessionId, trialIndex, timestamp</w:t>
      </w:r>
    </w:p>
    <w:p>
      <w:pPr>
        <w:pStyle w:val="ListParagraph"/>
        <w:numPr>
          <w:ilvl w:val="0"/>
          <w:numId w:val="2"/>
        </w:numPr>
        <w:spacing w:after="80"/>
      </w:pPr>
      <w:r>
        <w:rPr>
          <w:rFonts w:ascii="Arial" w:cs="Arial" w:eastAsia="Arial" w:hAnsi="Arial"/>
          <w:color w:val="0A0A0A"/>
          <w:sz w:val="20"/>
          <w:szCs w:val="20"/>
        </w:rPr>
        <w:t xml:space="preserve">condition: {setSize, ratio, ET_intended, ET_actual, dimension, isProbe, cueMatch}</w:t>
      </w:r>
    </w:p>
    <w:p>
      <w:pPr>
        <w:pStyle w:val="ListParagraph"/>
        <w:numPr>
          <w:ilvl w:val="0"/>
          <w:numId w:val="2"/>
        </w:numPr>
        <w:spacing w:after="80"/>
      </w:pPr>
      <w:r>
        <w:rPr>
          <w:rFonts w:ascii="Arial" w:cs="Arial" w:eastAsia="Arial" w:hAnsi="Arial"/>
          <w:color w:val="0A0A0A"/>
          <w:sz w:val="20"/>
          <w:szCs w:val="20"/>
        </w:rPr>
        <w:t xml:space="preserve">response: {correct, RT_ms, touchX, touchY}</w:t>
      </w:r>
    </w:p>
    <w:p>
      <w:pPr>
        <w:pStyle w:val="ListParagraph"/>
        <w:numPr>
          <w:ilvl w:val="0"/>
          <w:numId w:val="2"/>
        </w:numPr>
        <w:spacing w:after="80"/>
      </w:pPr>
      <w:r>
        <w:rPr>
          <w:rFonts w:ascii="Arial" w:cs="Arial" w:eastAsia="Arial" w:hAnsi="Arial"/>
          <w:color w:val="0A0A0A"/>
          <w:sz w:val="20"/>
          <w:szCs w:val="20"/>
        </w:rPr>
        <w:t xml:space="preserve">estimates: {CCC_current, SE_CCC, xi_estimate, delta_estimate, regime_current}</w:t>
      </w:r>
    </w:p>
    <w:p>
      <w:pPr>
        <w:spacing w:after="80"/>
      </w:pPr>
    </w:p>
    <w:p>
      <w:pPr>
        <w:spacing w:after="160"/>
      </w:pPr>
      <w:r>
        <w:rPr>
          <w:rFonts w:ascii="Arial" w:cs="Arial" w:eastAsia="Arial" w:hAnsi="Arial"/>
          <w:b w:val="false"/>
          <w:bCs w:val="false"/>
          <w:color w:val="0A0A0A"/>
          <w:sz w:val="20"/>
          <w:szCs w:val="20"/>
        </w:rPr>
        <w:t xml:space="preserve">Per-session aggregates computed server-side:</w:t>
      </w:r>
    </w:p>
    <w:p>
      <w:pPr>
        <w:pStyle w:val="ListParagraph"/>
        <w:numPr>
          <w:ilvl w:val="0"/>
          <w:numId w:val="2"/>
        </w:numPr>
        <w:spacing w:after="80"/>
      </w:pPr>
      <w:r>
        <w:rPr>
          <w:rFonts w:ascii="Arial" w:cs="Arial" w:eastAsia="Arial" w:hAnsi="Arial"/>
          <w:color w:val="0A0A0A"/>
          <w:sz w:val="20"/>
          <w:szCs w:val="20"/>
        </w:rPr>
        <w:t xml:space="preserve">CCC_session, SE_session, zone_time_pct, recovery_speed_mean</w:t>
      </w:r>
    </w:p>
    <w:p>
      <w:pPr>
        <w:pStyle w:val="ListParagraph"/>
        <w:numPr>
          <w:ilvl w:val="0"/>
          <w:numId w:val="2"/>
        </w:numPr>
        <w:spacing w:after="80"/>
      </w:pPr>
      <w:r>
        <w:rPr>
          <w:rFonts w:ascii="Arial" w:cs="Arial" w:eastAsia="Arial" w:hAnsi="Arial"/>
          <w:color w:val="0A0A0A"/>
          <w:sz w:val="20"/>
          <w:szCs w:val="20"/>
        </w:rPr>
        <w:t xml:space="preserve">regime_distribution: {zone, flat, lockedIn, spunOut} as proportions</w:t>
      </w:r>
    </w:p>
    <w:p>
      <w:pPr>
        <w:pStyle w:val="ListParagraph"/>
        <w:numPr>
          <w:ilvl w:val="0"/>
          <w:numId w:val="2"/>
        </w:numPr>
        <w:spacing w:after="80"/>
      </w:pPr>
      <w:r>
        <w:rPr>
          <w:rFonts w:ascii="Arial" w:cs="Arial" w:eastAsia="Arial" w:hAnsi="Arial"/>
          <w:color w:val="0A0A0A"/>
          <w:sz w:val="20"/>
          <w:szCs w:val="20"/>
        </w:rPr>
        <w:t xml:space="preserve">posterior_update: new ξ and δ posterior parameters after session</w:t>
      </w:r>
    </w:p>
    <w:p>
      <w:pPr>
        <w:spacing w:after="240"/>
      </w:pPr>
    </w:p>
    <w:p>
      <w:pPr>
        <w:pStyle w:val="Heading1"/>
        <w:spacing w:after="160" w:before="480"/>
      </w:pPr>
      <w:r>
        <w:rPr>
          <w:rFonts w:ascii="Arial" w:cs="Arial" w:eastAsia="Arial" w:hAnsi="Arial"/>
          <w:b/>
          <w:bCs/>
          <w:color w:val="0A0A0A"/>
          <w:sz w:val="36"/>
          <w:szCs w:val="36"/>
        </w:rPr>
        <w:t xml:space="preserve">6.  Output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c>
          <w:tcPr>
            <w:tcW w:type="dxa" w:w="234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Derived from</w:t>
            </w:r>
          </w:p>
        </w:tc>
        <w:tc>
          <w:tcPr>
            <w:tcW w:type="dxa" w:w="234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Updates</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CCC (bps)</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Capacity of cognitive control — max reliable information processing rate</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Grouping search MLE across all trials</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Every trial via CAT</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SE(CCC)</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Within-session estimation stability</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SD of trial-by-trial E[CCC]</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Every trial; probe trigger at &lt;0.03</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ξ estimate</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Cusp engagement depth — shallow (GP) vs deep (sub/supercritical)</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Slope of accuracy-by-information-rate curve</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Rolling 20-trial window</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δ estimate</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Explore-exploit tilt — MI vs entropy arm dominance</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RT asymmetry: hard/easy condition ratio within set size</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Rolling 20-trial window</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Probe RT pattern</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Regime discriminator — RT distribution shape and recovery rate on probe trials</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Per-probe RT vs preceding 5-trial baseline; unimodal/bimodal classification; post-probe accuracy recovery rate</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Per probe event; primary Flat vs Locked In discriminator</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Regime state</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Current cusp geometry classification</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Decision tree over ξ, δ, residual stream, and probe RT pattern</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Every 5 trials after session 3</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Zone time (%)</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Proportion of session in GP regime — primary training metric</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Fraction of rolling windows classified In the Zone</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Per session</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Recovery speed</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Trials to return to Zone after probe or drift event</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Trial count from regime exit to re-entry</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Per probe/drift event</w:t>
            </w:r>
          </w:p>
        </w:tc>
      </w:tr>
      <w:tr>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0A0A"/>
                <w:sz w:val="20"/>
                <w:szCs w:val="20"/>
              </w:rPr>
              <w:t xml:space="preserve">Trajectory</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Cross-session CCC and Zone time trend</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Session-level aggregates across Bayesian posterior</w:t>
            </w:r>
          </w:p>
        </w:tc>
        <w:tc>
          <w:tcPr>
            <w:tcW w:type="dxa" w:w="234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Per session</w:t>
            </w:r>
          </w:p>
        </w:tc>
      </w:tr>
    </w:tbl>
    <w:p>
      <w:pPr>
        <w:spacing w:after="240"/>
      </w:pPr>
    </w:p>
    <w:p>
      <w:pPr>
        <w:pStyle w:val="Heading1"/>
        <w:spacing w:after="160" w:before="480"/>
      </w:pPr>
      <w:r>
        <w:rPr>
          <w:rFonts w:ascii="Arial" w:cs="Arial" w:eastAsia="Arial" w:hAnsi="Arial"/>
          <w:b/>
          <w:bCs/>
          <w:color w:val="0A0A0A"/>
          <w:sz w:val="36"/>
          <w:szCs w:val="36"/>
        </w:rPr>
        <w:t xml:space="preserve">7.  MVP Scope</w:t>
      </w:r>
    </w:p>
    <w:p>
      <w:pPr>
        <w:pStyle w:val="Heading2"/>
        <w:pBdr>
          <w:bottom w:val="single" w:color="B8860B" w:sz="4" w:space="4"/>
        </w:pBdr>
        <w:spacing w:after="120" w:before="360"/>
      </w:pPr>
      <w:r>
        <w:rPr>
          <w:rFonts w:ascii="Arial" w:cs="Arial" w:eastAsia="Arial" w:hAnsi="Arial"/>
          <w:b/>
          <w:bCs/>
          <w:color w:val="1A4A7A"/>
          <w:sz w:val="26"/>
          <w:szCs w:val="26"/>
        </w:rPr>
        <w:t xml:space="preserve">7.1  In Scope</w:t>
      </w:r>
    </w:p>
    <w:p>
      <w:pPr>
        <w:pStyle w:val="ListParagraph"/>
        <w:numPr>
          <w:ilvl w:val="0"/>
          <w:numId w:val="2"/>
        </w:numPr>
        <w:spacing w:after="80"/>
      </w:pPr>
      <w:r>
        <w:rPr>
          <w:rFonts w:ascii="Arial" w:cs="Arial" w:eastAsia="Arial" w:hAnsi="Arial"/>
          <w:color w:val="0A0A0A"/>
          <w:sz w:val="20"/>
          <w:szCs w:val="20"/>
        </w:rPr>
        <w:t xml:space="preserve">Pre-semantic MFT-M trial engine: orientation, SF, and luminance dimensions</w:t>
      </w:r>
    </w:p>
    <w:p>
      <w:pPr>
        <w:pStyle w:val="ListParagraph"/>
        <w:numPr>
          <w:ilvl w:val="0"/>
          <w:numId w:val="2"/>
        </w:numPr>
        <w:spacing w:after="80"/>
      </w:pPr>
      <w:r>
        <w:rPr>
          <w:rFonts w:ascii="Arial" w:cs="Arial" w:eastAsia="Arial" w:hAnsi="Arial"/>
          <w:color w:val="0A0A0A"/>
          <w:sz w:val="20"/>
          <w:szCs w:val="20"/>
        </w:rPr>
        <w:t xml:space="preserve">He et al. CAT adaptive condition selection with regime-adaptive modifications</w:t>
      </w:r>
    </w:p>
    <w:p>
      <w:pPr>
        <w:pStyle w:val="ListParagraph"/>
        <w:numPr>
          <w:ilvl w:val="0"/>
          <w:numId w:val="2"/>
        </w:numPr>
        <w:spacing w:after="80"/>
      </w:pPr>
      <w:r>
        <w:rPr>
          <w:rFonts w:ascii="Arial" w:cs="Arial" w:eastAsia="Arial" w:hAnsi="Arial"/>
          <w:color w:val="0A0A0A"/>
          <w:sz w:val="20"/>
          <w:szCs w:val="20"/>
        </w:rPr>
        <w:t xml:space="preserve">Real-time ξ, δ, and regime classification from rolling 20-trial window</w:t>
      </w:r>
    </w:p>
    <w:p>
      <w:pPr>
        <w:pStyle w:val="ListParagraph"/>
        <w:numPr>
          <w:ilvl w:val="0"/>
          <w:numId w:val="2"/>
        </w:numPr>
        <w:spacing w:after="80"/>
      </w:pPr>
      <w:r>
        <w:rPr>
          <w:rFonts w:ascii="Arial" w:cs="Arial" w:eastAsia="Arial" w:hAnsi="Arial"/>
          <w:color w:val="0A0A0A"/>
          <w:sz w:val="20"/>
          <w:szCs w:val="20"/>
        </w:rPr>
        <w:t xml:space="preserve">Dimension-shift probe trials triggered by SE(CCC) threshold</w:t>
      </w:r>
    </w:p>
    <w:p>
      <w:pPr>
        <w:pStyle w:val="ListParagraph"/>
        <w:numPr>
          <w:ilvl w:val="0"/>
          <w:numId w:val="2"/>
        </w:numPr>
        <w:spacing w:after="80"/>
      </w:pPr>
      <w:r>
        <w:rPr>
          <w:rFonts w:ascii="Arial" w:cs="Arial" w:eastAsia="Arial" w:hAnsi="Arial"/>
          <w:color w:val="0A0A0A"/>
          <w:sz w:val="20"/>
          <w:szCs w:val="20"/>
        </w:rPr>
        <w:t xml:space="preserve">Zone Map visual — real-time cusp position display</w:t>
      </w:r>
    </w:p>
    <w:p>
      <w:pPr>
        <w:pStyle w:val="ListParagraph"/>
        <w:numPr>
          <w:ilvl w:val="0"/>
          <w:numId w:val="2"/>
        </w:numPr>
        <w:spacing w:after="80"/>
      </w:pPr>
      <w:r>
        <w:rPr>
          <w:rFonts w:ascii="Arial" w:cs="Arial" w:eastAsia="Arial" w:hAnsi="Arial"/>
          <w:color w:val="0A0A0A"/>
          <w:sz w:val="20"/>
          <w:szCs w:val="20"/>
        </w:rPr>
        <w:t xml:space="preserve">Zone streak counter and session heatmap</w:t>
      </w:r>
    </w:p>
    <w:p>
      <w:pPr>
        <w:pStyle w:val="ListParagraph"/>
        <w:numPr>
          <w:ilvl w:val="0"/>
          <w:numId w:val="2"/>
        </w:numPr>
        <w:spacing w:after="80"/>
      </w:pPr>
      <w:r>
        <w:rPr>
          <w:rFonts w:ascii="Arial" w:cs="Arial" w:eastAsia="Arial" w:hAnsi="Arial"/>
          <w:color w:val="0A0A0A"/>
          <w:sz w:val="20"/>
          <w:szCs w:val="20"/>
        </w:rPr>
        <w:t xml:space="preserve">5-session calibration arc with profile reveal at session 5</w:t>
      </w:r>
    </w:p>
    <w:p>
      <w:pPr>
        <w:pStyle w:val="ListParagraph"/>
        <w:numPr>
          <w:ilvl w:val="0"/>
          <w:numId w:val="2"/>
        </w:numPr>
        <w:spacing w:after="80"/>
      </w:pPr>
      <w:r>
        <w:rPr>
          <w:rFonts w:ascii="Arial" w:cs="Arial" w:eastAsia="Arial" w:hAnsi="Arial"/>
          <w:color w:val="0A0A0A"/>
          <w:sz w:val="20"/>
          <w:szCs w:val="20"/>
        </w:rPr>
        <w:t xml:space="preserve">Bayesian longitudinal posterior — per-user regime profile</w:t>
      </w:r>
    </w:p>
    <w:p>
      <w:pPr>
        <w:pStyle w:val="ListParagraph"/>
        <w:numPr>
          <w:ilvl w:val="0"/>
          <w:numId w:val="2"/>
        </w:numPr>
        <w:spacing w:after="80"/>
      </w:pPr>
      <w:r>
        <w:rPr>
          <w:rFonts w:ascii="Arial" w:cs="Arial" w:eastAsia="Arial" w:hAnsi="Arial"/>
          <w:color w:val="0A0A0A"/>
          <w:sz w:val="20"/>
          <w:szCs w:val="20"/>
        </w:rPr>
        <w:t xml:space="preserve">Firebase data pipeline for longitudinal session storage</w:t>
      </w:r>
    </w:p>
    <w:p>
      <w:pPr>
        <w:pStyle w:val="ListParagraph"/>
        <w:numPr>
          <w:ilvl w:val="0"/>
          <w:numId w:val="2"/>
        </w:numPr>
        <w:spacing w:after="80"/>
      </w:pPr>
      <w:r>
        <w:rPr>
          <w:rFonts w:ascii="Arial" w:cs="Arial" w:eastAsia="Arial" w:hAnsi="Arial"/>
          <w:color w:val="0A0A0A"/>
          <w:sz w:val="20"/>
          <w:szCs w:val="20"/>
        </w:rPr>
        <w:t xml:space="preserve">Mobile web (iOS Safari + Android Chrome); landscape lock</w:t>
      </w:r>
    </w:p>
    <w:p>
      <w:pPr>
        <w:pStyle w:val="ListParagraph"/>
        <w:numPr>
          <w:ilvl w:val="0"/>
          <w:numId w:val="2"/>
        </w:numPr>
        <w:spacing w:after="80"/>
      </w:pPr>
      <w:r>
        <w:rPr>
          <w:rFonts w:ascii="Arial" w:cs="Arial" w:eastAsia="Arial" w:hAnsi="Arial"/>
          <w:color w:val="0A0A0A"/>
          <w:sz w:val="20"/>
          <w:szCs w:val="20"/>
        </w:rPr>
        <w:t xml:space="preserve">Device quality tier assessment and timing calibration</w:t>
      </w:r>
    </w:p>
    <w:p>
      <w:pPr>
        <w:pStyle w:val="ListParagraph"/>
        <w:numPr>
          <w:ilvl w:val="0"/>
          <w:numId w:val="2"/>
        </w:numPr>
        <w:spacing w:after="80"/>
      </w:pPr>
      <w:r>
        <w:rPr>
          <w:rFonts w:ascii="Arial" w:cs="Arial" w:eastAsia="Arial" w:hAnsi="Arial"/>
          <w:color w:val="0A0A0A"/>
          <w:sz w:val="20"/>
          <w:szCs w:val="20"/>
        </w:rPr>
        <w:t xml:space="preserve">Anonymous user mode (consumer) and email auth (enterprise pilot)</w:t>
      </w:r>
    </w:p>
    <w:p>
      <w:pPr>
        <w:pStyle w:val="Heading2"/>
        <w:pBdr>
          <w:bottom w:val="single" w:color="B8860B" w:sz="4" w:space="4"/>
        </w:pBdr>
        <w:spacing w:after="120" w:before="360"/>
      </w:pPr>
      <w:r>
        <w:rPr>
          <w:rFonts w:ascii="Arial" w:cs="Arial" w:eastAsia="Arial" w:hAnsi="Arial"/>
          <w:b/>
          <w:bCs/>
          <w:color w:val="1A4A7A"/>
          <w:sz w:val="26"/>
          <w:szCs w:val="26"/>
        </w:rPr>
        <w:t xml:space="preserve">7.2  Out of Scope (Post-MVP)</w:t>
      </w:r>
    </w:p>
    <w:p>
      <w:pPr>
        <w:pStyle w:val="ListParagraph"/>
        <w:numPr>
          <w:ilvl w:val="0"/>
          <w:numId w:val="2"/>
        </w:numPr>
        <w:spacing w:after="80"/>
      </w:pPr>
      <w:r>
        <w:rPr>
          <w:rFonts w:ascii="Arial" w:cs="Arial" w:eastAsia="Arial" w:hAnsi="Arial"/>
          <w:color w:val="0A0A0A"/>
          <w:sz w:val="20"/>
          <w:szCs w:val="20"/>
        </w:rPr>
        <w:t xml:space="preserve">Set size 1 trials (added in v1.1 for extended range)</w:t>
      </w:r>
    </w:p>
    <w:p>
      <w:pPr>
        <w:pStyle w:val="ListParagraph"/>
        <w:numPr>
          <w:ilvl w:val="0"/>
          <w:numId w:val="2"/>
        </w:numPr>
        <w:spacing w:after="80"/>
      </w:pPr>
      <w:r>
        <w:rPr>
          <w:rFonts w:ascii="Arial" w:cs="Arial" w:eastAsia="Arial" w:hAnsi="Arial"/>
          <w:color w:val="0A0A0A"/>
          <w:sz w:val="20"/>
          <w:szCs w:val="20"/>
        </w:rPr>
        <w:t xml:space="preserve">2000 ms ET condition</w:t>
      </w:r>
    </w:p>
    <w:p>
      <w:pPr>
        <w:pStyle w:val="ListParagraph"/>
        <w:numPr>
          <w:ilvl w:val="0"/>
          <w:numId w:val="2"/>
        </w:numPr>
        <w:spacing w:after="80"/>
      </w:pPr>
      <w:r>
        <w:rPr>
          <w:rFonts w:ascii="Arial" w:cs="Arial" w:eastAsia="Arial" w:hAnsi="Arial"/>
          <w:color w:val="0A0A0A"/>
          <w:sz w:val="20"/>
          <w:szCs w:val="20"/>
        </w:rPr>
        <w:t xml:space="preserve">Organisational aggregate dashboard (enterprise v1.0)</w:t>
      </w:r>
    </w:p>
    <w:p>
      <w:pPr>
        <w:pStyle w:val="ListParagraph"/>
        <w:numPr>
          <w:ilvl w:val="0"/>
          <w:numId w:val="2"/>
        </w:numPr>
        <w:spacing w:after="80"/>
      </w:pPr>
      <w:r>
        <w:rPr>
          <w:rFonts w:ascii="Arial" w:cs="Arial" w:eastAsia="Arial" w:hAnsi="Arial"/>
          <w:color w:val="0A0A0A"/>
          <w:sz w:val="20"/>
          <w:szCs w:val="20"/>
        </w:rPr>
        <w:t xml:space="preserve">EEG or biometric integration</w:t>
      </w:r>
    </w:p>
    <w:p>
      <w:pPr>
        <w:pStyle w:val="ListParagraph"/>
        <w:numPr>
          <w:ilvl w:val="0"/>
          <w:numId w:val="2"/>
        </w:numPr>
        <w:spacing w:after="80"/>
      </w:pPr>
      <w:r>
        <w:rPr>
          <w:rFonts w:ascii="Arial" w:cs="Arial" w:eastAsia="Arial" w:hAnsi="Arial"/>
          <w:color w:val="0A0A0A"/>
          <w:sz w:val="20"/>
          <w:szCs w:val="20"/>
        </w:rPr>
        <w:t xml:space="preserve">Level 2 training (relational n-back stack)</w:t>
      </w:r>
    </w:p>
    <w:p>
      <w:pPr>
        <w:pStyle w:val="ListParagraph"/>
        <w:numPr>
          <w:ilvl w:val="0"/>
          <w:numId w:val="2"/>
        </w:numPr>
        <w:spacing w:after="80"/>
      </w:pPr>
      <w:r>
        <w:rPr>
          <w:rFonts w:ascii="Arial" w:cs="Arial" w:eastAsia="Arial" w:hAnsi="Arial"/>
          <w:color w:val="0A0A0A"/>
          <w:sz w:val="20"/>
          <w:szCs w:val="20"/>
        </w:rPr>
        <w:t xml:space="preserve">Clinical psychopathology applications</w:t>
      </w:r>
    </w:p>
    <w:p>
      <w:pPr>
        <w:pStyle w:val="ListParagraph"/>
        <w:numPr>
          <w:ilvl w:val="0"/>
          <w:numId w:val="2"/>
        </w:numPr>
        <w:spacing w:after="80"/>
      </w:pPr>
      <w:r>
        <w:rPr>
          <w:rFonts w:ascii="Arial" w:cs="Arial" w:eastAsia="Arial" w:hAnsi="Arial"/>
          <w:color w:val="0A0A0A"/>
          <w:sz w:val="20"/>
          <w:szCs w:val="20"/>
        </w:rPr>
        <w:t xml:space="preserve">Native iOS / Android apps</w:t>
      </w:r>
    </w:p>
    <w:p>
      <w:pPr>
        <w:pStyle w:val="ListParagraph"/>
        <w:numPr>
          <w:ilvl w:val="0"/>
          <w:numId w:val="2"/>
        </w:numPr>
        <w:spacing w:after="80"/>
      </w:pPr>
      <w:r>
        <w:rPr>
          <w:rFonts w:ascii="Arial" w:cs="Arial" w:eastAsia="Arial" w:hAnsi="Arial"/>
          <w:color w:val="0A0A0A"/>
          <w:sz w:val="20"/>
          <w:szCs w:val="20"/>
        </w:rPr>
        <w:t xml:space="preserve">Peer comparison or social features</w:t>
      </w:r>
    </w:p>
    <w:p>
      <w:pPr>
        <w:pStyle w:val="ListParagraph"/>
        <w:numPr>
          <w:ilvl w:val="0"/>
          <w:numId w:val="2"/>
        </w:numPr>
        <w:spacing w:after="80"/>
      </w:pPr>
      <w:r>
        <w:rPr>
          <w:rFonts w:ascii="Arial" w:cs="Arial" w:eastAsia="Arial" w:hAnsi="Arial"/>
          <w:color w:val="0A0A0A"/>
          <w:sz w:val="20"/>
          <w:szCs w:val="20"/>
        </w:rPr>
        <w:t xml:space="preserve">Validated clinical claims — all MVP claims are wellness/performance framing</w:t>
      </w:r>
    </w:p>
    <w:p>
      <w:pPr>
        <w:pStyle w:val="Heading2"/>
        <w:pBdr>
          <w:bottom w:val="single" w:color="B8860B" w:sz="4" w:space="4"/>
        </w:pBdr>
        <w:spacing w:after="120" w:before="360"/>
      </w:pPr>
      <w:r>
        <w:rPr>
          <w:rFonts w:ascii="Arial" w:cs="Arial" w:eastAsia="Arial" w:hAnsi="Arial"/>
          <w:b/>
          <w:bCs/>
          <w:color w:val="1A4A7A"/>
          <w:sz w:val="26"/>
          <w:szCs w:val="26"/>
        </w:rPr>
        <w:t xml:space="preserve">7.3  Validation Requirements Before Commercial Launch</w:t>
      </w:r>
    </w:p>
    <w:p>
      <w:pPr>
        <w:pStyle w:val="ListParagraph"/>
        <w:numPr>
          <w:ilvl w:val="0"/>
          <w:numId w:val="3"/>
        </w:numPr>
        <w:spacing w:after="80"/>
      </w:pPr>
      <w:r>
        <w:rPr>
          <w:rFonts w:ascii="Arial" w:cs="Arial" w:eastAsia="Arial" w:hAnsi="Arial"/>
          <w:color w:val="0A0A0A"/>
          <w:sz w:val="20"/>
          <w:szCs w:val="20"/>
        </w:rPr>
        <w:t xml:space="preserve">Hour-scale test-retest reliability: repeat sessions 2–4 hours apart within same day; target r &gt; 0.75 for CCC; regime classification agreement &gt; 70%.</w:t>
      </w:r>
    </w:p>
    <w:p>
      <w:pPr>
        <w:pStyle w:val="ListParagraph"/>
        <w:numPr>
          <w:ilvl w:val="0"/>
          <w:numId w:val="3"/>
        </w:numPr>
        <w:spacing w:after="80"/>
      </w:pPr>
      <w:r>
        <w:rPr>
          <w:rFonts w:ascii="Arial" w:cs="Arial" w:eastAsia="Arial" w:hAnsi="Arial"/>
          <w:color w:val="0A0A0A"/>
          <w:sz w:val="20"/>
          <w:szCs w:val="20"/>
        </w:rPr>
        <w:t xml:space="preserve">Regime classification external validity: CCC and regime state correlated with independent measures (WAIS-IV, Raven's, cortisol morning sample) in 50-person pilot.</w:t>
      </w:r>
    </w:p>
    <w:p>
      <w:pPr>
        <w:pStyle w:val="ListParagraph"/>
        <w:numPr>
          <w:ilvl w:val="0"/>
          <w:numId w:val="3"/>
        </w:numPr>
        <w:spacing w:after="80"/>
      </w:pPr>
      <w:r>
        <w:rPr>
          <w:rFonts w:ascii="Arial" w:cs="Arial" w:eastAsia="Arial" w:hAnsi="Arial"/>
          <w:color w:val="0A0A0A"/>
          <w:sz w:val="20"/>
          <w:szCs w:val="20"/>
        </w:rPr>
        <w:t xml:space="preserve">Mobile vs desktop equivalence: MFT-M scores on mobile (Tier A devices) within 0.5 bps of matched desktop sessions.</w:t>
      </w:r>
    </w:p>
    <w:p>
      <w:pPr>
        <w:pStyle w:val="ListParagraph"/>
        <w:numPr>
          <w:ilvl w:val="0"/>
          <w:numId w:val="3"/>
        </w:numPr>
        <w:spacing w:after="80"/>
      </w:pPr>
      <w:r>
        <w:rPr>
          <w:rFonts w:ascii="Arial" w:cs="Arial" w:eastAsia="Arial" w:hAnsi="Arial"/>
          <w:color w:val="0A0A0A"/>
          <w:sz w:val="20"/>
          <w:szCs w:val="20"/>
        </w:rPr>
        <w:t xml:space="preserve">5-session retention: target &gt; 60% of users completing 5 sessions in first 2 weeks (required for reliable regime profile).</w:t>
      </w:r>
    </w:p>
    <w:p>
      <w:pPr>
        <w:spacing w:after="240"/>
      </w:pPr>
    </w:p>
    <w:p>
      <w:pPr>
        <w:pStyle w:val="Heading1"/>
        <w:spacing w:after="160" w:before="480"/>
      </w:pPr>
      <w:r>
        <w:rPr>
          <w:rFonts w:ascii="Arial" w:cs="Arial" w:eastAsia="Arial" w:hAnsi="Arial"/>
          <w:b/>
          <w:bCs/>
          <w:color w:val="0A0A0A"/>
          <w:sz w:val="36"/>
          <w:szCs w:val="36"/>
        </w:rPr>
        <w:t xml:space="preserve">8.  Build Plan — Phases</w:t>
      </w:r>
    </w:p>
    <w:p>
      <w:pPr>
        <w:pStyle w:val="Heading2"/>
        <w:pBdr>
          <w:bottom w:val="single" w:color="B8860B" w:sz="4" w:space="4"/>
        </w:pBdr>
        <w:spacing w:after="120" w:before="360"/>
      </w:pPr>
      <w:r>
        <w:rPr>
          <w:rFonts w:ascii="Arial" w:cs="Arial" w:eastAsia="Arial" w:hAnsi="Arial"/>
          <w:b/>
          <w:bCs/>
          <w:color w:val="1A4A7A"/>
          <w:sz w:val="26"/>
          <w:szCs w:val="26"/>
        </w:rPr>
        <w:t xml:space="preserve">Phase 1  ·  Core Engine  (Weeks 1–4)</w:t>
      </w:r>
    </w:p>
    <w:p>
      <w:pPr>
        <w:pStyle w:val="ListParagraph"/>
        <w:numPr>
          <w:ilvl w:val="0"/>
          <w:numId w:val="2"/>
        </w:numPr>
        <w:spacing w:after="80"/>
      </w:pPr>
      <w:r>
        <w:rPr>
          <w:rFonts w:ascii="Arial" w:cs="Arial" w:eastAsia="Arial" w:hAnsi="Arial"/>
          <w:color w:val="0A0A0A"/>
          <w:sz w:val="20"/>
          <w:szCs w:val="20"/>
        </w:rPr>
        <w:t xml:space="preserve">WebGL stimulus renderer: all three dimensions; circular mask; octagon layout</w:t>
      </w:r>
    </w:p>
    <w:p>
      <w:pPr>
        <w:pStyle w:val="ListParagraph"/>
        <w:numPr>
          <w:ilvl w:val="0"/>
          <w:numId w:val="2"/>
        </w:numPr>
        <w:spacing w:after="80"/>
      </w:pPr>
      <w:r>
        <w:rPr>
          <w:rFonts w:ascii="Arial" w:cs="Arial" w:eastAsia="Arial" w:hAnsi="Arial"/>
          <w:color w:val="0A0A0A"/>
          <w:sz w:val="20"/>
          <w:szCs w:val="20"/>
        </w:rPr>
        <w:t xml:space="preserve">Frame-locked trial loop with timing calibration</w:t>
      </w:r>
    </w:p>
    <w:p>
      <w:pPr>
        <w:pStyle w:val="ListParagraph"/>
        <w:numPr>
          <w:ilvl w:val="0"/>
          <w:numId w:val="2"/>
        </w:numPr>
        <w:spacing w:after="80"/>
      </w:pPr>
      <w:r>
        <w:rPr>
          <w:rFonts w:ascii="Arial" w:cs="Arial" w:eastAsia="Arial" w:hAnsi="Arial"/>
          <w:color w:val="0A0A0A"/>
          <w:sz w:val="20"/>
          <w:szCs w:val="20"/>
        </w:rPr>
        <w:t xml:space="preserve">Basic MFT-M trial flow (no CAT yet); fixed condition blocks for engine validation</w:t>
      </w:r>
    </w:p>
    <w:p>
      <w:pPr>
        <w:pStyle w:val="ListParagraph"/>
        <w:numPr>
          <w:ilvl w:val="0"/>
          <w:numId w:val="2"/>
        </w:numPr>
        <w:spacing w:after="80"/>
      </w:pPr>
      <w:r>
        <w:rPr>
          <w:rFonts w:ascii="Arial" w:cs="Arial" w:eastAsia="Arial" w:hAnsi="Arial"/>
          <w:color w:val="0A0A0A"/>
          <w:sz w:val="20"/>
          <w:szCs w:val="20"/>
        </w:rPr>
        <w:t xml:space="preserve">CCC estimation: grouping search MLE in Web Worker</w:t>
      </w:r>
    </w:p>
    <w:p>
      <w:pPr>
        <w:pStyle w:val="ListParagraph"/>
        <w:numPr>
          <w:ilvl w:val="0"/>
          <w:numId w:val="2"/>
        </w:numPr>
        <w:spacing w:after="80"/>
      </w:pPr>
      <w:r>
        <w:rPr>
          <w:rFonts w:ascii="Arial" w:cs="Arial" w:eastAsia="Arial" w:hAnsi="Arial"/>
          <w:color w:val="0A0A0A"/>
          <w:sz w:val="20"/>
          <w:szCs w:val="20"/>
        </w:rPr>
        <w:t xml:space="preserve">Unit tests: timing accuracy across device types; CCC estimation vs published values</w:t>
      </w:r>
    </w:p>
    <w:p>
      <w:pPr>
        <w:pStyle w:val="Heading2"/>
        <w:pBdr>
          <w:bottom w:val="single" w:color="B8860B" w:sz="4" w:space="4"/>
        </w:pBdr>
        <w:spacing w:after="120" w:before="360"/>
      </w:pPr>
      <w:r>
        <w:rPr>
          <w:rFonts w:ascii="Arial" w:cs="Arial" w:eastAsia="Arial" w:hAnsi="Arial"/>
          <w:b/>
          <w:bCs/>
          <w:color w:val="1A4A7A"/>
          <w:sz w:val="26"/>
          <w:szCs w:val="26"/>
        </w:rPr>
        <w:t xml:space="preserve">Phase 2  ·  CAT &amp; Regime Classifier  (Weeks 5–8)</w:t>
      </w:r>
    </w:p>
    <w:p>
      <w:pPr>
        <w:pStyle w:val="ListParagraph"/>
        <w:numPr>
          <w:ilvl w:val="0"/>
          <w:numId w:val="2"/>
        </w:numPr>
        <w:spacing w:after="80"/>
      </w:pPr>
      <w:r>
        <w:rPr>
          <w:rFonts w:ascii="Arial" w:cs="Arial" w:eastAsia="Arial" w:hAnsi="Arial"/>
          <w:color w:val="0A0A0A"/>
          <w:sz w:val="20"/>
          <w:szCs w:val="20"/>
        </w:rPr>
        <w:t xml:space="preserve">He et al. CAT condition selection with weighted discrimination rule</w:t>
      </w:r>
    </w:p>
    <w:p>
      <w:pPr>
        <w:pStyle w:val="ListParagraph"/>
        <w:numPr>
          <w:ilvl w:val="0"/>
          <w:numId w:val="2"/>
        </w:numPr>
        <w:spacing w:after="80"/>
      </w:pPr>
      <w:r>
        <w:rPr>
          <w:rFonts w:ascii="Arial" w:cs="Arial" w:eastAsia="Arial" w:hAnsi="Arial"/>
          <w:color w:val="0A0A0A"/>
          <w:sz w:val="20"/>
          <w:szCs w:val="20"/>
        </w:rPr>
        <w:t xml:space="preserve">Dimension-shift probe trial insertion logic</w:t>
      </w:r>
    </w:p>
    <w:p>
      <w:pPr>
        <w:pStyle w:val="ListParagraph"/>
        <w:numPr>
          <w:ilvl w:val="0"/>
          <w:numId w:val="2"/>
        </w:numPr>
        <w:spacing w:after="80"/>
      </w:pPr>
      <w:r>
        <w:rPr>
          <w:rFonts w:ascii="Arial" w:cs="Arial" w:eastAsia="Arial" w:hAnsi="Arial"/>
          <w:color w:val="0A0A0A"/>
          <w:sz w:val="20"/>
          <w:szCs w:val="20"/>
        </w:rPr>
        <w:t xml:space="preserve">Rolling window ξ, δ estimators</w:t>
      </w:r>
    </w:p>
    <w:p>
      <w:pPr>
        <w:pStyle w:val="ListParagraph"/>
        <w:numPr>
          <w:ilvl w:val="0"/>
          <w:numId w:val="2"/>
        </w:numPr>
        <w:spacing w:after="80"/>
      </w:pPr>
      <w:r>
        <w:rPr>
          <w:rFonts w:ascii="Arial" w:cs="Arial" w:eastAsia="Arial" w:hAnsi="Arial"/>
          <w:color w:val="0A0A0A"/>
          <w:sz w:val="20"/>
          <w:szCs w:val="20"/>
        </w:rPr>
        <w:t xml:space="preserve">Regime decision tree classifier</w:t>
      </w:r>
    </w:p>
    <w:p>
      <w:pPr>
        <w:pStyle w:val="ListParagraph"/>
        <w:numPr>
          <w:ilvl w:val="0"/>
          <w:numId w:val="2"/>
        </w:numPr>
        <w:spacing w:after="80"/>
      </w:pPr>
      <w:r>
        <w:rPr>
          <w:rFonts w:ascii="Arial" w:cs="Arial" w:eastAsia="Arial" w:hAnsi="Arial"/>
          <w:color w:val="0A0A0A"/>
          <w:sz w:val="20"/>
          <w:szCs w:val="20"/>
        </w:rPr>
        <w:t xml:space="preserve">Firebase data pipeline: trial logging, session aggregates</w:t>
      </w:r>
    </w:p>
    <w:p>
      <w:pPr>
        <w:pStyle w:val="ListParagraph"/>
        <w:numPr>
          <w:ilvl w:val="0"/>
          <w:numId w:val="2"/>
        </w:numPr>
        <w:spacing w:after="80"/>
      </w:pPr>
      <w:r>
        <w:rPr>
          <w:rFonts w:ascii="Arial" w:cs="Arial" w:eastAsia="Arial" w:hAnsi="Arial"/>
          <w:color w:val="0A0A0A"/>
          <w:sz w:val="20"/>
          <w:szCs w:val="20"/>
        </w:rPr>
        <w:t xml:space="preserve">Internal validation: regime classifier tested on simulated performance profiles for each state</w:t>
      </w:r>
    </w:p>
    <w:p>
      <w:pPr>
        <w:pStyle w:val="Heading2"/>
        <w:pBdr>
          <w:bottom w:val="single" w:color="B8860B" w:sz="4" w:space="4"/>
        </w:pBdr>
        <w:spacing w:after="120" w:before="360"/>
      </w:pPr>
      <w:r>
        <w:rPr>
          <w:rFonts w:ascii="Arial" w:cs="Arial" w:eastAsia="Arial" w:hAnsi="Arial"/>
          <w:b/>
          <w:bCs/>
          <w:color w:val="1A4A7A"/>
          <w:sz w:val="26"/>
          <w:szCs w:val="26"/>
        </w:rPr>
        <w:t xml:space="preserve">Phase 3  ·  Gamification Layer  (Weeks 9–12)</w:t>
      </w:r>
    </w:p>
    <w:p>
      <w:pPr>
        <w:pStyle w:val="ListParagraph"/>
        <w:numPr>
          <w:ilvl w:val="0"/>
          <w:numId w:val="2"/>
        </w:numPr>
        <w:spacing w:after="80"/>
      </w:pPr>
      <w:r>
        <w:rPr>
          <w:rFonts w:ascii="Arial" w:cs="Arial" w:eastAsia="Arial" w:hAnsi="Arial"/>
          <w:color w:val="0A0A0A"/>
          <w:sz w:val="20"/>
          <w:szCs w:val="20"/>
        </w:rPr>
        <w:t xml:space="preserve">Zone Map visual: real-time cusp geometry display</w:t>
      </w:r>
    </w:p>
    <w:p>
      <w:pPr>
        <w:pStyle w:val="ListParagraph"/>
        <w:numPr>
          <w:ilvl w:val="0"/>
          <w:numId w:val="2"/>
        </w:numPr>
        <w:spacing w:after="80"/>
      </w:pPr>
      <w:r>
        <w:rPr>
          <w:rFonts w:ascii="Arial" w:cs="Arial" w:eastAsia="Arial" w:hAnsi="Arial"/>
          <w:color w:val="0A0A0A"/>
          <w:sz w:val="20"/>
          <w:szCs w:val="20"/>
        </w:rPr>
        <w:t xml:space="preserve">Zone streak mechanic</w:t>
      </w:r>
    </w:p>
    <w:p>
      <w:pPr>
        <w:pStyle w:val="ListParagraph"/>
        <w:numPr>
          <w:ilvl w:val="0"/>
          <w:numId w:val="2"/>
        </w:numPr>
        <w:spacing w:after="80"/>
      </w:pPr>
      <w:r>
        <w:rPr>
          <w:rFonts w:ascii="Arial" w:cs="Arial" w:eastAsia="Arial" w:hAnsi="Arial"/>
          <w:color w:val="0A0A0A"/>
          <w:sz w:val="20"/>
          <w:szCs w:val="20"/>
        </w:rPr>
        <w:t xml:space="preserve">Session heatmap (30-day rolling)</w:t>
      </w:r>
    </w:p>
    <w:p>
      <w:pPr>
        <w:pStyle w:val="ListParagraph"/>
        <w:numPr>
          <w:ilvl w:val="0"/>
          <w:numId w:val="2"/>
        </w:numPr>
        <w:spacing w:after="80"/>
      </w:pPr>
      <w:r>
        <w:rPr>
          <w:rFonts w:ascii="Arial" w:cs="Arial" w:eastAsia="Arial" w:hAnsi="Arial"/>
          <w:color w:val="0A0A0A"/>
          <w:sz w:val="20"/>
          <w:szCs w:val="20"/>
        </w:rPr>
        <w:t xml:space="preserve">Profile reveal flow (session 5)</w:t>
      </w:r>
    </w:p>
    <w:p>
      <w:pPr>
        <w:pStyle w:val="ListParagraph"/>
        <w:numPr>
          <w:ilvl w:val="0"/>
          <w:numId w:val="2"/>
        </w:numPr>
        <w:spacing w:after="80"/>
      </w:pPr>
      <w:r>
        <w:rPr>
          <w:rFonts w:ascii="Arial" w:cs="Arial" w:eastAsia="Arial" w:hAnsi="Arial"/>
          <w:color w:val="0A0A0A"/>
          <w:sz w:val="20"/>
          <w:szCs w:val="20"/>
        </w:rPr>
        <w:t xml:space="preserve">Bayesian longitudinal posterior: per-user ξ, δ posterior updates</w:t>
      </w:r>
    </w:p>
    <w:p>
      <w:pPr>
        <w:pStyle w:val="ListParagraph"/>
        <w:numPr>
          <w:ilvl w:val="0"/>
          <w:numId w:val="2"/>
        </w:numPr>
        <w:spacing w:after="80"/>
      </w:pPr>
      <w:r>
        <w:rPr>
          <w:rFonts w:ascii="Arial" w:cs="Arial" w:eastAsia="Arial" w:hAnsi="Arial"/>
          <w:color w:val="0A0A0A"/>
          <w:sz w:val="20"/>
          <w:szCs w:val="20"/>
        </w:rPr>
        <w:t xml:space="preserve">Onboarding flow: calibration framing, feature cue introduction, practice trials</w:t>
      </w:r>
    </w:p>
    <w:p>
      <w:pPr>
        <w:pStyle w:val="Heading2"/>
        <w:pBdr>
          <w:bottom w:val="single" w:color="B8860B" w:sz="4" w:space="4"/>
        </w:pBdr>
        <w:spacing w:after="120" w:before="360"/>
      </w:pPr>
      <w:r>
        <w:rPr>
          <w:rFonts w:ascii="Arial" w:cs="Arial" w:eastAsia="Arial" w:hAnsi="Arial"/>
          <w:b/>
          <w:bCs/>
          <w:color w:val="1A4A7A"/>
          <w:sz w:val="26"/>
          <w:szCs w:val="26"/>
        </w:rPr>
        <w:t xml:space="preserve">Phase 4  ·  Validation Pilot  (Weeks 13–20)</w:t>
      </w:r>
    </w:p>
    <w:p>
      <w:pPr>
        <w:pStyle w:val="ListParagraph"/>
        <w:numPr>
          <w:ilvl w:val="0"/>
          <w:numId w:val="2"/>
        </w:numPr>
        <w:spacing w:after="80"/>
      </w:pPr>
      <w:r>
        <w:rPr>
          <w:rFonts w:ascii="Arial" w:cs="Arial" w:eastAsia="Arial" w:hAnsi="Arial"/>
          <w:color w:val="0A0A0A"/>
          <w:sz w:val="20"/>
          <w:szCs w:val="20"/>
        </w:rPr>
        <w:t xml:space="preserve">50-person closed beta: daily sessions over 4 weeks</w:t>
      </w:r>
    </w:p>
    <w:p>
      <w:pPr>
        <w:pStyle w:val="ListParagraph"/>
        <w:numPr>
          <w:ilvl w:val="0"/>
          <w:numId w:val="2"/>
        </w:numPr>
        <w:spacing w:after="80"/>
      </w:pPr>
      <w:r>
        <w:rPr>
          <w:rFonts w:ascii="Arial" w:cs="Arial" w:eastAsia="Arial" w:hAnsi="Arial"/>
          <w:color w:val="0A0A0A"/>
          <w:sz w:val="20"/>
          <w:szCs w:val="20"/>
        </w:rPr>
        <w:t xml:space="preserve">Hour-scale test-retest protocol</w:t>
      </w:r>
    </w:p>
    <w:p>
      <w:pPr>
        <w:pStyle w:val="ListParagraph"/>
        <w:numPr>
          <w:ilvl w:val="0"/>
          <w:numId w:val="2"/>
        </w:numPr>
        <w:spacing w:after="80"/>
      </w:pPr>
      <w:r>
        <w:rPr>
          <w:rFonts w:ascii="Arial" w:cs="Arial" w:eastAsia="Arial" w:hAnsi="Arial"/>
          <w:color w:val="0A0A0A"/>
          <w:sz w:val="20"/>
          <w:szCs w:val="20"/>
        </w:rPr>
        <w:t xml:space="preserve">External validity battery: WAIS-IV, Raven's, morning cortisol subsample</w:t>
      </w:r>
    </w:p>
    <w:p>
      <w:pPr>
        <w:pStyle w:val="ListParagraph"/>
        <w:numPr>
          <w:ilvl w:val="0"/>
          <w:numId w:val="2"/>
        </w:numPr>
        <w:spacing w:after="80"/>
      </w:pPr>
      <w:r>
        <w:rPr>
          <w:rFonts w:ascii="Arial" w:cs="Arial" w:eastAsia="Arial" w:hAnsi="Arial"/>
          <w:color w:val="0A0A0A"/>
          <w:sz w:val="20"/>
          <w:szCs w:val="20"/>
        </w:rPr>
        <w:t xml:space="preserve">Mobile/desktop equivalence study</w:t>
      </w:r>
    </w:p>
    <w:p>
      <w:pPr>
        <w:pStyle w:val="ListParagraph"/>
        <w:numPr>
          <w:ilvl w:val="0"/>
          <w:numId w:val="2"/>
        </w:numPr>
        <w:spacing w:after="80"/>
      </w:pPr>
      <w:r>
        <w:rPr>
          <w:rFonts w:ascii="Arial" w:cs="Arial" w:eastAsia="Arial" w:hAnsi="Arial"/>
          <w:color w:val="0A0A0A"/>
          <w:sz w:val="20"/>
          <w:szCs w:val="20"/>
        </w:rPr>
        <w:t xml:space="preserve">Retention analysis; gamification adjustment based on session arc drop-off data</w:t>
      </w:r>
    </w:p>
    <w:p>
      <w:pPr>
        <w:pStyle w:val="ListParagraph"/>
        <w:numPr>
          <w:ilvl w:val="0"/>
          <w:numId w:val="2"/>
        </w:numPr>
        <w:spacing w:after="80"/>
      </w:pPr>
      <w:r>
        <w:rPr>
          <w:rFonts w:ascii="Arial" w:cs="Arial" w:eastAsia="Arial" w:hAnsi="Arial"/>
          <w:color w:val="0A0A0A"/>
          <w:sz w:val="20"/>
          <w:szCs w:val="20"/>
        </w:rPr>
        <w:t xml:space="preserve">Timing quality audit across device types</w:t>
      </w:r>
    </w:p>
    <w:p>
      <w:pPr>
        <w:spacing w:after="240"/>
      </w:pPr>
    </w:p>
    <w:p>
      <w:pPr>
        <w:pStyle w:val="Heading1"/>
        <w:spacing w:after="160" w:before="480"/>
      </w:pPr>
      <w:r>
        <w:rPr>
          <w:rFonts w:ascii="Arial" w:cs="Arial" w:eastAsia="Arial" w:hAnsi="Arial"/>
          <w:b/>
          <w:bCs/>
          <w:color w:val="0A0A0A"/>
          <w:sz w:val="36"/>
          <w:szCs w:val="36"/>
        </w:rPr>
        <w:t xml:space="preserve">9.  Open Questions for Resolution Before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Question</w:t>
            </w:r>
          </w:p>
        </w:tc>
        <w:tc>
          <w:tcPr>
            <w:tcW w:type="dxa" w:w="4680"/>
            <w:tcBorders>
              <w:top w:val="single" w:color="3A3A3C" w:sz="1"/>
              <w:left w:val="single" w:color="3A3A3C" w:sz="1"/>
              <w:bottom w:val="single" w:color="3A3A3C" w:sz="1"/>
              <w:right w:val="single" w:color="3A3A3C" w:sz="1"/>
            </w:tcBorders>
            <w:shd w:fill="1C1C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Resolution path</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Is 20-trial rolling window sufficient for reliable ξ and δ estimation in a 3-minute session?</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Simulate across profile types using Wu et al. accuracy model; determine minimum window size for &gt; 80% regime classification accuracy</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Does the feature cue at 100 ms add useful control load or just confusion?</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Phase 1 engine test: compare CCC estimates with and without cue condition; assess RT distribution differences</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What eccentricity reliably triggers global orientation pooling on mobile screens?</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Phase 1 psychophysical pilot (n=20): measure pooling-based majority detection at 1.5°, 2.5°, 3.5°, 4.5° on representative devices. Target: eccentricity where orientation pooling exceeds chance without focal attention; luminance pooling does not. Confirms the probe trial geometry before Phase 2.</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Does the probe RT bimodality signature for Locked In emerge reliably within 5 probes per session?</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Phase 2 validation: compare probe RT distributions across simulated regime profiles; assess whether bimodal shape is detectable at N=5 or requires more probes. If N=5 is insufficient, consider increasing max probes to 7 per session.</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What is the optimal probe rate for regime discrimination without task aversion?</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Phase 2 pilot: test 3 vs 5 vs 7 probes per session; measure probe-triggered disengagement (session abandonment rate after probe event)</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Does removing congruent conditions (following He et al.) affect the regime classifier?</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The residual stream relies on accuracy variance — congruent conditions at ceiling add no variance. Confirm this does not reduce ξ estimate precision</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How should the Zone Coach Map be explained to users without inducing metacognitive interference during sessions?</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UX research: test map visibility during vs after session; measure whether map awareness shifts RT patterns toward performance rather than natural processing</w:t>
            </w:r>
          </w:p>
        </w:tc>
      </w:tr>
      <w:tr>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At what CCC trajectory gradient should Zone Coach recommend moving to Level 2 (relational n-back)?</w:t>
            </w:r>
          </w:p>
        </w:tc>
        <w:tc>
          <w:tcPr>
            <w:tcW w:type="dxa" w:w="4680"/>
            <w:tcBorders>
              <w:top w:val="single" w:color="3A3A3C" w:sz="1"/>
              <w:left w:val="single" w:color="3A3A3C" w:sz="1"/>
              <w:bottom w:val="single" w:color="3A3A3C" w:sz="1"/>
              <w:right w:val="single" w:color="3A3A3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A0A0A"/>
                <w:sz w:val="20"/>
                <w:szCs w:val="20"/>
              </w:rPr>
              <w:t xml:space="preserve">Needs empirical anchor from pilot data: define transition marker as CCC plateau across 3 consecutive sessions within GP regime</w:t>
            </w:r>
          </w:p>
        </w:tc>
      </w:tr>
    </w:tbl>
    <w:p>
      <w:pPr>
        <w:spacing w:after="240"/>
      </w:pPr>
    </w:p>
    <w:p>
      <w:pPr>
        <w:pStyle w:val="Heading1"/>
        <w:spacing w:after="160" w:before="480"/>
      </w:pPr>
      <w:r>
        <w:rPr>
          <w:rFonts w:ascii="Arial" w:cs="Arial" w:eastAsia="Arial" w:hAnsi="Arial"/>
          <w:b/>
          <w:bCs/>
          <w:color w:val="0A0A0A"/>
          <w:sz w:val="36"/>
          <w:szCs w:val="36"/>
        </w:rPr>
        <w:t xml:space="preserve">10.  Key References</w:t>
      </w:r>
    </w:p>
    <w:p>
      <w:pPr>
        <w:spacing w:after="160"/>
      </w:pPr>
      <w:r>
        <w:rPr>
          <w:rFonts w:ascii="Arial" w:cs="Arial" w:eastAsia="Arial" w:hAnsi="Arial"/>
          <w:b w:val="false"/>
          <w:bCs w:val="false"/>
          <w:color w:val="0A0A0A"/>
          <w:sz w:val="18"/>
          <w:szCs w:val="18"/>
        </w:rPr>
        <w:t xml:space="preserve">Wu, T., Dufford, A.J., Mackie, M.A., Egan, L.J., &amp; Fan, J. (2016). The capacity of cognitive control estimated from a perceptual decision making task. Scientific Reports, 6, 34025.</w:t>
      </w:r>
    </w:p>
    <w:p>
      <w:pPr>
        <w:spacing w:after="160"/>
      </w:pPr>
      <w:r>
        <w:rPr>
          <w:rFonts w:ascii="Arial" w:cs="Arial" w:eastAsia="Arial" w:hAnsi="Arial"/>
          <w:b w:val="false"/>
          <w:bCs w:val="false"/>
          <w:color w:val="0A0A0A"/>
          <w:sz w:val="18"/>
          <w:szCs w:val="18"/>
        </w:rPr>
        <w:t xml:space="preserve">He, X., Qiu, B., Deng, Y., Liu, T., Chen, Y., &amp; Zhang, W. (2021). Adaptive assessment of the capacity of cognitive control. Quarterly Journal of Experimental Psychology.</w:t>
      </w:r>
    </w:p>
    <w:p>
      <w:pPr>
        <w:spacing w:after="160"/>
      </w:pPr>
      <w:r>
        <w:rPr>
          <w:rFonts w:ascii="Arial" w:cs="Arial" w:eastAsia="Arial" w:hAnsi="Arial"/>
          <w:b w:val="false"/>
          <w:bCs w:val="false"/>
          <w:color w:val="0A0A0A"/>
          <w:sz w:val="18"/>
          <w:szCs w:val="18"/>
        </w:rPr>
        <w:t xml:space="preserve">Zhang, H., Fan, S., Yang, J., et al. (2024). Attention control training and transfer effects on cognitive tasks. Neuropsychologia, 200, 108910.</w:t>
      </w:r>
    </w:p>
    <w:p>
      <w:pPr>
        <w:spacing w:after="160"/>
      </w:pPr>
      <w:r>
        <w:rPr>
          <w:rFonts w:ascii="Arial" w:cs="Arial" w:eastAsia="Arial" w:hAnsi="Arial"/>
          <w:b w:val="false"/>
          <w:bCs w:val="false"/>
          <w:color w:val="0A0A0A"/>
          <w:sz w:val="18"/>
          <w:szCs w:val="18"/>
        </w:rPr>
        <w:t xml:space="preserve">Trident G framework — internal theoretical document. G loop architecture with individual differences layer (Layers 1–4). Unpublished.</w:t>
      </w:r>
    </w:p>
    <w:p>
      <w:pPr>
        <w:spacing w:after="160"/>
      </w:pPr>
      <w:r>
        <w:rPr>
          <w:rFonts w:ascii="Arial" w:cs="Arial" w:eastAsia="Arial" w:hAnsi="Arial"/>
          <w:b w:val="false"/>
          <w:bCs w:val="false"/>
          <w:color w:val="0A0A0A"/>
          <w:sz w:val="18"/>
          <w:szCs w:val="18"/>
        </w:rPr>
        <w:t xml:space="preserve">Zhang-Tang GP architecture — internal theoretical document. Griffiths Phase bifurcating dynamics and successor representation stack. Unpublished.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0A0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4A7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A3A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2026-04-30T11:34:09.278Z</dcterms:created>
  <dcterms:modified xsi:type="dcterms:W3CDTF">2026-04-30T11:34:09.280Z</dcterms:modified>
</cp:coreProperties>
</file>

<file path=docProps/custom.xml><?xml version="1.0" encoding="utf-8"?>
<Properties xmlns="http://schemas.openxmlformats.org/officeDocument/2006/custom-properties" xmlns:vt="http://schemas.openxmlformats.org/officeDocument/2006/docPropsVTypes"/>
</file>