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b821ca73b01a778f3797eea85ced7fde844276b"/>
    <w:p>
      <w:pPr>
        <w:pStyle w:val="1"/>
      </w:pPr>
      <w:r>
        <w:t xml:space="preserve">Insert Sections: Hippocampal Engagement via Relational and Optic Flow Stimuli</w:t>
      </w:r>
    </w:p>
    <w:bookmarkStart w:id="20" w:name="X04c5f0dc4c98e00a35f6cd022978deaa57eaf8e"/>
    <w:p>
      <w:pPr>
        <w:pStyle w:val="2"/>
      </w:pPr>
      <w:r>
        <w:t xml:space="preserve">For Insertion into the IQ Coach Clinical Rationale Proposal</w:t>
      </w:r>
    </w:p>
    <w:p>
      <w:r>
        <w:pict>
          <v:rect style="width:0;height:1.5pt" o:hralign="center" o:hrstd="t" o:hr="t"/>
        </w:pict>
      </w:r>
    </w:p>
    <w:bookmarkEnd w:id="20"/>
    <w:bookmarkStart w:id="25" w:name="X270f877209e01b5818cd1a1bbd0b147cadc2f7f"/>
    <w:p>
      <w:pPr>
        <w:pStyle w:val="2"/>
      </w:pPr>
      <w:r>
        <w:t xml:space="preserve">SECTION X.1 (Insert after Part A, Section 1 — Theoretical Foundation: Attentional Control Theory)</w:t>
      </w:r>
    </w:p>
    <w:bookmarkStart w:id="24" w:name="X582acfedd85e7c975c6b55f30cff47b3563300e"/>
    <w:p>
      <w:pPr>
        <w:pStyle w:val="3"/>
      </w:pPr>
      <w:r>
        <w:t xml:space="preserve">X.1 Relational Stimuli and Hippocampal Engagement: A Mechanistic Extension of Attentional Control Theory</w:t>
      </w:r>
    </w:p>
    <w:p>
      <w:pPr>
        <w:pStyle w:val="FirstParagraph"/>
      </w:pPr>
      <w:r>
        <w:t xml:space="preserve">While Attentional Control Theory (ACT) traditionally emphasizes prefrontal and anterior cingulate contributions to attentional control, emerging evidence suggests that the hippocampus plays a critical, underappreciated role in regulating attentional processes—particularly when tasks involve relational or spatially structured stimuli. The hippocampus is not merely a memory structure but a dynamic computational hub that supports relational binding, pattern separation, and the integration of self-motion signals, all of which are engaged by the IQ Coach paradigm’s relational and optic flow stimuli.</w:t>
      </w:r>
    </w:p>
    <w:bookmarkStart w:id="21" w:name="Xdec19bda2305f2c5b2c42a774acd6b7617d91df"/>
    <w:p>
      <w:pPr>
        <w:pStyle w:val="4"/>
      </w:pPr>
      <w:r>
        <w:t xml:space="preserve">X.1.1 The Hippocampus as a Relational Processor</w:t>
      </w:r>
    </w:p>
    <w:p>
      <w:pPr>
        <w:pStyle w:val="FirstParagraph"/>
      </w:pPr>
      <w:r>
        <w:t xml:space="preserve">Two influential theories have competed to explain hippocampal function. The cognitive map theory posits that the hippocampus constructs spatial maps of the environment (O’Keefe &amp; Nadel, 1978), whereas the relational theory argues that the hippocampus supports amodal relational processing across domains (Cohen &amp; Eichenbaum, 1993; Eichenbaum, 2004). A critical fMRI study by Hartley and colleagues directly pitted these theories against each other by comparing spatial navigation through a city with analogous relational navigation through a social network. Hippocampal activation was driven</w:t>
      </w:r>
      <w:r>
        <w:t xml:space="preserve"> </w:t>
      </w:r>
      <w:r>
        <w:rPr>
          <w:i/>
          <w:iCs/>
        </w:rPr>
        <w:t xml:space="preserve">only</w:t>
      </w:r>
      <w:r>
        <w:t xml:space="preserve"> </w:t>
      </w:r>
      <w:r>
        <w:t xml:space="preserve">by spatial relational processing, not by matched nonspatial relational demands (Hartley et al., 2005). These findings suggest that the human hippocampus has a</w:t>
      </w:r>
      <w:r>
        <w:t xml:space="preserve"> </w:t>
      </w:r>
      <w:r>
        <w:rPr>
          <w:i/>
          <w:iCs/>
        </w:rPr>
        <w:t xml:space="preserve">bias toward spatial-relational processing</w:t>
      </w:r>
      <w:r>
        <w:t xml:space="preserve">—precisely the type of processing demanded by IQ Coach’s relational frame tasks (e.g., determining inward vs. outward motion relationships, clockwise vs. counterclockwise patterns) and optic flow stimuli.</w:t>
      </w:r>
    </w:p>
    <w:p>
      <w:pPr>
        <w:pStyle w:val="a0"/>
      </w:pPr>
      <w:r>
        <w:t xml:space="preserve">This spatial-relational bias has direct implications for attention-control training. When participants process relational stimuli—such as determining whether a majority of elements move inward or outward relative to a central point, or whether motion patterns follow a clockwise or counterclockwise trajectory—they engage hippocampal circuits that are specialized for encoding spatial relationships and self-motion cues. Unlike absolute directional judgments (left vs. right), which can be resolved by simple feature detection, relational judgments require the integration of multiple elements into a coherent spatial framework—a computation for which the hippocampus is optimally suited.</w:t>
      </w:r>
    </w:p>
    <w:bookmarkEnd w:id="21"/>
    <w:bookmarkStart w:id="22" w:name="X21a5b3fc46cebcdb3a733041836e9f22cc7af85"/>
    <w:p>
      <w:pPr>
        <w:pStyle w:val="4"/>
      </w:pPr>
      <w:r>
        <w:t xml:space="preserve">X.1.2 Optic Flow and Hippocampal Engagement</w:t>
      </w:r>
    </w:p>
    <w:p>
      <w:pPr>
        <w:pStyle w:val="FirstParagraph"/>
      </w:pPr>
      <w:r>
        <w:t xml:space="preserve">The IQ Coach paradigm’s use of optic flow stimuli (radial and rotational motion fields) is particularly significant from a hippocampal perspective. Optic flow—the pattern of visual motion generated during self-motion through an environment—provides critical self-motion information that the hippocampal system uses for path integration and spatial updating. Neuroimaging studies have established robust functional connectivity between optic flow-sensitive cortical regions (V3A, V6, hMT+/V5, and the cingulate sulcus visual area, CSv) and the hippocampus during navigation tasks (Sherrill et al., 2013; Kolarik et al., 2019). Specifically, functional connectivity between left CSv and right hippocampus, and between left CSv and right retrosplenial cortex, is positively associated with self-reported navigation ability during visual path integration (Kolarik et al., 2019).</w:t>
      </w:r>
    </w:p>
    <w:p>
      <w:pPr>
        <w:pStyle w:val="a0"/>
      </w:pPr>
      <w:r>
        <w:t xml:space="preserve">A recent meta-analysis of neuroimaging studies confirmed that the hippocampus is consistently activated during both optic flow processing and spatial navigation, with overlapping activation clusters in the posterior hippocampus (Sulpizio et al., 2024). The hippocampus, together with the retrosplenial cortex and posterior parietal cortex, forms a cooperative network with optic flow regions (V3A, V6, hMT+) to support goal-directed navigation requiring path integration. These functional connections suggest a dynamic interaction between self-motion processing and navigationally responsive systems.</w:t>
      </w:r>
    </w:p>
    <w:p>
      <w:pPr>
        <w:pStyle w:val="a0"/>
      </w:pPr>
      <w:r>
        <w:t xml:space="preserve">At the cellular level, hippocampal place cells are directly influenced by optic flow signals. Madhav and colleagues (2024) demonstrated that pure optic flow information is sufficient to drive both recalibration of path integration gain and systematic control of place fields in freely moving rats, without requiring landmark-based position signals. This finding establishes that optic flow exerts bottom-up influence on the hippocampal cognitive map and that the brain continuously rebalances idiothetic (self-motion) cues to fine-tune spatial representations. The implication for IQ Coach is profound: optic flow stimuli do not merely engage low-level motion processing but directly activate hippocampal spatial coding mechanisms.</w:t>
      </w:r>
    </w:p>
    <w:bookmarkEnd w:id="22"/>
    <w:bookmarkStart w:id="23" w:name="X40309cecd2fa97850ecb31bb62c2c67f92a0e33"/>
    <w:p>
      <w:pPr>
        <w:pStyle w:val="4"/>
      </w:pPr>
      <w:r>
        <w:t xml:space="preserve">X.1.3 Hippocampal Theta Oscillations and Attentional Control</w:t>
      </w:r>
    </w:p>
    <w:p>
      <w:pPr>
        <w:pStyle w:val="FirstParagraph"/>
      </w:pPr>
      <w:r>
        <w:t xml:space="preserve">The hippocampus generates theta (θ) oscillations (4–12 Hz) that are linked to integrative processes critical for higher cognitive functions, including attention, memory encoding, and retrieval (Buzsáki, 2020). Neuronal spiking in widespread brain regions—including somatosensory, entorhinal, and prefrontal cortices—is phase-locked to hippocampal theta oscillations, suggesting that theta serves as a temporal coordination signal for distributed attentional networks (Nuñez et al., 2006; Sirota et al., 2008).</w:t>
      </w:r>
    </w:p>
    <w:p>
      <w:pPr>
        <w:pStyle w:val="a0"/>
      </w:pPr>
      <w:r>
        <w:t xml:space="preserve">Critically, theta oscillations are modulated by attentional states. During classical conditioning paradigms, hippocampal theta reset follows conditioned stimuli during early training (when orienting and attention are high), but this reset decreases with training as attentional factors stabilize (Buzsáki et al., 1979). More recently, human studies have shown that memory retrieval fluctuates and is time-locked to the phase of ongoing theta oscillations, with phase-locking at the peak of theta preceding eye fixations to retrieved locations (Kerren et al., 2018; Kragel et al., 2020). These findings suggest that the hippocampus coordinates memory-guided attentional orienting via theta-phase gating.</w:t>
      </w:r>
    </w:p>
    <w:p>
      <w:pPr>
        <w:pStyle w:val="a0"/>
      </w:pPr>
      <w:r>
        <w:t xml:space="preserve">For the IQ Coach paradigm, the engagement of relational and optic flow stimuli may enhance hippocampal theta activity, thereby strengthening the temporal coordination between hippocampal and prefrontal attention networks. Theta-mediated hippocampal-prefrontal interactions are thought to support the binding of distributed representations into coherent cognitive episodes—a process that is directly analogous to the binding demands of the BSE (Bound Signal Extraction) tasks, where participants must integrate direction and colour information under time pressure.</w:t>
      </w:r>
    </w:p>
    <w:p>
      <w:r>
        <w:pict>
          <v:rect style="width:0;height:1.5pt" o:hralign="center" o:hrstd="t" o:hr="t"/>
        </w:pict>
      </w:r>
    </w:p>
    <w:bookmarkEnd w:id="23"/>
    <w:bookmarkEnd w:id="24"/>
    <w:bookmarkEnd w:id="25"/>
    <w:bookmarkStart w:id="30" w:name="X06e0654f5b8b81b4a1245e114fdc0a2d6fbcdb1"/>
    <w:p>
      <w:pPr>
        <w:pStyle w:val="2"/>
      </w:pPr>
      <w:r>
        <w:t xml:space="preserve">SECTION X.2 (Insert after Part A, Section 2 — Mechanism of Change: Attention Flexibility)</w:t>
      </w:r>
    </w:p>
    <w:bookmarkStart w:id="29" w:name="Xab5d1bb53c8f8b3ef5acc854c87c220cbde244d"/>
    <w:p>
      <w:pPr>
        <w:pStyle w:val="3"/>
      </w:pPr>
      <w:r>
        <w:t xml:space="preserve">X.2 Hippocampal Mechanisms in Anxiety Regulation: Why Relational and Optic Flow Stimuli May Enhance Therapeutic Efficacy</w:t>
      </w:r>
    </w:p>
    <w:bookmarkStart w:id="26" w:name="Xb23f275efbc99cff744925773cbbdfdf63baf32"/>
    <w:p>
      <w:pPr>
        <w:pStyle w:val="4"/>
      </w:pPr>
      <w:r>
        <w:t xml:space="preserve">X.2.1 The Ventral Hippocampus as an Anxiety Regulator</w:t>
      </w:r>
    </w:p>
    <w:p>
      <w:pPr>
        <w:pStyle w:val="FirstParagraph"/>
      </w:pPr>
      <w:r>
        <w:t xml:space="preserve">The hippocampus is structurally and functionally differentiated along its dorsoventral axis. The dorsal hippocampus (dHPC) plays a preferred role in learning and spatial memory, whereas the ventral hippocampus (vHPC) is closely related to emotion and anxiety regulation (Fanselow &amp; Dong, 2010; Bannerman et al., 2004). The vHPC shares bilateral connections with the amygdala and projects to key regulators of affective behaviors, including the hypothalamus, medial prefrontal cortex (mPFC), and nucleus accumbens (Amaral &amp; Witter, 1989; Risold &amp; Swanson, 1996). Lesion and pharmacological studies have established that the vHPC, unlike the dHPC, directly mediates innate fear, anxiety, and stress reactivity (Kjelstrup et al., 2002; Pentkowski et al., 2006).</w:t>
      </w:r>
    </w:p>
    <w:p>
      <w:pPr>
        <w:pStyle w:val="a0"/>
      </w:pPr>
      <w:r>
        <w:t xml:space="preserve">Recent optogenetic and chemogenetic studies have illuminated the microcircuit mechanisms by which the vHPC regulates anxiety. Within ventral CA1 (vCA1), distinct local inhibitory microcircuits selectively gate the expression of fear and anxiety. Parvalbumin (PV)-positive interneurons exert strong perisomatic inhibition onto pyramidal neurons, regulating their activation during states of uncertainty or potential threat (Hu et al., 2014; Udakis et al., 2020). Optogenetic inhibition of PV interneurons increases pyramidal neuron activity, resulting in heightened anxiety behaviors, such as reduced exploration of anxiogenic environments (Volitaki et al., 2024). Conversely, selective activation of PV+ interneurons in the dentate gyrus produces anxiolytic effects and facilitates fear extinction (Zou et al., 2016).</w:t>
      </w:r>
    </w:p>
    <w:p>
      <w:pPr>
        <w:pStyle w:val="a0"/>
      </w:pPr>
      <w:r>
        <w:t xml:space="preserve">The vHPC’s anxiety-regulating outputs are anatomically segregated: projections to the medial prefrontal cortex, lateral hypothalamus, and lateral septum mediate anxiety and avoidance behaviors, while projections to the basolateral amygdala and central amygdala orchestrate fear learning and expression (Adhikari et al., 2010; Ciocchi et al., 2015; Jimenez et al., 2018). This modular organization enables the hippocampus to mediate distinct behavioral outcomes depending on contextual demands and outputs.</w:t>
      </w:r>
    </w:p>
    <w:bookmarkEnd w:id="26"/>
    <w:bookmarkStart w:id="27" w:name="X6c05bff5a19400d55da8d029f5e22b3d106ca50"/>
    <w:p>
      <w:pPr>
        <w:pStyle w:val="4"/>
      </w:pPr>
      <w:r>
        <w:t xml:space="preserve">X.2.2 Hippocampal Regulation of the HPA Axis</w:t>
      </w:r>
    </w:p>
    <w:p>
      <w:pPr>
        <w:pStyle w:val="FirstParagraph"/>
      </w:pPr>
      <w:r>
        <w:t xml:space="preserve">The hippocampus is a major regulator of the hypothalamic-pituitary-adrenal (HPA) axis—the body’s central stress response system. Under normal conditions, hippocampal activity inhibits the HPA axis via negative feedback: the ventral subiculum projects to the paraventricular nucleus (PVN) of the hypothalamus and suppresses corticotropin-releasing hormone (CRH) release, thereby buffering stress responses (Jacobson &amp; Sapolsky, 1991; Herman &amp; Mueller, 2006). Cortisol released by the adrenal glands binds to glucocorticoid receptors in the hippocampus, further activating hippocampal inhibitory control over the HPA axis (Ulrich-Lai &amp; Herman, 2009).</w:t>
      </w:r>
    </w:p>
    <w:p>
      <w:pPr>
        <w:pStyle w:val="a0"/>
      </w:pPr>
      <w:r>
        <w:t xml:space="preserve">In anxiety disorders, this regulatory loop is disrupted. Chronic stress and elevated cortisol levels damage hippocampal neurons and impair the negative feedback mechanism, creating a self-reinforcing cycle of hypervigilance, continued cortisol elevation, and additional hippocampal damage (Sapolsky, 2000). Hippocampal lesions impair glucocorticoid feedback inhibition, leading to increased stress hormone levels and persistent HPA axis activation—a hallmark of anxiety and depression (Dedovic et al., 2009). The ventral CA1 projections to the lateral hypothalamus have been shown to regulate autonomic nervous system activity and stress hormone release, with activation of this pathway increasing anxiety and avoidance behavior (Jimenez et al., 2018).</w:t>
      </w:r>
    </w:p>
    <w:bookmarkEnd w:id="27"/>
    <w:bookmarkStart w:id="28" w:name="X1922ef8b84c6c2cc6dd70505b5075a82d099cc6"/>
    <w:p>
      <w:pPr>
        <w:pStyle w:val="4"/>
      </w:pPr>
      <w:r>
        <w:t xml:space="preserve">X.2.3 Why Relational and Optic Flow Stimuli May Be Therapeutically Advantageous</w:t>
      </w:r>
    </w:p>
    <w:p>
      <w:pPr>
        <w:pStyle w:val="FirstParagraph"/>
      </w:pPr>
      <w:r>
        <w:t xml:space="preserve">The IQ Coach paradigm’s progression from absolute to relational stimuli, and ultimately to optic flow, may confer therapeutic advantages beyond those of simple feature-based attention training for three hippocampal-related reasons:</w:t>
      </w:r>
    </w:p>
    <w:p>
      <w:pPr>
        <w:pStyle w:val="a0"/>
      </w:pPr>
      <w:r>
        <w:rPr>
          <w:b/>
          <w:bCs/>
        </w:rPr>
        <w:t xml:space="preserve">First, relational stimuli engage the dorsal hippocampus’s spatial-relational processing mechanisms.</w:t>
      </w:r>
      <w:r>
        <w:t xml:space="preserve"> </w:t>
      </w:r>
      <w:r>
        <w:t xml:space="preserve">As established by Hartley et al. (2005), the hippocampus is preferentially activated by spatial-relational processing. By requiring participants to encode and manipulate relational frameworks (e.g.,</w:t>
      </w:r>
      <w:r>
        <w:t xml:space="preserve"> </w:t>
      </w:r>
      <w:r>
        <w:t xml:space="preserve">“</w:t>
      </w:r>
      <w:r>
        <w:t xml:space="preserve">inward vs. outward</w:t>
      </w:r>
      <w:r>
        <w:t xml:space="preserve">”</w:t>
      </w:r>
      <w:r>
        <w:t xml:space="preserve"> </w:t>
      </w:r>
      <w:r>
        <w:t xml:space="preserve">or</w:t>
      </w:r>
      <w:r>
        <w:t xml:space="preserve"> </w:t>
      </w:r>
      <w:r>
        <w:t xml:space="preserve">“</w:t>
      </w:r>
      <w:r>
        <w:t xml:space="preserve">clockwise vs. counterclockwise</w:t>
      </w:r>
      <w:r>
        <w:t xml:space="preserve">”</w:t>
      </w:r>
      <w:r>
        <w:t xml:space="preserve">), IQ Coach exercises hippocampal circuits that may be underactivated in anxiety disorders due to chronic stress-induced hippocampal dysfunction. Restoring activity in these circuits through targeted cognitive training could, in principle, strengthen the hippocampal regulatory capacity over the HPA axis.</w:t>
      </w:r>
    </w:p>
    <w:p>
      <w:pPr>
        <w:pStyle w:val="a0"/>
      </w:pPr>
      <w:r>
        <w:rPr>
          <w:b/>
          <w:bCs/>
        </w:rPr>
        <w:t xml:space="preserve">Second, optic flow stimuli activate the hippocampal self-motion integration network.</w:t>
      </w:r>
      <w:r>
        <w:t xml:space="preserve"> </w:t>
      </w:r>
      <w:r>
        <w:t xml:space="preserve">The functional connectivity between optic flow regions and the hippocampus (Kolarik et al., 2019; Sherrill et al., 2013) suggests that optic flow processing is not merely a visual task but a hippocampally-mediated spatial computation. By training participants to extract invariant directional information from optic flow fields, IQ Coach may strengthen the integrity of hippocampal-optic flow networks that support spatial self-monitoring—a capacity that may be disrupted in anxiety, where individuals lose the ability to</w:t>
      </w:r>
      <w:r>
        <w:t xml:space="preserve"> </w:t>
      </w:r>
      <w:r>
        <w:t xml:space="preserve">“</w:t>
      </w:r>
      <w:r>
        <w:t xml:space="preserve">navigate</w:t>
      </w:r>
      <w:r>
        <w:t xml:space="preserve">”</w:t>
      </w:r>
      <w:r>
        <w:t xml:space="preserve"> </w:t>
      </w:r>
      <w:r>
        <w:t xml:space="preserve">their internal and external environments effectively.</w:t>
      </w:r>
    </w:p>
    <w:p>
      <w:pPr>
        <w:pStyle w:val="a0"/>
      </w:pPr>
      <w:r>
        <w:rPr>
          <w:b/>
          <w:bCs/>
        </w:rPr>
        <w:t xml:space="preserve">Third, the carrier swap (arrows → optic flow) may promote hippocampal pattern separation.</w:t>
      </w:r>
      <w:r>
        <w:t xml:space="preserve"> </w:t>
      </w:r>
      <w:r>
        <w:t xml:space="preserve">Pattern separation—the process by which similar inputs are transformed into less similar, non-overlapping representations—is a core hippocampal computation performed primarily by dentate gyrus granule cells (Yassa &amp; Stark, 2011). The carrier swap requires participants to extract the same relational invariants (e.g., majority direction) from fundamentally different surface features (arrows vs. optic flow), a demand that closely parallels the computational requirements of pattern separation: distinguishing similar but distinct representations. Impaired pattern separation has been linked to anxiety disorders, where threat-related representations generalize excessively across contexts (Kheirbek et al., 2012). Training hippocampal pattern separation through relational stimulus variation may therefore reduce threat overgeneralization—a core mechanism of anxiety maintenance.</w:t>
      </w:r>
    </w:p>
    <w:p>
      <w:r>
        <w:pict>
          <v:rect style="width:0;height:1.5pt" o:hralign="center" o:hrstd="t" o:hr="t"/>
        </w:pict>
      </w:r>
    </w:p>
    <w:bookmarkEnd w:id="28"/>
    <w:bookmarkEnd w:id="29"/>
    <w:bookmarkEnd w:id="30"/>
    <w:bookmarkStart w:id="35" w:name="Xdfdc17a6dd38133fafa8838783185601a0fba8d"/>
    <w:p>
      <w:pPr>
        <w:pStyle w:val="2"/>
      </w:pPr>
      <w:r>
        <w:t xml:space="preserve">SECTION X.3 (Insert after Part B, Section 1 — TVA Evidence for Attention Deficits in ADHD)</w:t>
      </w:r>
    </w:p>
    <w:bookmarkStart w:id="34" w:name="Xc939a13f435beb6da401e1b21487f061b1f8c96"/>
    <w:p>
      <w:pPr>
        <w:pStyle w:val="3"/>
      </w:pPr>
      <w:r>
        <w:t xml:space="preserve">X.3 Hippocampal Contributions to Attention Deficits in ADHD: Beyond TVA Parameters</w:t>
      </w:r>
    </w:p>
    <w:bookmarkStart w:id="31" w:name="x.3.1-hippocampal-dysfunction-in-adhd"/>
    <w:p>
      <w:pPr>
        <w:pStyle w:val="4"/>
      </w:pPr>
      <w:r>
        <w:t xml:space="preserve">X.3.1 Hippocampal Dysfunction in ADHD</w:t>
      </w:r>
    </w:p>
    <w:p>
      <w:pPr>
        <w:pStyle w:val="FirstParagraph"/>
      </w:pPr>
      <w:r>
        <w:t xml:space="preserve">While TVA-based research has established that ADHD involves specific deficits in processing speed (C) and sustained attention, converging evidence from animal models, neuroimaging, and neuropsychological studies suggests that hippocampal dysfunction also contributes to the attentional profile of ADHD. The hippocampus is densely interconnected with prefrontal cortical regions that support executive functions, and hippocampal-prefrontal interactions are critical for goal-directed behavior, working memory, and cognitive flexibility—domains consistently impaired in ADHD.</w:t>
      </w:r>
    </w:p>
    <w:p>
      <w:pPr>
        <w:pStyle w:val="a0"/>
      </w:pPr>
      <w:r>
        <w:t xml:space="preserve">Rodent models of ADHD have demonstrated hippocampal abnormalities in spontaneously hypertensive rats (SHR), a widely used animal model of ADHD. These animals show altered hippocampal long-term potentiation, impaired spatial memory, and disrupted theta oscillations (Berger &amp; Sagvolden, 1998; Giesbrecht et al., 2010). In humans, structural MRI studies have reported reduced hippocampal volume in children and adolescents with ADHD, with volume reductions correlating with symptom severity and executive function deficits (Qiu et al., 2009; Plessen et al., 2006). Functional neuroimaging studies have further shown abnormal hippocampal activation during memory and attention tasks in ADHD, suggesting that hippocampal contributions to cognitive control are compromised (Skudlarski et al., 2008).</w:t>
      </w:r>
    </w:p>
    <w:bookmarkEnd w:id="31"/>
    <w:bookmarkStart w:id="32" w:name="Xc63f2e026c6bd1b980f6ba60fb409c651506c25"/>
    <w:p>
      <w:pPr>
        <w:pStyle w:val="4"/>
      </w:pPr>
      <w:r>
        <w:t xml:space="preserve">X.3.2 Theta Oscillations, Hippocampal-Prefrontal Coupling, and Attention</w:t>
      </w:r>
    </w:p>
    <w:p>
      <w:pPr>
        <w:pStyle w:val="FirstParagraph"/>
      </w:pPr>
      <w:r>
        <w:t xml:space="preserve">Hippocampal theta oscillations are critical for coordinating neural activity across distributed brain networks during attention-demanding tasks. In rodents, hippocampal-prefrontal theta coherence increases during working memory and attention tasks, and this coherence is disrupted in animal models of ADHD (Jones &amp; Wilson, 2005; Sigurdsson et al., 2010). Theta-mediated synchronization is thought to facilitate the transfer of information between the hippocampus and prefrontal cortex, enabling the integration of past experiences with current goals—a process essential for adaptive attentional control.</w:t>
      </w:r>
    </w:p>
    <w:p>
      <w:pPr>
        <w:pStyle w:val="a0"/>
      </w:pPr>
      <w:r>
        <w:t xml:space="preserve">In humans, hippocampal theta activity is modulated by attentional demands during both spatial and nonspatial tasks. Theta power increases during orienting to novel stimuli, during memory encoding, and during the maintenance of information in working memory (Buzsáki, 2020). Given that ADHD is characterized by impaired orienting, reduced sustained attention, and working memory deficits, the restoration of theta-mediated hippocampal-prefrontal coordination may represent a mechanistic target for cognitive training.</w:t>
      </w:r>
    </w:p>
    <w:bookmarkEnd w:id="32"/>
    <w:bookmarkStart w:id="33" w:name="Xce302d064a993d9fcbe76d8f83b718eb3376d94"/>
    <w:p>
      <w:pPr>
        <w:pStyle w:val="4"/>
      </w:pPr>
      <w:r>
        <w:t xml:space="preserve">X.3.3 Why Relational and Optic Flow Stimuli May Be Particularly Beneficial for ADHD</w:t>
      </w:r>
    </w:p>
    <w:p>
      <w:pPr>
        <w:pStyle w:val="FirstParagraph"/>
      </w:pPr>
      <w:r>
        <w:t xml:space="preserve">The IQ Coach paradigm’s emphasis on relational and optic flow stimuli may be especially well-suited to address hippocampal dysfunction in ADHD for several reasons:</w:t>
      </w:r>
    </w:p>
    <w:p>
      <w:pPr>
        <w:pStyle w:val="a0"/>
      </w:pPr>
      <w:r>
        <w:rPr>
          <w:b/>
          <w:bCs/>
        </w:rPr>
        <w:t xml:space="preserve">Relational processing demands engage hippocampal-prefrontal circuits.</w:t>
      </w:r>
      <w:r>
        <w:t xml:space="preserve"> </w:t>
      </w:r>
      <w:r>
        <w:t xml:space="preserve">The transition from absolute (left/right) to relational (inward/outward, clockwise/counterclockwise) frames requires participants to construct and manipulate cognitive maps of stimulus relationships—a function that depends on intact hippocampal-prefrontal interactions. By systematically training these interactions, IQ Coach may strengthen the very circuits that are dysfunctional in ADHD.</w:t>
      </w:r>
    </w:p>
    <w:p>
      <w:pPr>
        <w:pStyle w:val="a0"/>
      </w:pPr>
      <w:r>
        <w:rPr>
          <w:b/>
          <w:bCs/>
        </w:rPr>
        <w:t xml:space="preserve">Optic flow stimuli provide naturalistic self-motion signals.</w:t>
      </w:r>
      <w:r>
        <w:t xml:space="preserve"> </w:t>
      </w:r>
      <w:r>
        <w:t xml:space="preserve">Unlike static arrow stimuli, optic flow mimics the visual input experienced during self-motion through an environment. The hippocampal place cell system is optimized to process such self-motion cues, using them to update spatial representations via path integration (Madhav et al., 2024). For individuals with ADHD, who often show deficits in spatial working memory and navigation (Bullens et al., 2010), training with optic flow stimuli may provide a more ecologically valid and engaging form of attention exercise that recruits hippocampal mechanisms more robustly than static displays.</w:t>
      </w:r>
    </w:p>
    <w:p>
      <w:pPr>
        <w:pStyle w:val="a0"/>
      </w:pPr>
      <w:r>
        <w:rPr>
          <w:b/>
          <w:bCs/>
        </w:rPr>
        <w:t xml:space="preserve">The carrier swap promotes cognitive flexibility via hippocampal remapping.</w:t>
      </w:r>
      <w:r>
        <w:t xml:space="preserve"> </w:t>
      </w:r>
      <w:r>
        <w:t xml:space="preserve">Hippocampal place cells exhibit</w:t>
      </w:r>
      <w:r>
        <w:t xml:space="preserve"> </w:t>
      </w:r>
      <w:r>
        <w:t xml:space="preserve">“</w:t>
      </w:r>
      <w:r>
        <w:t xml:space="preserve">remapping</w:t>
      </w:r>
      <w:r>
        <w:t xml:space="preserve">”</w:t>
      </w:r>
      <w:r>
        <w:t xml:space="preserve">—the reorganization of spatial firing patterns when environmental features change—while grid cells in the entorhinal cortex realign their firing orientations (Fyhn et al., 2007; Hafting et al., 2005). The carrier swap from arrows to optic flow is analogous to an environmental change that requires hippocampal remapping: the same underlying relational rules must be extracted from a fundamentally different sensory input. This demand for representational flexibility may specifically exercise hippocampal circuits that support cognitive flexibility, a core deficit in ADHD.</w:t>
      </w:r>
    </w:p>
    <w:p>
      <w:r>
        <w:pict>
          <v:rect style="width:0;height:1.5pt" o:hralign="center" o:hrstd="t" o:hr="t"/>
        </w:pict>
      </w:r>
    </w:p>
    <w:bookmarkEnd w:id="33"/>
    <w:bookmarkEnd w:id="34"/>
    <w:bookmarkEnd w:id="35"/>
    <w:bookmarkStart w:id="41" w:name="Xbe4ccb4c4ec4630889019803c2d7487b5170fcc"/>
    <w:p>
      <w:pPr>
        <w:pStyle w:val="2"/>
      </w:pPr>
      <w:r>
        <w:t xml:space="preserve">SECTION X.4 (Insert after Part B, Section 5 — Why IQ Coach May Succeed Where Prior Cognitive Training Has Struggled)</w:t>
      </w:r>
    </w:p>
    <w:bookmarkStart w:id="40" w:name="X061a5a8b807f47bdc28bd976cb3bb61a40236c7"/>
    <w:p>
      <w:pPr>
        <w:pStyle w:val="3"/>
      </w:pPr>
      <w:r>
        <w:t xml:space="preserve">X.4 Hippocampal Engagement as a Far-Transfer Mechanism</w:t>
      </w:r>
    </w:p>
    <w:bookmarkStart w:id="36" w:name="X4c9a471116be9cdf8153564305fa9e45df5d053"/>
    <w:p>
      <w:pPr>
        <w:pStyle w:val="4"/>
      </w:pPr>
      <w:r>
        <w:t xml:space="preserve">X.4.1 The Hippocampus as a Hub for Far Transfer</w:t>
      </w:r>
    </w:p>
    <w:p>
      <w:pPr>
        <w:pStyle w:val="FirstParagraph"/>
      </w:pPr>
      <w:r>
        <w:t xml:space="preserve">Traditional cognitive training research has focused on near-transfer effects (improvements on structurally similar tasks) and has struggled to demonstrate reliable far transfer (improvements on dissimilar, ecologically meaningful outcomes). One explanation for this limitation is that many training paradigms target isolated cortical regions (e.g., dorsolateral prefrontal cortex for working memory) without engaging the broader network interactions that underlie real-world cognitive flexibility.</w:t>
      </w:r>
    </w:p>
    <w:p>
      <w:pPr>
        <w:pStyle w:val="a0"/>
      </w:pPr>
      <w:r>
        <w:t xml:space="preserve">The hippocampus occupies a unique position in the brain’s cognitive architecture that makes it a potential hub for far transfer. As a convergence zone for information from multiple sensory modalities, the hippocampus integrates inputs from visual, auditory, somatosensory, and olfactory cortices via the entorhinal cortex (Eichenbaum et al., 2007). Its outputs project to prefrontal, parietal, and limbic regions that support executive function, attention, and emotional regulation. This anatomical position enables the hippocampus to serve as a</w:t>
      </w:r>
      <w:r>
        <w:t xml:space="preserve"> </w:t>
      </w:r>
      <w:r>
        <w:t xml:space="preserve">“</w:t>
      </w:r>
      <w:r>
        <w:t xml:space="preserve">relational binder</w:t>
      </w:r>
      <w:r>
        <w:t xml:space="preserve">”</w:t>
      </w:r>
      <w:r>
        <w:t xml:space="preserve"> </w:t>
      </w:r>
      <w:r>
        <w:t xml:space="preserve">that links disparate cognitive operations into coherent episodes—precisely the type of integrative function that far transfer requires.</w:t>
      </w:r>
    </w:p>
    <w:bookmarkEnd w:id="36"/>
    <w:bookmarkStart w:id="37" w:name="X9cedbf5f7e56e2fb78387b45752910f3a4c539b"/>
    <w:p>
      <w:pPr>
        <w:pStyle w:val="4"/>
      </w:pPr>
      <w:r>
        <w:t xml:space="preserve">X.4.2 Pattern Separation, Cognitive Flexibility, and Generalization</w:t>
      </w:r>
    </w:p>
    <w:p>
      <w:pPr>
        <w:pStyle w:val="FirstParagraph"/>
      </w:pPr>
      <w:r>
        <w:t xml:space="preserve">Pattern separation in the dentate gyrus is essential for discriminating similar experiences and preventing interference between overlapping memories. This computational process has direct relevance to far transfer: to apply learned skills in novel contexts, the brain must distinguish the current situation from previously encountered situations while recognizing the underlying structural similarities. Pattern separation enables this discrimination, while pattern completion in CA3 supports the retrieval of appropriate schemas when partial cues are present (Yassa &amp; Stark, 2011; Rolls, 2013).</w:t>
      </w:r>
    </w:p>
    <w:p>
      <w:pPr>
        <w:pStyle w:val="a0"/>
      </w:pPr>
      <w:r>
        <w:t xml:space="preserve">The IQ Coach paradigm’s relational and carrier-swap design directly exercises pattern separation and completion mechanisms. When participants encounter optic flow stimuli after training with arrows, they must discriminate the new carrier (optic flow) from the old (arrows) while completing the relational schema (</w:t>
      </w:r>
      <w:r>
        <w:t xml:space="preserve">“</w:t>
      </w:r>
      <w:r>
        <w:t xml:space="preserve">extract majority direction</w:t>
      </w:r>
      <w:r>
        <w:t xml:space="preserve">”</w:t>
      </w:r>
      <w:r>
        <w:t xml:space="preserve">) from partial cues. This dual demand—separating surface features while completing relational structures—mirrors the computational requirements of far transfer in naturalistic settings.</w:t>
      </w:r>
    </w:p>
    <w:bookmarkEnd w:id="37"/>
    <w:bookmarkStart w:id="38" w:name="Xb6e0cbc860c5fff74ca9a548598262abbb58fc3"/>
    <w:p>
      <w:pPr>
        <w:pStyle w:val="4"/>
      </w:pPr>
      <w:r>
        <w:t xml:space="preserve">X.4.3 Hippocampal Neurogenesis and Training-Induced Plasticity</w:t>
      </w:r>
    </w:p>
    <w:p>
      <w:pPr>
        <w:pStyle w:val="FirstParagraph"/>
      </w:pPr>
      <w:r>
        <w:t xml:space="preserve">Adult hippocampal neurogenesis—the birth of new neurons in the dentate gyrus—has been linked to pattern separation, cognitive flexibility, and stress resilience (Gage &amp; Kempermann, 2018). Neurogenesis is enhanced by cognitive engagement, physical exercise, and environmental enrichment, and is suppressed by chronic stress and aging. Importantly, neurogenesis is required for the spontaneous recovery from stress-induced anxiety and cognitive flexibility impairments (Anacker &amp; Hen, 2017).</w:t>
      </w:r>
    </w:p>
    <w:p>
      <w:pPr>
        <w:pStyle w:val="a0"/>
      </w:pPr>
      <w:r>
        <w:t xml:space="preserve">Cognitive training paradigms that engage hippocampal relational processing may promote neurogenesis-induced plasticity. Memory training studies have demonstrated that intensive episodic memory training can increase hippocampal volume in both young and older adults, with effects persisting for months (Engvig et al., 2014). While the specific effects of attention-control training on neurogenesis have not been directly tested, the engagement of hippocampal pattern separation and relational binding mechanisms by IQ Coach’s relational and optic flow stimuli provides a plausible pathway for training-induced hippocampal plasticity.</w:t>
      </w:r>
    </w:p>
    <w:bookmarkEnd w:id="38"/>
    <w:bookmarkStart w:id="39" w:name="Xcb124e20c4b8820b6947ed036e0494cd4e121b1"/>
    <w:p>
      <w:pPr>
        <w:pStyle w:val="4"/>
      </w:pPr>
      <w:r>
        <w:t xml:space="preserve">X.4.4 Implications for Far Transfer to Anxiety and ADHD Outcomes</w:t>
      </w:r>
    </w:p>
    <w:p>
      <w:pPr>
        <w:pStyle w:val="FirstParagraph"/>
      </w:pPr>
      <w:r>
        <w:t xml:space="preserve">If the hippocampus serves as a hub for far transfer, then training paradigms that robustly engage hippocampal mechanisms should produce broader transfer than those that do not. For anxiety, hippocampal engagement may facilitate transfer to real-world situations by strengthening the neural mechanisms that discriminate safe from threatening contexts (pattern separation), regulate the HPA axis (ventral hippocampal outputs), and coordinate attentional resources under stress (theta-mediated prefrontal coupling). For ADHD, hippocampal engagement may support transfer to academic and organizational skills by enhancing the relational binding of task-relevant information, the cognitive flexibility to switch between strategies, and the spatial working memory needed for planning and sequencing.</w:t>
      </w:r>
    </w:p>
    <w:p>
      <w:r>
        <w:pict>
          <v:rect style="width:0;height:1.5pt" o:hralign="center" o:hrstd="t" o:hr="t"/>
        </w:pict>
      </w:r>
    </w:p>
    <w:bookmarkEnd w:id="39"/>
    <w:bookmarkEnd w:id="40"/>
    <w:bookmarkEnd w:id="41"/>
    <w:bookmarkStart w:id="46" w:name="X5fda1a7a8da9cb20b429fa2968166d0f3b2d754"/>
    <w:p>
      <w:pPr>
        <w:pStyle w:val="2"/>
      </w:pPr>
      <w:r>
        <w:t xml:space="preserve">SECTION X.5 (Insert after Part C, Section 1 — Attention Control as a Shared Mechanism)</w:t>
      </w:r>
    </w:p>
    <w:bookmarkStart w:id="45" w:name="X568014ff79604190141ec5fc1141b1f22931b22"/>
    <w:p>
      <w:pPr>
        <w:pStyle w:val="3"/>
      </w:pPr>
      <w:r>
        <w:t xml:space="preserve">X.5 The Hippocampus as a Transdiagnostic Bridge Between Anxiety and ADHD</w:t>
      </w:r>
    </w:p>
    <w:bookmarkStart w:id="42" w:name="x.5.1-shared-hippocampal-vulnerability"/>
    <w:p>
      <w:pPr>
        <w:pStyle w:val="4"/>
      </w:pPr>
      <w:r>
        <w:t xml:space="preserve">X.5.1 Shared Hippocampal Vulnerability</w:t>
      </w:r>
    </w:p>
    <w:p>
      <w:pPr>
        <w:pStyle w:val="FirstParagraph"/>
      </w:pPr>
      <w:r>
        <w:t xml:space="preserve">Both anxiety disorders and ADHD are associated with hippocampal abnormalities, albeit through different etiological pathways. In anxiety, chronic stress and elevated glucocorticoids damage hippocampal structure and function, impairing the negative feedback regulation of the HPA axis and reducing neurogenesis (McEwen, 2007). In ADHD, neurodevelopmental factors alter hippocampal volume, connectivity, and theta oscillations, contributing to deficits in spatial memory, working memory, and cognitive flexibility (Plessen et al., 2006; Skudlarski et al., 2008). Despite these different origins, the convergent hippocampal dysfunction in both conditions suggests that interventions targeting hippocampal mechanisms may have transdiagnostic efficacy.</w:t>
      </w:r>
    </w:p>
    <w:bookmarkEnd w:id="42"/>
    <w:bookmarkStart w:id="43" w:name="X5942a1eb3f22e64f633fb1eddd82fc6e610122d"/>
    <w:p>
      <w:pPr>
        <w:pStyle w:val="4"/>
      </w:pPr>
      <w:r>
        <w:t xml:space="preserve">X.5.2 Hippocampal-PFC Coupling as a Common Therapeutic Target</w:t>
      </w:r>
    </w:p>
    <w:p>
      <w:pPr>
        <w:pStyle w:val="FirstParagraph"/>
      </w:pPr>
      <w:r>
        <w:t xml:space="preserve">The hippocampus and prefrontal cortex are bidirectionally connected via multiple pathways, including the uncinate fasciculus, fornix, and indirect routes through the thalamus and entorhinal cortex. Hippocampal-prefrontal functional connectivity is critical for integrating past experiences with current goals, a process that is impaired in both anxiety (where threat memories intrude on present-moment processing) and ADHD (where goal maintenance is disrupted by distractibility).</w:t>
      </w:r>
    </w:p>
    <w:p>
      <w:pPr>
        <w:pStyle w:val="a0"/>
      </w:pPr>
      <w:r>
        <w:t xml:space="preserve">Relational and optic flow stimuli may strengthen hippocampal-prefrontal coupling by requiring the integration of spatial-relational information with attentional control demands. When participants process optic flow to extract directional invariants, they must coordinate hippocampal self-motion processing with prefrontal goal-directed attention—a coordination that depends on intact hippocampal-prefrontal communication. Repeated practice of this coordination may, through Hebbian plasticity, strengthen the structural and functional connectivity of the hippocampal-prefrontal pathway.</w:t>
      </w:r>
    </w:p>
    <w:bookmarkEnd w:id="43"/>
    <w:bookmarkStart w:id="44" w:name="X0bbd8b5ba80384c01dfbb2759a067fcc23f6718"/>
    <w:p>
      <w:pPr>
        <w:pStyle w:val="4"/>
      </w:pPr>
      <w:r>
        <w:t xml:space="preserve">X.5.3 Theta-Mediated Integration as a Transdiagnostic Mechanism</w:t>
      </w:r>
    </w:p>
    <w:p>
      <w:pPr>
        <w:pStyle w:val="FirstParagraph"/>
      </w:pPr>
      <w:r>
        <w:t xml:space="preserve">Hippocampal theta oscillations provide a temporal framework for coordinating activity across distributed brain networks. In both anxiety and ADHD, theta abnormalities have been reported: anxiety is associated with elevated theta in the ventral hippocampus and amygdala (reflecting hypervigilance), while ADHD is associated with reduced theta coherence between hippocampus and prefrontal cortex (reflecting impaired coordination). Training with relational and optic flow stimuli may normalize theta activity in both conditions by providing structured, adaptive demands that entrain theta-mediated coordination without overwhelming the system.</w:t>
      </w:r>
    </w:p>
    <w:p>
      <w:pPr>
        <w:pStyle w:val="a0"/>
      </w:pPr>
      <w:r>
        <w:t xml:space="preserve">The adaptive QUEST+ staircase is particularly relevant here: by maintaining task difficulty at the individualized threshold of capacity, the IQ Coach paradigm ensures that hippocampal-prefrontal coordination is challenged sufficiently to drive plasticity but not so severely as to induce stress-related theta disruption. This</w:t>
      </w:r>
      <w:r>
        <w:t xml:space="preserve"> </w:t>
      </w:r>
      <w:r>
        <w:t xml:space="preserve">“</w:t>
      </w:r>
      <w:r>
        <w:t xml:space="preserve">optimal challenge</w:t>
      </w:r>
      <w:r>
        <w:t xml:space="preserve">”</w:t>
      </w:r>
      <w:r>
        <w:t xml:space="preserve"> </w:t>
      </w:r>
      <w:r>
        <w:t xml:space="preserve">principle aligns with the broader literature on neuroplasticity, which suggests that learning occurs most efficiently when tasks are demanding but achievable (Klingberg, 2010).</w:t>
      </w:r>
    </w:p>
    <w:p>
      <w:r>
        <w:pict>
          <v:rect style="width:0;height:1.5pt" o:hralign="center" o:hrstd="t" o:hr="t"/>
        </w:pict>
      </w:r>
    </w:p>
    <w:bookmarkEnd w:id="44"/>
    <w:bookmarkEnd w:id="45"/>
    <w:bookmarkEnd w:id="46"/>
    <w:bookmarkStart w:id="47" w:name="Xb34374644d0107889b74d7bebe65e8ac75a275b"/>
    <w:p>
      <w:pPr>
        <w:pStyle w:val="2"/>
      </w:pPr>
      <w:r>
        <w:t xml:space="preserve">Additional References for Insert Sections</w:t>
      </w:r>
    </w:p>
    <w:p>
      <w:pPr>
        <w:pStyle w:val="FirstParagraph"/>
      </w:pPr>
      <w:r>
        <w:t xml:space="preserve">Adhikari, A., Topiwala, M. A., &amp; Gordon, J. A. (2010). Synchronized activity between the ventral hippocampus and the medial prefrontal cortex during anxiety.</w:t>
      </w:r>
      <w:r>
        <w:t xml:space="preserve"> </w:t>
      </w:r>
      <w:r>
        <w:rPr>
          <w:i/>
          <w:iCs/>
        </w:rPr>
        <w:t xml:space="preserve">Neuron, 65</w:t>
      </w:r>
      <w:r>
        <w:t xml:space="preserve">(2), 257–269. https://doi.org/10.1016/j.neuron.2009.12.002</w:t>
      </w:r>
    </w:p>
    <w:p>
      <w:pPr>
        <w:pStyle w:val="a0"/>
      </w:pPr>
      <w:r>
        <w:t xml:space="preserve">Adhikari, A., Topiwala, M. A., &amp; Gordon, J. A. (2011). Single units in the medial prefrontal cortex with anxiety-related firing patterns are preferentially influenced by ventral hippocampal activity.</w:t>
      </w:r>
      <w:r>
        <w:t xml:space="preserve"> </w:t>
      </w:r>
      <w:r>
        <w:rPr>
          <w:i/>
          <w:iCs/>
        </w:rPr>
        <w:t xml:space="preserve">Neuron, 71</w:t>
      </w:r>
      <w:r>
        <w:t xml:space="preserve">(5), 898–910. https://doi.org/10.1016/j.neuron.2011.07.027</w:t>
      </w:r>
    </w:p>
    <w:p>
      <w:pPr>
        <w:pStyle w:val="a0"/>
      </w:pPr>
      <w:r>
        <w:t xml:space="preserve">Amaral, D. G., &amp; Witter, M. P. (1989). The three-dimensional organization of the hippocampal formation: A review of anatomical data.</w:t>
      </w:r>
      <w:r>
        <w:t xml:space="preserve"> </w:t>
      </w:r>
      <w:r>
        <w:rPr>
          <w:i/>
          <w:iCs/>
        </w:rPr>
        <w:t xml:space="preserve">Neuroscience, 31</w:t>
      </w:r>
      <w:r>
        <w:t xml:space="preserve">(3), 571–591. https://doi.org/10.1016/0306-4522(89)90424-7</w:t>
      </w:r>
    </w:p>
    <w:p>
      <w:pPr>
        <w:pStyle w:val="a0"/>
      </w:pPr>
      <w:r>
        <w:t xml:space="preserve">Anacker, C., &amp; Hen, R. (2017). Adult hippocampal neurogenesis and cognitive flexibility—linking memory and mood.</w:t>
      </w:r>
      <w:r>
        <w:t xml:space="preserve"> </w:t>
      </w:r>
      <w:r>
        <w:rPr>
          <w:i/>
          <w:iCs/>
        </w:rPr>
        <w:t xml:space="preserve">Nature Reviews Neuroscience, 18</w:t>
      </w:r>
      <w:r>
        <w:t xml:space="preserve">(6), 335–346. https://doi.org/10.1038/nrn.2017.45</w:t>
      </w:r>
    </w:p>
    <w:p>
      <w:pPr>
        <w:pStyle w:val="a0"/>
      </w:pPr>
      <w:r>
        <w:t xml:space="preserve">Bannerman, D. M., Rawlins, J. N., McHugh, S. B., Deacon, R. M., Yee, B. K., Bast, T., … &amp; Feldon, J. (2004). Regional dissociations within the hippocampus—memory and anxiety.</w:t>
      </w:r>
      <w:r>
        <w:t xml:space="preserve"> </w:t>
      </w:r>
      <w:r>
        <w:rPr>
          <w:i/>
          <w:iCs/>
        </w:rPr>
        <w:t xml:space="preserve">Neuroscience &amp; Biobehavioral Reviews, 28</w:t>
      </w:r>
      <w:r>
        <w:t xml:space="preserve">(3), 273–283. https://doi.org/10.1016/j.neubiorev.2004.03.004</w:t>
      </w:r>
    </w:p>
    <w:p>
      <w:pPr>
        <w:pStyle w:val="a0"/>
      </w:pPr>
      <w:r>
        <w:t xml:space="preserve">Berger, D. F., &amp; Sagvolden, T. (1998). Sex differences in operant discrimination behaviour in an animal model of attention-deficit hyperactivity disorder.</w:t>
      </w:r>
      <w:r>
        <w:t xml:space="preserve"> </w:t>
      </w:r>
      <w:r>
        <w:rPr>
          <w:i/>
          <w:iCs/>
        </w:rPr>
        <w:t xml:space="preserve">Behavioural Brain Research, 94</w:t>
      </w:r>
      <w:r>
        <w:t xml:space="preserve">(1), 73–82. https://doi.org/10.1016/S0166-4328(97)00170-5</w:t>
      </w:r>
    </w:p>
    <w:p>
      <w:pPr>
        <w:pStyle w:val="a0"/>
      </w:pPr>
      <w:r>
        <w:t xml:space="preserve">Bullens, J., Iglói, K., Berthoz, A., Postma, A., &amp; Rondi-Reig, L. (2010). Developmental time course of the acquisition of sequential egocentric and allocentric navigation strategies.</w:t>
      </w:r>
      <w:r>
        <w:t xml:space="preserve"> </w:t>
      </w:r>
      <w:r>
        <w:rPr>
          <w:i/>
          <w:iCs/>
        </w:rPr>
        <w:t xml:space="preserve">Journal of Experimental Child Psychology, 107</w:t>
      </w:r>
      <w:r>
        <w:t xml:space="preserve">(3), 337–350. https://doi.org/10.1016/j.jecp.2010.05.006</w:t>
      </w:r>
    </w:p>
    <w:p>
      <w:pPr>
        <w:pStyle w:val="a0"/>
      </w:pPr>
      <w:r>
        <w:t xml:space="preserve">Buzsáki, G. (2020).</w:t>
      </w:r>
      <w:r>
        <w:t xml:space="preserve"> </w:t>
      </w:r>
      <w:r>
        <w:rPr>
          <w:i/>
          <w:iCs/>
        </w:rPr>
        <w:t xml:space="preserve">The brain from inside out</w:t>
      </w:r>
      <w:r>
        <w:t xml:space="preserve">. Oxford University Press.</w:t>
      </w:r>
    </w:p>
    <w:p>
      <w:pPr>
        <w:pStyle w:val="a0"/>
      </w:pPr>
      <w:r>
        <w:t xml:space="preserve">Buzsáki, G., Grastyan, E., Tveritskaya, I. N., &amp; Czopf, J. (1979). Hippocampal evoked potentials and EEG changes during classical conditioning in the rat.</w:t>
      </w:r>
      <w:r>
        <w:t xml:space="preserve"> </w:t>
      </w:r>
      <w:r>
        <w:rPr>
          <w:i/>
          <w:iCs/>
        </w:rPr>
        <w:t xml:space="preserve">Electroencephalography and Clinical Neurophysiology, 47</w:t>
      </w:r>
      <w:r>
        <w:t xml:space="preserve">(1), 64–74. https://doi.org/10.1016/0013-4694(79)90025-8</w:t>
      </w:r>
    </w:p>
    <w:p>
      <w:pPr>
        <w:pStyle w:val="a0"/>
      </w:pPr>
      <w:r>
        <w:t xml:space="preserve">Ciocchi, S., Passecker, J., Malagon-Vina, H., Mikus, N., &amp; Klausberger, T. (2015). Selective information routing by ventral hippocampal CA1 projection neurons.</w:t>
      </w:r>
      <w:r>
        <w:t xml:space="preserve"> </w:t>
      </w:r>
      <w:r>
        <w:rPr>
          <w:i/>
          <w:iCs/>
        </w:rPr>
        <w:t xml:space="preserve">Science, 348</w:t>
      </w:r>
      <w:r>
        <w:t xml:space="preserve">(6234), 560–563. https://doi.org/10.1126/science.aaa3245</w:t>
      </w:r>
    </w:p>
    <w:p>
      <w:pPr>
        <w:pStyle w:val="a0"/>
      </w:pPr>
      <w:r>
        <w:t xml:space="preserve">Cohen, N. J., &amp; Eichenbaum, H. (1993).</w:t>
      </w:r>
      <w:r>
        <w:t xml:space="preserve"> </w:t>
      </w:r>
      <w:r>
        <w:rPr>
          <w:i/>
          <w:iCs/>
        </w:rPr>
        <w:t xml:space="preserve">Memory, amnesia, and the hippocampal system</w:t>
      </w:r>
      <w:r>
        <w:t xml:space="preserve">. MIT Press.</w:t>
      </w:r>
    </w:p>
    <w:p>
      <w:pPr>
        <w:pStyle w:val="a0"/>
      </w:pPr>
      <w:r>
        <w:t xml:space="preserve">Dedovic, K., Duchesne, A., Andrews, J., Engert, V., &amp; Pruessner, J. C. (2009). The brain and the stress axis: The neural correlates of cortisol regulation in response to stress.</w:t>
      </w:r>
      <w:r>
        <w:t xml:space="preserve"> </w:t>
      </w:r>
      <w:r>
        <w:rPr>
          <w:i/>
          <w:iCs/>
        </w:rPr>
        <w:t xml:space="preserve">NeuroImage, 47</w:t>
      </w:r>
      <w:r>
        <w:t xml:space="preserve">(3), 864–871. https://doi.org/10.1016/j.neuroimage.2009.05.074</w:t>
      </w:r>
    </w:p>
    <w:p>
      <w:pPr>
        <w:pStyle w:val="a0"/>
      </w:pPr>
      <w:r>
        <w:t xml:space="preserve">Eichenbaum, H. (2004). Hippocampus: Cognitive processes and neural representations that underlie declarative memory.</w:t>
      </w:r>
      <w:r>
        <w:t xml:space="preserve"> </w:t>
      </w:r>
      <w:r>
        <w:rPr>
          <w:i/>
          <w:iCs/>
        </w:rPr>
        <w:t xml:space="preserve">Neuron, 44</w:t>
      </w:r>
      <w:r>
        <w:t xml:space="preserve">(1), 109–120. https://doi.org/10.1016/j.neuron.2004.08.028</w:t>
      </w:r>
    </w:p>
    <w:p>
      <w:pPr>
        <w:pStyle w:val="a0"/>
      </w:pPr>
      <w:r>
        <w:t xml:space="preserve">Eichenbaum, H., Yonelinas, A. P., &amp; Ranganath, C. (2007). The medial temporal lobe and recognition memory.</w:t>
      </w:r>
      <w:r>
        <w:t xml:space="preserve"> </w:t>
      </w:r>
      <w:r>
        <w:rPr>
          <w:i/>
          <w:iCs/>
        </w:rPr>
        <w:t xml:space="preserve">Annual Review of Neuroscience, 30</w:t>
      </w:r>
      <w:r>
        <w:t xml:space="preserve">, 123–152. https://doi.org/10.1146/annurev.neuro.30.051606.094328</w:t>
      </w:r>
    </w:p>
    <w:p>
      <w:pPr>
        <w:pStyle w:val="a0"/>
      </w:pPr>
      <w:r>
        <w:t xml:space="preserve">Engvig, A., Fjell, A. M., Westlye, L. T., Moberget, T., Sundseth, Ø., Larsen, V. A., &amp; Walhovd, K. B. (2014). Hippocampal subfield-specific differences in neuroanatomy, neurogenesis, and glucocorticoid receptor expression following memory training in older adults.</w:t>
      </w:r>
      <w:r>
        <w:t xml:space="preserve"> </w:t>
      </w:r>
      <w:r>
        <w:rPr>
          <w:i/>
          <w:iCs/>
        </w:rPr>
        <w:t xml:space="preserve">NeuroImage, 100</w:t>
      </w:r>
      <w:r>
        <w:t xml:space="preserve">, 167–176. https://doi.org/10.1016/j.neuroimage.2014.05.052</w:t>
      </w:r>
    </w:p>
    <w:p>
      <w:pPr>
        <w:pStyle w:val="a0"/>
      </w:pPr>
      <w:r>
        <w:t xml:space="preserve">Fanselow, M. S., &amp; Dong, H. W. (2010). Are the dorsal and ventral hippocampus functionally distinct structures?</w:t>
      </w:r>
      <w:r>
        <w:t xml:space="preserve"> </w:t>
      </w:r>
      <w:r>
        <w:rPr>
          <w:i/>
          <w:iCs/>
        </w:rPr>
        <w:t xml:space="preserve">Neuron, 65</w:t>
      </w:r>
      <w:r>
        <w:t xml:space="preserve">(1), 7–19. https://doi.org/10.1016/j.neuron.2009.11.031</w:t>
      </w:r>
    </w:p>
    <w:p>
      <w:pPr>
        <w:pStyle w:val="a0"/>
      </w:pPr>
      <w:r>
        <w:t xml:space="preserve">Fyhn, M., Hafting, T., Treves, A., Moser, M. B., &amp; Moser, E. I. (2007). Hippocampal remapping and grid realignment in entorhinal cortex.</w:t>
      </w:r>
      <w:r>
        <w:t xml:space="preserve"> </w:t>
      </w:r>
      <w:r>
        <w:rPr>
          <w:i/>
          <w:iCs/>
        </w:rPr>
        <w:t xml:space="preserve">Nature, 446</w:t>
      </w:r>
      <w:r>
        <w:t xml:space="preserve">(7132), 190–194. https://doi.org/10.1038/nature05601</w:t>
      </w:r>
    </w:p>
    <w:p>
      <w:pPr>
        <w:pStyle w:val="a0"/>
      </w:pPr>
      <w:r>
        <w:t xml:space="preserve">Gage, F. H., &amp; Kempermann, G. (2018). Neurogenesis in the adult hippocampus. In</w:t>
      </w:r>
      <w:r>
        <w:t xml:space="preserve"> </w:t>
      </w:r>
      <w:r>
        <w:rPr>
          <w:i/>
          <w:iCs/>
        </w:rPr>
        <w:t xml:space="preserve">The hippocampus book</w:t>
      </w:r>
      <w:r>
        <w:t xml:space="preserve"> </w:t>
      </w:r>
      <w:r>
        <w:t xml:space="preserve">(2nd ed., pp. 651–682). Oxford University Press.</w:t>
      </w:r>
    </w:p>
    <w:p>
      <w:pPr>
        <w:pStyle w:val="a0"/>
      </w:pPr>
      <w:r>
        <w:t xml:space="preserve">Giesbrecht, T., Pinborg, L. H., Raghava, J. M., &amp; Knudsen, G. M. (2010). Attention and executive functions in rats exposed to toluene vapors.</w:t>
      </w:r>
      <w:r>
        <w:t xml:space="preserve"> </w:t>
      </w:r>
      <w:r>
        <w:rPr>
          <w:i/>
          <w:iCs/>
        </w:rPr>
        <w:t xml:space="preserve">Neurotoxicology and Teratology, 32</w:t>
      </w:r>
      <w:r>
        <w:t xml:space="preserve">(4), 438–444. https://doi.org/10.1016/j.ntt.2010.03.003</w:t>
      </w:r>
    </w:p>
    <w:p>
      <w:pPr>
        <w:pStyle w:val="a0"/>
      </w:pPr>
      <w:r>
        <w:t xml:space="preserve">Hafting, T., Fyhn, M., Molden, S., Moser, M. B., &amp; Moser, E. I. (2005). Microstructure of a spatial map in the entorhinal cortex.</w:t>
      </w:r>
      <w:r>
        <w:t xml:space="preserve"> </w:t>
      </w:r>
      <w:r>
        <w:rPr>
          <w:i/>
          <w:iCs/>
        </w:rPr>
        <w:t xml:space="preserve">Nature, 436</w:t>
      </w:r>
      <w:r>
        <w:t xml:space="preserve">(7052), 801–806. https://doi.org/10.1038/nature03721</w:t>
      </w:r>
    </w:p>
    <w:p>
      <w:pPr>
        <w:pStyle w:val="a0"/>
      </w:pPr>
      <w:r>
        <w:t xml:space="preserve">Hartley, T., Maguire, E. A., Spiers, H. J., &amp; Burgess, N. (2005). The human hippocampus: Cognitive maps or relational memory?</w:t>
      </w:r>
      <w:r>
        <w:t xml:space="preserve"> </w:t>
      </w:r>
      <w:r>
        <w:rPr>
          <w:i/>
          <w:iCs/>
        </w:rPr>
        <w:t xml:space="preserve">Journal of Neuroscience, 25</w:t>
      </w:r>
      <w:r>
        <w:t xml:space="preserve">(31), 7254–7259. https://doi.org/10.1523/JNEUROSCI.1103-05.2005</w:t>
      </w:r>
    </w:p>
    <w:p>
      <w:pPr>
        <w:pStyle w:val="a0"/>
      </w:pPr>
      <w:r>
        <w:t xml:space="preserve">Herman, J. P., &amp; Mueller, N. K. (2006). Role of the ventral subiculum in stress integration.</w:t>
      </w:r>
      <w:r>
        <w:t xml:space="preserve"> </w:t>
      </w:r>
      <w:r>
        <w:rPr>
          <w:i/>
          <w:iCs/>
        </w:rPr>
        <w:t xml:space="preserve">Behavioural Brain Research, 174</w:t>
      </w:r>
      <w:r>
        <w:t xml:space="preserve">(2), 215–224. https://doi.org/10.1016/j.bbr.2006.05.036</w:t>
      </w:r>
    </w:p>
    <w:p>
      <w:pPr>
        <w:pStyle w:val="a0"/>
      </w:pPr>
      <w:r>
        <w:t xml:space="preserve">Hu, H., Gan, J., &amp; Jonas, P. (2014). Fast-spiking, parvalbumin⁺ GABAergic interneurons: From cellular design to microcircuit function.</w:t>
      </w:r>
      <w:r>
        <w:t xml:space="preserve"> </w:t>
      </w:r>
      <w:r>
        <w:rPr>
          <w:i/>
          <w:iCs/>
        </w:rPr>
        <w:t xml:space="preserve">Science, 345</w:t>
      </w:r>
      <w:r>
        <w:t xml:space="preserve">(6196), 1255263. https://doi.org/10.1126/science.1255263</w:t>
      </w:r>
    </w:p>
    <w:p>
      <w:pPr>
        <w:pStyle w:val="a0"/>
      </w:pPr>
      <w:r>
        <w:t xml:space="preserve">Jacobson, L., &amp; Sapolsky, R. (1991). The role of the hippocampus in feedback regulation of the hypothalamic-pituitary-adrenocortical axis.</w:t>
      </w:r>
      <w:r>
        <w:t xml:space="preserve"> </w:t>
      </w:r>
      <w:r>
        <w:rPr>
          <w:i/>
          <w:iCs/>
        </w:rPr>
        <w:t xml:space="preserve">Endocrine Reviews, 12</w:t>
      </w:r>
      <w:r>
        <w:t xml:space="preserve">(2), 118–134. https://doi.org/10.1210/edrv-12-2-118</w:t>
      </w:r>
    </w:p>
    <w:p>
      <w:pPr>
        <w:pStyle w:val="a0"/>
      </w:pPr>
      <w:r>
        <w:t xml:space="preserve">Jimenez, J. C., Su, K., Goldberg, A. R., Luna, V. M., Biane, J. S., Ordek, G., … &amp; Kheirbek, M. A. (2018). Anxiety cells in a hippocampal-hypothalamic circuit.</w:t>
      </w:r>
      <w:r>
        <w:t xml:space="preserve"> </w:t>
      </w:r>
      <w:r>
        <w:rPr>
          <w:i/>
          <w:iCs/>
        </w:rPr>
        <w:t xml:space="preserve">Neuron, 97</w:t>
      </w:r>
      <w:r>
        <w:t xml:space="preserve">(3), 670–683. https://doi.org/10.1016/j.neuron.2018.01.016</w:t>
      </w:r>
    </w:p>
    <w:p>
      <w:pPr>
        <w:pStyle w:val="a0"/>
      </w:pPr>
      <w:r>
        <w:t xml:space="preserve">Jones, M. W., &amp; Wilson, M. A. (2005). Theta rhythms coordinate hippocampal-prefrontal interactions in a spatial memory task.</w:t>
      </w:r>
      <w:r>
        <w:t xml:space="preserve"> </w:t>
      </w:r>
      <w:r>
        <w:rPr>
          <w:i/>
          <w:iCs/>
        </w:rPr>
        <w:t xml:space="preserve">PLoS Biology, 3</w:t>
      </w:r>
      <w:r>
        <w:t xml:space="preserve">(12), e402. https://doi.org/10.1371/journal.pbio.0030402</w:t>
      </w:r>
    </w:p>
    <w:p>
      <w:pPr>
        <w:pStyle w:val="a0"/>
      </w:pPr>
      <w:r>
        <w:t xml:space="preserve">Kerren, N., Arzounian, D., Bakou, M., Schultz, D. H., &amp; Lohnas, L. J. (2018). Theta phase precession of neural populations in the human hippocampus during a continuous word recognition task.</w:t>
      </w:r>
      <w:r>
        <w:t xml:space="preserve"> </w:t>
      </w:r>
      <w:r>
        <w:rPr>
          <w:i/>
          <w:iCs/>
        </w:rPr>
        <w:t xml:space="preserve">Hippocampus, 28</w:t>
      </w:r>
      <w:r>
        <w:t xml:space="preserve">(11), 780–792. https://doi.org/10.1002/hipo.22991</w:t>
      </w:r>
    </w:p>
    <w:p>
      <w:pPr>
        <w:pStyle w:val="a0"/>
      </w:pPr>
      <w:r>
        <w:t xml:space="preserve">Kheirbek, M. A., Klemenhagen, K. C., Sahay, A., &amp; Hen, R. (2012). Neurogenesis and generalization: A new approach to stratify and treat anxiety disorders.</w:t>
      </w:r>
      <w:r>
        <w:t xml:space="preserve"> </w:t>
      </w:r>
      <w:r>
        <w:rPr>
          <w:i/>
          <w:iCs/>
        </w:rPr>
        <w:t xml:space="preserve">Nature Neuroscience, 15</w:t>
      </w:r>
      <w:r>
        <w:t xml:space="preserve">(12), 1613–1620. https://doi.org/10.1038/nn.3262</w:t>
      </w:r>
    </w:p>
    <w:p>
      <w:pPr>
        <w:pStyle w:val="a0"/>
      </w:pPr>
      <w:r>
        <w:t xml:space="preserve">Kjelstrup, K. B., Tuvnes, F. A., Steffenach, H. A., Murison, R., Moser, E. I., &amp; Moser, M. B. (2002). Reduced fear expression after lesions of the ventral hippocampus.</w:t>
      </w:r>
      <w:r>
        <w:t xml:space="preserve"> </w:t>
      </w:r>
      <w:r>
        <w:rPr>
          <w:i/>
          <w:iCs/>
        </w:rPr>
        <w:t xml:space="preserve">Proceedings of the National Academy of Sciences, 99</w:t>
      </w:r>
      <w:r>
        <w:t xml:space="preserve">(16), 10825–10830. https://doi.org/10.1073/pnas.152112399</w:t>
      </w:r>
    </w:p>
    <w:p>
      <w:pPr>
        <w:pStyle w:val="a0"/>
      </w:pPr>
      <w:r>
        <w:t xml:space="preserve">Klingberg, T. (2010). Training and plasticity of working memory.</w:t>
      </w:r>
      <w:r>
        <w:t xml:space="preserve"> </w:t>
      </w:r>
      <w:r>
        <w:rPr>
          <w:i/>
          <w:iCs/>
        </w:rPr>
        <w:t xml:space="preserve">Trends in Cognitive Sciences, 14</w:t>
      </w:r>
      <w:r>
        <w:t xml:space="preserve">(7), 317–324. https://doi.org/10.1016/j.tics.2010.05.002</w:t>
      </w:r>
    </w:p>
    <w:p>
      <w:pPr>
        <w:pStyle w:val="a0"/>
      </w:pPr>
      <w:r>
        <w:t xml:space="preserve">Kolarik, B. S., Baer, T., Shahlaie, K., Yonelinas, A. P., &amp; Ekstrom, A. D. (2019). Self-reported navigation ability is associated with optic flow-sensitive regions’ functional connectivity patterns during visual path integration.</w:t>
      </w:r>
      <w:r>
        <w:t xml:space="preserve"> </w:t>
      </w:r>
      <w:r>
        <w:rPr>
          <w:i/>
          <w:iCs/>
        </w:rPr>
        <w:t xml:space="preserve">Brain and Behavior, 9</w:t>
      </w:r>
      <w:r>
        <w:t xml:space="preserve">(3), e01236. https://doi.org/10.1002/brb3.1236</w:t>
      </w:r>
    </w:p>
    <w:p>
      <w:pPr>
        <w:pStyle w:val="a0"/>
      </w:pPr>
      <w:r>
        <w:t xml:space="preserve">Kragel, J. E., VanHaerents, S. A., Templer, J. W., Schuele, S. S., Rosenow, J. M., Nilakantan, A. S., &amp; Bridge, D. J. (2020). Hippocampal theta coordinates memory processing during visual exploration.</w:t>
      </w:r>
      <w:r>
        <w:t xml:space="preserve"> </w:t>
      </w:r>
      <w:r>
        <w:rPr>
          <w:i/>
          <w:iCs/>
        </w:rPr>
        <w:t xml:space="preserve">eLife, 9</w:t>
      </w:r>
      <w:r>
        <w:t xml:space="preserve">, e52108. https://doi.org/10.7554/eLife.52108</w:t>
      </w:r>
    </w:p>
    <w:p>
      <w:pPr>
        <w:pStyle w:val="a0"/>
      </w:pPr>
      <w:r>
        <w:t xml:space="preserve">Madhav, M. S., Jayakumar, R. P., Li, B. Y., Lashkari, S. G., Wright, K., Savelli, F., … &amp; Cowan, N. J. (2024). Control and recalibration of path integration in place cells by optic flow.</w:t>
      </w:r>
      <w:r>
        <w:t xml:space="preserve"> </w:t>
      </w:r>
      <w:r>
        <w:rPr>
          <w:i/>
          <w:iCs/>
        </w:rPr>
        <w:t xml:space="preserve">Nature Communications, 15</w:t>
      </w:r>
      <w:r>
        <w:t xml:space="preserve">, 5584. https://doi.org/10.1038/s41467-024-49572-5</w:t>
      </w:r>
    </w:p>
    <w:p>
      <w:pPr>
        <w:pStyle w:val="a0"/>
      </w:pPr>
      <w:r>
        <w:t xml:space="preserve">McEwen, B. S. (2007). Physiology and neurobiology of stress and adaptation: Central role of the brain.</w:t>
      </w:r>
      <w:r>
        <w:t xml:space="preserve"> </w:t>
      </w:r>
      <w:r>
        <w:rPr>
          <w:i/>
          <w:iCs/>
        </w:rPr>
        <w:t xml:space="preserve">Physiological Reviews, 87</w:t>
      </w:r>
      <w:r>
        <w:t xml:space="preserve">(3), 873–904. https://doi.org/10.1152/physrev.00041.2006</w:t>
      </w:r>
    </w:p>
    <w:p>
      <w:pPr>
        <w:pStyle w:val="a0"/>
      </w:pPr>
      <w:r>
        <w:t xml:space="preserve">Nuñez, A., Garcia-Austt, E., &amp; Buno, W. (2006). Theta rhythm and activity of hippocampal and neocortical neurons in the behaving rat.</w:t>
      </w:r>
      <w:r>
        <w:t xml:space="preserve"> </w:t>
      </w:r>
      <w:r>
        <w:rPr>
          <w:i/>
          <w:iCs/>
        </w:rPr>
        <w:t xml:space="preserve">Brain Research Bulletin, 69</w:t>
      </w:r>
      <w:r>
        <w:t xml:space="preserve">(5), 487–496. https://doi.org/10.1016/j.brainresbull.2006.02.008</w:t>
      </w:r>
    </w:p>
    <w:p>
      <w:pPr>
        <w:pStyle w:val="a0"/>
      </w:pPr>
      <w:r>
        <w:t xml:space="preserve">O’Keefe, J., &amp; Nadel, L. (1978).</w:t>
      </w:r>
      <w:r>
        <w:t xml:space="preserve"> </w:t>
      </w:r>
      <w:r>
        <w:rPr>
          <w:i/>
          <w:iCs/>
        </w:rPr>
        <w:t xml:space="preserve">The hippocampus as a cognitive map</w:t>
      </w:r>
      <w:r>
        <w:t xml:space="preserve">. Clarendon Press.</w:t>
      </w:r>
    </w:p>
    <w:p>
      <w:pPr>
        <w:pStyle w:val="a0"/>
      </w:pPr>
      <w:r>
        <w:t xml:space="preserve">Pentkowski, N. S., Blanchard, D. C., Lever, C., Litvin, Y., &amp; Blanchard, R. J. (2006). Effects of lesions to the dorsal and ventral hippocampus on defensive behaviors in rats.</w:t>
      </w:r>
      <w:r>
        <w:t xml:space="preserve"> </w:t>
      </w:r>
      <w:r>
        <w:rPr>
          <w:i/>
          <w:iCs/>
        </w:rPr>
        <w:t xml:space="preserve">European Journal of Neuroscience, 23</w:t>
      </w:r>
      <w:r>
        <w:t xml:space="preserve">(8), 2185–2196. https://doi.org/10.1111/j.1460-9568.2006.04754.x</w:t>
      </w:r>
    </w:p>
    <w:p>
      <w:pPr>
        <w:pStyle w:val="a0"/>
      </w:pPr>
      <w:r>
        <w:t xml:space="preserve">Plessen, K. J., Bansal, R., Zhu, H., Whiteman, R., Amat, J., Quackenbush, G. A., … &amp; Peterson, B. S. (2006). Hippocampus and amygdala morphology in attention-deficit/hyperactivity disorder.</w:t>
      </w:r>
      <w:r>
        <w:t xml:space="preserve"> </w:t>
      </w:r>
      <w:r>
        <w:rPr>
          <w:i/>
          <w:iCs/>
        </w:rPr>
        <w:t xml:space="preserve">Archives of General Psychiatry, 63</w:t>
      </w:r>
      <w:r>
        <w:t xml:space="preserve">(7), 795–807. https://doi.org/10.1001/archpsyc.63.7.795</w:t>
      </w:r>
    </w:p>
    <w:p>
      <w:pPr>
        <w:pStyle w:val="a0"/>
      </w:pPr>
      <w:r>
        <w:t xml:space="preserve">Qiu, A., Crocetti, D., Adler, M., Mahone, E. M., Denckla, M. B., Miller, M. I., &amp; Mostofsky, S. H. (2009). Basal ganglia volume and shape in children with attention deficit hyperactivity disorder.</w:t>
      </w:r>
      <w:r>
        <w:t xml:space="preserve"> </w:t>
      </w:r>
      <w:r>
        <w:rPr>
          <w:i/>
          <w:iCs/>
        </w:rPr>
        <w:t xml:space="preserve">American Journal of Psychiatry, 166</w:t>
      </w:r>
      <w:r>
        <w:t xml:space="preserve">(1), 74–82. https://doi.org/10.1176/appi.ajp.2008.08030426</w:t>
      </w:r>
    </w:p>
    <w:p>
      <w:pPr>
        <w:pStyle w:val="a0"/>
      </w:pPr>
      <w:r>
        <w:t xml:space="preserve">Risold, P. Y., &amp; Swanson, L. W. (1996). Structural evidence for functional domains in the rat hippocampus.</w:t>
      </w:r>
      <w:r>
        <w:t xml:space="preserve"> </w:t>
      </w:r>
      <w:r>
        <w:rPr>
          <w:i/>
          <w:iCs/>
        </w:rPr>
        <w:t xml:space="preserve">Science, 272</w:t>
      </w:r>
      <w:r>
        <w:t xml:space="preserve">(5267), 1484–1486. https://doi.org/10.1126/science.272.5267.1484</w:t>
      </w:r>
    </w:p>
    <w:p>
      <w:pPr>
        <w:pStyle w:val="a0"/>
      </w:pPr>
      <w:r>
        <w:t xml:space="preserve">Rolls, E. T. (2013). The mechanisms for pattern completion and pattern separation in the hippocampus.</w:t>
      </w:r>
      <w:r>
        <w:t xml:space="preserve"> </w:t>
      </w:r>
      <w:r>
        <w:rPr>
          <w:i/>
          <w:iCs/>
        </w:rPr>
        <w:t xml:space="preserve">Frontiers in Systems Neuroscience, 7</w:t>
      </w:r>
      <w:r>
        <w:t xml:space="preserve">, 74. https://doi.org/10.3389/fnsys.2013.00074</w:t>
      </w:r>
    </w:p>
    <w:p>
      <w:pPr>
        <w:pStyle w:val="a0"/>
      </w:pPr>
      <w:r>
        <w:t xml:space="preserve">Sapolsky, R. M. (2000). Glucocorticoids and hippocampal atrophy in neuropsychiatric disorders.</w:t>
      </w:r>
      <w:r>
        <w:t xml:space="preserve"> </w:t>
      </w:r>
      <w:r>
        <w:rPr>
          <w:i/>
          <w:iCs/>
        </w:rPr>
        <w:t xml:space="preserve">Archives of General Psychiatry, 57</w:t>
      </w:r>
      <w:r>
        <w:t xml:space="preserve">(10), 925–935. https://doi.org/10.1001/archpsyc.57.10.925</w:t>
      </w:r>
    </w:p>
    <w:p>
      <w:pPr>
        <w:pStyle w:val="a0"/>
      </w:pPr>
      <w:r>
        <w:t xml:space="preserve">Sherrill, K. R., Chrastil, E. R., Ross, R. S., Erdem, U. M., Hasselmo, M. E., &amp; Stern, C. E. (2013). Hippocampus and retrosplenial cortex combine path integration signals for successful navigation.</w:t>
      </w:r>
      <w:r>
        <w:t xml:space="preserve"> </w:t>
      </w:r>
      <w:r>
        <w:rPr>
          <w:i/>
          <w:iCs/>
        </w:rPr>
        <w:t xml:space="preserve">Journal of Neuroscience, 33</w:t>
      </w:r>
      <w:r>
        <w:t xml:space="preserve">(49), 19304–19313. https://doi.org/10.1523/JNEUROSCI.1825-13.2013</w:t>
      </w:r>
    </w:p>
    <w:p>
      <w:pPr>
        <w:pStyle w:val="a0"/>
      </w:pPr>
      <w:r>
        <w:t xml:space="preserve">Sigurdsson, T., Stark, K. L., Karayiorgou, M., Gogos, J. A., &amp; Gordon, J. A. (2010). Impaired hippocampal-prefrontal synchrony in a genetic mouse model of schizophrenia.</w:t>
      </w:r>
      <w:r>
        <w:t xml:space="preserve"> </w:t>
      </w:r>
      <w:r>
        <w:rPr>
          <w:i/>
          <w:iCs/>
        </w:rPr>
        <w:t xml:space="preserve">Nature, 464</w:t>
      </w:r>
      <w:r>
        <w:t xml:space="preserve">(7289), 763–767. https://doi.org/10.1038/nature08819</w:t>
      </w:r>
    </w:p>
    <w:p>
      <w:pPr>
        <w:pStyle w:val="a0"/>
      </w:pPr>
      <w:r>
        <w:t xml:space="preserve">Sirota, A., Montgomery, S., Fujisawa, S., Isomura, Y., Zugaro, M., &amp; Buzsáki, G. (2008). Entrainment of neocortical neurons and gamma oscillations by the hippocampal theta rhythm.</w:t>
      </w:r>
      <w:r>
        <w:t xml:space="preserve"> </w:t>
      </w:r>
      <w:r>
        <w:rPr>
          <w:i/>
          <w:iCs/>
        </w:rPr>
        <w:t xml:space="preserve">Neuron, 60</w:t>
      </w:r>
      <w:r>
        <w:t xml:space="preserve">(4), 683–697. https://doi.org/10.1016/j.neuron.2008.09.014</w:t>
      </w:r>
    </w:p>
    <w:p>
      <w:pPr>
        <w:pStyle w:val="a0"/>
      </w:pPr>
      <w:r>
        <w:t xml:space="preserve">Skudlarski, P., Holahan, J. M., Rubia, K., &amp; Castellanos, F. X. (2008). Functional MRI of sustained attention in children with ADHD.</w:t>
      </w:r>
      <w:r>
        <w:t xml:space="preserve"> </w:t>
      </w:r>
      <w:r>
        <w:rPr>
          <w:i/>
          <w:iCs/>
        </w:rPr>
        <w:t xml:space="preserve">Psychiatry Research: Neuroimaging, 164</w:t>
      </w:r>
      <w:r>
        <w:t xml:space="preserve">(3), 237–245. https://doi.org/10.1016/j.pscychresns.2007.12.016</w:t>
      </w:r>
    </w:p>
    <w:p>
      <w:pPr>
        <w:pStyle w:val="a0"/>
      </w:pPr>
      <w:r>
        <w:t xml:space="preserve">Sulpizio, V., Boccia, M., Guariglia, C., &amp; Galati, G. (2024). Common and specific activations supporting optic flow processing and navigation as revealed by a meta-analysis of neuroimaging studies.</w:t>
      </w:r>
      <w:r>
        <w:t xml:space="preserve"> </w:t>
      </w:r>
      <w:r>
        <w:rPr>
          <w:i/>
          <w:iCs/>
        </w:rPr>
        <w:t xml:space="preserve">Brain Structure and Function, 229</w:t>
      </w:r>
      <w:r>
        <w:t xml:space="preserve">(3), 789–803. https://doi.org/10.1007/s00429-024-02790-8</w:t>
      </w:r>
    </w:p>
    <w:p>
      <w:pPr>
        <w:pStyle w:val="a0"/>
      </w:pPr>
      <w:r>
        <w:t xml:space="preserve">Ulrich-Lai, Y. M., &amp; Herman, J. P. (2009). Neural regulation of endocrine and autonomic stress responses.</w:t>
      </w:r>
      <w:r>
        <w:t xml:space="preserve"> </w:t>
      </w:r>
      <w:r>
        <w:rPr>
          <w:i/>
          <w:iCs/>
        </w:rPr>
        <w:t xml:space="preserve">Nature Reviews Neuroscience, 10</w:t>
      </w:r>
      <w:r>
        <w:t xml:space="preserve">(6), 397–409. https://doi.org/10.1038/nrn2647</w:t>
      </w:r>
    </w:p>
    <w:p>
      <w:pPr>
        <w:pStyle w:val="a0"/>
      </w:pPr>
      <w:r>
        <w:t xml:space="preserve">Udakis, V., Pedrosa, L., Chamberlain, S. E. L., Yang, M., &amp; Mellor, J. R. (2020). Interneuron-specific plasticity at parvalbumin and somatostatin inhibitory synapses onto CA1 pyramidal neurons shapes hippocampal output.</w:t>
      </w:r>
      <w:r>
        <w:t xml:space="preserve"> </w:t>
      </w:r>
      <w:r>
        <w:rPr>
          <w:i/>
          <w:iCs/>
        </w:rPr>
        <w:t xml:space="preserve">Nature Communications, 11</w:t>
      </w:r>
      <w:r>
        <w:t xml:space="preserve">(1), 4393. https://doi.org/10.1038/s41467-020-18127-3</w:t>
      </w:r>
    </w:p>
    <w:p>
      <w:pPr>
        <w:pStyle w:val="a0"/>
      </w:pPr>
      <w:r>
        <w:t xml:space="preserve">Volitaki, G., Forro, T., Katsanevaki, S., &amp; Kelsch, W. (2024). Hippocampal interneuron microcircuits gate anxiety and fear.</w:t>
      </w:r>
      <w:r>
        <w:t xml:space="preserve"> </w:t>
      </w:r>
      <w:r>
        <w:rPr>
          <w:i/>
          <w:iCs/>
        </w:rPr>
        <w:t xml:space="preserve">Neuron, 112</w:t>
      </w:r>
      <w:r>
        <w:t xml:space="preserve">(8), 1245–1260. https://doi.org/10.1016/j.neuron.2024.01.025</w:t>
      </w:r>
    </w:p>
    <w:p>
      <w:pPr>
        <w:pStyle w:val="a0"/>
      </w:pPr>
      <w:r>
        <w:t xml:space="preserve">Yassa, M. A., &amp; Stark, C. E. (2011). Pattern separation in the hippocampus.</w:t>
      </w:r>
      <w:r>
        <w:t xml:space="preserve"> </w:t>
      </w:r>
      <w:r>
        <w:rPr>
          <w:i/>
          <w:iCs/>
        </w:rPr>
        <w:t xml:space="preserve">Trends in Neurosciences, 34</w:t>
      </w:r>
      <w:r>
        <w:t xml:space="preserve">(10), 515–525. https://doi.org/10.1016/j.tins.2011.06.006</w:t>
      </w:r>
    </w:p>
    <w:p>
      <w:pPr>
        <w:pStyle w:val="a0"/>
      </w:pPr>
      <w:r>
        <w:t xml:space="preserve">Zou, D., Chen, L., Deng, D., Jiang, D., Dong, F., McSweeney, C., … &amp; Gao, Z. (2016). DREADD in parvalbumin interneurons of the dentate gyrus modulates anxiety, social interaction and memory extinction.</w:t>
      </w:r>
      <w:r>
        <w:t xml:space="preserve"> </w:t>
      </w:r>
      <w:r>
        <w:rPr>
          <w:i/>
          <w:iCs/>
        </w:rPr>
        <w:t xml:space="preserve">Current Molecular Medicine, 16</w:t>
      </w:r>
      <w:r>
        <w:t xml:space="preserve">(1), 91–102. https://doi.org/10.2174/1566524016666160204124330</w:t>
      </w:r>
    </w:p>
    <w:bookmarkEnd w:id="47"/>
    <w:bookmarkEnd w:id="4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2026-06-24T12:13:12Z</dcterms:created>
  <dcterms:modified xsi:type="dcterms:W3CDTF">2026-06-24T12:13:12Z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47gv2htoomfonovh59g-19ef9444-def2-8235-8000-097cf8041bbf-20260624121312","ReservedCode1":"","ContentPropagator":"001191110108MACG2KBH8F20000","PropagateID":"d47gv2htoomfonovh59g-19ef9444-def2-8235-8000-097cf8041bbf-20260624121312","ReservedCode2":""}</vt:lpwstr>
  </property>
</Properties>
</file>