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vis3d8sj5c83" w:id="0"/>
    <w:bookmarkEnd w:id="0"/>
    <w:bookmarkStart w:colFirst="0" w:colLast="0" w:name="bookmark=id.vi8l75y0p3wo" w:id="1"/>
    <w:bookmarkEnd w:id="1"/>
    <w:bookmarkStart w:colFirst="0" w:colLast="0" w:name="bookmark=id.u1dicfmocsc3" w:id="2"/>
    <w:bookmarkEnd w:id="2"/>
    <w:p w:rsidR="00000000" w:rsidDel="00000000" w:rsidP="00000000" w:rsidRDefault="00000000" w:rsidRPr="00000000" w14:paraId="00000001">
      <w:pPr>
        <w:pStyle w:val="Heading1"/>
        <w:rPr/>
      </w:pPr>
      <w:r w:rsidDel="00000000" w:rsidR="00000000" w:rsidRPr="00000000">
        <w:rPr>
          <w:rtl w:val="0"/>
        </w:rPr>
        <w:t xml:space="preserve">Blueprint for a Scale-Free Trident G-Loop Trading Algorithm</w:t>
      </w:r>
    </w:p>
    <w:bookmarkStart w:colFirst="0" w:colLast="0" w:name="bookmark=id.coo05l3nnens" w:id="3"/>
    <w:bookmarkEnd w:id="3"/>
    <w:p w:rsidR="00000000" w:rsidDel="00000000" w:rsidP="00000000" w:rsidRDefault="00000000" w:rsidRPr="00000000" w14:paraId="00000002">
      <w:pPr>
        <w:pStyle w:val="Heading2"/>
        <w:rPr/>
      </w:pPr>
      <w:r w:rsidDel="00000000" w:rsidR="00000000" w:rsidRPr="00000000">
        <w:rPr>
          <w:rtl w:val="0"/>
        </w:rPr>
        <w:t xml:space="preserve">Core Principles of the Trident G-Loop Theory in Trading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Trident G-Loop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a cognitive framework that balances stability and flexibility by operating near a critical regime (between order and chaos). In this theory, decision-making follows an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eight-phase cycle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Sense/Move → Branch → Map → Decide → Act → Update → Consolidate → Reset</w:t>
      </w:r>
      <w:hyperlink r:id="rId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Two regulatory axes modulate this cycle: one for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performance resilience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(adapting to difficulty or volatility) and one for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inference control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(balancing exploitation vs exploration). Applying these principles to trading means the algorithm will continuously adjust between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predictable strategies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(exploiting known patterns) and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exploratory tactics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(seeking new opportunities) to remain adaptive in changing market conditions. Crucially, the Trident G approach suggests running multiple decision loops at different time scales in parallel, all maintained near a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“critical”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balance point for optimal learning and responsiveness</w:t>
      </w:r>
      <w:hyperlink r:id="rId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scale-free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design echoes the fractal nature of markets – financial price series show self-similar patterns repeating across different time horizons</w:t>
      </w:r>
      <w:hyperlink r:id="rId9">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and thus the trader will analyze market data over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multiple horizons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simultaneously.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key theoretical insight motivating this design is that markets are most stable and liquid when participants operate on diverse timeframes. According to the Fractal Markets Hypothesis, if investors with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 wide range of investment horizons”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are active, supply and demand stay balanced and the market remains stable</w:t>
      </w:r>
      <w:hyperlink r:id="rId10">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But if one timeframe dominates (e.g. everyone trading only short-term), liquidity dries up and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extreme events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(crashes or spikes) become likely</w:t>
      </w:r>
      <w:hyperlink r:id="rId11">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other words, heterogeneity in time horizons fosters stability, whereas homogeneity can trigger fat-tailed volatility. The trading algorithm will embrace this principle by deploying multi-scale strategies – short-term and long-term models – to ensure it doesn’t get “trapped” in a single timescale. This also helps the system prepare for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long-tail events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It is well documented that asset returns do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follow a perfect normal distribution; instead, returns are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skewed and fat-tailed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meaning large swings occur more often than a Gaussian model would predict</w:t>
      </w:r>
      <w:hyperlink r:id="rId1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By accounting for heavy-tailed risks and engaging strategies on different scales, the trader can remain resilient against market shocks. In summary, the Trident G-Loop trader will maintain a near-critical balance: constantly minimizing prediction error but not eliminating it – leaving some “free energy” for exploration – so it can swiftly adapt when the unexpected strikes.</w:t>
      </w:r>
    </w:p>
    <w:bookmarkStart w:colFirst="0" w:colLast="0" w:name="bookmark=id.lhx2tsktehvb" w:id="4"/>
    <w:bookmarkEnd w:id="4"/>
    <w:p w:rsidR="00000000" w:rsidDel="00000000" w:rsidP="00000000" w:rsidRDefault="00000000" w:rsidRPr="00000000" w14:paraId="00000005">
      <w:pPr>
        <w:pStyle w:val="Heading2"/>
        <w:rPr/>
      </w:pPr>
      <w:r w:rsidDel="00000000" w:rsidR="00000000" w:rsidRPr="00000000">
        <w:rPr>
          <w:rtl w:val="0"/>
        </w:rPr>
        <w:t xml:space="preserve">Eight-Phase Decision Cycle Implementation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operationalize the Trident G-Loop, the algorithm’s workflow will be structured into an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eight-phase recurring cycle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(inspired by the cognitive loop) for each decision interval. Each phase corresponds to specific tasks in the trading context:</w:t>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Sense/Move: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trader continuously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senses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market by gathering real-time data from the selected instruments (price quotes, volumes, news feeds). It may also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move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 adjust its focus as needed – for example, shifting attention to different assets or timeframes if volatility surges. This implements the intake of facts and context, ensuring the system stays “grounded” in current market reality</w:t>
      </w:r>
      <w:hyperlink r:id="rId1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Branch:</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this phase, the algorithm branches into one of two modes based on market context –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control/exploit mode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(if conditions seem predictable and within normal range) or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creative/explore mode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(if conditions are novel, volatile, or deviating from expectations). A monitoring mechanism assesses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prediction error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market “surprise” levels: when errors exceed a threshold, the trader will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branch</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into explore-mode to seek new patterns or adjust strategy. Otherwise, it stays in exploit-mode, following the established game plan. This dynamic is akin to a thermostat that switches strategies when the “difficulty” (volatility or error ΔF) goes out of comfort range</w:t>
      </w:r>
      <w:hyperlink r:id="rId14">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algorithm builds or updates its internal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map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 the market in this step. In practice, this means updating state representations like trend indicators, statistical models, order book imbalances, or reinforcement learning value functions. The trader integrates information across multiple timescales – mapping short-term price patterns as well as higher-level trends – to form a coherent picture of market state. This mapping phase is critical for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scale-free strategy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since it’s where the system aligns insights from fast and slow loops.</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Decide: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Based on the mapped information and the current mode (exploit or explore), the trader now makes a decision on actions. It generates trade signals or strategy outputs – for example, whether to go long/short on an asset, adjust a stop-loss, or refrain from trading if uncertainty is too high. The decision logic will weigh inputs from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multiple “G-loops” (different horizons)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ensuring neither short-term noise nor long-term trends are ignored. By blending these, the algorithm aims for robust decisions that exploit reliable patterns while staying alert to emerging risks.</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Act: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execution phase follows, where the algorithm places orders in the market according to the decisions. This could involve sending a buy/sell order via broker API, modifying existing positions, or executing a portfolio rebalancing. Because we focus on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high-liquidity markets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(outlined below), the trader can act with minimal slippage or delay. The platform will be configured to execute orders as close to real-time as possible – e.g. using co-located servers or fast API endpoints – ensuring the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Sense-to-Act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loop remains tight.</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Update: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After actions, the trader immediately enters an update phase. It observes the outcomes of its recent trades and any new price movements, calculating reward signals or errors. For instance, it will compute profit/loss on positions, check if market reaction aligns with its predictions, and measure the new prediction error (this corresponds to the free-energy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F</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Trident G theory). These fresh observations are fed back into the short-term loop for quick learning. The update step thus closes the feedback loop, allowing the system to learn from success or failure in near real-time.</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Consolidate: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Beyond the immediate update, the trader also consolidates knowledge over longer periods. It periodically (say daily or weekly) retrains or adjusts its models using accumulated data – refining its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map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 which strategies worked and which didn’t. The consolidate phase might involve updating parameter values (e.g. re-calibrating a trend detector’s thresholds) or redistributing capital among asset strategies based on performance. This phase ensures that insights gained (especially from explore-mode experiments) are integrated into the system’s memory, improving its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cognitive resilience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over time. The consolidation solidifies learning across multiple cycles, so the trader improves adaptively.</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Reset: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Finally, the loop ends with a reset, preparing for the next cycle. In practice, this means clearing transient variables, resetting short-term counters, and setting up the initial conditions for the next sensing phase. Any necessary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reconfiguration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done here: for example, if the difficulty thermostat shifted (due to prolonged high volatility), the reset phase might adjust risk limits or strategy parameters globally before the next iteration. This mirrors how the Trident G-loop performs a brief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orient–reset–reconfigure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action when inconsistencies accumulate</w:t>
      </w:r>
      <w:hyperlink r:id="rId15">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After reset, the cycle repeats with sensing again, forming a continuous closed-loop trading process.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This eight-phase loop runs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iteratively and rapidly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potentially with overlapping cycles at different time resolutions (e.g. a fast loop cycling every few seconds for intra-day trades, and a slower loop cycling over hours or days for swing trades). The structured cycle ensures the algorithm remains systematic and aligned with Trident G principles: it senses the environment, adapts between modes, acts on decisions, and learns from feedback in a rhythmic, ongoing process. Crucially, by having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multiple nested loops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trader can handle both routine market fluctuations and sudden regime changes. If a sudden long-tail event occurs, the inner (faster) loop might quickly switch to explore mode and react (e.g. cut losses or seize a breakout opportunity), while the outer (slower) loop consolidates the broader implications and possibly re-balances the portfolio after the storm.</w:t>
      </w:r>
    </w:p>
    <w:bookmarkStart w:colFirst="0" w:colLast="0" w:name="bookmark=id.674bm2v2i17v" w:id="5"/>
    <w:bookmarkEnd w:id="5"/>
    <w:p w:rsidR="00000000" w:rsidDel="00000000" w:rsidP="00000000" w:rsidRDefault="00000000" w:rsidRPr="00000000" w14:paraId="00000010">
      <w:pPr>
        <w:pStyle w:val="Heading2"/>
        <w:rPr/>
      </w:pPr>
      <w:r w:rsidDel="00000000" w:rsidR="00000000" w:rsidRPr="00000000">
        <w:rPr>
          <w:rtl w:val="0"/>
        </w:rPr>
        <w:t xml:space="preserve">Multi-Scale Strategy and Long-Tail Adaptation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centerpiece of this blueprint is its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multi-scale (scale-free) trading strategy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Markets exhibit fractal characteristics: zooming in or out often reveals similar patterns of price swings and volatility clustering</w:t>
      </w:r>
      <w:hyperlink r:id="rId16">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trader will exploit this by analyzing data across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multiple time horizons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for example, using 1-minute, 1-hour, and 1-day bars in parallel – and deploying strategies appropriate to each. Shorter-term models might capture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more predictable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mean-reverting patterns (e.g. micro-price oscillations or intraday support/resistance bounces), while longer-term models capture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less predictable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trending or breakout moves (the “long tails” that represent rare but large opportunities). By combining these, the algorithm diversifies its tactics. Steady small gains can accrue from the frequent, statistically reliable patterns, while the system remains positioned to capitalize on infrequent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large swings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 at least to hedge against them) when they occur.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Research supports the value of this multi-horizon approach. In normal conditions, diverse timeframes ensure a healthy liquidity balance – with some traders providing liquidity on short horizons and others taking positions on long-term outlooks – which keeps markets efficient and mitigates volatility</w:t>
      </w:r>
      <w:hyperlink r:id="rId1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trading algorithm, by operating on several scales itself, in effect participates in that diversity and is less likely to be wrong-footed by a regime shift. For instance, if a usually range-bound market suddenly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trends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due to a policy change or crisis, the long-horizon trend-following component of the strategy will detect the sustained move and ride it. Meanwhile, the short-term mean-reversion component would quickly recognize that old patterns have broken and yield to the trend (possibly even flipping to trend-following mode on the fly). This reflects the Trident G notion of maintaining a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metastable balance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between stability and flexibility – the system can swiftly pivot from one mode to the other when cross-timeframe signals indicate a new regime</w:t>
      </w:r>
      <w:hyperlink r:id="rId1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Handling of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long-tail risks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explicitly built into the design. Because the return distribution of financial assets has fatter tails than the normal curve (extreme jumps happen more often than 0.3% of the time)</w:t>
      </w:r>
      <w:hyperlink r:id="rId19">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trader uses techniques like adaptive stop-losses, volatility-based position sizing, and tail-risk hedging strategies. For example, during periods of unusual volatility, the difficulty thermostat in the G-loop will widen risk tolerances but lower position sizes, effectively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de-risking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while in explore mode. Conversely, when an extreme move is detected early as a genuine trend (not a random spike), the system may gradually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increase exposure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to that asset – thereby turning a tail event into a windfall. Historical research on managed futures funds shows that trend-following strategies can thrive during extreme market dislocations. In fact, a simple diversified trend strategy tends to produce its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best performance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extreme bull or bear markets (a so-called “smile” shaped return profile)</w:t>
      </w:r>
      <w:hyperlink r:id="rId20">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For instance, during the 2008 financial crisis, a trend-following managed futures program was able to short equity indices and oil, while going long safe havens like government bonds and gold – those positions yielded significant profits as the crisis deepened, even as traditional portfolios suffered heavy losses</w:t>
      </w:r>
      <w:hyperlink r:id="rId21">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kind of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crisis alpha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exactly what the Trident G-loop trader aims to capture by being prepared on multiple scales and maintaining an exploratory stance for rare events. In summary, the multi-scale design both stabilizes day-to-day performance and positions the strategy to absorb or profit from black swan events, aligning with current research that diversification across strategies and time horizons leads to more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robust returns</w:t>
      </w:r>
      <w:hyperlink r:id="rId2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[8]</w:t>
        </w:r>
      </w:hyperlink>
      <w:hyperlink r:id="rId2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p57n0xtpcga2" w:id="6"/>
    <w:bookmarkEnd w:id="6"/>
    <w:p w:rsidR="00000000" w:rsidDel="00000000" w:rsidP="00000000" w:rsidRDefault="00000000" w:rsidRPr="00000000" w14:paraId="00000014">
      <w:pPr>
        <w:pStyle w:val="Heading2"/>
        <w:rPr/>
      </w:pPr>
      <w:r w:rsidDel="00000000" w:rsidR="00000000" w:rsidRPr="00000000">
        <w:rPr>
          <w:rtl w:val="0"/>
        </w:rPr>
        <w:t xml:space="preserve">Selecting a High-Liquidity Market Universe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choice of trading universe will focus on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high-liquidity markets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that offer deep order books, narrow spreads, and reliable execution. Liquidity is vital for a computational trader because it minimizes slippage and allows rapid position changes without “moving the market.” Moreover, highly liquid instruments tend to be the most analyzed and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scale-rich</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(with many active participants from high-frequency traders to long-term investors, producing the multi-scale dynamics we desire). Based on research and current market data, the following classes of markets are ideal candidates:</w:t>
      </w:r>
    </w:p>
    <w:p w:rsidR="00000000" w:rsidDel="00000000" w:rsidP="00000000" w:rsidRDefault="00000000" w:rsidRPr="00000000" w14:paraId="00000016">
      <w:pPr>
        <w:numPr>
          <w:ilvl w:val="0"/>
          <w:numId w:val="7"/>
        </w:numPr>
        <w:ind w:left="720" w:hanging="360"/>
        <w:rPr/>
      </w:pPr>
      <w:r w:rsidDel="00000000" w:rsidR="00000000" w:rsidRPr="00000000">
        <w:rPr>
          <w:b w:val="1"/>
          <w:rtl w:val="0"/>
        </w:rPr>
        <w:t xml:space="preserve">Major Forex Pairs:</w:t>
      </w:r>
      <w:r w:rsidDel="00000000" w:rsidR="00000000" w:rsidRPr="00000000">
        <w:rPr>
          <w:rtl w:val="0"/>
        </w:rPr>
        <w:t xml:space="preserve"> The foreign exchange market is the largest and most liquid market globally</w:t>
      </w:r>
      <w:hyperlink r:id="rId24">
        <w:r w:rsidDel="00000000" w:rsidR="00000000" w:rsidRPr="00000000">
          <w:rPr>
            <w:color w:val="156082"/>
            <w:rtl w:val="0"/>
          </w:rPr>
          <w:t xml:space="preserve">[10]</w:t>
        </w:r>
      </w:hyperlink>
      <w:r w:rsidDel="00000000" w:rsidR="00000000" w:rsidRPr="00000000">
        <w:rPr>
          <w:rtl w:val="0"/>
        </w:rPr>
        <w:t xml:space="preserve">. Pairs like </w:t>
      </w:r>
      <w:r w:rsidDel="00000000" w:rsidR="00000000" w:rsidRPr="00000000">
        <w:rPr>
          <w:b w:val="1"/>
          <w:rtl w:val="0"/>
        </w:rPr>
        <w:t xml:space="preserve">EUR/USD</w:t>
      </w:r>
      <w:r w:rsidDel="00000000" w:rsidR="00000000" w:rsidRPr="00000000">
        <w:rPr>
          <w:rtl w:val="0"/>
        </w:rPr>
        <w:t xml:space="preserve"> and </w:t>
      </w:r>
      <w:r w:rsidDel="00000000" w:rsidR="00000000" w:rsidRPr="00000000">
        <w:rPr>
          <w:b w:val="1"/>
          <w:rtl w:val="0"/>
        </w:rPr>
        <w:t xml:space="preserve">USD/JPY</w:t>
      </w:r>
      <w:r w:rsidDel="00000000" w:rsidR="00000000" w:rsidRPr="00000000">
        <w:rPr>
          <w:rtl w:val="0"/>
        </w:rPr>
        <w:t xml:space="preserve"> trade trillions daily and are accessible 24 hours. In fact, EUR/USD alone accounts for about </w:t>
      </w:r>
      <w:r w:rsidDel="00000000" w:rsidR="00000000" w:rsidRPr="00000000">
        <w:rPr>
          <w:b w:val="1"/>
          <w:rtl w:val="0"/>
        </w:rPr>
        <w:t xml:space="preserve">24% of global FX volume</w:t>
      </w:r>
      <w:r w:rsidDel="00000000" w:rsidR="00000000" w:rsidRPr="00000000">
        <w:rPr>
          <w:rtl w:val="0"/>
        </w:rPr>
        <w:t xml:space="preserve">, reflecting its immense liquidity and tight spreads</w:t>
      </w:r>
      <w:hyperlink r:id="rId25">
        <w:r w:rsidDel="00000000" w:rsidR="00000000" w:rsidRPr="00000000">
          <w:rPr>
            <w:color w:val="156082"/>
            <w:rtl w:val="0"/>
          </w:rPr>
          <w:t xml:space="preserve">[11]</w:t>
        </w:r>
      </w:hyperlink>
      <w:r w:rsidDel="00000000" w:rsidR="00000000" w:rsidRPr="00000000">
        <w:rPr>
          <w:rtl w:val="0"/>
        </w:rPr>
        <w:t xml:space="preserve">. These major currency pairs are somewhat mean-reverting in the short term (due to macroeconomic equilibrium tendencies), yet they can exhibit strong trends when macro regimes shift (e.g. during rate hike cycles or geopolitical events). This makes them suitable for our mix of predictable and exploratory strategy elements. A EUR/USD trade can be executed in milliseconds from the UK on electronic platforms, with minimal impact cost, which aligns with the “no delays” requirement. The </w:t>
      </w:r>
      <w:r w:rsidDel="00000000" w:rsidR="00000000" w:rsidRPr="00000000">
        <w:rPr>
          <w:b w:val="1"/>
          <w:rtl w:val="0"/>
        </w:rPr>
        <w:t xml:space="preserve">GBP/USD</w:t>
      </w:r>
      <w:r w:rsidDel="00000000" w:rsidR="00000000" w:rsidRPr="00000000">
        <w:rPr>
          <w:rtl w:val="0"/>
        </w:rPr>
        <w:t xml:space="preserve"> (“Cable”) pair is also highly liquid and of local interest in the UK (around 9.6% of global volume in 2019</w:t>
      </w:r>
      <w:hyperlink r:id="rId26">
        <w:r w:rsidDel="00000000" w:rsidR="00000000" w:rsidRPr="00000000">
          <w:rPr>
            <w:color w:val="156082"/>
            <w:rtl w:val="0"/>
          </w:rPr>
          <w:t xml:space="preserve">[12]</w:t>
        </w:r>
      </w:hyperlink>
      <w:r w:rsidDel="00000000" w:rsidR="00000000" w:rsidRPr="00000000">
        <w:rPr>
          <w:rtl w:val="0"/>
        </w:rPr>
        <w:t xml:space="preserve">), providing another good candidate. Overall, including 4–6 of the top forex pairs (EUR/USD, USD/JPY, GBP/USD, AUD/USD, USD/CHF, etc.) would give the trader broad, liquid exposure to currencies.</w:t>
      </w:r>
    </w:p>
    <w:p w:rsidR="00000000" w:rsidDel="00000000" w:rsidP="00000000" w:rsidRDefault="00000000" w:rsidRPr="00000000" w14:paraId="00000017">
      <w:pPr>
        <w:numPr>
          <w:ilvl w:val="0"/>
          <w:numId w:val="7"/>
        </w:numPr>
        <w:ind w:left="720" w:hanging="360"/>
        <w:rPr/>
      </w:pPr>
      <w:r w:rsidDel="00000000" w:rsidR="00000000" w:rsidRPr="00000000">
        <w:rPr>
          <w:b w:val="1"/>
          <w:rtl w:val="0"/>
        </w:rPr>
        <w:t xml:space="preserve">Equity Index Futures:</w:t>
      </w:r>
      <w:r w:rsidDel="00000000" w:rsidR="00000000" w:rsidRPr="00000000">
        <w:rPr>
          <w:rtl w:val="0"/>
        </w:rPr>
        <w:t xml:space="preserve"> Stock index futures provide a efficient way to trade entire equity markets with high leverage and liquidity. The </w:t>
      </w:r>
      <w:r w:rsidDel="00000000" w:rsidR="00000000" w:rsidRPr="00000000">
        <w:rPr>
          <w:b w:val="1"/>
          <w:rtl w:val="0"/>
        </w:rPr>
        <w:t xml:space="preserve">S&amp;P 500 E-mini</w:t>
      </w:r>
      <w:r w:rsidDel="00000000" w:rsidR="00000000" w:rsidRPr="00000000">
        <w:rPr>
          <w:rtl w:val="0"/>
        </w:rPr>
        <w:t xml:space="preserve"> futures (CME: ES) is one of the most actively traded contracts in the world, averaging over </w:t>
      </w:r>
      <w:r w:rsidDel="00000000" w:rsidR="00000000" w:rsidRPr="00000000">
        <w:rPr>
          <w:b w:val="1"/>
          <w:rtl w:val="0"/>
        </w:rPr>
        <w:t xml:space="preserve">1.6 million contracts</w:t>
      </w:r>
      <w:r w:rsidDel="00000000" w:rsidR="00000000" w:rsidRPr="00000000">
        <w:rPr>
          <w:rtl w:val="0"/>
        </w:rPr>
        <w:t xml:space="preserve"> in daily volume</w:t>
      </w:r>
      <w:hyperlink r:id="rId27">
        <w:r w:rsidDel="00000000" w:rsidR="00000000" w:rsidRPr="00000000">
          <w:rPr>
            <w:color w:val="156082"/>
            <w:rtl w:val="0"/>
          </w:rPr>
          <w:t xml:space="preserve">[13]</w:t>
        </w:r>
      </w:hyperlink>
      <w:r w:rsidDel="00000000" w:rsidR="00000000" w:rsidRPr="00000000">
        <w:rPr>
          <w:rtl w:val="0"/>
        </w:rPr>
        <w:t xml:space="preserve">. This contract offers nearly 24-hour trading and tight tick sizes, making it ideal for algorithmic strategies. Similarly, Europe’s </w:t>
      </w:r>
      <w:r w:rsidDel="00000000" w:rsidR="00000000" w:rsidRPr="00000000">
        <w:rPr>
          <w:b w:val="1"/>
          <w:rtl w:val="0"/>
        </w:rPr>
        <w:t xml:space="preserve">Euro Stoxx 50</w:t>
      </w:r>
      <w:r w:rsidDel="00000000" w:rsidR="00000000" w:rsidRPr="00000000">
        <w:rPr>
          <w:rtl w:val="0"/>
        </w:rPr>
        <w:t xml:space="preserve"> index future (Eurex: FESX) trades around </w:t>
      </w:r>
      <w:r w:rsidDel="00000000" w:rsidR="00000000" w:rsidRPr="00000000">
        <w:rPr>
          <w:b w:val="1"/>
          <w:rtl w:val="0"/>
        </w:rPr>
        <w:t xml:space="preserve">1 million contracts</w:t>
      </w:r>
      <w:r w:rsidDel="00000000" w:rsidR="00000000" w:rsidRPr="00000000">
        <w:rPr>
          <w:rtl w:val="0"/>
        </w:rPr>
        <w:t xml:space="preserve"> daily</w:t>
      </w:r>
      <w:hyperlink r:id="rId28">
        <w:r w:rsidDel="00000000" w:rsidR="00000000" w:rsidRPr="00000000">
          <w:rPr>
            <w:color w:val="156082"/>
            <w:rtl w:val="0"/>
          </w:rPr>
          <w:t xml:space="preserve">[13]</w:t>
        </w:r>
      </w:hyperlink>
      <w:r w:rsidDel="00000000" w:rsidR="00000000" w:rsidRPr="00000000">
        <w:rPr>
          <w:rtl w:val="0"/>
        </w:rPr>
        <w:t xml:space="preserve"> and is EUR-denominated, which could be convenient for a UK-based trader looking at European markets. The </w:t>
      </w:r>
      <w:r w:rsidDel="00000000" w:rsidR="00000000" w:rsidRPr="00000000">
        <w:rPr>
          <w:b w:val="1"/>
          <w:rtl w:val="0"/>
        </w:rPr>
        <w:t xml:space="preserve">Nasdaq-100 E-mini</w:t>
      </w:r>
      <w:r w:rsidDel="00000000" w:rsidR="00000000" w:rsidRPr="00000000">
        <w:rPr>
          <w:rtl w:val="0"/>
        </w:rPr>
        <w:t xml:space="preserve"> (NQ) is another strong candidate (~500k contracts/day</w:t>
      </w:r>
      <w:hyperlink r:id="rId29">
        <w:r w:rsidDel="00000000" w:rsidR="00000000" w:rsidRPr="00000000">
          <w:rPr>
            <w:color w:val="156082"/>
            <w:rtl w:val="0"/>
          </w:rPr>
          <w:t xml:space="preserve">[14]</w:t>
        </w:r>
      </w:hyperlink>
      <w:r w:rsidDel="00000000" w:rsidR="00000000" w:rsidRPr="00000000">
        <w:rPr>
          <w:rtl w:val="0"/>
        </w:rPr>
        <w:t xml:space="preserve">) to capture tech sector trends and volatility. For UK market exposure, one might also consider the </w:t>
      </w:r>
      <w:r w:rsidDel="00000000" w:rsidR="00000000" w:rsidRPr="00000000">
        <w:rPr>
          <w:b w:val="1"/>
          <w:rtl w:val="0"/>
        </w:rPr>
        <w:t xml:space="preserve">FTSE 100 index</w:t>
      </w:r>
      <w:r w:rsidDel="00000000" w:rsidR="00000000" w:rsidRPr="00000000">
        <w:rPr>
          <w:rtl w:val="0"/>
        </w:rPr>
        <w:t xml:space="preserve"> futures (LIFFE: Z or ICE Futures Europe), which is very liquid during London hours (though not as globally traded as S&amp;P or Stoxx). Index futures are attractive because they tend to reflect broad macro sentiment: they can stay range-bound and “predictable” in calm periods (when the algorithm’s exploit mode can shine), but they also undergo regime shifts (bull and bear markets) where an exploratory, trend-catching approach is needed. All these futures can be traded from the UK via brokers that offer CME, Eurex, and ICE access – allowing the algorithm to manage positions in multiple equity markets on one platform.</w:t>
      </w:r>
    </w:p>
    <w:p w:rsidR="00000000" w:rsidDel="00000000" w:rsidP="00000000" w:rsidRDefault="00000000" w:rsidRPr="00000000" w14:paraId="00000018">
      <w:pPr>
        <w:numPr>
          <w:ilvl w:val="0"/>
          <w:numId w:val="7"/>
        </w:numPr>
        <w:ind w:left="720" w:hanging="360"/>
        <w:rPr/>
      </w:pPr>
      <w:r w:rsidDel="00000000" w:rsidR="00000000" w:rsidRPr="00000000">
        <w:rPr>
          <w:b w:val="1"/>
          <w:rtl w:val="0"/>
        </w:rPr>
        <w:t xml:space="preserve">Commodity Futures (Energy &amp; Metals):</w:t>
      </w:r>
      <w:r w:rsidDel="00000000" w:rsidR="00000000" w:rsidRPr="00000000">
        <w:rPr>
          <w:rtl w:val="0"/>
        </w:rPr>
        <w:t xml:space="preserve"> Commodities offer diversification and often exhibit strong trending behavior driven by supply/demand cycles. </w:t>
      </w:r>
      <w:r w:rsidDel="00000000" w:rsidR="00000000" w:rsidRPr="00000000">
        <w:rPr>
          <w:b w:val="1"/>
          <w:rtl w:val="0"/>
        </w:rPr>
        <w:t xml:space="preserve">Crude Oil</w:t>
      </w:r>
      <w:r w:rsidDel="00000000" w:rsidR="00000000" w:rsidRPr="00000000">
        <w:rPr>
          <w:rtl w:val="0"/>
        </w:rPr>
        <w:t xml:space="preserve"> is a prime example: the </w:t>
      </w:r>
      <w:r w:rsidDel="00000000" w:rsidR="00000000" w:rsidRPr="00000000">
        <w:rPr>
          <w:b w:val="1"/>
          <w:rtl w:val="0"/>
        </w:rPr>
        <w:t xml:space="preserve">WTI Crude Oil</w:t>
      </w:r>
      <w:r w:rsidDel="00000000" w:rsidR="00000000" w:rsidRPr="00000000">
        <w:rPr>
          <w:rtl w:val="0"/>
        </w:rPr>
        <w:t xml:space="preserve"> futures (CME: CL) typically trades around </w:t>
      </w:r>
      <w:r w:rsidDel="00000000" w:rsidR="00000000" w:rsidRPr="00000000">
        <w:rPr>
          <w:b w:val="1"/>
          <w:rtl w:val="0"/>
        </w:rPr>
        <w:t xml:space="preserve">800k contracts per day</w:t>
      </w:r>
      <w:hyperlink r:id="rId30">
        <w:r w:rsidDel="00000000" w:rsidR="00000000" w:rsidRPr="00000000">
          <w:rPr>
            <w:color w:val="156082"/>
            <w:rtl w:val="0"/>
          </w:rPr>
          <w:t xml:space="preserve">[14]</w:t>
        </w:r>
      </w:hyperlink>
      <w:r w:rsidDel="00000000" w:rsidR="00000000" w:rsidRPr="00000000">
        <w:rPr>
          <w:rtl w:val="0"/>
        </w:rPr>
        <w:t xml:space="preserve">, and </w:t>
      </w:r>
      <w:r w:rsidDel="00000000" w:rsidR="00000000" w:rsidRPr="00000000">
        <w:rPr>
          <w:b w:val="1"/>
          <w:rtl w:val="0"/>
        </w:rPr>
        <w:t xml:space="preserve">Brent Crude</w:t>
      </w:r>
      <w:r w:rsidDel="00000000" w:rsidR="00000000" w:rsidRPr="00000000">
        <w:rPr>
          <w:rtl w:val="0"/>
        </w:rPr>
        <w:t xml:space="preserve"> (ICE: BZ) adds further global volume (~250k contracts</w:t>
      </w:r>
      <w:hyperlink r:id="rId31">
        <w:r w:rsidDel="00000000" w:rsidR="00000000" w:rsidRPr="00000000">
          <w:rPr>
            <w:color w:val="156082"/>
            <w:rtl w:val="0"/>
          </w:rPr>
          <w:t xml:space="preserve">[15]</w:t>
        </w:r>
      </w:hyperlink>
      <w:r w:rsidDel="00000000" w:rsidR="00000000" w:rsidRPr="00000000">
        <w:rPr>
          <w:rtl w:val="0"/>
        </w:rPr>
        <w:t xml:space="preserve">). Oil markets can be range-bound when supply is steady, but they are prone to sharp moves (OPEC decisions, wars, etc.), which suits our long-tail strategy component. Another key commodity is </w:t>
      </w:r>
      <w:r w:rsidDel="00000000" w:rsidR="00000000" w:rsidRPr="00000000">
        <w:rPr>
          <w:b w:val="1"/>
          <w:rtl w:val="0"/>
        </w:rPr>
        <w:t xml:space="preserve">Gold</w:t>
      </w:r>
      <w:r w:rsidDel="00000000" w:rsidR="00000000" w:rsidRPr="00000000">
        <w:rPr>
          <w:rtl w:val="0"/>
        </w:rPr>
        <w:t xml:space="preserve"> (COMEX: GC), with ~300k contracts daily volume</w:t>
      </w:r>
      <w:hyperlink r:id="rId32">
        <w:r w:rsidDel="00000000" w:rsidR="00000000" w:rsidRPr="00000000">
          <w:rPr>
            <w:color w:val="156082"/>
            <w:rtl w:val="0"/>
          </w:rPr>
          <w:t xml:space="preserve">[14]</w:t>
        </w:r>
      </w:hyperlink>
      <w:r w:rsidDel="00000000" w:rsidR="00000000" w:rsidRPr="00000000">
        <w:rPr>
          <w:rtl w:val="0"/>
        </w:rPr>
        <w:t xml:space="preserve">. Gold is highly liquid, often mean-reverting on short horizons (influenced by technical trading and option flows) yet it tends to trend strongly during crises or inflationary periods (an ideal playground for exploration/trend strategies). Including </w:t>
      </w:r>
      <w:r w:rsidDel="00000000" w:rsidR="00000000" w:rsidRPr="00000000">
        <w:rPr>
          <w:b w:val="1"/>
          <w:rtl w:val="0"/>
        </w:rPr>
        <w:t xml:space="preserve">Natural Gas</w:t>
      </w:r>
      <w:r w:rsidDel="00000000" w:rsidR="00000000" w:rsidRPr="00000000">
        <w:rPr>
          <w:rtl w:val="0"/>
        </w:rPr>
        <w:t xml:space="preserve"> (NG) or industrial metals like </w:t>
      </w:r>
      <w:r w:rsidDel="00000000" w:rsidR="00000000" w:rsidRPr="00000000">
        <w:rPr>
          <w:b w:val="1"/>
          <w:rtl w:val="0"/>
        </w:rPr>
        <w:t xml:space="preserve">Copper</w:t>
      </w:r>
      <w:r w:rsidDel="00000000" w:rsidR="00000000" w:rsidRPr="00000000">
        <w:rPr>
          <w:rtl w:val="0"/>
        </w:rPr>
        <w:t xml:space="preserve"> (HG) could also be beneficial; they have slightly lower liquidity (~200k and 80k contracts, respectively</w:t>
      </w:r>
      <w:hyperlink r:id="rId33">
        <w:r w:rsidDel="00000000" w:rsidR="00000000" w:rsidRPr="00000000">
          <w:rPr>
            <w:color w:val="156082"/>
            <w:rtl w:val="0"/>
          </w:rPr>
          <w:t xml:space="preserve">[16]</w:t>
        </w:r>
      </w:hyperlink>
      <w:r w:rsidDel="00000000" w:rsidR="00000000" w:rsidRPr="00000000">
        <w:rPr>
          <w:rtl w:val="0"/>
        </w:rPr>
        <w:t xml:space="preserve">) but are known for volatile spikes and seasonal trends that a scale-free algorithm can exploit. All these futures trade virtually around the clock and are accessible via major exchanges, meaning the algorithm can enter or exit positions at any time without significant delay.</w:t>
      </w:r>
    </w:p>
    <w:p w:rsidR="00000000" w:rsidDel="00000000" w:rsidP="00000000" w:rsidRDefault="00000000" w:rsidRPr="00000000" w14:paraId="00000019">
      <w:pPr>
        <w:numPr>
          <w:ilvl w:val="0"/>
          <w:numId w:val="7"/>
        </w:numPr>
        <w:ind w:left="720" w:hanging="360"/>
        <w:rPr/>
      </w:pPr>
      <w:r w:rsidDel="00000000" w:rsidR="00000000" w:rsidRPr="00000000">
        <w:rPr>
          <w:b w:val="1"/>
          <w:rtl w:val="0"/>
        </w:rPr>
        <w:t xml:space="preserve">Government Bond Futures:</w:t>
      </w:r>
      <w:r w:rsidDel="00000000" w:rsidR="00000000" w:rsidRPr="00000000">
        <w:rPr>
          <w:rtl w:val="0"/>
        </w:rPr>
        <w:t xml:space="preserve"> High-volume bond contracts add a different dimension (interest rate exposure) and tend to behave differently from stocks or commodities. The standout here is the </w:t>
      </w:r>
      <w:r w:rsidDel="00000000" w:rsidR="00000000" w:rsidRPr="00000000">
        <w:rPr>
          <w:b w:val="1"/>
          <w:rtl w:val="0"/>
        </w:rPr>
        <w:t xml:space="preserve">U.S. 10-Year Treasury Note</w:t>
      </w:r>
      <w:r w:rsidDel="00000000" w:rsidR="00000000" w:rsidRPr="00000000">
        <w:rPr>
          <w:rtl w:val="0"/>
        </w:rPr>
        <w:t xml:space="preserve"> futures (CME: ZN), which sees roughly </w:t>
      </w:r>
      <w:r w:rsidDel="00000000" w:rsidR="00000000" w:rsidRPr="00000000">
        <w:rPr>
          <w:b w:val="1"/>
          <w:rtl w:val="0"/>
        </w:rPr>
        <w:t xml:space="preserve">700k contracts daily</w:t>
      </w:r>
      <w:hyperlink r:id="rId34">
        <w:r w:rsidDel="00000000" w:rsidR="00000000" w:rsidRPr="00000000">
          <w:rPr>
            <w:color w:val="156082"/>
            <w:rtl w:val="0"/>
          </w:rPr>
          <w:t xml:space="preserve">[14]</w:t>
        </w:r>
      </w:hyperlink>
      <w:r w:rsidDel="00000000" w:rsidR="00000000" w:rsidRPr="00000000">
        <w:rPr>
          <w:rtl w:val="0"/>
        </w:rPr>
        <w:t xml:space="preserve">. Bonds often mean-revert on intraday noise but trend on policy shifts (e.g. a series of rate cuts or hikes). They also usually rally during equity sell-offs (flight-to-quality), providing a natural hedge. Including a bond future allows the trading system to dynamically rotate into safe havens when risk assets are crashing – much like trend-following funds did by going long government bonds in 2008</w:t>
      </w:r>
      <w:hyperlink r:id="rId35">
        <w:r w:rsidDel="00000000" w:rsidR="00000000" w:rsidRPr="00000000">
          <w:rPr>
            <w:color w:val="156082"/>
            <w:rtl w:val="0"/>
          </w:rPr>
          <w:t xml:space="preserve">[17]</w:t>
        </w:r>
      </w:hyperlink>
      <w:r w:rsidDel="00000000" w:rsidR="00000000" w:rsidRPr="00000000">
        <w:rPr>
          <w:rtl w:val="0"/>
        </w:rPr>
        <w:t xml:space="preserve">. For a UK trader, one could also consider the </w:t>
      </w:r>
      <w:r w:rsidDel="00000000" w:rsidR="00000000" w:rsidRPr="00000000">
        <w:rPr>
          <w:b w:val="1"/>
          <w:rtl w:val="0"/>
        </w:rPr>
        <w:t xml:space="preserve">German Bund</w:t>
      </w:r>
      <w:r w:rsidDel="00000000" w:rsidR="00000000" w:rsidRPr="00000000">
        <w:rPr>
          <w:rtl w:val="0"/>
        </w:rPr>
        <w:t xml:space="preserve"> futures (Eurex) or UK </w:t>
      </w:r>
      <w:r w:rsidDel="00000000" w:rsidR="00000000" w:rsidRPr="00000000">
        <w:rPr>
          <w:b w:val="1"/>
          <w:rtl w:val="0"/>
        </w:rPr>
        <w:t xml:space="preserve">Gilt</w:t>
      </w:r>
      <w:r w:rsidDel="00000000" w:rsidR="00000000" w:rsidRPr="00000000">
        <w:rPr>
          <w:rtl w:val="0"/>
        </w:rPr>
        <w:t xml:space="preserve"> futures (ICE), although those have lower volume than the U.S. 10-year. Still, the U.S. bond market is accessible globally and highly liquid, so it remains a preferred choice for implementing the “resilience” aspect of the strategy.</w:t>
      </w:r>
    </w:p>
    <w:p w:rsidR="00000000" w:rsidDel="00000000" w:rsidP="00000000" w:rsidRDefault="00000000" w:rsidRPr="00000000" w14:paraId="0000001A">
      <w:pPr>
        <w:numPr>
          <w:ilvl w:val="0"/>
          <w:numId w:val="7"/>
        </w:numPr>
        <w:ind w:left="720" w:hanging="360"/>
        <w:rPr/>
      </w:pPr>
      <w:r w:rsidDel="00000000" w:rsidR="00000000" w:rsidRPr="00000000">
        <w:rPr>
          <w:b w:val="1"/>
          <w:rtl w:val="0"/>
        </w:rPr>
        <w:t xml:space="preserve">Potential Additional Markets:</w:t>
      </w:r>
      <w:r w:rsidDel="00000000" w:rsidR="00000000" w:rsidRPr="00000000">
        <w:rPr>
          <w:rtl w:val="0"/>
        </w:rPr>
        <w:t xml:space="preserve"> </w:t>
      </w:r>
      <w:r w:rsidDel="00000000" w:rsidR="00000000" w:rsidRPr="00000000">
        <w:rPr>
          <w:b w:val="1"/>
          <w:rtl w:val="0"/>
        </w:rPr>
        <w:t xml:space="preserve">Major crypto assets</w:t>
      </w:r>
      <w:r w:rsidDel="00000000" w:rsidR="00000000" w:rsidRPr="00000000">
        <w:rPr>
          <w:rtl w:val="0"/>
        </w:rPr>
        <w:t xml:space="preserve"> like </w:t>
      </w:r>
      <w:r w:rsidDel="00000000" w:rsidR="00000000" w:rsidRPr="00000000">
        <w:rPr>
          <w:b w:val="1"/>
          <w:rtl w:val="0"/>
        </w:rPr>
        <w:t xml:space="preserve">Bitcoin</w:t>
      </w:r>
      <w:r w:rsidDel="00000000" w:rsidR="00000000" w:rsidRPr="00000000">
        <w:rPr>
          <w:rtl w:val="0"/>
        </w:rPr>
        <w:t xml:space="preserve"> and </w:t>
      </w:r>
      <w:r w:rsidDel="00000000" w:rsidR="00000000" w:rsidRPr="00000000">
        <w:rPr>
          <w:b w:val="1"/>
          <w:rtl w:val="0"/>
        </w:rPr>
        <w:t xml:space="preserve">Ethereum</w:t>
      </w:r>
      <w:r w:rsidDel="00000000" w:rsidR="00000000" w:rsidRPr="00000000">
        <w:rPr>
          <w:rtl w:val="0"/>
        </w:rPr>
        <w:t xml:space="preserve"> have emerged as high-liquidity instruments (e.g. CME Bitcoin futures rank in the top 20 globally by volume</w:t>
      </w:r>
      <w:hyperlink r:id="rId36">
        <w:r w:rsidDel="00000000" w:rsidR="00000000" w:rsidRPr="00000000">
          <w:rPr>
            <w:color w:val="156082"/>
            <w:rtl w:val="0"/>
          </w:rPr>
          <w:t xml:space="preserve">[18]</w:t>
        </w:r>
      </w:hyperlink>
      <w:r w:rsidDel="00000000" w:rsidR="00000000" w:rsidRPr="00000000">
        <w:rPr>
          <w:rtl w:val="0"/>
        </w:rPr>
        <w:t xml:space="preserve">). They trade 24/7 (spot markets) and have notoriously fat tails and regimes, which could be useful for the long-tail strategy element. However, crypto can be very volatile and might require dedicated risk controls; access from the UK is possible through regulated futures or exchanges. The </w:t>
      </w:r>
      <w:r w:rsidDel="00000000" w:rsidR="00000000" w:rsidRPr="00000000">
        <w:rPr>
          <w:b w:val="1"/>
          <w:rtl w:val="0"/>
        </w:rPr>
        <w:t xml:space="preserve">Volatility Index (VIX) futures</w:t>
      </w:r>
      <w:r w:rsidDel="00000000" w:rsidR="00000000" w:rsidRPr="00000000">
        <w:rPr>
          <w:rtl w:val="0"/>
        </w:rPr>
        <w:t xml:space="preserve"> could also be considered as a tail-risk hedge and speculative play (VIX spikes during market stress), but liquidity in far-month VIX futures can be thinner. The core blueprint can function without crypto or VIX, but these are optional extensions if the mandate is to cover all bases of diversification.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All the above markets are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accessible to a UK-based trader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through a single multi-asset brokerage platform or trading API. For example, an Interactive Brokers account or similar can provide access to forex and all the listed futures from one interface. This ensures that the algorithm can deploy capital across different assets without operational delays. High liquidity across these choices means the trader can execute rapid-fire orders or large position changes with minimal price impact – an essential factor when running an automated strategy that might rebalance frequently. Moreover, the deep liquidity implies the market data is rich and less prone to manipulation, aiding the reliability of our multi-scale signals. In sum, the selected universe spans equities, bonds, FX, and commodities – covering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both “risk-on” and “risk-off” assets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so that the Trident G-loop trader can always find opportunities in some sector while hedging in others. This diversified market coverage is aligned with research findings that a broad, liquid investment universe improves risk-adjusted returns for systematic strategies</w:t>
      </w:r>
      <w:hyperlink r:id="rId3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gmlzbqfz5tcn" w:id="7"/>
    <w:bookmarkEnd w:id="7"/>
    <w:p w:rsidR="00000000" w:rsidDel="00000000" w:rsidP="00000000" w:rsidRDefault="00000000" w:rsidRPr="00000000" w14:paraId="0000001C">
      <w:pPr>
        <w:pStyle w:val="Heading2"/>
        <w:rPr/>
      </w:pPr>
      <w:r w:rsidDel="00000000" w:rsidR="00000000" w:rsidRPr="00000000">
        <w:rPr>
          <w:rtl w:val="0"/>
        </w:rPr>
        <w:t xml:space="preserve">Execution Platform and Implementation Notes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Implementing this blueprint is feasible with today’s technology. The trading algorithm can be coded in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Python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run on platforms like Google Colab or cloud servers, with connectivity to brokerage APIs for live trading. Python’s rich ecosystem (pandas for data handling, NumPy/SciPy for analysis, scikit-learn or TensorFlow for any machine learning models, etc.) makes it well-suited for prototyping the Trident G-loop logic. One can use event-driven backtesting libraries (e.g. Backtrader or Zipline) to simulate the eight-phase cycle on historical data first, calibrating the parameters such as the prediction-error threshold for branching, or the risk allocation for each market. Once validated, the strategy can be deployed to live trading by interfacing with a broker’s API – for instance, using the Interactive Brokers API (which covers all mentioned asset classes) or a FIX connection for low-latency needs.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avoid delays, it’s important that the execution platform is robust and preferably co-located near exchange servers if doing very high-frequency operations. However, since our approach spans multiple time scales (including medium-term trades), it is not purely high-frequency; a cloud VM in a reliable data center, or even running from Colab for less latency-critical strategies, can suffice initially. The key is that the system can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stream real-time data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respond within seconds or faster for the Sense→Act loop. Modern broker APIs and data feeds support this. For example, the trader could subscribe to live tick data for each instrument, and the Python code can use asynchronous callbacks to trigger the G-loop cycle continuously. Each cycle’s decision (trade orders) would be sent out via the API, and acknowledgments (fills) processed in the Update phase.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Risk management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integral to implementation. The algorithm will enforce per-trade stop losses, overall portfolio risk limits, and capital allocation rules among markets. These can be encoded as constraints in the Decide/Act phase – e.g., not risking more than 1% equity on a single trade, or not exceeding a given leverage ratio. The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difficulty thermostat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concept from Trident G can be translated into a volatility-targeting mechanism: when market volatility (or the algorithm’s own prediction error) rises, the allowed risk per trade is reduced, and vice versa. This keeps the system “near critical” but prevents it from over-leveraging in highly chaotic periods. Performance monitoring is also crucial; the Consolidate phase could include routines to evaluate recent trades and ensure the win/loss profile still makes sense. If the strategy starts to drift (e.g. too many losses in a particular market), the algorithm might temporarily reduce exposure to that market (“reset” that loop) until it recalibrates.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Finally, extensive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research and testing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underlie each component of this blueprint. For example, the thresholds for switching between exploit and explore modes can be informed by academic research on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statistical process control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 machine learning concept drift detection. The selection of markets was backed by volume and liquidity data</w:t>
      </w:r>
      <w:hyperlink r:id="rId3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[13]</w:t>
        </w:r>
      </w:hyperlink>
      <w:hyperlink r:id="rId39">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the inclusion of multi-horizon analysis is grounded in financial studies of fractal market behavior</w:t>
      </w:r>
      <w:hyperlink r:id="rId40">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By citing these sources and principles, we ensure the design decisions are not arbitrary but rather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evidence-based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implementing the trader, one should continue this research-based approach: use out-of-sample testing to verify that combining “predictable” short-term signals with “long-tail” trend-capturing positions does improve Sharpe ratio and drawdowns, as theory suggests. The end goal is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robust, adaptive trading agent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that can operate in the real world – navigating quiet markets and crises alike – with the guidance of the Trident G-loop architecture ensuring it learns and evolves continually.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Sources: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design draws on the Trident G theory for intelligence and resilience</w:t>
      </w:r>
      <w:hyperlink r:id="rId41">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w:t>
        </w:r>
      </w:hyperlink>
      <w:hyperlink r:id="rId4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fractal market hypothesis for multi-scale stability</w:t>
      </w:r>
      <w:hyperlink r:id="rId4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[3]</w:t>
        </w:r>
      </w:hyperlink>
      <w:hyperlink r:id="rId44">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empirical studies on heavy-tailed asset returns</w:t>
      </w:r>
      <w:hyperlink r:id="rId45">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managed futures research demonstrating strong performance in diverse, liquid markets</w:t>
      </w:r>
      <w:hyperlink r:id="rId46">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[8]</w:t>
        </w:r>
      </w:hyperlink>
      <w:hyperlink r:id="rId4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specific market liquidity statistics were referenced from industry data and reports</w:t>
      </w:r>
      <w:hyperlink r:id="rId4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[13]</w:t>
        </w:r>
      </w:hyperlink>
      <w:hyperlink r:id="rId49">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to ensure the chosen instruments support high-frequency execution and scale-free analysis. All these pieces form the foundation of the blueprint, marrying cognitive theory with quantitative finance to create a next-generation algorithmic trader.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Note:</w:t>
        <w:br w:type="textWrapping"/>
        <w:br w:type="textWrapping"/>
        <w:t xml:space="preserve">The Trident G Loop gives you a principled way to </w:t>
      </w:r>
      <w:r w:rsidDel="00000000" w:rsidR="00000000" w:rsidRPr="00000000">
        <w:rPr>
          <w:b w:val="1"/>
          <w:rtl w:val="0"/>
        </w:rPr>
        <w:t xml:space="preserve">spot and ride “runs”</w:t>
      </w:r>
      <w:r w:rsidDel="00000000" w:rsidR="00000000" w:rsidRPr="00000000">
        <w:rPr>
          <w:rtl w:val="0"/>
        </w:rPr>
        <w:t xml:space="preserve"> (persistent moves) because it (a) aggregates </w:t>
      </w:r>
      <w:r w:rsidDel="00000000" w:rsidR="00000000" w:rsidRPr="00000000">
        <w:rPr>
          <w:b w:val="1"/>
          <w:rtl w:val="0"/>
        </w:rPr>
        <w:t xml:space="preserve">multi-scale trend evidence</w:t>
      </w:r>
      <w:r w:rsidDel="00000000" w:rsidR="00000000" w:rsidRPr="00000000">
        <w:rPr>
          <w:rtl w:val="0"/>
        </w:rPr>
        <w:t xml:space="preserve">, (b) keeps a </w:t>
      </w:r>
      <w:r w:rsidDel="00000000" w:rsidR="00000000" w:rsidRPr="00000000">
        <w:rPr>
          <w:b w:val="1"/>
          <w:rtl w:val="0"/>
        </w:rPr>
        <w:t xml:space="preserve">posterior on run-length</w:t>
      </w:r>
      <w:r w:rsidDel="00000000" w:rsidR="00000000" w:rsidRPr="00000000">
        <w:rPr>
          <w:rtl w:val="0"/>
        </w:rPr>
        <w:t xml:space="preserve"> so you know when a move is “young vs mature,” and (c) gates exposure with </w:t>
      </w:r>
      <w:r w:rsidDel="00000000" w:rsidR="00000000" w:rsidRPr="00000000">
        <w:rPr>
          <w:b w:val="1"/>
          <w:rtl w:val="0"/>
        </w:rPr>
        <w:t xml:space="preserve">tail/regime screens</w:t>
      </w:r>
      <w:r w:rsidDel="00000000" w:rsidR="00000000" w:rsidRPr="00000000">
        <w:rPr>
          <w:rtl w:val="0"/>
        </w:rPr>
        <w:t xml:space="preserve"> to avoid getting chopped up.</w:t>
      </w:r>
    </w:p>
    <w:p w:rsidR="00000000" w:rsidDel="00000000" w:rsidP="00000000" w:rsidRDefault="00000000" w:rsidRPr="00000000" w14:paraId="00000026">
      <w:pPr>
        <w:spacing w:after="240" w:before="240" w:lineRule="auto"/>
        <w:rPr/>
      </w:pPr>
      <w:r w:rsidDel="00000000" w:rsidR="00000000" w:rsidRPr="00000000">
        <w:rPr>
          <w:rtl w:val="0"/>
        </w:rPr>
        <w:t xml:space="preserve">Here’s the evidence + how to wire it:</w:t>
      </w:r>
    </w:p>
    <w:p w:rsidR="00000000" w:rsidDel="00000000" w:rsidP="00000000" w:rsidRDefault="00000000" w:rsidRPr="00000000" w14:paraId="00000027">
      <w:pPr>
        <w:pStyle w:val="Heading2"/>
        <w:keepNext w:val="0"/>
        <w:keepLines w:val="0"/>
        <w:spacing w:before="360" w:lineRule="auto"/>
        <w:rPr>
          <w:rFonts w:ascii="Aptos" w:cs="Aptos" w:eastAsia="Aptos" w:hAnsi="Aptos"/>
          <w:b w:val="1"/>
          <w:color w:val="000000"/>
          <w:sz w:val="34"/>
          <w:szCs w:val="34"/>
        </w:rPr>
      </w:pPr>
      <w:bookmarkStart w:colFirst="0" w:colLast="0" w:name="_heading=h.d7ef7dia2x10" w:id="8"/>
      <w:bookmarkEnd w:id="8"/>
      <w:r w:rsidDel="00000000" w:rsidR="00000000" w:rsidRPr="00000000">
        <w:rPr>
          <w:rFonts w:ascii="Aptos" w:cs="Aptos" w:eastAsia="Aptos" w:hAnsi="Aptos"/>
          <w:b w:val="1"/>
          <w:color w:val="000000"/>
          <w:sz w:val="34"/>
          <w:szCs w:val="34"/>
          <w:rtl w:val="0"/>
        </w:rPr>
        <w:t xml:space="preserve">Why this works (research)</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b w:val="1"/>
          <w:rtl w:val="0"/>
        </w:rPr>
        <w:t xml:space="preserve">Runs (time-series momentum) exist across asset classes.</w:t>
      </w:r>
      <w:r w:rsidDel="00000000" w:rsidR="00000000" w:rsidRPr="00000000">
        <w:rPr>
          <w:rtl w:val="0"/>
        </w:rPr>
        <w:t xml:space="preserve"> The classic result: past 1–12-month returns predict sign of next month in equity index, FX, commodity, and bond futures—58 liquid contracts, robust across eras. That’s exactly the signal your Control head is harvesting. (</w:t>
      </w:r>
      <w:hyperlink r:id="rId50">
        <w:r w:rsidDel="00000000" w:rsidR="00000000" w:rsidRPr="00000000">
          <w:rPr>
            <w:color w:val="1155cc"/>
            <w:u w:val="single"/>
            <w:rtl w:val="0"/>
          </w:rPr>
          <w:t xml:space="preserve">EconPapers</w:t>
        </w:r>
      </w:hyperlink>
      <w:r w:rsidDel="00000000" w:rsidR="00000000" w:rsidRPr="00000000">
        <w:rPr>
          <w:rtl w:val="0"/>
        </w:rPr>
        <w:t xml:space="preserve">)</w:t>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rtl w:val="0"/>
        </w:rPr>
        <w:t xml:space="preserve">It’s persistent over a century.</w:t>
      </w:r>
      <w:r w:rsidDel="00000000" w:rsidR="00000000" w:rsidRPr="00000000">
        <w:rPr>
          <w:rtl w:val="0"/>
        </w:rPr>
        <w:t xml:space="preserve"> AQR’s “Century of Trend-Following” shows long-lived, cross-market trend premia with low correlation to stocks/bonds—precisely the kind of run you want to catch. (</w:t>
      </w:r>
      <w:hyperlink r:id="rId51">
        <w:r w:rsidDel="00000000" w:rsidR="00000000" w:rsidRPr="00000000">
          <w:rPr>
            <w:color w:val="1155cc"/>
            <w:u w:val="single"/>
            <w:rtl w:val="0"/>
          </w:rPr>
          <w:t xml:space="preserve">JKG Capital</w:t>
        </w:r>
      </w:hyperlink>
      <w:r w:rsidDel="00000000" w:rsidR="00000000" w:rsidRPr="00000000">
        <w:rPr>
          <w:rtl w:val="0"/>
        </w:rPr>
        <w:t xml:space="preserve">,</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Efficient Capital</w:t>
        </w:r>
      </w:hyperlink>
      <w:r w:rsidDel="00000000" w:rsidR="00000000" w:rsidRPr="00000000">
        <w:rPr>
          <w:rtl w:val="0"/>
        </w:rPr>
        <w:t xml:space="preserve">)</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rtl w:val="0"/>
        </w:rPr>
        <w:t xml:space="preserve">Multi-scale helps.</w:t>
      </w:r>
      <w:r w:rsidDel="00000000" w:rsidR="00000000" w:rsidRPr="00000000">
        <w:rPr>
          <w:rtl w:val="0"/>
        </w:rPr>
        <w:t xml:space="preserve"> Markets are heterogeneous in horizons (Fractal Markets Hypothesis): when many horizons line up you get stable runs; when horizons collapse to the short term, instability/whipsaw rises—so checking trend </w:t>
      </w:r>
      <w:r w:rsidDel="00000000" w:rsidR="00000000" w:rsidRPr="00000000">
        <w:rPr>
          <w:b w:val="1"/>
          <w:rtl w:val="0"/>
        </w:rPr>
        <w:t xml:space="preserve">across scales</w:t>
      </w:r>
      <w:r w:rsidDel="00000000" w:rsidR="00000000" w:rsidRPr="00000000">
        <w:rPr>
          <w:rtl w:val="0"/>
        </w:rPr>
        <w:t xml:space="preserve"> is genuinely informative. (</w:t>
      </w:r>
      <w:hyperlink r:id="rId54">
        <w:r w:rsidDel="00000000" w:rsidR="00000000" w:rsidRPr="00000000">
          <w:rPr>
            <w:color w:val="1155cc"/>
            <w:u w:val="single"/>
            <w:rtl w:val="0"/>
          </w:rPr>
          <w:t xml:space="preserve">CEPR</w:t>
        </w:r>
      </w:hyperlink>
      <w:r w:rsidDel="00000000" w:rsidR="00000000" w:rsidRPr="00000000">
        <w:rPr>
          <w:rtl w:val="0"/>
        </w:rPr>
        <w:t xml:space="preserve">)</w:t>
        <w:br w:type="textWrapping"/>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b w:val="1"/>
          <w:rtl w:val="0"/>
        </w:rPr>
        <w:t xml:space="preserve">Run-length is a real thing you can estimate online.</w:t>
      </w:r>
      <w:r w:rsidDel="00000000" w:rsidR="00000000" w:rsidRPr="00000000">
        <w:rPr>
          <w:rtl w:val="0"/>
        </w:rPr>
        <w:t xml:space="preserve"> BOCPD explicitly keeps a posterior over the </w:t>
      </w:r>
      <w:r w:rsidDel="00000000" w:rsidR="00000000" w:rsidRPr="00000000">
        <w:rPr>
          <w:b w:val="1"/>
          <w:rtl w:val="0"/>
        </w:rPr>
        <w:t xml:space="preserve">time since the last change</w:t>
      </w:r>
      <w:r w:rsidDel="00000000" w:rsidR="00000000" w:rsidRPr="00000000">
        <w:rPr>
          <w:rtl w:val="0"/>
        </w:rPr>
        <w:t xml:space="preserve">; using that posterior as a gate (high run-length ⇒ more trend weight) is textbook Trident. (</w:t>
      </w:r>
      <w:hyperlink r:id="rId55">
        <w:r w:rsidDel="00000000" w:rsidR="00000000" w:rsidRPr="00000000">
          <w:rPr>
            <w:color w:val="1155cc"/>
            <w:u w:val="single"/>
            <w:rtl w:val="0"/>
          </w:rPr>
          <w:t xml:space="preserve">arXiv</w:t>
        </w:r>
      </w:hyperlink>
      <w:r w:rsidDel="00000000" w:rsidR="00000000" w:rsidRPr="00000000">
        <w:rPr>
          <w:rtl w:val="0"/>
        </w:rPr>
        <w:t xml:space="preserve">)</w:t>
        <w:br w:type="textWrapping"/>
      </w:r>
    </w:p>
    <w:p w:rsidR="00000000" w:rsidDel="00000000" w:rsidP="00000000" w:rsidRDefault="00000000" w:rsidRPr="00000000" w14:paraId="0000002C">
      <w:pPr>
        <w:pStyle w:val="Heading2"/>
        <w:keepNext w:val="0"/>
        <w:keepLines w:val="0"/>
        <w:spacing w:before="360" w:lineRule="auto"/>
        <w:rPr>
          <w:rFonts w:ascii="Aptos" w:cs="Aptos" w:eastAsia="Aptos" w:hAnsi="Aptos"/>
          <w:b w:val="1"/>
          <w:color w:val="000000"/>
          <w:sz w:val="34"/>
          <w:szCs w:val="34"/>
        </w:rPr>
      </w:pPr>
      <w:bookmarkStart w:colFirst="0" w:colLast="0" w:name="_heading=h.g24gs3b4qo9z" w:id="9"/>
      <w:bookmarkEnd w:id="9"/>
      <w:r w:rsidDel="00000000" w:rsidR="00000000" w:rsidRPr="00000000">
        <w:rPr>
          <w:rFonts w:ascii="Aptos" w:cs="Aptos" w:eastAsia="Aptos" w:hAnsi="Aptos"/>
          <w:b w:val="1"/>
          <w:color w:val="000000"/>
          <w:sz w:val="34"/>
          <w:szCs w:val="34"/>
          <w:rtl w:val="0"/>
        </w:rPr>
        <w:t xml:space="preserve">How Trident G surfaces runs (practical wiring)</w:t>
      </w:r>
    </w:p>
    <w:p w:rsidR="00000000" w:rsidDel="00000000" w:rsidP="00000000" w:rsidRDefault="00000000" w:rsidRPr="00000000" w14:paraId="0000002D">
      <w:pPr>
        <w:numPr>
          <w:ilvl w:val="0"/>
          <w:numId w:val="8"/>
        </w:numPr>
        <w:spacing w:after="0" w:afterAutospacing="0" w:before="240" w:lineRule="auto"/>
        <w:ind w:left="720" w:hanging="360"/>
      </w:pPr>
      <w:r w:rsidDel="00000000" w:rsidR="00000000" w:rsidRPr="00000000">
        <w:rPr>
          <w:b w:val="1"/>
          <w:rtl w:val="0"/>
        </w:rPr>
        <w:t xml:space="preserve">Multi-scale confirmation:</w:t>
      </w:r>
      <w:r w:rsidDel="00000000" w:rsidR="00000000" w:rsidRPr="00000000">
        <w:rPr>
          <w:rtl w:val="0"/>
        </w:rPr>
        <w:t xml:space="preserve"> require alignment across a few lookbacks (e.g., 1–3–6–12-month) or use multi-resolution filters/wavelets so the “run” is confirmed at several scales before you size up. (Empirically helpful and widely studied.) (</w:t>
      </w:r>
      <w:hyperlink r:id="rId56">
        <w:r w:rsidDel="00000000" w:rsidR="00000000" w:rsidRPr="00000000">
          <w:rPr>
            <w:color w:val="1155cc"/>
            <w:u w:val="single"/>
            <w:rtl w:val="0"/>
          </w:rPr>
          <w:t xml:space="preserve">ijcai.org</w:t>
        </w:r>
      </w:hyperlink>
      <w:r w:rsidDel="00000000" w:rsidR="00000000" w:rsidRPr="00000000">
        <w:rPr>
          <w:rtl w:val="0"/>
        </w:rPr>
        <w:t xml:space="preserve">,</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MDPI</w:t>
        </w:r>
      </w:hyperlink>
      <w:r w:rsidDel="00000000" w:rsidR="00000000" w:rsidRPr="00000000">
        <w:rPr>
          <w:rtl w:val="0"/>
        </w:rPr>
        <w:t xml:space="preserve">)</w:t>
        <w:br w:type="textWrapping"/>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b w:val="1"/>
          <w:rtl w:val="0"/>
        </w:rPr>
        <w:t xml:space="preserve">Run-length gate:</w:t>
      </w:r>
      <w:r w:rsidDel="00000000" w:rsidR="00000000" w:rsidRPr="00000000">
        <w:rPr>
          <w:rtl w:val="0"/>
        </w:rPr>
        <w:t xml:space="preserve"> feed BOCPD’s </w:t>
      </w:r>
      <w:r w:rsidDel="00000000" w:rsidR="00000000" w:rsidRPr="00000000">
        <w:rPr>
          <w:b w:val="1"/>
          <w:rtl w:val="0"/>
        </w:rPr>
        <w:t xml:space="preserve">P(run-length &gt; L)</w:t>
      </w:r>
      <w:r w:rsidDel="00000000" w:rsidR="00000000" w:rsidRPr="00000000">
        <w:rPr>
          <w:rtl w:val="0"/>
        </w:rPr>
        <w:t xml:space="preserve"> into T(χ)T(\chi)/sizing: when the posterior says “the move is persistent,” lower TT (more conviction) and lift size; reset on detected change. (</w:t>
      </w:r>
      <w:hyperlink r:id="rId59">
        <w:r w:rsidDel="00000000" w:rsidR="00000000" w:rsidRPr="00000000">
          <w:rPr>
            <w:color w:val="1155cc"/>
            <w:u w:val="single"/>
            <w:rtl w:val="0"/>
          </w:rPr>
          <w:t xml:space="preserve">arXiv</w:t>
        </w:r>
      </w:hyperlink>
      <w:r w:rsidDel="00000000" w:rsidR="00000000" w:rsidRPr="00000000">
        <w:rPr>
          <w:rtl w:val="0"/>
        </w:rPr>
        <w:t xml:space="preserve">)</w:t>
        <w:br w:type="textWrapping"/>
      </w:r>
    </w:p>
    <w:p w:rsidR="00000000" w:rsidDel="00000000" w:rsidP="00000000" w:rsidRDefault="00000000" w:rsidRPr="00000000" w14:paraId="0000002F">
      <w:pPr>
        <w:numPr>
          <w:ilvl w:val="0"/>
          <w:numId w:val="8"/>
        </w:numPr>
        <w:spacing w:after="240" w:before="0" w:beforeAutospacing="0" w:lineRule="auto"/>
        <w:ind w:left="720" w:hanging="360"/>
      </w:pPr>
      <w:r w:rsidDel="00000000" w:rsidR="00000000" w:rsidRPr="00000000">
        <w:rPr>
          <w:b w:val="1"/>
          <w:rtl w:val="0"/>
        </w:rPr>
        <w:t xml:space="preserve">Regime/tail screens:</w:t>
      </w:r>
      <w:r w:rsidDel="00000000" w:rsidR="00000000" w:rsidRPr="00000000">
        <w:rPr>
          <w:rtl w:val="0"/>
        </w:rPr>
        <w:t xml:space="preserve"> only “press” runs when tail metrics are sane (Hill α above floor, ES within cap). This reduces whipsaw and crash-on-reversal risk—trend has good long-run stats but can suffer in sharp mean-reversions. (</w:t>
      </w:r>
      <w:hyperlink r:id="rId60">
        <w:r w:rsidDel="00000000" w:rsidR="00000000" w:rsidRPr="00000000">
          <w:rPr>
            <w:color w:val="1155cc"/>
            <w:u w:val="single"/>
            <w:rtl w:val="0"/>
          </w:rPr>
          <w:t xml:space="preserve">JKG Capital</w:t>
        </w:r>
      </w:hyperlink>
      <w:r w:rsidDel="00000000" w:rsidR="00000000" w:rsidRPr="00000000">
        <w:rPr>
          <w:rtl w:val="0"/>
        </w:rPr>
        <w:t xml:space="preserve">)</w:t>
        <w:br w:type="textWrapping"/>
      </w:r>
    </w:p>
    <w:p w:rsidR="00000000" w:rsidDel="00000000" w:rsidP="00000000" w:rsidRDefault="00000000" w:rsidRPr="00000000" w14:paraId="00000030">
      <w:pPr>
        <w:pStyle w:val="Heading2"/>
        <w:keepNext w:val="0"/>
        <w:keepLines w:val="0"/>
        <w:spacing w:before="360" w:lineRule="auto"/>
        <w:rPr>
          <w:rFonts w:ascii="Aptos" w:cs="Aptos" w:eastAsia="Aptos" w:hAnsi="Aptos"/>
          <w:b w:val="1"/>
          <w:color w:val="000000"/>
          <w:sz w:val="34"/>
          <w:szCs w:val="34"/>
        </w:rPr>
      </w:pPr>
      <w:bookmarkStart w:colFirst="0" w:colLast="0" w:name="_heading=h.75p72p4z4z8u" w:id="10"/>
      <w:bookmarkEnd w:id="10"/>
      <w:r w:rsidDel="00000000" w:rsidR="00000000" w:rsidRPr="00000000">
        <w:rPr>
          <w:rFonts w:ascii="Aptos" w:cs="Aptos" w:eastAsia="Aptos" w:hAnsi="Aptos"/>
          <w:b w:val="1"/>
          <w:color w:val="000000"/>
          <w:sz w:val="34"/>
          <w:szCs w:val="34"/>
          <w:rtl w:val="0"/>
        </w:rPr>
        <w:t xml:space="preserve">“Unusual” / under-trafficked markets</w:t>
      </w:r>
    </w:p>
    <w:p w:rsidR="00000000" w:rsidDel="00000000" w:rsidP="00000000" w:rsidRDefault="00000000" w:rsidRPr="00000000" w14:paraId="00000031">
      <w:pPr>
        <w:numPr>
          <w:ilvl w:val="0"/>
          <w:numId w:val="10"/>
        </w:numPr>
        <w:spacing w:after="0" w:afterAutospacing="0" w:before="240" w:lineRule="auto"/>
        <w:ind w:left="720" w:hanging="360"/>
      </w:pPr>
      <w:r w:rsidDel="00000000" w:rsidR="00000000" w:rsidRPr="00000000">
        <w:rPr>
          <w:rtl w:val="0"/>
        </w:rPr>
        <w:t xml:space="preserve">The trend effect shows up </w:t>
      </w:r>
      <w:r w:rsidDel="00000000" w:rsidR="00000000" w:rsidRPr="00000000">
        <w:rPr>
          <w:b w:val="1"/>
          <w:rtl w:val="0"/>
        </w:rPr>
        <w:t xml:space="preserve">broadly</w:t>
      </w:r>
      <w:r w:rsidDel="00000000" w:rsidR="00000000" w:rsidRPr="00000000">
        <w:rPr>
          <w:rtl w:val="0"/>
        </w:rPr>
        <w:t xml:space="preserve">, and adding non-mainstream markets can increase the number of independent runs you can exploit (capacity permitting). Large managers explicitly add </w:t>
      </w:r>
      <w:r w:rsidDel="00000000" w:rsidR="00000000" w:rsidRPr="00000000">
        <w:rPr>
          <w:b w:val="1"/>
          <w:rtl w:val="0"/>
        </w:rPr>
        <w:t xml:space="preserve">alternative/exotic markets</w:t>
      </w:r>
      <w:r w:rsidDel="00000000" w:rsidR="00000000" w:rsidRPr="00000000">
        <w:rPr>
          <w:rtl w:val="0"/>
        </w:rPr>
        <w:t xml:space="preserve"> (inflation swaps, onshore China commodity contracts, freight, carbon, etc.) for this reason. (</w:t>
      </w:r>
      <w:hyperlink r:id="rId61">
        <w:r w:rsidDel="00000000" w:rsidR="00000000" w:rsidRPr="00000000">
          <w:rPr>
            <w:color w:val="1155cc"/>
            <w:u w:val="single"/>
            <w:rtl w:val="0"/>
          </w:rPr>
          <w:t xml:space="preserve">GSFM</w:t>
        </w:r>
      </w:hyperlink>
      <w:r w:rsidDel="00000000" w:rsidR="00000000" w:rsidRPr="00000000">
        <w:rPr>
          <w:rtl w:val="0"/>
        </w:rPr>
        <w:t xml:space="preserve">,</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man.com</w:t>
        </w:r>
      </w:hyperlink>
      <w:r w:rsidDel="00000000" w:rsidR="00000000" w:rsidRPr="00000000">
        <w:rPr>
          <w:rtl w:val="0"/>
        </w:rPr>
        <w:t xml:space="preserve">,</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The Hedge Fund Journal</w:t>
        </w:r>
      </w:hyperlink>
      <w:r w:rsidDel="00000000" w:rsidR="00000000" w:rsidRPr="00000000">
        <w:rPr>
          <w:rtl w:val="0"/>
        </w:rPr>
        <w:t xml:space="preserve">)</w:t>
        <w:br w:type="textWrapping"/>
      </w:r>
    </w:p>
    <w:p w:rsidR="00000000" w:rsidDel="00000000" w:rsidP="00000000" w:rsidRDefault="00000000" w:rsidRPr="00000000" w14:paraId="00000032">
      <w:pPr>
        <w:numPr>
          <w:ilvl w:val="0"/>
          <w:numId w:val="10"/>
        </w:numPr>
        <w:spacing w:after="240" w:before="0" w:beforeAutospacing="0" w:lineRule="auto"/>
        <w:ind w:left="720" w:hanging="360"/>
      </w:pPr>
      <w:r w:rsidDel="00000000" w:rsidR="00000000" w:rsidRPr="00000000">
        <w:rPr>
          <w:rtl w:val="0"/>
        </w:rPr>
        <w:t xml:space="preserve">Even </w:t>
      </w:r>
      <w:r w:rsidDel="00000000" w:rsidR="00000000" w:rsidRPr="00000000">
        <w:rPr>
          <w:b w:val="1"/>
          <w:rtl w:val="0"/>
        </w:rPr>
        <w:t xml:space="preserve">crypto</w:t>
      </w:r>
      <w:r w:rsidDel="00000000" w:rsidR="00000000" w:rsidRPr="00000000">
        <w:rPr>
          <w:rtl w:val="0"/>
        </w:rPr>
        <w:t xml:space="preserve"> has exhibited trend characteristics suitable for systematic capture (with proper risk controls). (</w:t>
      </w:r>
      <w:hyperlink r:id="rId66">
        <w:r w:rsidDel="00000000" w:rsidR="00000000" w:rsidRPr="00000000">
          <w:rPr>
            <w:color w:val="1155cc"/>
            <w:u w:val="single"/>
            <w:rtl w:val="0"/>
          </w:rPr>
          <w:t xml:space="preserve">man.com</w:t>
        </w:r>
      </w:hyperlink>
      <w:r w:rsidDel="00000000" w:rsidR="00000000" w:rsidRPr="00000000">
        <w:rPr>
          <w:rtl w:val="0"/>
        </w:rPr>
        <w:t xml:space="preserve">)</w:t>
        <w:br w:type="textWrapping"/>
      </w:r>
    </w:p>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Reality check: performance is regime-dependent—trend had a stellar 2022 and a rough 12-month patch into mid-2025—so your tail/regime gates are essential for deciding </w:t>
      </w:r>
      <w:r w:rsidDel="00000000" w:rsidR="00000000" w:rsidRPr="00000000">
        <w:rPr>
          <w:b w:val="1"/>
          <w:rtl w:val="0"/>
        </w:rPr>
        <w:t xml:space="preserve">when</w:t>
      </w:r>
      <w:r w:rsidDel="00000000" w:rsidR="00000000" w:rsidRPr="00000000">
        <w:rPr>
          <w:rtl w:val="0"/>
        </w:rPr>
        <w:t xml:space="preserve"> to lean into runs and when to de-risk. (</w:t>
      </w:r>
      <w:hyperlink r:id="rId67">
        <w:r w:rsidDel="00000000" w:rsidR="00000000" w:rsidRPr="00000000">
          <w:rPr>
            <w:color w:val="1155cc"/>
            <w:u w:val="single"/>
            <w:rtl w:val="0"/>
          </w:rPr>
          <w:t xml:space="preserve">man.com</w:t>
        </w:r>
      </w:hyperlink>
      <w:r w:rsidDel="00000000" w:rsidR="00000000" w:rsidRPr="00000000">
        <w:rPr>
          <w:rtl w:val="0"/>
        </w:rPr>
        <w:t xml:space="preserve">)</w:t>
      </w:r>
    </w:p>
    <w:p w:rsidR="00000000" w:rsidDel="00000000" w:rsidP="00000000" w:rsidRDefault="00000000" w:rsidRPr="00000000" w14:paraId="00000034">
      <w:pPr>
        <w:pStyle w:val="Heading2"/>
        <w:keepNext w:val="0"/>
        <w:keepLines w:val="0"/>
        <w:spacing w:before="360" w:lineRule="auto"/>
        <w:rPr>
          <w:rFonts w:ascii="Aptos" w:cs="Aptos" w:eastAsia="Aptos" w:hAnsi="Aptos"/>
          <w:b w:val="1"/>
          <w:color w:val="000000"/>
          <w:sz w:val="34"/>
          <w:szCs w:val="34"/>
        </w:rPr>
      </w:pPr>
      <w:bookmarkStart w:colFirst="0" w:colLast="0" w:name="_heading=h.z8006apgecix" w:id="11"/>
      <w:bookmarkEnd w:id="11"/>
      <w:r w:rsidDel="00000000" w:rsidR="00000000" w:rsidRPr="00000000">
        <w:rPr>
          <w:rFonts w:ascii="Aptos" w:cs="Aptos" w:eastAsia="Aptos" w:hAnsi="Aptos"/>
          <w:b w:val="1"/>
          <w:color w:val="000000"/>
          <w:sz w:val="34"/>
          <w:szCs w:val="34"/>
          <w:rtl w:val="0"/>
        </w:rPr>
        <w:t xml:space="preserve">What to implement right now</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b w:val="1"/>
          <w:rtl w:val="0"/>
        </w:rPr>
        <w:t xml:space="preserve">Run score</w:t>
      </w:r>
      <w:r w:rsidDel="00000000" w:rsidR="00000000" w:rsidRPr="00000000">
        <w:rPr>
          <w:rtl w:val="0"/>
        </w:rPr>
        <w:t xml:space="preserve"> = (multi-scale alignment) × (BOCPD run-length posterior) × (1 − tail penalty).</w:t>
        <w:br w:type="textWrapping"/>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b w:val="1"/>
          <w:rtl w:val="0"/>
        </w:rPr>
        <w:t xml:space="preserve">Promote</w:t>
      </w:r>
      <w:r w:rsidDel="00000000" w:rsidR="00000000" w:rsidRPr="00000000">
        <w:rPr>
          <w:rtl w:val="0"/>
        </w:rPr>
        <w:t xml:space="preserve"> signals (Creative → Control) only when runs pass ES/J-ratio checks and persist across ≥2 regimes (your schema registry does this).</w:t>
        <w:br w:type="textWrapping"/>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b w:val="1"/>
          <w:rtl w:val="0"/>
        </w:rPr>
        <w:t xml:space="preserve">Hunt beyond the usual suspects</w:t>
      </w:r>
      <w:r w:rsidDel="00000000" w:rsidR="00000000" w:rsidRPr="00000000">
        <w:rPr>
          <w:rtl w:val="0"/>
        </w:rPr>
        <w:t xml:space="preserve"> once the core works: add a few exchange-traded alternative markets (e.g., EU carbon, select regional rates/commodities) that your broker can access—each adds potential independent “runs.” (</w:t>
      </w:r>
      <w:hyperlink r:id="rId68">
        <w:r w:rsidDel="00000000" w:rsidR="00000000" w:rsidRPr="00000000">
          <w:rPr>
            <w:color w:val="1155cc"/>
            <w:u w:val="single"/>
            <w:rtl w:val="0"/>
          </w:rPr>
          <w:t xml:space="preserve">man.com</w:t>
        </w:r>
      </w:hyperlink>
      <w:r w:rsidDel="00000000" w:rsidR="00000000" w:rsidRPr="00000000">
        <w:rPr>
          <w:rtl w:val="0"/>
        </w:rPr>
        <w:t xml:space="preserve">,</w:t>
      </w:r>
      <w:hyperlink r:id="rId69">
        <w:r w:rsidDel="00000000" w:rsidR="00000000" w:rsidRPr="00000000">
          <w:rPr>
            <w:rtl w:val="0"/>
          </w:rPr>
          <w:t xml:space="preserve"> </w:t>
        </w:r>
      </w:hyperlink>
      <w:hyperlink r:id="rId70">
        <w:r w:rsidDel="00000000" w:rsidR="00000000" w:rsidRPr="00000000">
          <w:rPr>
            <w:color w:val="1155cc"/>
            <w:u w:val="single"/>
            <w:rtl w:val="0"/>
          </w:rPr>
          <w:t xml:space="preserve">GSFM</w:t>
        </w:r>
      </w:hyperlink>
      <w:r w:rsidDel="00000000" w:rsidR="00000000" w:rsidRPr="00000000">
        <w:rPr>
          <w:rtl w:val="0"/>
        </w:rPr>
        <w:t xml:space="preserve">)</w:t>
        <w:br w:type="textWrapping"/>
      </w:r>
    </w:p>
    <w:p w:rsidR="00000000" w:rsidDel="00000000" w:rsidP="00000000" w:rsidRDefault="00000000" w:rsidRPr="00000000" w14:paraId="00000038">
      <w:pPr>
        <w:spacing w:after="240" w:before="240" w:lineRule="auto"/>
        <w:rPr/>
      </w:pPr>
      <w:r w:rsidDel="00000000" w:rsidR="00000000" w:rsidRPr="00000000">
        <w:rPr>
          <w:b w:val="1"/>
          <w:rtl w:val="0"/>
        </w:rPr>
        <w:t xml:space="preserve">Bottom line:</w:t>
      </w:r>
      <w:r w:rsidDel="00000000" w:rsidR="00000000" w:rsidRPr="00000000">
        <w:rPr>
          <w:rtl w:val="0"/>
        </w:rPr>
        <w:t xml:space="preserve"> multi-scale sensing + explicit </w:t>
      </w:r>
      <w:r w:rsidDel="00000000" w:rsidR="00000000" w:rsidRPr="00000000">
        <w:rPr>
          <w:b w:val="1"/>
          <w:rtl w:val="0"/>
        </w:rPr>
        <w:t xml:space="preserve">run-length inference</w:t>
      </w:r>
      <w:r w:rsidDel="00000000" w:rsidR="00000000" w:rsidRPr="00000000">
        <w:rPr>
          <w:rtl w:val="0"/>
        </w:rPr>
        <w:t xml:space="preserve"> + tail-aware gating is exactly how your Trident platform turns diffuse market motion into identifiable, tradable “runs”—and extending the universe to less crowded but accessible markets gives you more of those runs to choose from, without sacrificing the risk discipline that keeps you in the game.</w:t>
      </w:r>
    </w:p>
    <w:p w:rsidR="00000000" w:rsidDel="00000000" w:rsidP="00000000" w:rsidRDefault="00000000" w:rsidRPr="00000000" w14:paraId="00000039">
      <w:pPr>
        <w:spacing w:after="240" w:before="240" w:lineRule="auto"/>
        <w:rPr/>
      </w:pPr>
      <w:r w:rsidDel="00000000" w:rsidR="00000000" w:rsidRPr="00000000">
        <w:rPr>
          <w:rtl w:val="0"/>
        </w:rPr>
        <w:t xml:space="preserve"> Adding “under-studied” or less-trafficked markets can give you </w:t>
      </w:r>
      <w:r w:rsidDel="00000000" w:rsidR="00000000" w:rsidRPr="00000000">
        <w:rPr>
          <w:b w:val="1"/>
          <w:rtl w:val="0"/>
        </w:rPr>
        <w:t xml:space="preserve">more independent runs</w:t>
      </w:r>
      <w:r w:rsidDel="00000000" w:rsidR="00000000" w:rsidRPr="00000000">
        <w:rPr>
          <w:rtl w:val="0"/>
        </w:rPr>
        <w:t xml:space="preserve"> and sometimes </w:t>
      </w:r>
      <w:r w:rsidDel="00000000" w:rsidR="00000000" w:rsidRPr="00000000">
        <w:rPr>
          <w:b w:val="1"/>
          <w:rtl w:val="0"/>
        </w:rPr>
        <w:t xml:space="preserve">bigger, cleaner trends</w:t>
      </w:r>
      <w:r w:rsidDel="00000000" w:rsidR="00000000" w:rsidRPr="00000000">
        <w:rPr>
          <w:rtl w:val="0"/>
        </w:rPr>
        <w:t xml:space="preserve">, which can lift the </w:t>
      </w:r>
      <w:r w:rsidDel="00000000" w:rsidR="00000000" w:rsidRPr="00000000">
        <w:rPr>
          <w:i w:val="1"/>
          <w:rtl w:val="0"/>
        </w:rPr>
        <w:t xml:space="preserve">portfolio’s</w:t>
      </w:r>
      <w:r w:rsidDel="00000000" w:rsidR="00000000" w:rsidRPr="00000000">
        <w:rPr>
          <w:rtl w:val="0"/>
        </w:rPr>
        <w:t xml:space="preserve"> Sharpe and/or returns (especially at small capacity). But it only helps if those markets are </w:t>
      </w:r>
      <w:r w:rsidDel="00000000" w:rsidR="00000000" w:rsidRPr="00000000">
        <w:rPr>
          <w:b w:val="1"/>
          <w:rtl w:val="0"/>
        </w:rPr>
        <w:t xml:space="preserve">liquid enough, tradable from the UK, and cheaply executed</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Why this can work</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b w:val="1"/>
          <w:rtl w:val="0"/>
        </w:rPr>
        <w:t xml:space="preserve">Trend shows up beyond mainstream futures.</w:t>
      </w:r>
      <w:r w:rsidDel="00000000" w:rsidR="00000000" w:rsidRPr="00000000">
        <w:rPr>
          <w:rtl w:val="0"/>
        </w:rPr>
        <w:t xml:space="preserve"> Evidence for time-series momentum extends to “exotic” commodities, EM FX, vol futures, credit indices, etc.—not just majors. More distinct markets ⇒ more independent trend opportunities. (</w:t>
      </w:r>
      <w:hyperlink r:id="rId71">
        <w:r w:rsidDel="00000000" w:rsidR="00000000" w:rsidRPr="00000000">
          <w:rPr>
            <w:color w:val="1155cc"/>
            <w:u w:val="single"/>
            <w:rtl w:val="0"/>
          </w:rPr>
          <w:t xml:space="preserve">AQR Capital Management</w:t>
        </w:r>
      </w:hyperlink>
      <w:r w:rsidDel="00000000" w:rsidR="00000000" w:rsidRPr="00000000">
        <w:rPr>
          <w:rtl w:val="0"/>
        </w:rPr>
        <w:t xml:space="preserve">)</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rtl w:val="0"/>
        </w:rPr>
        <w:t xml:space="preserve">Alternative/“exotic” markets add diversification.</w:t>
      </w:r>
      <w:r w:rsidDel="00000000" w:rsidR="00000000" w:rsidRPr="00000000">
        <w:rPr>
          <w:rtl w:val="0"/>
        </w:rPr>
        <w:t xml:space="preserve"> Managers who expanded into alternative markets argue it improves robustness and opportunity set (more dissimilar drivers, more runs to catch). (</w:t>
      </w:r>
      <w:hyperlink r:id="rId72">
        <w:r w:rsidDel="00000000" w:rsidR="00000000" w:rsidRPr="00000000">
          <w:rPr>
            <w:color w:val="1155cc"/>
            <w:u w:val="single"/>
            <w:rtl w:val="0"/>
          </w:rPr>
          <w:t xml:space="preserve">man.com</w:t>
        </w:r>
      </w:hyperlink>
      <w:r w:rsidDel="00000000" w:rsidR="00000000" w:rsidRPr="00000000">
        <w:rPr>
          <w:rtl w:val="0"/>
        </w:rPr>
        <w:t xml:space="preserve">)</w:t>
        <w:br w:type="textWrapping"/>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rtl w:val="0"/>
        </w:rPr>
        <w:t xml:space="preserve">Some niches have become genuinely liquid.</w:t>
      </w:r>
      <w:r w:rsidDel="00000000" w:rsidR="00000000" w:rsidRPr="00000000">
        <w:rPr>
          <w:rtl w:val="0"/>
        </w:rPr>
        <w:t xml:space="preserve"> EU carbon (EUA) and Dutch TTF gas turned into large, trend-prone markets with surging exchange volumes—plenty for small accounts. (</w:t>
      </w:r>
      <w:hyperlink r:id="rId73">
        <w:r w:rsidDel="00000000" w:rsidR="00000000" w:rsidRPr="00000000">
          <w:rPr>
            <w:color w:val="1155cc"/>
            <w:u w:val="single"/>
            <w:rtl w:val="0"/>
          </w:rPr>
          <w:t xml:space="preserve">ir.theice.com</w:t>
        </w:r>
      </w:hyperlink>
      <w:r w:rsidDel="00000000" w:rsidR="00000000" w:rsidRPr="00000000">
        <w:rPr>
          <w:rtl w:val="0"/>
        </w:rPr>
        <w:t xml:space="preserve">,</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Oxford Energy</w:t>
        </w:r>
      </w:hyperlink>
      <w:r w:rsidDel="00000000" w:rsidR="00000000" w:rsidRPr="00000000">
        <w:rPr>
          <w:rtl w:val="0"/>
        </w:rPr>
        <w:t xml:space="preserve">)</w:t>
        <w:br w:type="textWrapping"/>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b w:val="1"/>
          <w:rtl w:val="0"/>
        </w:rPr>
        <w:t xml:space="preserve">Breadth matters.</w:t>
      </w:r>
      <w:r w:rsidDel="00000000" w:rsidR="00000000" w:rsidRPr="00000000">
        <w:rPr>
          <w:rtl w:val="0"/>
        </w:rPr>
        <w:t xml:space="preserve"> You generally need </w:t>
      </w:r>
      <w:r w:rsidDel="00000000" w:rsidR="00000000" w:rsidRPr="00000000">
        <w:rPr>
          <w:i w:val="1"/>
          <w:rtl w:val="0"/>
        </w:rPr>
        <w:t xml:space="preserve">many</w:t>
      </w:r>
      <w:r w:rsidDel="00000000" w:rsidR="00000000" w:rsidRPr="00000000">
        <w:rPr>
          <w:rtl w:val="0"/>
        </w:rPr>
        <w:t xml:space="preserve"> markets to capture the managed-futures “index” effect; a narrow universe leaves opportunity (and diversification) on the table. (</w:t>
      </w:r>
      <w:hyperlink r:id="rId76">
        <w:r w:rsidDel="00000000" w:rsidR="00000000" w:rsidRPr="00000000">
          <w:rPr>
            <w:color w:val="1155cc"/>
            <w:u w:val="single"/>
            <w:rtl w:val="0"/>
          </w:rPr>
          <w:t xml:space="preserve">transtrend.com</w:t>
        </w:r>
      </w:hyperlink>
      <w:r w:rsidDel="00000000" w:rsidR="00000000" w:rsidRPr="00000000">
        <w:rPr>
          <w:rtl w:val="0"/>
        </w:rPr>
        <w:t xml:space="preserve">)</w:t>
        <w:br w:type="textWrapping"/>
      </w:r>
    </w:p>
    <w:p w:rsidR="00000000" w:rsidDel="00000000" w:rsidP="00000000" w:rsidRDefault="00000000" w:rsidRPr="00000000" w14:paraId="0000003F">
      <w:pPr>
        <w:spacing w:after="240" w:before="240" w:lineRule="auto"/>
        <w:rPr/>
      </w:pPr>
      <w:r w:rsidDel="00000000" w:rsidR="00000000" w:rsidRPr="00000000">
        <w:rPr>
          <w:rtl w:val="0"/>
        </w:rPr>
        <w:t xml:space="preserve">Practical picks (UK-accessible, subject to your broker)</w:t>
      </w:r>
    </w:p>
    <w:p w:rsidR="00000000" w:rsidDel="00000000" w:rsidP="00000000" w:rsidRDefault="00000000" w:rsidRPr="00000000" w14:paraId="00000040">
      <w:pPr>
        <w:numPr>
          <w:ilvl w:val="0"/>
          <w:numId w:val="11"/>
        </w:numPr>
        <w:spacing w:after="0" w:afterAutospacing="0" w:before="240" w:lineRule="auto"/>
        <w:ind w:left="720" w:hanging="360"/>
      </w:pPr>
      <w:r w:rsidDel="00000000" w:rsidR="00000000" w:rsidRPr="00000000">
        <w:rPr>
          <w:b w:val="1"/>
          <w:rtl w:val="0"/>
        </w:rPr>
        <w:t xml:space="preserve">EUAs (ICE Futures Europe)</w:t>
      </w:r>
      <w:r w:rsidDel="00000000" w:rsidR="00000000" w:rsidRPr="00000000">
        <w:rPr>
          <w:rtl w:val="0"/>
        </w:rPr>
        <w:t xml:space="preserve"> and </w:t>
      </w:r>
      <w:r w:rsidDel="00000000" w:rsidR="00000000" w:rsidRPr="00000000">
        <w:rPr>
          <w:b w:val="1"/>
          <w:rtl w:val="0"/>
        </w:rPr>
        <w:t xml:space="preserve">Dutch TTF gas (ICE Endex)</w:t>
      </w:r>
      <w:r w:rsidDel="00000000" w:rsidR="00000000" w:rsidRPr="00000000">
        <w:rPr>
          <w:rtl w:val="0"/>
        </w:rPr>
        <w:t xml:space="preserve">: deepening liquidity and episodic multi-month/-year trends; good candidates for a “runs” engine once your core is stable. (</w:t>
      </w:r>
      <w:hyperlink r:id="rId77">
        <w:r w:rsidDel="00000000" w:rsidR="00000000" w:rsidRPr="00000000">
          <w:rPr>
            <w:color w:val="1155cc"/>
            <w:u w:val="single"/>
            <w:rtl w:val="0"/>
          </w:rPr>
          <w:t xml:space="preserve">ir.theice.com</w:t>
        </w:r>
      </w:hyperlink>
      <w:r w:rsidDel="00000000" w:rsidR="00000000" w:rsidRPr="00000000">
        <w:rPr>
          <w:rtl w:val="0"/>
        </w:rPr>
        <w:t xml:space="preserve">,</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ICE</w:t>
        </w:r>
      </w:hyperlink>
      <w:r w:rsidDel="00000000" w:rsidR="00000000" w:rsidRPr="00000000">
        <w:rPr>
          <w:rtl w:val="0"/>
        </w:rPr>
        <w:t xml:space="preserve">)</w:t>
        <w:br w:type="textWrapping"/>
      </w:r>
    </w:p>
    <w:p w:rsidR="00000000" w:rsidDel="00000000" w:rsidP="00000000" w:rsidRDefault="00000000" w:rsidRPr="00000000" w14:paraId="00000041">
      <w:pPr>
        <w:numPr>
          <w:ilvl w:val="0"/>
          <w:numId w:val="11"/>
        </w:numPr>
        <w:spacing w:after="240" w:before="0" w:beforeAutospacing="0" w:lineRule="auto"/>
        <w:ind w:left="720" w:hanging="360"/>
      </w:pPr>
      <w:r w:rsidDel="00000000" w:rsidR="00000000" w:rsidRPr="00000000">
        <w:rPr>
          <w:rtl w:val="0"/>
        </w:rPr>
        <w:t xml:space="preserve">Then cherry-pick a few more non-mainstream but listed contracts (capacity-light): e.g., some regional energy contracts or smaller commodity contracts—only after checking lot sizes, margin, and spreads with your broker.</w:t>
        <w:br w:type="textWrapping"/>
      </w:r>
    </w:p>
    <w:p w:rsidR="00000000" w:rsidDel="00000000" w:rsidP="00000000" w:rsidRDefault="00000000" w:rsidRPr="00000000" w14:paraId="00000042">
      <w:pPr>
        <w:spacing w:after="240" w:before="240" w:lineRule="auto"/>
        <w:rPr/>
      </w:pPr>
      <w:r w:rsidDel="00000000" w:rsidR="00000000" w:rsidRPr="00000000">
        <w:rPr>
          <w:rtl w:val="0"/>
        </w:rPr>
        <w:t xml:space="preserve">Caveats (don’t skip these)</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b w:val="1"/>
          <w:rtl w:val="0"/>
        </w:rPr>
        <w:t xml:space="preserve">Costs &amp; slippage can erase the edge</w:t>
      </w:r>
      <w:r w:rsidDel="00000000" w:rsidR="00000000" w:rsidRPr="00000000">
        <w:rPr>
          <w:rtl w:val="0"/>
        </w:rPr>
        <w:t xml:space="preserve"> faster in thinner markets—measure after paper-trading.</w:t>
        <w:br w:type="textWrapping"/>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rtl w:val="0"/>
        </w:rPr>
        <w:t xml:space="preserve">Policy-driven markets (e.g., carbon)</w:t>
      </w:r>
      <w:r w:rsidDel="00000000" w:rsidR="00000000" w:rsidRPr="00000000">
        <w:rPr>
          <w:rtl w:val="0"/>
        </w:rPr>
        <w:t xml:space="preserve"> can regime-shift abruptly; keep your Trident ES/χ gates tight. (</w:t>
      </w:r>
      <w:hyperlink r:id="rId80">
        <w:r w:rsidDel="00000000" w:rsidR="00000000" w:rsidRPr="00000000">
          <w:rPr>
            <w:color w:val="1155cc"/>
            <w:u w:val="single"/>
            <w:rtl w:val="0"/>
          </w:rPr>
          <w:t xml:space="preserve">ESMA</w:t>
        </w:r>
      </w:hyperlink>
      <w:r w:rsidDel="00000000" w:rsidR="00000000" w:rsidRPr="00000000">
        <w:rPr>
          <w:rtl w:val="0"/>
        </w:rPr>
        <w:t xml:space="preserve">)</w:t>
        <w:br w:type="textWrapping"/>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b w:val="1"/>
          <w:rtl w:val="0"/>
        </w:rPr>
        <w:t xml:space="preserve">It won’t help every year.</w:t>
      </w:r>
      <w:r w:rsidDel="00000000" w:rsidR="00000000" w:rsidRPr="00000000">
        <w:rPr>
          <w:rtl w:val="0"/>
        </w:rPr>
        <w:t xml:space="preserve"> 2025 has been tough for trend funds broadly; more markets = more chances, not a guarantee. (</w:t>
      </w:r>
      <w:hyperlink r:id="rId81">
        <w:r w:rsidDel="00000000" w:rsidR="00000000" w:rsidRPr="00000000">
          <w:rPr>
            <w:color w:val="1155cc"/>
            <w:u w:val="single"/>
            <w:rtl w:val="0"/>
          </w:rPr>
          <w:t xml:space="preserve">Reuters</w:t>
        </w:r>
      </w:hyperlink>
      <w:r w:rsidDel="00000000" w:rsidR="00000000" w:rsidRPr="00000000">
        <w:rPr>
          <w:rtl w:val="0"/>
        </w:rPr>
        <w:t xml:space="preserve">)</w:t>
        <w:br w:type="textWrapping"/>
      </w:r>
    </w:p>
    <w:p w:rsidR="00000000" w:rsidDel="00000000" w:rsidP="00000000" w:rsidRDefault="00000000" w:rsidRPr="00000000" w14:paraId="00000046">
      <w:pPr>
        <w:spacing w:after="240" w:before="240" w:lineRule="auto"/>
        <w:rPr/>
      </w:pPr>
      <w:r w:rsidDel="00000000" w:rsidR="00000000" w:rsidRPr="00000000">
        <w:rPr>
          <w:rtl w:val="0"/>
        </w:rPr>
        <w:t xml:space="preserve">Bottom line: with your </w:t>
      </w:r>
      <w:r w:rsidDel="00000000" w:rsidR="00000000" w:rsidRPr="00000000">
        <w:rPr>
          <w:b w:val="1"/>
          <w:rtl w:val="0"/>
        </w:rPr>
        <w:t xml:space="preserve">multi-scale run detection + BOCPD run-length + ES-gated sizing</w:t>
      </w:r>
      <w:r w:rsidDel="00000000" w:rsidR="00000000" w:rsidRPr="00000000">
        <w:rPr>
          <w:rtl w:val="0"/>
        </w:rPr>
        <w:t xml:space="preserve">, expanding into a few </w:t>
      </w:r>
      <w:r w:rsidDel="00000000" w:rsidR="00000000" w:rsidRPr="00000000">
        <w:rPr>
          <w:b w:val="1"/>
          <w:rtl w:val="0"/>
        </w:rPr>
        <w:t xml:space="preserve">liquid, alternative markets</w:t>
      </w:r>
      <w:r w:rsidDel="00000000" w:rsidR="00000000" w:rsidRPr="00000000">
        <w:rPr>
          <w:rtl w:val="0"/>
        </w:rPr>
        <w:t xml:space="preserve"> can </w:t>
      </w:r>
      <w:r w:rsidDel="00000000" w:rsidR="00000000" w:rsidRPr="00000000">
        <w:rPr>
          <w:i w:val="1"/>
          <w:rtl w:val="0"/>
        </w:rPr>
        <w:t xml:space="preserve">raise</w:t>
      </w:r>
      <w:r w:rsidDel="00000000" w:rsidR="00000000" w:rsidRPr="00000000">
        <w:rPr>
          <w:rtl w:val="0"/>
        </w:rPr>
        <w:t xml:space="preserve"> your portfolio’s opportunity set—and </w:t>
      </w:r>
      <w:r w:rsidDel="00000000" w:rsidR="00000000" w:rsidRPr="00000000">
        <w:rPr>
          <w:i w:val="1"/>
          <w:rtl w:val="0"/>
        </w:rPr>
        <w:t xml:space="preserve">potentially</w:t>
      </w:r>
      <w:r w:rsidDel="00000000" w:rsidR="00000000" w:rsidRPr="00000000">
        <w:rPr>
          <w:rtl w:val="0"/>
        </w:rPr>
        <w:t xml:space="preserve"> its returns—while keeping the Trident G Loop’s downside discipline intact.</w:t>
      </w:r>
    </w:p>
    <w:p w:rsidR="00000000" w:rsidDel="00000000" w:rsidP="00000000" w:rsidRDefault="00000000" w:rsidRPr="00000000" w14:paraId="00000047">
      <w:pPr>
        <w:spacing w:after="240" w:before="240" w:lineRule="auto"/>
        <w:rPr/>
      </w:pPr>
      <w:r w:rsidDel="00000000" w:rsidR="00000000" w:rsidRPr="00000000">
        <w:rPr>
          <w:rtl w:val="0"/>
        </w:rPr>
        <w:t xml:space="preserve">A Trident G-Loop trader you control can take intelligent shots in </w:t>
      </w:r>
      <w:r w:rsidDel="00000000" w:rsidR="00000000" w:rsidRPr="00000000">
        <w:rPr>
          <w:b w:val="1"/>
          <w:rtl w:val="0"/>
        </w:rPr>
        <w:t xml:space="preserve">higher-variance, under-trafficked markets</w:t>
      </w:r>
      <w:r w:rsidDel="00000000" w:rsidR="00000000" w:rsidRPr="00000000">
        <w:rPr>
          <w:rtl w:val="0"/>
        </w:rPr>
        <w:t xml:space="preserve"> (some crypto spot pairs, newer contracts like EU carbon, regional energy, etc.) in ways big banks usually won’t. Why:</w:t>
      </w:r>
    </w:p>
    <w:p w:rsidR="00000000" w:rsidDel="00000000" w:rsidP="00000000" w:rsidRDefault="00000000" w:rsidRPr="00000000" w14:paraId="00000048">
      <w:pPr>
        <w:numPr>
          <w:ilvl w:val="0"/>
          <w:numId w:val="9"/>
        </w:numPr>
        <w:spacing w:after="0" w:afterAutospacing="0" w:before="240" w:lineRule="auto"/>
        <w:ind w:left="720" w:hanging="360"/>
      </w:pPr>
      <w:r w:rsidDel="00000000" w:rsidR="00000000" w:rsidRPr="00000000">
        <w:rPr>
          <w:b w:val="1"/>
          <w:rtl w:val="0"/>
        </w:rPr>
        <w:t xml:space="preserve">Institutional constraints:</w:t>
      </w:r>
      <w:r w:rsidDel="00000000" w:rsidR="00000000" w:rsidRPr="00000000">
        <w:rPr>
          <w:rtl w:val="0"/>
        </w:rPr>
        <w:t xml:space="preserve"> Banks optimise for capital efficiency and regulatory compliance (Basel FRTB’s ES, internal-model approvals, model-risk governance). That pushes them toward large, very liquid markets and conservative risk budgets—especially for assets with custody, AML, or market-structure risk. (</w:t>
      </w:r>
      <w:hyperlink r:id="rId82">
        <w:r w:rsidDel="00000000" w:rsidR="00000000" w:rsidRPr="00000000">
          <w:rPr>
            <w:color w:val="1155cc"/>
            <w:u w:val="single"/>
            <w:rtl w:val="0"/>
          </w:rPr>
          <w:t xml:space="preserve">Bank for International Settlements</w:t>
        </w:r>
      </w:hyperlink>
      <w:r w:rsidDel="00000000" w:rsidR="00000000" w:rsidRPr="00000000">
        <w:rPr>
          <w:rtl w:val="0"/>
        </w:rPr>
        <w:t xml:space="preserve">,</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SIFMA</w:t>
        </w:r>
      </w:hyperlink>
      <w:r w:rsidDel="00000000" w:rsidR="00000000" w:rsidRPr="00000000">
        <w:rPr>
          <w:rtl w:val="0"/>
        </w:rPr>
        <w:t xml:space="preserve">)</w:t>
        <w:br w:type="textWrapping"/>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b w:val="1"/>
          <w:rtl w:val="0"/>
        </w:rPr>
        <w:t xml:space="preserve">Regulatory access:</w:t>
      </w:r>
      <w:r w:rsidDel="00000000" w:rsidR="00000000" w:rsidRPr="00000000">
        <w:rPr>
          <w:rtl w:val="0"/>
        </w:rPr>
        <w:t xml:space="preserve"> UK retail still can’t trade </w:t>
      </w:r>
      <w:r w:rsidDel="00000000" w:rsidR="00000000" w:rsidRPr="00000000">
        <w:rPr>
          <w:b w:val="1"/>
          <w:rtl w:val="0"/>
        </w:rPr>
        <w:t xml:space="preserve">crypto derivatives</w:t>
      </w:r>
      <w:r w:rsidDel="00000000" w:rsidR="00000000" w:rsidRPr="00000000">
        <w:rPr>
          <w:rtl w:val="0"/>
        </w:rPr>
        <w:t xml:space="preserve">; that’s a hard boundary for banks’ retail offerings too. But the FCA is opening </w:t>
      </w:r>
      <w:r w:rsidDel="00000000" w:rsidR="00000000" w:rsidRPr="00000000">
        <w:rPr>
          <w:b w:val="1"/>
          <w:rtl w:val="0"/>
        </w:rPr>
        <w:t xml:space="preserve">regulated crypto ETNs</w:t>
      </w:r>
      <w:r w:rsidDel="00000000" w:rsidR="00000000" w:rsidRPr="00000000">
        <w:rPr>
          <w:rtl w:val="0"/>
        </w:rPr>
        <w:t xml:space="preserve"> to retail from Oct 8, 2025, widening </w:t>
      </w:r>
      <w:r w:rsidDel="00000000" w:rsidR="00000000" w:rsidRPr="00000000">
        <w:rPr>
          <w:i w:val="1"/>
          <w:rtl w:val="0"/>
        </w:rPr>
        <w:t xml:space="preserve">spot-like</w:t>
      </w:r>
      <w:r w:rsidDel="00000000" w:rsidR="00000000" w:rsidRPr="00000000">
        <w:rPr>
          <w:rtl w:val="0"/>
        </w:rPr>
        <w:t xml:space="preserve"> exposure paths—whereas banks remain cautious and constrained on unregulated venues. (</w:t>
      </w:r>
      <w:hyperlink r:id="rId85">
        <w:r w:rsidDel="00000000" w:rsidR="00000000" w:rsidRPr="00000000">
          <w:rPr>
            <w:color w:val="1155cc"/>
            <w:u w:val="single"/>
            <w:rtl w:val="0"/>
          </w:rPr>
          <w:t xml:space="preserve">FCA</w:t>
        </w:r>
      </w:hyperlink>
      <w:r w:rsidDel="00000000" w:rsidR="00000000" w:rsidRPr="00000000">
        <w:rPr>
          <w:rtl w:val="0"/>
        </w:rPr>
        <w:t xml:space="preserve">,</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Financial Times</w:t>
        </w:r>
      </w:hyperlink>
      <w:r w:rsidDel="00000000" w:rsidR="00000000" w:rsidRPr="00000000">
        <w:rPr>
          <w:rtl w:val="0"/>
        </w:rPr>
        <w:t xml:space="preserve">,</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Cointelegraph</w:t>
        </w:r>
      </w:hyperlink>
      <w:r w:rsidDel="00000000" w:rsidR="00000000" w:rsidRPr="00000000">
        <w:rPr>
          <w:rtl w:val="0"/>
        </w:rPr>
        <w:t xml:space="preserve">)</w:t>
        <w:br w:type="textWrapping"/>
      </w:r>
    </w:p>
    <w:p w:rsidR="00000000" w:rsidDel="00000000" w:rsidP="00000000" w:rsidRDefault="00000000" w:rsidRPr="00000000" w14:paraId="0000004A">
      <w:pPr>
        <w:numPr>
          <w:ilvl w:val="0"/>
          <w:numId w:val="9"/>
        </w:numPr>
        <w:spacing w:after="240" w:before="0" w:beforeAutospacing="0" w:lineRule="auto"/>
        <w:ind w:left="720" w:hanging="360"/>
      </w:pPr>
      <w:r w:rsidDel="00000000" w:rsidR="00000000" w:rsidRPr="00000000">
        <w:rPr>
          <w:b w:val="1"/>
          <w:rtl w:val="0"/>
        </w:rPr>
        <w:t xml:space="preserve">Operational/custody posture:</w:t>
      </w:r>
      <w:r w:rsidDel="00000000" w:rsidR="00000000" w:rsidRPr="00000000">
        <w:rPr>
          <w:rtl w:val="0"/>
        </w:rPr>
        <w:t xml:space="preserve"> Large institutions face heavier scrutiny on crypto custody and exchange risk; many are still “tiptoeing” pending clearer rules. A self-directed system can operate nimbly on approved paths (spot, cETNs) and across venues you’re comfortable with—provided you instrument risk properly. (</w:t>
      </w:r>
      <w:hyperlink r:id="rId90">
        <w:r w:rsidDel="00000000" w:rsidR="00000000" w:rsidRPr="00000000">
          <w:rPr>
            <w:color w:val="1155cc"/>
            <w:u w:val="single"/>
            <w:rtl w:val="0"/>
          </w:rPr>
          <w:t xml:space="preserve">Reuters</w:t>
        </w:r>
      </w:hyperlink>
      <w:r w:rsidDel="00000000" w:rsidR="00000000" w:rsidRPr="00000000">
        <w:rPr>
          <w:rtl w:val="0"/>
        </w:rPr>
        <w:t xml:space="preserve">,</w:t>
      </w:r>
      <w:hyperlink r:id="rId91">
        <w:r w:rsidDel="00000000" w:rsidR="00000000" w:rsidRPr="00000000">
          <w:rPr>
            <w:rtl w:val="0"/>
          </w:rPr>
          <w:t xml:space="preserve"> </w:t>
        </w:r>
      </w:hyperlink>
      <w:hyperlink r:id="rId92">
        <w:r w:rsidDel="00000000" w:rsidR="00000000" w:rsidRPr="00000000">
          <w:rPr>
            <w:color w:val="1155cc"/>
            <w:u w:val="single"/>
            <w:rtl w:val="0"/>
          </w:rPr>
          <w:t xml:space="preserve">Congress.gov</w:t>
        </w:r>
      </w:hyperlink>
      <w:r w:rsidDel="00000000" w:rsidR="00000000" w:rsidRPr="00000000">
        <w:rPr>
          <w:rtl w:val="0"/>
        </w:rPr>
        <w:t xml:space="preserve">,</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OCC.gov</w:t>
        </w:r>
      </w:hyperlink>
      <w:r w:rsidDel="00000000" w:rsidR="00000000" w:rsidRPr="00000000">
        <w:rPr>
          <w:rtl w:val="0"/>
        </w:rPr>
        <w:t xml:space="preserve">)</w:t>
        <w:br w:type="textWrapping"/>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heading=h.boxuz8kwsjuz" w:id="12"/>
      <w:bookmarkEnd w:id="12"/>
      <w:r w:rsidDel="00000000" w:rsidR="00000000" w:rsidRPr="00000000">
        <w:rPr>
          <w:b w:val="1"/>
          <w:color w:val="000000"/>
          <w:sz w:val="26"/>
          <w:szCs w:val="26"/>
          <w:rtl w:val="0"/>
        </w:rPr>
        <w:t xml:space="preserve">Why Trident is a good fit for “messier” markets</w:t>
      </w:r>
    </w:p>
    <w:p w:rsidR="00000000" w:rsidDel="00000000" w:rsidP="00000000" w:rsidRDefault="00000000" w:rsidRPr="00000000" w14:paraId="0000004C">
      <w:pPr>
        <w:numPr>
          <w:ilvl w:val="0"/>
          <w:numId w:val="12"/>
        </w:numPr>
        <w:spacing w:after="0" w:afterAutospacing="0" w:before="240" w:lineRule="auto"/>
        <w:ind w:left="720" w:hanging="360"/>
      </w:pPr>
      <w:r w:rsidDel="00000000" w:rsidR="00000000" w:rsidRPr="00000000">
        <w:rPr>
          <w:b w:val="1"/>
          <w:rtl w:val="0"/>
        </w:rPr>
        <w:t xml:space="preserve">Multi-scale run detection:</w:t>
      </w:r>
      <w:r w:rsidDel="00000000" w:rsidR="00000000" w:rsidRPr="00000000">
        <w:rPr>
          <w:rtl w:val="0"/>
        </w:rPr>
        <w:t xml:space="preserve"> Parallel horizons + BOCPD run-length let you </w:t>
      </w:r>
      <w:r w:rsidDel="00000000" w:rsidR="00000000" w:rsidRPr="00000000">
        <w:rPr>
          <w:b w:val="1"/>
          <w:rtl w:val="0"/>
        </w:rPr>
        <w:t xml:space="preserve">identify and size into persistent moves</w:t>
      </w:r>
      <w:r w:rsidDel="00000000" w:rsidR="00000000" w:rsidRPr="00000000">
        <w:rPr>
          <w:rtl w:val="0"/>
        </w:rPr>
        <w:t xml:space="preserve"> while they’re young, even in newer markets where single-scale signals are noisy.</w:t>
        <w:br w:type="textWrapping"/>
      </w:r>
    </w:p>
    <w:p w:rsidR="00000000" w:rsidDel="00000000" w:rsidP="00000000" w:rsidRDefault="00000000" w:rsidRPr="00000000" w14:paraId="0000004D">
      <w:pPr>
        <w:numPr>
          <w:ilvl w:val="0"/>
          <w:numId w:val="12"/>
        </w:numPr>
        <w:spacing w:after="0" w:afterAutospacing="0" w:before="0" w:beforeAutospacing="0" w:lineRule="auto"/>
        <w:ind w:left="720" w:hanging="360"/>
      </w:pPr>
      <w:r w:rsidDel="00000000" w:rsidR="00000000" w:rsidRPr="00000000">
        <w:rPr>
          <w:b w:val="1"/>
          <w:rtl w:val="0"/>
        </w:rPr>
        <w:t xml:space="preserve">Tail-aware gating:</w:t>
      </w:r>
      <w:r w:rsidDel="00000000" w:rsidR="00000000" w:rsidRPr="00000000">
        <w:rPr>
          <w:rtl w:val="0"/>
        </w:rPr>
        <w:t xml:space="preserve"> Hill/J-ratio/ES telemetry automatically </w:t>
      </w:r>
      <w:r w:rsidDel="00000000" w:rsidR="00000000" w:rsidRPr="00000000">
        <w:rPr>
          <w:b w:val="1"/>
          <w:rtl w:val="0"/>
        </w:rPr>
        <w:t xml:space="preserve">pulls risk when tails fatten</w:t>
      </w:r>
      <w:r w:rsidDel="00000000" w:rsidR="00000000" w:rsidRPr="00000000">
        <w:rPr>
          <w:rtl w:val="0"/>
        </w:rPr>
        <w:t xml:space="preserve"> (raise T(χ)T(\chi), shrink size, sandbox Creative), which is exactly the discipline you need in jumpy venues.</w:t>
        <w:br w:type="textWrapping"/>
      </w:r>
    </w:p>
    <w:p w:rsidR="00000000" w:rsidDel="00000000" w:rsidP="00000000" w:rsidRDefault="00000000" w:rsidRPr="00000000" w14:paraId="0000004E">
      <w:pPr>
        <w:numPr>
          <w:ilvl w:val="0"/>
          <w:numId w:val="12"/>
        </w:numPr>
        <w:spacing w:after="240" w:before="0" w:beforeAutospacing="0" w:lineRule="auto"/>
        <w:ind w:left="720" w:hanging="360"/>
      </w:pPr>
      <w:r w:rsidDel="00000000" w:rsidR="00000000" w:rsidRPr="00000000">
        <w:rPr>
          <w:b w:val="1"/>
          <w:rtl w:val="0"/>
        </w:rPr>
        <w:t xml:space="preserve">Sandboxed exploration:</w:t>
      </w:r>
      <w:r w:rsidDel="00000000" w:rsidR="00000000" w:rsidRPr="00000000">
        <w:rPr>
          <w:rtl w:val="0"/>
        </w:rPr>
        <w:t xml:space="preserve"> Creative ideas (e.g., funding-rate or on-chain-flow–driven crypto signals) can be paper-traded/promoted only after ES/robustness checks—so you can </w:t>
      </w:r>
      <w:r w:rsidDel="00000000" w:rsidR="00000000" w:rsidRPr="00000000">
        <w:rPr>
          <w:i w:val="1"/>
          <w:rtl w:val="0"/>
        </w:rPr>
        <w:t xml:space="preserve">probe</w:t>
      </w:r>
      <w:r w:rsidDel="00000000" w:rsidR="00000000" w:rsidRPr="00000000">
        <w:rPr>
          <w:rtl w:val="0"/>
        </w:rPr>
        <w:t xml:space="preserve"> unusual markets without letting them blow up the book.</w:t>
        <w:br w:type="textWrapping"/>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heading=h.4go7bj3u7ihx" w:id="13"/>
      <w:bookmarkEnd w:id="13"/>
      <w:r w:rsidDel="00000000" w:rsidR="00000000" w:rsidRPr="00000000">
        <w:rPr>
          <w:b w:val="1"/>
          <w:color w:val="000000"/>
          <w:sz w:val="26"/>
          <w:szCs w:val="26"/>
          <w:rtl w:val="0"/>
        </w:rPr>
        <w:t xml:space="preserve">Practical guardrails if you point this at crypto/“emerging” markets</w:t>
      </w:r>
    </w:p>
    <w:p w:rsidR="00000000" w:rsidDel="00000000" w:rsidP="00000000" w:rsidRDefault="00000000" w:rsidRPr="00000000" w14:paraId="00000050">
      <w:pPr>
        <w:numPr>
          <w:ilvl w:val="0"/>
          <w:numId w:val="4"/>
        </w:numPr>
        <w:spacing w:after="0" w:afterAutospacing="0" w:before="240" w:lineRule="auto"/>
        <w:ind w:left="720" w:hanging="360"/>
      </w:pPr>
      <w:r w:rsidDel="00000000" w:rsidR="00000000" w:rsidRPr="00000000">
        <w:rPr>
          <w:b w:val="1"/>
          <w:rtl w:val="0"/>
        </w:rPr>
        <w:t xml:space="preserve">Venue-scoped risk budgets:</w:t>
      </w:r>
      <w:r w:rsidDel="00000000" w:rsidR="00000000" w:rsidRPr="00000000">
        <w:rPr>
          <w:rtl w:val="0"/>
        </w:rPr>
        <w:t xml:space="preserve"> Separate caps per exchange/asset; independent ES/kill-switch per venue.</w:t>
        <w:br w:type="textWrapping"/>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b w:val="1"/>
          <w:rtl w:val="0"/>
        </w:rPr>
        <w:t xml:space="preserve">24/7 specifics:</w:t>
      </w:r>
      <w:r w:rsidDel="00000000" w:rsidR="00000000" w:rsidRPr="00000000">
        <w:rPr>
          <w:rtl w:val="0"/>
        </w:rPr>
        <w:t xml:space="preserve"> Exchange-health pings, API failover, and weekend liquidity filters; use </w:t>
      </w:r>
      <w:r w:rsidDel="00000000" w:rsidR="00000000" w:rsidRPr="00000000">
        <w:rPr>
          <w:i w:val="1"/>
          <w:rtl w:val="0"/>
        </w:rPr>
        <w:t xml:space="preserve">funding rate</w:t>
      </w:r>
      <w:r w:rsidDel="00000000" w:rsidR="00000000" w:rsidRPr="00000000">
        <w:rPr>
          <w:rtl w:val="0"/>
        </w:rPr>
        <w:t xml:space="preserve">, </w:t>
      </w:r>
      <w:r w:rsidDel="00000000" w:rsidR="00000000" w:rsidRPr="00000000">
        <w:rPr>
          <w:i w:val="1"/>
          <w:rtl w:val="0"/>
        </w:rPr>
        <w:t xml:space="preserve">basis</w:t>
      </w:r>
      <w:r w:rsidDel="00000000" w:rsidR="00000000" w:rsidRPr="00000000">
        <w:rPr>
          <w:rtl w:val="0"/>
        </w:rPr>
        <w:t xml:space="preserve">, and </w:t>
      </w:r>
      <w:r w:rsidDel="00000000" w:rsidR="00000000" w:rsidRPr="00000000">
        <w:rPr>
          <w:i w:val="1"/>
          <w:rtl w:val="0"/>
        </w:rPr>
        <w:t xml:space="preserve">flow</w:t>
      </w:r>
      <w:r w:rsidDel="00000000" w:rsidR="00000000" w:rsidRPr="00000000">
        <w:rPr>
          <w:rtl w:val="0"/>
        </w:rPr>
        <w:t xml:space="preserve"> features for run detection on perps/spot (if accessible).</w:t>
        <w:br w:type="textWrapping"/>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b w:val="1"/>
          <w:rtl w:val="0"/>
        </w:rPr>
        <w:t xml:space="preserve">Counterparty/custody:</w:t>
      </w:r>
      <w:r w:rsidDel="00000000" w:rsidR="00000000" w:rsidRPr="00000000">
        <w:rPr>
          <w:rtl w:val="0"/>
        </w:rPr>
        <w:t xml:space="preserve"> Prefer regulated paths first (e.g., cETNs for BTC/ETH from Oct 2025), and treat offshore venues as higher counterparty risk—position accordingly. (</w:t>
      </w:r>
      <w:hyperlink r:id="rId95">
        <w:r w:rsidDel="00000000" w:rsidR="00000000" w:rsidRPr="00000000">
          <w:rPr>
            <w:color w:val="1155cc"/>
            <w:u w:val="single"/>
            <w:rtl w:val="0"/>
          </w:rPr>
          <w:t xml:space="preserve">Financial Times</w:t>
        </w:r>
      </w:hyperlink>
      <w:r w:rsidDel="00000000" w:rsidR="00000000" w:rsidRPr="00000000">
        <w:rPr>
          <w:rtl w:val="0"/>
        </w:rPr>
        <w:t xml:space="preserve">)</w:t>
        <w:br w:type="textWrapping"/>
      </w:r>
    </w:p>
    <w:p w:rsidR="00000000" w:rsidDel="00000000" w:rsidP="00000000" w:rsidRDefault="00000000" w:rsidRPr="00000000" w14:paraId="00000053">
      <w:pPr>
        <w:numPr>
          <w:ilvl w:val="0"/>
          <w:numId w:val="4"/>
        </w:numPr>
        <w:spacing w:after="240" w:before="0" w:beforeAutospacing="0" w:lineRule="auto"/>
        <w:ind w:left="720" w:hanging="360"/>
      </w:pPr>
      <w:r w:rsidDel="00000000" w:rsidR="00000000" w:rsidRPr="00000000">
        <w:rPr>
          <w:b w:val="1"/>
          <w:rtl w:val="0"/>
        </w:rPr>
        <w:t xml:space="preserve">Policy risk:</w:t>
      </w:r>
      <w:r w:rsidDel="00000000" w:rsidR="00000000" w:rsidRPr="00000000">
        <w:rPr>
          <w:rtl w:val="0"/>
        </w:rPr>
        <w:t xml:space="preserve"> Markets like carbon or some regional energy contracts can regime-flip on policy headlines—keep change-point alarms tight and decay exposure faster after breaks.</w:t>
        <w:br w:type="textWrapping"/>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heading=h.oor8tkkr65qf" w:id="14"/>
      <w:bookmarkEnd w:id="14"/>
      <w:r w:rsidDel="00000000" w:rsidR="00000000" w:rsidRPr="00000000">
        <w:rPr>
          <w:b w:val="1"/>
          <w:color w:val="000000"/>
          <w:sz w:val="26"/>
          <w:szCs w:val="26"/>
          <w:rtl w:val="0"/>
        </w:rPr>
        <w:t xml:space="preserve">Bottom line</w:t>
      </w:r>
    </w:p>
    <w:p w:rsidR="00000000" w:rsidDel="00000000" w:rsidP="00000000" w:rsidRDefault="00000000" w:rsidRPr="00000000" w14:paraId="00000055">
      <w:pPr>
        <w:spacing w:after="240" w:before="240" w:lineRule="auto"/>
        <w:rPr/>
      </w:pPr>
      <w:r w:rsidDel="00000000" w:rsidR="00000000" w:rsidRPr="00000000">
        <w:rPr>
          <w:rtl w:val="0"/>
        </w:rPr>
        <w:t xml:space="preserve">Compared with bank-grade systems (built for low model risk, capital efficiency, and scale), a Trident G-Loop you run yourself can </w:t>
      </w:r>
      <w:r w:rsidDel="00000000" w:rsidR="00000000" w:rsidRPr="00000000">
        <w:rPr>
          <w:b w:val="1"/>
          <w:rtl w:val="0"/>
        </w:rPr>
        <w:t xml:space="preserve">intelligently engage higher-variance, less-crowded markets</w:t>
      </w:r>
      <w:r w:rsidDel="00000000" w:rsidR="00000000" w:rsidRPr="00000000">
        <w:rPr>
          <w:rtl w:val="0"/>
        </w:rPr>
        <w:t xml:space="preserve">—</w:t>
      </w:r>
      <w:r w:rsidDel="00000000" w:rsidR="00000000" w:rsidRPr="00000000">
        <w:rPr>
          <w:i w:val="1"/>
          <w:rtl w:val="0"/>
        </w:rPr>
        <w:t xml:space="preserve">because</w:t>
      </w:r>
      <w:r w:rsidDel="00000000" w:rsidR="00000000" w:rsidRPr="00000000">
        <w:rPr>
          <w:rtl w:val="0"/>
        </w:rPr>
        <w:t xml:space="preserve"> it’s built to (1) </w:t>
      </w:r>
      <w:r w:rsidDel="00000000" w:rsidR="00000000" w:rsidRPr="00000000">
        <w:rPr>
          <w:b w:val="1"/>
          <w:rtl w:val="0"/>
        </w:rPr>
        <w:t xml:space="preserve">spot runs across scales</w:t>
      </w:r>
      <w:r w:rsidDel="00000000" w:rsidR="00000000" w:rsidRPr="00000000">
        <w:rPr>
          <w:rtl w:val="0"/>
        </w:rPr>
        <w:t xml:space="preserve">, (2) </w:t>
      </w:r>
      <w:r w:rsidDel="00000000" w:rsidR="00000000" w:rsidRPr="00000000">
        <w:rPr>
          <w:b w:val="1"/>
          <w:rtl w:val="0"/>
        </w:rPr>
        <w:t xml:space="preserve">de-risk automatically</w:t>
      </w:r>
      <w:r w:rsidDel="00000000" w:rsidR="00000000" w:rsidRPr="00000000">
        <w:rPr>
          <w:rtl w:val="0"/>
        </w:rPr>
        <w:t xml:space="preserve"> when tails show up, and (3) </w:t>
      </w:r>
      <w:r w:rsidDel="00000000" w:rsidR="00000000" w:rsidRPr="00000000">
        <w:rPr>
          <w:b w:val="1"/>
          <w:rtl w:val="0"/>
        </w:rPr>
        <w:t xml:space="preserve">sandbox</w:t>
      </w:r>
      <w:r w:rsidDel="00000000" w:rsidR="00000000" w:rsidRPr="00000000">
        <w:rPr>
          <w:rtl w:val="0"/>
        </w:rPr>
        <w:t xml:space="preserve"> new edges before promotion. You still need to respect UK access rules (e.g., </w:t>
      </w:r>
      <w:r w:rsidDel="00000000" w:rsidR="00000000" w:rsidRPr="00000000">
        <w:rPr>
          <w:b w:val="1"/>
          <w:rtl w:val="0"/>
        </w:rPr>
        <w:t xml:space="preserve">no crypto derivatives</w:t>
      </w:r>
      <w:r w:rsidDel="00000000" w:rsidR="00000000" w:rsidRPr="00000000">
        <w:rPr>
          <w:rtl w:val="0"/>
        </w:rPr>
        <w:t xml:space="preserve"> for retail; </w:t>
      </w:r>
      <w:r w:rsidDel="00000000" w:rsidR="00000000" w:rsidRPr="00000000">
        <w:rPr>
          <w:b w:val="1"/>
          <w:rtl w:val="0"/>
        </w:rPr>
        <w:t xml:space="preserve">cETNs</w:t>
      </w:r>
      <w:r w:rsidDel="00000000" w:rsidR="00000000" w:rsidRPr="00000000">
        <w:rPr>
          <w:rtl w:val="0"/>
        </w:rPr>
        <w:t xml:space="preserve"> are opening up), but within those lanes the Trident approach is well-suited to harvesting opportunities others can’t touch—or won’t, due to institutional constraints. (</w:t>
      </w:r>
      <w:hyperlink r:id="rId96">
        <w:r w:rsidDel="00000000" w:rsidR="00000000" w:rsidRPr="00000000">
          <w:rPr>
            <w:color w:val="1155cc"/>
            <w:u w:val="single"/>
            <w:rtl w:val="0"/>
          </w:rPr>
          <w:t xml:space="preserve">Cointelegraph</w:t>
        </w:r>
      </w:hyperlink>
      <w:r w:rsidDel="00000000" w:rsidR="00000000" w:rsidRPr="00000000">
        <w:rPr>
          <w:rtl w:val="0"/>
        </w:rPr>
        <w:t xml:space="preserve">,</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FCA</w:t>
        </w:r>
      </w:hyperlink>
      <w:r w:rsidDel="00000000" w:rsidR="00000000" w:rsidRPr="00000000">
        <w:rPr>
          <w:rtl w:val="0"/>
        </w:rPr>
        <w:t xml:space="preserve">,</w:t>
      </w:r>
      <w:hyperlink r:id="rId99">
        <w:r w:rsidDel="00000000" w:rsidR="00000000" w:rsidRPr="00000000">
          <w:rPr>
            <w:rtl w:val="0"/>
          </w:rPr>
          <w:t xml:space="preserve"> </w:t>
        </w:r>
      </w:hyperlink>
      <w:hyperlink r:id="rId100">
        <w:r w:rsidDel="00000000" w:rsidR="00000000" w:rsidRPr="00000000">
          <w:rPr>
            <w:color w:val="1155cc"/>
            <w:u w:val="single"/>
            <w:rtl w:val="0"/>
          </w:rPr>
          <w:t xml:space="preserve">Financial Times</w:t>
        </w:r>
      </w:hyperlink>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dwun1o65db3" w:id="15"/>
    <w:bookmarkEnd w:id="15"/>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r:id="rId101">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0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0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04">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Trident G Theory - Notes 3 - Aug 23 2025.pdf</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r:id="rId105">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file://file-KwYqDC54ryn6jnjyfTRyL8</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r:id="rId106">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Financial Stability Paper No. 23 — August 2013</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r:id="rId10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https://www.bankofengland.co.uk/-/media/boe/files/financial-stability-paper/2013/the-fractal-market-hypothesis-and-its-implications-for-the-stability-of-financial-markets.pdf</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r:id="rId10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Fractal Markets Hypothesis and the Global Financial Crisis: Wavelet Power Evidence | Scientific Reports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r:id="rId109">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https://www.nature.com/articles/srep02857?error=cookies_not_supported&amp;code=cbf623b1-12df-49dd-943a-556b7a7bd2fb</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r:id="rId110">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Understanding Tail Risk and the Odds of Portfolio Losses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r:id="rId111">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https://www.investopedia.com/terms/t/tailrisk.asp</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r:id="rId11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1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14">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15">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Understanding Managed Futures_Final_For Printing:Layout 1.qxd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r:id="rId116">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https://www.aqr.com/-/media/AQR/Documents/Insights/Alternative-Thinking/Understanding-Managed-Futures-82422.pdf</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r:id="rId11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Forex: World's Biggest Market A Relative Newcomer</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r:id="rId11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https://www.investopedia.com/articles/forex/10/forex-market-history.asp</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r:id="rId119">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20">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Top 10 Most Traded Currency Pairs | IG International</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r:id="rId121">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https://www.ig.com/en/trading-strategies/top-10-most-traded-currency-pairs-191206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r:id="rId12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2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24">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25">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26">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What Are the Top 50 Liquid Futures Contracts in the World? - QuantifiedStrategies.com</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r:id="rId12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https://www.quantifiedstrategies.com/what-are-the-top-50-liquid-futures-contracts-in-the-world/</w:t>
        </w:r>
      </w:hyperlink>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nature.com/articles/srep02857?error=cookies_not_supported&amp;code=cbf623b1-12df-49dd-943a-556b7a7bd2fb#:~:text=guaranteed,that%20short%20investment%20horizons%20should" TargetMode="External"/><Relationship Id="rId42" Type="http://schemas.openxmlformats.org/officeDocument/2006/relationships/hyperlink" Target="about:blank" TargetMode="External"/><Relationship Id="rId41" Type="http://schemas.openxmlformats.org/officeDocument/2006/relationships/hyperlink" Target="about:blank" TargetMode="External"/><Relationship Id="rId44" Type="http://schemas.openxmlformats.org/officeDocument/2006/relationships/hyperlink" Target="https://www.nature.com/articles/srep02857?error=cookies_not_supported&amp;code=cbf623b1-12df-49dd-943a-556b7a7bd2fb#:~:text=guaranteed,that%20short%20investment%20horizons%20should" TargetMode="External"/><Relationship Id="rId43" Type="http://schemas.openxmlformats.org/officeDocument/2006/relationships/hyperlink" Target="https://www.bankofengland.co.uk/-/media/boe/files/financial-stability-paper/2013/the-fractal-market-hypothesis-and-its-implications-for-the-stability-of-financial-markets.pdf#:~:text=Time%20series%20of%20financial%20market,It%20offers" TargetMode="External"/><Relationship Id="rId46" Type="http://schemas.openxmlformats.org/officeDocument/2006/relationships/hyperlink" Target="https://www.aqr.com/-/media/AQR/Documents/Insights/Alternative-Thinking/Understanding-Managed-Futures-82422.pdf#:~:text=plotted%20against%20the%20returns%20to,or%20bull%20markets%20have%20not" TargetMode="External"/><Relationship Id="rId45" Type="http://schemas.openxmlformats.org/officeDocument/2006/relationships/hyperlink" Target="https://www.investopedia.com/terms/t/tailrisk.asp#:~:text=Traditional%20portfolio%20strategies%20typically%20follow,skewed%2C%20and%20has%20fatter%20tails" TargetMode="External"/><Relationship Id="rId107" Type="http://schemas.openxmlformats.org/officeDocument/2006/relationships/hyperlink" Target="https://www.bankofengland.co.uk/-/media/boe/files/financial-stability-paper/2013/the-fractal-market-hypothesis-and-its-implications-for-the-stability-of-financial-markets.pdf" TargetMode="External"/><Relationship Id="rId106" Type="http://schemas.openxmlformats.org/officeDocument/2006/relationships/hyperlink" Target="https://www.bankofengland.co.uk/-/media/boe/files/financial-stability-paper/2013/the-fractal-market-hypothesis-and-its-implications-for-the-stability-of-financial-markets.pdf#:~:text=Time%20series%20of%20financial%20market,It%20offers" TargetMode="External"/><Relationship Id="rId105" Type="http://schemas.openxmlformats.org/officeDocument/2006/relationships/hyperlink" Target="about:blank" TargetMode="External"/><Relationship Id="rId104" Type="http://schemas.openxmlformats.org/officeDocument/2006/relationships/hyperlink" Target="about:blank" TargetMode="External"/><Relationship Id="rId109" Type="http://schemas.openxmlformats.org/officeDocument/2006/relationships/hyperlink" Target="https://www.nature.com/articles/srep02857?error=cookies_not_supported&amp;code=cbf623b1-12df-49dd-943a-556b7a7bd2fb" TargetMode="External"/><Relationship Id="rId108" Type="http://schemas.openxmlformats.org/officeDocument/2006/relationships/hyperlink" Target="https://www.nature.com/articles/srep02857?error=cookies_not_supported&amp;code=cbf623b1-12df-49dd-943a-556b7a7bd2fb#:~:text=guaranteed,that%20short%20investment%20horizons%20should" TargetMode="External"/><Relationship Id="rId48" Type="http://schemas.openxmlformats.org/officeDocument/2006/relationships/hyperlink" Target="https://www.quantifiedstrategies.com/what-are-the-top-50-liquid-futures-contracts-in-the-world/#:~:text=Rank%20Contract%20Name%20Ticker%20Category,Energy%20ICE%20UK%20London%20250%2C000" TargetMode="External"/><Relationship Id="rId47" Type="http://schemas.openxmlformats.org/officeDocument/2006/relationships/hyperlink" Target="https://www.aqr.com/-/media/AQR/Documents/Insights/Alternative-Thinking/Understanding-Managed-Futures-82422.pdf#:~:text=profit%20if%20the%20rise%20continues,profited%20as%20the%20same%20trends" TargetMode="External"/><Relationship Id="rId49" Type="http://schemas.openxmlformats.org/officeDocument/2006/relationships/hyperlink" Target="https://www.ig.com/en/trading-strategies/top-10-most-traded-currency-pairs-191206#:~:text=EUR%2FUSD%20is%20the%20most%20traded,single%20market%20and%20the%20US" TargetMode="External"/><Relationship Id="rId103" Type="http://schemas.openxmlformats.org/officeDocument/2006/relationships/hyperlink" Target="about:blank" TargetMode="External"/><Relationship Id="rId102" Type="http://schemas.openxmlformats.org/officeDocument/2006/relationships/hyperlink" Target="about:blank" TargetMode="External"/><Relationship Id="rId101" Type="http://schemas.openxmlformats.org/officeDocument/2006/relationships/hyperlink" Target="about:blank" TargetMode="External"/><Relationship Id="rId100" Type="http://schemas.openxmlformats.org/officeDocument/2006/relationships/hyperlink" Target="https://www.ft.com/content/25de4af3-135e-4370-9fd3-2ae0406f6be8?utm_source=chatgpt.com" TargetMode="External"/><Relationship Id="rId31" Type="http://schemas.openxmlformats.org/officeDocument/2006/relationships/hyperlink" Target="https://www.quantifiedstrategies.com/what-are-the-top-50-liquid-futures-contracts-in-the-world/#:~:text=5%20NASDAQ%20100%20Emini%20NQ,Energy%20ICE%20UK%20London%20250%2C000" TargetMode="External"/><Relationship Id="rId30" Type="http://schemas.openxmlformats.org/officeDocument/2006/relationships/hyperlink" Target="https://www.quantifiedstrategies.com/what-are-the-top-50-liquid-futures-contracts-in-the-world/#:~:text=3%20Crude%20Oil%20,Energy%20ICE%20UK%20London%20250%2C000" TargetMode="External"/><Relationship Id="rId33" Type="http://schemas.openxmlformats.org/officeDocument/2006/relationships/hyperlink" Target="https://www.quantifiedstrategies.com/what-are-the-top-50-liquid-futures-contracts-in-the-world/#:~:text=7%20Brent%20Crude%20Oil%20BZ,CME%20Group%20USA%20Chicago%20100%2C000" TargetMode="External"/><Relationship Id="rId32" Type="http://schemas.openxmlformats.org/officeDocument/2006/relationships/hyperlink" Target="https://www.quantifiedstrategies.com/what-are-the-top-50-liquid-futures-contracts-in-the-world/#:~:text=3%20Crude%20Oil%20,Energy%20ICE%20UK%20London%20250%2C000" TargetMode="External"/><Relationship Id="rId35" Type="http://schemas.openxmlformats.org/officeDocument/2006/relationships/hyperlink" Target="https://www.aqr.com/-/media/AQR/Documents/Insights/Alternative-Thinking/Understanding-Managed-Futures-82422.pdf#:~:text=Going%20into%20the%20fourth%20quarter,profited%20as%20the%20same%20trends" TargetMode="External"/><Relationship Id="rId34" Type="http://schemas.openxmlformats.org/officeDocument/2006/relationships/hyperlink" Target="https://www.quantifiedstrategies.com/what-are-the-top-50-liquid-futures-contracts-in-the-world/#:~:text=3%20Crude%20Oil%20,Energy%20ICE%20UK%20London%20250%2C000" TargetMode="External"/><Relationship Id="rId37" Type="http://schemas.openxmlformats.org/officeDocument/2006/relationships/hyperlink" Target="https://www.aqr.com/-/media/AQR/Documents/Insights/Alternative-Thinking/Understanding-Managed-Futures-82422.pdf#:~:text=Similarly%2C%20in%20bull%20markets%2C%20managed,gold%2C%20and%20short%20%E2%80%9Ccarry%E2%80%9D%20currencies" TargetMode="External"/><Relationship Id="rId36" Type="http://schemas.openxmlformats.org/officeDocument/2006/relationships/hyperlink" Target="https://www.quantifiedstrategies.com/what-are-the-top-50-liquid-futures-contracts-in-the-world/#:~:text=15%20Silver%20SI%20Metals%20CME,Volatility%2FCrypto%20CBOE%20USA%20Chicago%2035%2C000" TargetMode="External"/><Relationship Id="rId39" Type="http://schemas.openxmlformats.org/officeDocument/2006/relationships/hyperlink" Target="https://www.ig.com/en/trading-strategies/top-10-most-traded-currency-pairs-191206#:~:text=EUR%2FUSD%20is%20the%20most%20traded,single%20market%20and%20the%20US" TargetMode="External"/><Relationship Id="rId38" Type="http://schemas.openxmlformats.org/officeDocument/2006/relationships/hyperlink" Target="https://www.quantifiedstrategies.com/what-are-the-top-50-liquid-futures-contracts-in-the-world/#:~:text=Rank%20Contract%20Name%20Ticker%20Category,Energy%20ICE%20UK%20London%20250%2C000" TargetMode="External"/><Relationship Id="rId20" Type="http://schemas.openxmlformats.org/officeDocument/2006/relationships/hyperlink" Target="https://www.aqr.com/-/media/AQR/Documents/Insights/Alternative-Thinking/Understanding-Managed-Futures-82422.pdf#:~:text=plotted%20against%20the%20returns%20to,or%20bull%20markets%20have%20not" TargetMode="External"/><Relationship Id="rId22" Type="http://schemas.openxmlformats.org/officeDocument/2006/relationships/hyperlink" Target="https://www.aqr.com/-/media/AQR/Documents/Insights/Alternative-Thinking/Understanding-Managed-Futures-82422.pdf#:~:text=plotted%20against%20the%20returns%20to,or%20bull%20markets%20have%20not" TargetMode="External"/><Relationship Id="rId21" Type="http://schemas.openxmlformats.org/officeDocument/2006/relationships/hyperlink" Target="https://www.aqr.com/-/media/AQR/Documents/Insights/Alternative-Thinking/Understanding-Managed-Futures-82422.pdf#:~:text=profit%20if%20the%20rise%20continues,profited%20as%20the%20same%20trends" TargetMode="External"/><Relationship Id="rId24" Type="http://schemas.openxmlformats.org/officeDocument/2006/relationships/hyperlink" Target="https://www.investopedia.com/articles/forex/10/forex-market-history.asp#:~:text=The%20Oldest%20Market%20in%20the,World" TargetMode="External"/><Relationship Id="rId23" Type="http://schemas.openxmlformats.org/officeDocument/2006/relationships/hyperlink" Target="https://www.nature.com/articles/srep02857?error=cookies_not_supported&amp;code=cbf623b1-12df-49dd-943a-556b7a7bd2fb#:~:text=guaranteed,that%20short%20investment%20horizons%20should" TargetMode="External"/><Relationship Id="rId127" Type="http://schemas.openxmlformats.org/officeDocument/2006/relationships/hyperlink" Target="https://www.quantifiedstrategies.com/what-are-the-top-50-liquid-futures-contracts-in-the-world/" TargetMode="External"/><Relationship Id="rId126" Type="http://schemas.openxmlformats.org/officeDocument/2006/relationships/hyperlink" Target="https://www.quantifiedstrategies.com/what-are-the-top-50-liquid-futures-contracts-in-the-world/#:~:text=15%20Silver%20SI%20Metals%20CME,Volatility%2FCrypto%20CBOE%20USA%20Chicago%2035%2C000" TargetMode="External"/><Relationship Id="rId26" Type="http://schemas.openxmlformats.org/officeDocument/2006/relationships/hyperlink" Target="https://www.ig.com/en/trading-strategies/top-10-most-traded-currency-pairs-191206#:~:text=GBP%2FUSD" TargetMode="External"/><Relationship Id="rId121" Type="http://schemas.openxmlformats.org/officeDocument/2006/relationships/hyperlink" Target="https://www.ig.com/en/trading-strategies/top-10-most-traded-currency-pairs-191206" TargetMode="External"/><Relationship Id="rId25" Type="http://schemas.openxmlformats.org/officeDocument/2006/relationships/hyperlink" Target="https://www.ig.com/en/trading-strategies/top-10-most-traded-currency-pairs-191206#:~:text=EUR%2FUSD%20is%20the%20most%20traded,single%20market%20and%20the%20US" TargetMode="External"/><Relationship Id="rId120" Type="http://schemas.openxmlformats.org/officeDocument/2006/relationships/hyperlink" Target="https://www.ig.com/en/trading-strategies/top-10-most-traded-currency-pairs-191206#:~:text=GBP%2FUSD" TargetMode="External"/><Relationship Id="rId28" Type="http://schemas.openxmlformats.org/officeDocument/2006/relationships/hyperlink" Target="https://www.quantifiedstrategies.com/what-are-the-top-50-liquid-futures-contracts-in-the-world/#:~:text=Rank%20Contract%20Name%20Ticker%20Category,Energy%20ICE%20UK%20London%20250%2C000" TargetMode="External"/><Relationship Id="rId27" Type="http://schemas.openxmlformats.org/officeDocument/2006/relationships/hyperlink" Target="https://www.quantifiedstrategies.com/what-are-the-top-50-liquid-futures-contracts-in-the-world/#:~:text=Rank%20Contract%20Name%20Ticker%20Category,Energy%20ICE%20UK%20London%20250%2C000" TargetMode="External"/><Relationship Id="rId125" Type="http://schemas.openxmlformats.org/officeDocument/2006/relationships/hyperlink" Target="https://www.quantifiedstrategies.com/what-are-the-top-50-liquid-futures-contracts-in-the-world/#:~:text=7%20Brent%20Crude%20Oil%20BZ,CME%20Group%20USA%20Chicago%20100%2C000" TargetMode="External"/><Relationship Id="rId29" Type="http://schemas.openxmlformats.org/officeDocument/2006/relationships/hyperlink" Target="https://www.quantifiedstrategies.com/what-are-the-top-50-liquid-futures-contracts-in-the-world/#:~:text=3%20Crude%20Oil%20,Energy%20ICE%20UK%20London%20250%2C000" TargetMode="External"/><Relationship Id="rId124" Type="http://schemas.openxmlformats.org/officeDocument/2006/relationships/hyperlink" Target="https://www.quantifiedstrategies.com/what-are-the-top-50-liquid-futures-contracts-in-the-world/#:~:text=5%20NASDAQ%20100%20Emini%20NQ,Energy%20ICE%20UK%20London%20250%2C000" TargetMode="External"/><Relationship Id="rId123" Type="http://schemas.openxmlformats.org/officeDocument/2006/relationships/hyperlink" Target="https://www.quantifiedstrategies.com/what-are-the-top-50-liquid-futures-contracts-in-the-world/#:~:text=3%20Crude%20Oil%20,Energy%20ICE%20UK%20London%20250%2C000" TargetMode="External"/><Relationship Id="rId122" Type="http://schemas.openxmlformats.org/officeDocument/2006/relationships/hyperlink" Target="https://www.quantifiedstrategies.com/what-are-the-top-50-liquid-futures-contracts-in-the-world/#:~:text=Rank%20Contract%20Name%20Ticker%20Category,Energy%20ICE%20UK%20London%20250%2C000" TargetMode="External"/><Relationship Id="rId95" Type="http://schemas.openxmlformats.org/officeDocument/2006/relationships/hyperlink" Target="https://www.ft.com/content/25de4af3-135e-4370-9fd3-2ae0406f6be8?utm_source=chatgpt.com" TargetMode="External"/><Relationship Id="rId94" Type="http://schemas.openxmlformats.org/officeDocument/2006/relationships/hyperlink" Target="https://www.occ.treas.gov/news-issuances/news-releases/2025/nr-occ-2025-16.html?utm_source=chatgpt.com" TargetMode="External"/><Relationship Id="rId97" Type="http://schemas.openxmlformats.org/officeDocument/2006/relationships/hyperlink" Target="https://www.fca.org.uk/news/press-releases/fca-opens-retail-access-crypto-etns?utm_source=chatgpt.com" TargetMode="External"/><Relationship Id="rId96" Type="http://schemas.openxmlformats.org/officeDocument/2006/relationships/hyperlink" Target="https://cointelegraph.com/news/fca-crypto-etn-ban-reversal-uk-retail-access?utm_source=chatgpt.com" TargetMode="External"/><Relationship Id="rId11" Type="http://schemas.openxmlformats.org/officeDocument/2006/relationships/hyperlink" Target="https://www.nature.com/articles/srep02857?error=cookies_not_supported&amp;code=cbf623b1-12df-49dd-943a-556b7a7bd2fb#:~:text=guaranteed,that%20short%20investment%20horizons%20should" TargetMode="External"/><Relationship Id="rId99" Type="http://schemas.openxmlformats.org/officeDocument/2006/relationships/hyperlink" Target="https://www.ft.com/content/25de4af3-135e-4370-9fd3-2ae0406f6be8?utm_source=chatgpt.com" TargetMode="External"/><Relationship Id="rId10" Type="http://schemas.openxmlformats.org/officeDocument/2006/relationships/hyperlink" Target="https://www.nature.com/articles/srep02857?error=cookies_not_supported&amp;code=cbf623b1-12df-49dd-943a-556b7a7bd2fb#:~:text=guaranteed,that%20short%20investment%20horizons%20should" TargetMode="External"/><Relationship Id="rId98" Type="http://schemas.openxmlformats.org/officeDocument/2006/relationships/hyperlink" Target="https://www.fca.org.uk/news/press-releases/fca-opens-retail-access-crypto-etns?utm_source=chatgpt.com" TargetMode="External"/><Relationship Id="rId13" Type="http://schemas.openxmlformats.org/officeDocument/2006/relationships/hyperlink" Target="about:blank" TargetMode="External"/><Relationship Id="rId12" Type="http://schemas.openxmlformats.org/officeDocument/2006/relationships/hyperlink" Target="https://www.investopedia.com/terms/t/tailrisk.asp#:~:text=Traditional%20portfolio%20strategies%20typically%20follow,skewed%2C%20and%20has%20fatter%20tails" TargetMode="External"/><Relationship Id="rId91" Type="http://schemas.openxmlformats.org/officeDocument/2006/relationships/hyperlink" Target="https://www.congress.gov/crs_external_products/R/PDF/R48430/R48430.5.pdf?utm_source=chatgpt.com" TargetMode="External"/><Relationship Id="rId90" Type="http://schemas.openxmlformats.org/officeDocument/2006/relationships/hyperlink" Target="https://www.reuters.com/sustainability/boards-policy-regulation/us-banks-tiptoe-toward-crypto-awaiting-more-green-light-regulators-2025-05-28/?utm_source=chatgpt.com" TargetMode="External"/><Relationship Id="rId93" Type="http://schemas.openxmlformats.org/officeDocument/2006/relationships/hyperlink" Target="https://www.occ.treas.gov/news-issuances/news-releases/2025/nr-occ-2025-16.html?utm_source=chatgpt.com" TargetMode="External"/><Relationship Id="rId92" Type="http://schemas.openxmlformats.org/officeDocument/2006/relationships/hyperlink" Target="https://www.congress.gov/crs_external_products/R/PDF/R48430/R48430.5.pdf?utm_source=chatgpt.com" TargetMode="External"/><Relationship Id="rId118" Type="http://schemas.openxmlformats.org/officeDocument/2006/relationships/hyperlink" Target="https://www.investopedia.com/articles/forex/10/forex-market-history.asp" TargetMode="External"/><Relationship Id="rId117" Type="http://schemas.openxmlformats.org/officeDocument/2006/relationships/hyperlink" Target="https://www.investopedia.com/articles/forex/10/forex-market-history.asp#:~:text=The%20Oldest%20Market%20in%20the,World" TargetMode="External"/><Relationship Id="rId116" Type="http://schemas.openxmlformats.org/officeDocument/2006/relationships/hyperlink" Target="https://www.aqr.com/-/media/AQR/Documents/Insights/Alternative-Thinking/Understanding-Managed-Futures-82422.pdf" TargetMode="External"/><Relationship Id="rId115" Type="http://schemas.openxmlformats.org/officeDocument/2006/relationships/hyperlink" Target="https://www.aqr.com/-/media/AQR/Documents/Insights/Alternative-Thinking/Understanding-Managed-Futures-82422.pdf#:~:text=Similarly%2C%20in%20bull%20markets%2C%20managed,gold%2C%20and%20short%20%E2%80%9Ccarry%E2%80%9D%20currencies" TargetMode="External"/><Relationship Id="rId119" Type="http://schemas.openxmlformats.org/officeDocument/2006/relationships/hyperlink" Target="https://www.ig.com/en/trading-strategies/top-10-most-traded-currency-pairs-191206#:~:text=EUR%2FUSD%20is%20the%20most%20traded,single%20market%20and%20the%20US" TargetMode="External"/><Relationship Id="rId15" Type="http://schemas.openxmlformats.org/officeDocument/2006/relationships/hyperlink" Target="about:blank" TargetMode="External"/><Relationship Id="rId110" Type="http://schemas.openxmlformats.org/officeDocument/2006/relationships/hyperlink" Target="https://www.investopedia.com/terms/t/tailrisk.asp#:~:text=Traditional%20portfolio%20strategies%20typically%20follow,skewed%2C%20and%20has%20fatter%20tails" TargetMode="External"/><Relationship Id="rId14" Type="http://schemas.openxmlformats.org/officeDocument/2006/relationships/hyperlink" Target="about:blank" TargetMode="External"/><Relationship Id="rId17" Type="http://schemas.openxmlformats.org/officeDocument/2006/relationships/hyperlink" Target="https://www.nature.com/articles/srep02857?error=cookies_not_supported&amp;code=cbf623b1-12df-49dd-943a-556b7a7bd2fb#:~:text=guaranteed,that%20short%20investment%20horizons%20should" TargetMode="External"/><Relationship Id="rId16" Type="http://schemas.openxmlformats.org/officeDocument/2006/relationships/hyperlink" Target="https://www.bankofengland.co.uk/-/media/boe/files/financial-stability-paper/2013/the-fractal-market-hypothesis-and-its-implications-for-the-stability-of-financial-markets.pdf#:~:text=Time%20series%20of%20financial%20market,It%20offers" TargetMode="External"/><Relationship Id="rId19" Type="http://schemas.openxmlformats.org/officeDocument/2006/relationships/hyperlink" Target="https://www.investopedia.com/terms/t/tailrisk.asp#:~:text=Traditional%20portfolio%20strategies%20typically%20follow,skewed%2C%20and%20has%20fatter%20tails" TargetMode="External"/><Relationship Id="rId114" Type="http://schemas.openxmlformats.org/officeDocument/2006/relationships/hyperlink" Target="https://www.aqr.com/-/media/AQR/Documents/Insights/Alternative-Thinking/Understanding-Managed-Futures-82422.pdf#:~:text=Going%20into%20the%20fourth%20quarter,profited%20as%20the%20same%20trends" TargetMode="External"/><Relationship Id="rId18" Type="http://schemas.openxmlformats.org/officeDocument/2006/relationships/hyperlink" Target="about:blank" TargetMode="External"/><Relationship Id="rId113" Type="http://schemas.openxmlformats.org/officeDocument/2006/relationships/hyperlink" Target="https://www.aqr.com/-/media/AQR/Documents/Insights/Alternative-Thinking/Understanding-Managed-Futures-82422.pdf#:~:text=profit%20if%20the%20rise%20continues,profited%20as%20the%20same%20trends" TargetMode="External"/><Relationship Id="rId112" Type="http://schemas.openxmlformats.org/officeDocument/2006/relationships/hyperlink" Target="https://www.aqr.com/-/media/AQR/Documents/Insights/Alternative-Thinking/Understanding-Managed-Futures-82422.pdf#:~:text=plotted%20against%20the%20returns%20to,or%20bull%20markets%20have%20not" TargetMode="External"/><Relationship Id="rId111" Type="http://schemas.openxmlformats.org/officeDocument/2006/relationships/hyperlink" Target="https://www.investopedia.com/terms/t/tailrisk.asp" TargetMode="External"/><Relationship Id="rId84" Type="http://schemas.openxmlformats.org/officeDocument/2006/relationships/hyperlink" Target="https://www.sifma.org/resources/news/blog/the-fundamental-review-of-the-trading-book-frtb-an-introductory-guide/?utm_source=chatgpt.com" TargetMode="External"/><Relationship Id="rId83" Type="http://schemas.openxmlformats.org/officeDocument/2006/relationships/hyperlink" Target="https://www.sifma.org/resources/news/blog/the-fundamental-review-of-the-trading-book-frtb-an-introductory-guide/?utm_source=chatgpt.com" TargetMode="External"/><Relationship Id="rId86" Type="http://schemas.openxmlformats.org/officeDocument/2006/relationships/hyperlink" Target="https://www.ft.com/content/25de4af3-135e-4370-9fd3-2ae0406f6be8?utm_source=chatgpt.com" TargetMode="External"/><Relationship Id="rId85" Type="http://schemas.openxmlformats.org/officeDocument/2006/relationships/hyperlink" Target="https://www.fca.org.uk/news/press-releases/fca-opens-retail-access-crypto-etns?utm_source=chatgpt.com" TargetMode="External"/><Relationship Id="rId88" Type="http://schemas.openxmlformats.org/officeDocument/2006/relationships/hyperlink" Target="https://cointelegraph.com/news/fca-crypto-etn-ban-reversal-uk-retail-access?utm_source=chatgpt.com" TargetMode="External"/><Relationship Id="rId87" Type="http://schemas.openxmlformats.org/officeDocument/2006/relationships/hyperlink" Target="https://www.ft.com/content/25de4af3-135e-4370-9fd3-2ae0406f6be8?utm_source=chatgpt.com" TargetMode="External"/><Relationship Id="rId89" Type="http://schemas.openxmlformats.org/officeDocument/2006/relationships/hyperlink" Target="https://cointelegraph.com/news/fca-crypto-etn-ban-reversal-uk-retail-access?utm_source=chatgpt.com" TargetMode="External"/><Relationship Id="rId80" Type="http://schemas.openxmlformats.org/officeDocument/2006/relationships/hyperlink" Target="https://www.esma.europa.eu/sites/default/files/2024-10/ESMA50-43599798-10379_Carbon_markets_report_2024.pdf?utm_source=chatgpt.com" TargetMode="External"/><Relationship Id="rId82" Type="http://schemas.openxmlformats.org/officeDocument/2006/relationships/hyperlink" Target="https://www.bis.org/bcbs/publ/d352.pdf?utm_source=chatgpt.com" TargetMode="External"/><Relationship Id="rId81" Type="http://schemas.openxmlformats.org/officeDocument/2006/relationships/hyperlink" Target="https://www.reuters.com/business/finance/trend-hedge-funds-struggle-more-nimble-macro-funds-embrace-whipsawing-markets-2025-06-13/?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ankofengland.co.uk/-/media/boe/files/financial-stability-paper/2013/the-fractal-market-hypothesis-and-its-implications-for-the-stability-of-financial-markets.pdf#:~:text=Time%20series%20of%20financial%20market,It%20offer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 Id="rId73" Type="http://schemas.openxmlformats.org/officeDocument/2006/relationships/hyperlink" Target="https://ir.theice.com/press/news-details/2025/ICE-Announces-Record-Environmental-Market-Trading-in-2024/default.aspx?utm_source=chatgpt.com" TargetMode="External"/><Relationship Id="rId72" Type="http://schemas.openxmlformats.org/officeDocument/2006/relationships/hyperlink" Target="https://www.man.com/insights/the-big-picture-journeying-exotic-markets?utm_source=chatgpt.com" TargetMode="External"/><Relationship Id="rId75" Type="http://schemas.openxmlformats.org/officeDocument/2006/relationships/hyperlink" Target="https://www.oxfordenergy.org/wpcms/wp-content/uploads/2025/06/NG198-European-Traded-Gas-Hubs.pdf?utm_campaign=real-asset-chartbook-week-10&amp;utm_medium=referral&amp;utm_source=chatgpt.com" TargetMode="External"/><Relationship Id="rId74" Type="http://schemas.openxmlformats.org/officeDocument/2006/relationships/hyperlink" Target="https://www.oxfordenergy.org/wpcms/wp-content/uploads/2025/06/NG198-European-Traded-Gas-Hubs.pdf?utm_campaign=real-asset-chartbook-week-10&amp;utm_medium=referral&amp;utm_source=chatgpt.com" TargetMode="External"/><Relationship Id="rId77" Type="http://schemas.openxmlformats.org/officeDocument/2006/relationships/hyperlink" Target="https://ir.theice.com/press/news-details/2025/ICE-Announces-Record-Environmental-Market-Trading-in-2024/default.aspx?utm_source=chatgpt.com" TargetMode="External"/><Relationship Id="rId76" Type="http://schemas.openxmlformats.org/officeDocument/2006/relationships/hyperlink" Target="https://www.transtrend.com/en/insights/just-buy-the-index/?utm_source=chatgpt.com" TargetMode="External"/><Relationship Id="rId79" Type="http://schemas.openxmlformats.org/officeDocument/2006/relationships/hyperlink" Target="https://www.ice.com/products/197/EUA-Futures/data?utm_source=chatgpt.com" TargetMode="External"/><Relationship Id="rId78" Type="http://schemas.openxmlformats.org/officeDocument/2006/relationships/hyperlink" Target="https://www.ice.com/products/197/EUA-Futures/data?utm_source=chatgpt.com" TargetMode="External"/><Relationship Id="rId71" Type="http://schemas.openxmlformats.org/officeDocument/2006/relationships/hyperlink" Target="https://www.aqr.com/-/media/AQR/Documents/Insights/Journal-Article/AQR-Trends-Everywhere_JOIM.pdf?sc_lang=en&amp;utm_source=chatgpt.com" TargetMode="External"/><Relationship Id="rId70" Type="http://schemas.openxmlformats.org/officeDocument/2006/relationships/hyperlink" Target="https://www.gsfm.com.au/wp-content/uploads/2024/02/AHL-Alpha-Programme_EOY_AUS2023-12-31-GSFM.pdf?utm_source=chatgpt.com" TargetMode="External"/><Relationship Id="rId62" Type="http://schemas.openxmlformats.org/officeDocument/2006/relationships/hyperlink" Target="https://www.man.com/insights/the-big-picture-journeying-exotic-markets?utm_source=chatgpt.com" TargetMode="External"/><Relationship Id="rId61" Type="http://schemas.openxmlformats.org/officeDocument/2006/relationships/hyperlink" Target="https://www.gsfm.com.au/wp-content/uploads/2024/02/AHL-Alpha-Programme_EOY_AUS2023-12-31-GSFM.pdf?utm_source=chatgpt.com" TargetMode="External"/><Relationship Id="rId64" Type="http://schemas.openxmlformats.org/officeDocument/2006/relationships/hyperlink" Target="https://thehedgefundjournal.com/ahl-evolution/?utm_source=chatgpt.com" TargetMode="External"/><Relationship Id="rId63" Type="http://schemas.openxmlformats.org/officeDocument/2006/relationships/hyperlink" Target="https://www.man.com/insights/the-big-picture-journeying-exotic-markets?utm_source=chatgpt.com" TargetMode="External"/><Relationship Id="rId66" Type="http://schemas.openxmlformats.org/officeDocument/2006/relationships/hyperlink" Target="https://www.man.com/documents/download/18369-7a1d4-c4d42-3bc42/Man_AHL_Analysis_In_Crypto_We_Trend_English_%28United_States%29_19-12-2024.pdf?utm_source=chatgpt.com" TargetMode="External"/><Relationship Id="rId65" Type="http://schemas.openxmlformats.org/officeDocument/2006/relationships/hyperlink" Target="https://thehedgefundjournal.com/ahl-evolution/?utm_source=chatgpt.com" TargetMode="External"/><Relationship Id="rId68" Type="http://schemas.openxmlformats.org/officeDocument/2006/relationships/hyperlink" Target="https://www.man.com/insights/the-big-picture-journeying-exotic-markets?utm_source=chatgpt.com" TargetMode="External"/><Relationship Id="rId67" Type="http://schemas.openxmlformats.org/officeDocument/2006/relationships/hyperlink" Target="https://www.man.com/insights/gaining-momentum-trend?utm_source=chatgpt.com" TargetMode="External"/><Relationship Id="rId60" Type="http://schemas.openxmlformats.org/officeDocument/2006/relationships/hyperlink" Target="https://jkgcapital.com/wp-content/uploads/2017/02/AQR-A-Century-of-Trend-Following-Investing.pdf?utm_source=chatgpt.com" TargetMode="External"/><Relationship Id="rId69" Type="http://schemas.openxmlformats.org/officeDocument/2006/relationships/hyperlink" Target="https://www.gsfm.com.au/wp-content/uploads/2024/02/AHL-Alpha-Programme_EOY_AUS2023-12-31-GSFM.pdf?utm_source=chatgpt.com" TargetMode="External"/><Relationship Id="rId51" Type="http://schemas.openxmlformats.org/officeDocument/2006/relationships/hyperlink" Target="https://jkgcapital.com/wp-content/uploads/2017/02/AQR-A-Century-of-Trend-Following-Investing.pdf?utm_source=chatgpt.com" TargetMode="External"/><Relationship Id="rId50" Type="http://schemas.openxmlformats.org/officeDocument/2006/relationships/hyperlink" Target="https://econpapers.repec.org/RePEc%3Aeee%3Ajfinec%3Av%3A104%3Ay%3A2012%3Ai%3A2%3Ap%3A228-250?utm_source=chatgpt.com" TargetMode="External"/><Relationship Id="rId53" Type="http://schemas.openxmlformats.org/officeDocument/2006/relationships/hyperlink" Target="https://efficient.com/pdfs/AQR_JPM_Fall_2017_A_Century_of_Evidence.pdf?utm_source=chatgpt.com" TargetMode="External"/><Relationship Id="rId52" Type="http://schemas.openxmlformats.org/officeDocument/2006/relationships/hyperlink" Target="https://efficient.com/pdfs/AQR_JPM_Fall_2017_A_Century_of_Evidence.pdf?utm_source=chatgpt.com" TargetMode="External"/><Relationship Id="rId55" Type="http://schemas.openxmlformats.org/officeDocument/2006/relationships/hyperlink" Target="https://arxiv.org/abs/0710.3742?utm_source=chatgpt.com" TargetMode="External"/><Relationship Id="rId54" Type="http://schemas.openxmlformats.org/officeDocument/2006/relationships/hyperlink" Target="https://cepr.org/voxeu/columns/fractal-market-hypothesis-and-its-implications-stability-financial-markets?utm_source=chatgpt.com" TargetMode="External"/><Relationship Id="rId57" Type="http://schemas.openxmlformats.org/officeDocument/2006/relationships/hyperlink" Target="https://www.mdpi.com/2078-2489/12/10/388?utm_source=chatgpt.com" TargetMode="External"/><Relationship Id="rId56" Type="http://schemas.openxmlformats.org/officeDocument/2006/relationships/hyperlink" Target="https://www.ijcai.org/proceedings/2020/0628.pdf?utm_source=chatgpt.com" TargetMode="External"/><Relationship Id="rId59" Type="http://schemas.openxmlformats.org/officeDocument/2006/relationships/hyperlink" Target="https://arxiv.org/abs/0710.3742?utm_source=chatgpt.com" TargetMode="External"/><Relationship Id="rId58" Type="http://schemas.openxmlformats.org/officeDocument/2006/relationships/hyperlink" Target="https://www.mdpi.com/2078-2489/12/10/388?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P3qLd+XMU6z9neyzd5tlQtDPw==">CgMxLjAyD2lkLnZpczNkOHNqNWM4MzIPaWQudmk4bDc1eTBwM3dvMg9pZC51MWRpY2Ztb2NzYzMyD2lkLmNvbzA1bDNubmVuczIPaWQubGh4MnRza3RlaHZiMg9pZC42NzRibTJ2MmkxN3YyD2lkLnA1N24weHRwY2dhMjIPaWQuZ21semJxZno1dGNuMg5oLmQ3ZWY3ZGlhMngxMDIOaC5nMjRnczNiNHFvOXoyDmguNzVwNzJwNHo0ejh1Mg5oLno4MDA2YXBnZWNpeDIOaC5ib3h1ejhrd3NqdXoyDmguNGdvN2JqM3U3aWh4Mg5oLm9vcjh0a2tyNjVxZjIPaWQuOGR3dW4xbzY1ZGIzOAByITFaZl91S013RENPaUM0WDl6Tlk4RFZLa3RoOFBkbExi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2025-08-28T21:38:14Z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