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17320" cy="1067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Q Mindware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67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00"/>
      </w:pPr>
      <w:r>
        <w:rPr>
          <w:rFonts w:ascii="Aptos Display" w:hAnsi="Aptos Display"/>
          <w:b/>
          <w:color w:val="22AAFF"/>
          <w:sz w:val="32"/>
        </w:rPr>
        <w:t>IQ Coach</w:t>
      </w:r>
    </w:p>
    <w:p>
      <w:pPr>
        <w:spacing w:after="160"/>
      </w:pPr>
      <w:r>
        <w:rPr>
          <w:rFonts w:ascii="Aptos Display" w:hAnsi="Aptos Display"/>
          <w:b/>
          <w:color w:val="333333"/>
          <w:sz w:val="54"/>
        </w:rPr>
        <w:t>Representational Transfer Protocol</w:t>
      </w:r>
    </w:p>
    <w:p>
      <w:pPr>
        <w:spacing w:after="360"/>
      </w:pPr>
      <w:r>
        <w:rPr>
          <w:rFonts w:ascii="Aptos Display" w:hAnsi="Aptos Display"/>
          <w:color w:val="2764B7"/>
          <w:sz w:val="26"/>
        </w:rPr>
        <w:t>Carrier × reference-frame × coding-opportunity progression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112"/>
            <w:shd w:fill="CCFF6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12"/>
            <w:shd w:fill="F3F9F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764B7"/>
                <w:sz w:val="20"/>
              </w:rPr>
              <w:t>Core design rule</w:t>
            </w:r>
          </w:p>
          <w:p>
            <w:pPr>
              <w:spacing w:after="0"/>
            </w:pPr>
            <w:r>
              <w:rPr>
                <w:rFonts w:ascii="Aptos" w:hAnsi="Aptos"/>
                <w:color w:val="333333"/>
                <w:sz w:val="18"/>
              </w:rPr>
              <w:t>Do not advance because a fixed number of sessions has elapsed. Advance when the current representation is stable, the learning curve has genuinely flattened, and a controlled perturbation can test whether the underlying relation is recoverable.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160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Status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Finalised team protocol — v1.0</w:t>
            </w:r>
          </w:p>
        </w:tc>
      </w:tr>
      <w:tr>
        <w:trPr>
          <w:cantSplit/>
        </w:trPr>
        <w:tc>
          <w:tcPr>
            <w:tcW w:type="dxa" w:w="216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Scope</w:t>
            </w:r>
          </w:p>
        </w:tc>
        <w:tc>
          <w:tcPr>
            <w:tcW w:type="dxa" w:w="72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Horizontal representational transfer inside IQ Coach, with periodic representational-flexibility benchmarks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Primary behavioural target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Faster recovery of task-relevant relational structure across carrier, frame, output mapping and delay</w:t>
            </w:r>
          </w:p>
        </w:tc>
      </w:tr>
      <w:tr>
        <w:trPr>
          <w:cantSplit/>
        </w:trPr>
        <w:tc>
          <w:tcPr>
            <w:tcW w:type="dxa" w:w="216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Neural hypothesis</w:t>
            </w:r>
          </w:p>
        </w:tc>
        <w:tc>
          <w:tcPr>
            <w:tcW w:type="dxa" w:w="72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Behavioural conditions intended to promote more abstract, factorised and reconstructable hippocampal–prefrontal task representations; not a direct neural measure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Implementation principle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Probe → dip → recover → mix → re-entry → delayed re-check</w:t>
            </w:r>
          </w:p>
        </w:tc>
      </w:tr>
    </w:tbl>
    <w:p>
      <w:pPr>
        <w:spacing w:before="320" w:after="0"/>
      </w:pPr>
      <w:r>
        <w:rPr>
          <w:rFonts w:ascii="Aptos" w:hAnsi="Aptos"/>
          <w:i/>
          <w:color w:val="6D6D6D"/>
          <w:sz w:val="18"/>
        </w:rPr>
        <w:t>Prepared for the IQ Mindware product and development team</w:t>
      </w:r>
    </w:p>
    <w:p>
      <w:r>
        <w:br w:type="page"/>
      </w:r>
    </w:p>
    <w:p>
      <w:pPr>
        <w:pStyle w:val="Heading1"/>
        <w:keepNext/>
      </w:pPr>
      <w:r>
        <w:t>1. Executive decision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IQ Coach will implement a flattening-gated representational transfer protocol. The learner first stabilises a local task representation, then encounters a controlled change in stimulus carrier or reference frame. The expected behavioural signature is a temporary performance dip followed by renewed learning, recovery, mixed-wrapper stability and delayed re-entry.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7F9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333333"/>
                <w:sz w:val="17"/>
              </w:rPr>
              <w:t>stable local piece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learning-curve flattening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controlled wrapper perturbation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expected dip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relational reconstruction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renewed learning piece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progressive mixing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return-to-base test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delayed re-check</w:t>
            </w:r>
          </w:p>
        </w:tc>
      </w:tr>
    </w:tbl>
    <w:p>
      <w:pPr>
        <w:spacing w:after="80"/>
      </w:pPr>
      <w:r>
        <w:rPr>
          <w:rFonts w:ascii="Aptos" w:hAnsi="Aptos"/>
          <w:i w:val="0"/>
          <w:color w:val="333333"/>
          <w:sz w:val="18"/>
        </w:rPr>
        <w:t>The protocol does not assume that one neural code must remain unchanged. It tests whether the same functional relation can be reconstructed through different sensory, relational or action-oriented formats.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112"/>
            <w:shd w:fill="CCFF6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12"/>
            <w:shd w:fill="F7FAF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764B7"/>
                <w:sz w:val="20"/>
              </w:rPr>
              <w:t>Team shorthand</w:t>
            </w:r>
          </w:p>
          <w:p>
            <w:pPr>
              <w:spacing w:after="0"/>
            </w:pPr>
            <w:r>
              <w:rPr>
                <w:rFonts w:ascii="Aptos" w:hAnsi="Aptos"/>
                <w:color w:val="333333"/>
                <w:sz w:val="18"/>
              </w:rPr>
              <w:t>The target is not a smooth rise in one curve. The target is a progressively stronger capacity to generate the next useful curve when the current one flattens.</w:t>
            </w:r>
          </w:p>
        </w:tc>
      </w:tr>
    </w:tbl>
    <w:p>
      <w:pPr>
        <w:pStyle w:val="Heading1"/>
        <w:keepNext/>
      </w:pPr>
      <w:r>
        <w:t>2. Core construct and theoretical target</w:t>
      </w:r>
    </w:p>
    <w:p>
      <w:pPr>
        <w:pStyle w:val="Heading2"/>
        <w:keepNext/>
      </w:pPr>
      <w:r>
        <w:t>2.1 Behavioural construct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Representational transfer is the capacity to preserve or reconstruct task-relevant functional logic when the surface carrier, reference frame, response mapping or delay changes.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7F9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333333"/>
                <w:sz w:val="17"/>
              </w:rPr>
              <w:t>new surface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infer the current latent task state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recover the relevant relation or graph structure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select an economical working representation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reconstruct the required operation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act</w:t>
            </w:r>
          </w:p>
        </w:tc>
      </w:tr>
    </w:tbl>
    <w:p>
      <w:pPr>
        <w:pStyle w:val="Heading2"/>
        <w:keepNext/>
      </w:pPr>
      <w:r>
        <w:t>2.2 Hippocampal–prefrontal hypothesis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The intended neural-level hypothesis is distributed. The hippocampal–entorhinal system may help infer latent task state, relational geometry and transition structure; prefrontal systems may preserve reusable schema, select task-relevant variables and implement the current control policy. Repeated wrapper recovery is intended to exercise the mapping between these levels.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59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System role</w:t>
            </w:r>
          </w:p>
        </w:tc>
        <w:tc>
          <w:tcPr>
            <w:tcW w:type="dxa" w:w="6768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Working hypothesis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Hippocampal / entorhinal</w:t>
            </w:r>
          </w:p>
        </w:tc>
        <w:tc>
          <w:tcPr>
            <w:tcW w:type="dxa" w:w="67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Map the present instance onto latent states, relations, transitions and prior structural knowledge.</w:t>
            </w:r>
          </w:p>
        </w:tc>
      </w:tr>
      <w:tr>
        <w:trPr>
          <w:cantSplit/>
        </w:trPr>
        <w:tc>
          <w:tcPr>
            <w:tcW w:type="dxa" w:w="259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Medial prefrontal</w:t>
            </w:r>
          </w:p>
        </w:tc>
        <w:tc>
          <w:tcPr>
            <w:tcW w:type="dxa" w:w="676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Represent common task structure or schema across changing sensory and motor details.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Lateral prefrontal / parietal</w:t>
            </w:r>
          </w:p>
        </w:tc>
        <w:tc>
          <w:tcPr>
            <w:tcW w:type="dxa" w:w="67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Select the active rule, reference frame, output format and action policy.</w:t>
            </w:r>
          </w:p>
        </w:tc>
      </w:tr>
      <w:tr>
        <w:trPr>
          <w:cantSplit/>
        </w:trPr>
        <w:tc>
          <w:tcPr>
            <w:tcW w:type="dxa" w:w="259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Interaction target</w:t>
            </w:r>
          </w:p>
        </w:tc>
        <w:tc>
          <w:tcPr>
            <w:tcW w:type="dxa" w:w="676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Reconstruct the correspondence between schema, current latent state, relational map and implementation.</w:t>
            </w:r>
          </w:p>
        </w:tc>
      </w:tr>
    </w:tbl>
    <w:p>
      <w:pPr>
        <w:spacing w:after="80"/>
      </w:pPr>
      <w:r>
        <w:rPr>
          <w:rFonts w:ascii="Aptos" w:hAnsi="Aptos"/>
          <w:i w:val="0"/>
          <w:color w:val="333333"/>
          <w:sz w:val="18"/>
        </w:rPr>
        <w:t>Claims boundary: IQ Coach does not directly measure neural geometry or hippocampal–prefrontal coupling. It creates behavioural conditions under which more abstract, factorised and reconstructable task representations are hypothesised to develop.</w:t>
      </w:r>
    </w:p>
    <w:p>
      <w:pPr>
        <w:pStyle w:val="Heading2"/>
        <w:keepNext/>
      </w:pPr>
      <w:r>
        <w:t>2.3 Donner–Hardy learning dynamics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A stable strategy or representational regime may produce one power-law-like learning segment. When gains flatten, a controlled perturbation can make the current policy inadequate, causing a dip and a new segment of improvement. Piecewise fitting is an analysis tool, not a real-time neural diagnosis.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7F9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333333"/>
                <w:sz w:val="17"/>
              </w:rPr>
              <w:t>Piece 1: optimise current representation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Breakpoint: local gains flatten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Perturbation: carrier / frame / mapping changes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Transition dip: old policy is insufficient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Piece 2: reconstructed or more general policy improves</w:t>
            </w:r>
          </w:p>
        </w:tc>
      </w:tr>
    </w:tbl>
    <w:p>
      <w:pPr>
        <w:pStyle w:val="Heading1"/>
        <w:keepNext/>
      </w:pPr>
      <w:r>
        <w:t>3. Game state grammar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The transfer protocol separates three dimensions. Carrier and frame belong to routine training. Coding opportunity is a periodic benchmark manipulation.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944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23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Level A</w:t>
            </w:r>
          </w:p>
        </w:tc>
        <w:tc>
          <w:tcPr>
            <w:tcW w:type="dxa" w:w="223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Level B</w:t>
            </w:r>
          </w:p>
        </w:tc>
        <w:tc>
          <w:tcPr>
            <w:tcW w:type="dxa" w:w="3168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Carrier</w:t>
            </w:r>
          </w:p>
        </w:tc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Static arrows</w:t>
            </w:r>
          </w:p>
        </w:tc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Optic flow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Test whether the same relation survives a sensory-format change.</w:t>
            </w:r>
          </w:p>
        </w:tc>
      </w:tr>
      <w:tr>
        <w:trPr>
          <w:cantSplit/>
        </w:trPr>
        <w:tc>
          <w:tcPr>
            <w:tcW w:type="dxa" w:w="194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Reference frame</w:t>
            </w:r>
          </w:p>
        </w:tc>
        <w:tc>
          <w:tcPr>
            <w:tcW w:type="dxa" w:w="22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Absolute / screen-centred</w:t>
            </w:r>
          </w:p>
        </w:tc>
        <w:tc>
          <w:tcPr>
            <w:tcW w:type="dxa" w:w="22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Relative / centre-framed</w:t>
            </w:r>
          </w:p>
        </w:tc>
        <w:tc>
          <w:tcPr>
            <w:tcW w:type="dxa" w:w="316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Test whether the learner can reconstruct a relational coordinate system.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Coding opportunity</w:t>
            </w:r>
          </w:p>
        </w:tc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Early mapping cue</w:t>
            </w:r>
          </w:p>
        </w:tc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Late mapping cue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Test whether the relation survives when immediate motor preparation is unavailable.</w:t>
            </w:r>
          </w:p>
        </w:tc>
      </w:tr>
    </w:tbl>
    <w:p>
      <w:pPr>
        <w:pStyle w:val="Heading2"/>
        <w:keepNext/>
      </w:pPr>
      <w:r>
        <w:t>3.1 Core 2 × 2 wrapper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88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</w:r>
          </w:p>
        </w:tc>
        <w:tc>
          <w:tcPr>
            <w:tcW w:type="dxa" w:w="367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Arrow carrier</w:t>
            </w:r>
          </w:p>
        </w:tc>
        <w:tc>
          <w:tcPr>
            <w:tcW w:type="dxa" w:w="367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Optic-flow carrier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Absolute frame</w:t>
            </w:r>
          </w:p>
        </w:tc>
        <w:tc>
          <w:tcPr>
            <w:tcW w:type="dxa" w:w="36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LEFT / RIGHT; UP / DOWN arrows</w:t>
            </w:r>
          </w:p>
        </w:tc>
        <w:tc>
          <w:tcPr>
            <w:tcW w:type="dxa" w:w="36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Translational flow LEFT / RIGHT; UP / DOWN</w:t>
            </w:r>
          </w:p>
        </w:tc>
      </w:tr>
      <w:tr>
        <w:trPr>
          <w:cantSplit/>
        </w:trPr>
        <w:tc>
          <w:tcPr>
            <w:tcW w:type="dxa" w:w="208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Relative frame</w:t>
            </w:r>
          </w:p>
        </w:tc>
        <w:tc>
          <w:tcPr>
            <w:tcW w:type="dxa" w:w="367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OUT / IN; CW / CCW arrows</w:t>
            </w:r>
          </w:p>
        </w:tc>
        <w:tc>
          <w:tcPr>
            <w:tcW w:type="dxa" w:w="367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Expansion / contraction; rotational CW / CCW flow</w:t>
            </w:r>
          </w:p>
        </w:tc>
      </w:tr>
    </w:tbl>
    <w:p>
      <w:pPr>
        <w:spacing w:after="80"/>
      </w:pPr>
      <w:r>
        <w:rPr>
          <w:rFonts w:ascii="Aptos" w:hAnsi="Aptos"/>
          <w:i w:val="0"/>
          <w:color w:val="333333"/>
          <w:sz w:val="18"/>
        </w:rPr>
        <w:t>The relative-optic-flow cell should initially remain held out. It becomes the principal carrier × frame compositional-transfer probe after the user has learned the other three cells.</w:t>
      </w:r>
    </w:p>
    <w:p>
      <w:pPr>
        <w:pStyle w:val="Heading1"/>
        <w:keepNext/>
      </w:pPr>
      <w:r>
        <w:t>4. Progression controller</w:t>
      </w:r>
    </w:p>
    <w:p>
      <w:pPr>
        <w:pStyle w:val="Heading2"/>
        <w:keepNext/>
      </w:pPr>
      <w:r>
        <w:t>4.1 Two levels of probing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800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Probe type</w:t>
            </w:r>
          </w:p>
        </w:tc>
        <w:tc>
          <w:tcPr>
            <w:tcW w:type="dxa" w:w="223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When used</w:t>
            </w:r>
          </w:p>
        </w:tc>
        <w:tc>
          <w:tcPr>
            <w:tcW w:type="dxa" w:w="2088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Dose</w:t>
            </w:r>
          </w:p>
        </w:tc>
        <w:tc>
          <w:tcPr>
            <w:tcW w:type="dxa" w:w="367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Consequence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Diagnostic probe</w:t>
            </w:r>
          </w:p>
        </w:tc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Before full flattening</w:t>
            </w:r>
          </w:p>
        </w:tc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5–10% novel-wrapper trials</w:t>
            </w:r>
          </w:p>
        </w:tc>
        <w:tc>
          <w:tcPr>
            <w:tcW w:type="dxa" w:w="36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Measures early transfer readiness. Does not advance the curriculum.</w:t>
            </w:r>
          </w:p>
        </w:tc>
      </w:tr>
      <w:tr>
        <w:trPr>
          <w:cantSplit/>
        </w:trPr>
        <w:tc>
          <w:tcPr>
            <w:tcW w:type="dxa" w:w="18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Transition probe</w:t>
            </w:r>
          </w:p>
        </w:tc>
        <w:tc>
          <w:tcPr>
            <w:tcW w:type="dxa" w:w="22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After flattening gate passes</w:t>
            </w:r>
          </w:p>
        </w:tc>
        <w:tc>
          <w:tcPr>
            <w:tcW w:type="dxa" w:w="208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20% novel-wrapper trials</w:t>
            </w:r>
          </w:p>
        </w:tc>
        <w:tc>
          <w:tcPr>
            <w:tcW w:type="dxa" w:w="367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Starts the formal probe–recover–mix sequence.</w:t>
            </w:r>
          </w:p>
        </w:tc>
      </w:tr>
    </w:tbl>
    <w:p>
      <w:pPr>
        <w:pStyle w:val="Heading2"/>
        <w:keepNext/>
      </w:pPr>
      <w:r>
        <w:t>4.2 Flattening gate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The main representational transition is permitted only when all required conditions are met. Values below are provisional controller defaults and should remain configurable.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88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200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Provisional rule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Exposure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At least 240 valid trials in the active wrapper, unless a validated shorter calibration is adopted.</w:t>
            </w:r>
          </w:p>
        </w:tc>
      </w:tr>
      <w:tr>
        <w:trPr>
          <w:cantSplit/>
        </w:trPr>
        <w:tc>
          <w:tcPr>
            <w:tcW w:type="dxa" w:w="208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Learning windows</w:t>
            </w:r>
          </w:p>
        </w:tc>
        <w:tc>
          <w:tcPr>
            <w:tcW w:type="dxa" w:w="72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At least 4 comparable rolling windows.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Slope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|normalised capacity slope| &lt; 0.02 per window.</w:t>
            </w:r>
          </w:p>
        </w:tc>
      </w:tr>
      <w:tr>
        <w:trPr>
          <w:cantSplit/>
        </w:trPr>
        <w:tc>
          <w:tcPr>
            <w:tcW w:type="dxa" w:w="208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Performance band</w:t>
            </w:r>
          </w:p>
        </w:tc>
        <w:tc>
          <w:tcPr>
            <w:tcW w:type="dxa" w:w="72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Balanced accuracy stable in or above the 70–82% training band after demand calibration.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Errors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Lapse, miss and false-alarm patterns stable; no worsening lure signature.</w:t>
            </w:r>
          </w:p>
        </w:tc>
      </w:tr>
      <w:tr>
        <w:trPr>
          <w:cantSplit/>
        </w:trPr>
        <w:tc>
          <w:tcPr>
            <w:tcW w:type="dxa" w:w="208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Timing quality</w:t>
            </w:r>
          </w:p>
        </w:tc>
        <w:tc>
          <w:tcPr>
            <w:tcW w:type="dxa" w:w="72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Acceptable frame timing and device stability.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State blocker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No fatigue, overload, disengagement or globally noisy-session flag.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112"/>
            <w:shd w:fill="F4C542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12"/>
            <w:shd w:fill="FFFBE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764B7"/>
                <w:sz w:val="20"/>
              </w:rPr>
              <w:t>Interpretation rule</w:t>
            </w:r>
          </w:p>
          <w:p>
            <w:pPr>
              <w:spacing w:after="0"/>
            </w:pPr>
            <w:r>
              <w:rPr>
                <w:rFonts w:ascii="Aptos" w:hAnsi="Aptos"/>
                <w:color w:val="333333"/>
                <w:sz w:val="18"/>
              </w:rPr>
              <w:t>Flattening means “stable enough to challenge”, not “mastered” and not “a neural transition has already occurred”.</w:t>
            </w:r>
          </w:p>
        </w:tc>
      </w:tr>
    </w:tbl>
    <w:p>
      <w:pPr>
        <w:pStyle w:val="Heading2"/>
        <w:keepNext/>
      </w:pPr>
      <w:r>
        <w:t>4.3 Transition response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Observed response</w:t>
            </w:r>
          </w:p>
        </w:tc>
        <w:tc>
          <w:tcPr>
            <w:tcW w:type="dxa" w:w="367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Controller interpretation</w:t>
            </w:r>
          </w:p>
        </w:tc>
        <w:tc>
          <w:tcPr>
            <w:tcW w:type="dxa" w:w="3384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Next action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Small dip, rapid recovery</w:t>
            </w:r>
          </w:p>
        </w:tc>
        <w:tc>
          <w:tcPr>
            <w:tcW w:type="dxa" w:w="36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Existing invariant transfers readily.</w:t>
            </w:r>
          </w:p>
        </w:tc>
        <w:tc>
          <w:tcPr>
            <w:tcW w:type="dxa" w:w="3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Advance mixing ratio more quickly.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Moderate dip, positive recovery slope</w:t>
            </w:r>
          </w:p>
        </w:tc>
        <w:tc>
          <w:tcPr>
            <w:tcW w:type="dxa" w:w="367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Desired reconstruction signature.</w:t>
            </w:r>
          </w:p>
        </w:tc>
        <w:tc>
          <w:tcPr>
            <w:tcW w:type="dxa" w:w="338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Continue probe wrapper; then mix.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No dip</w:t>
            </w:r>
          </w:p>
        </w:tc>
        <w:tc>
          <w:tcPr>
            <w:tcW w:type="dxa" w:w="36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Could be strong transfer or a shared shortcut.</w:t>
            </w:r>
          </w:p>
        </w:tc>
        <w:tc>
          <w:tcPr>
            <w:tcW w:type="dxa" w:w="3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Add remapping and near-miss lures before crediting transfer.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Large dip, gradual recovery</w:t>
            </w:r>
          </w:p>
        </w:tc>
        <w:tc>
          <w:tcPr>
            <w:tcW w:type="dxa" w:w="367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New policy may be forming.</w:t>
            </w:r>
          </w:p>
        </w:tc>
        <w:tc>
          <w:tcPr>
            <w:tcW w:type="dxa" w:w="338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Hold demand steady; do not add another dimension.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Persistent collapse</w:t>
            </w:r>
          </w:p>
        </w:tc>
        <w:tc>
          <w:tcPr>
            <w:tcW w:type="dxa" w:w="36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Probe too difficult, relation unstable or session unsuitable.</w:t>
            </w:r>
          </w:p>
        </w:tc>
        <w:tc>
          <w:tcPr>
            <w:tcW w:type="dxa" w:w="3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Return to base, scaffold and re-test later.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New wrapper improves only when blocked</w:t>
            </w:r>
          </w:p>
        </w:tc>
        <w:tc>
          <w:tcPr>
            <w:tcW w:type="dxa" w:w="367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Possible second local policy.</w:t>
            </w:r>
          </w:p>
        </w:tc>
        <w:tc>
          <w:tcPr>
            <w:tcW w:type="dxa" w:w="338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Increase unpredictable mixing and cross-wrapper probes.</w:t>
            </w:r>
          </w:p>
        </w:tc>
      </w:tr>
    </w:tbl>
    <w:p>
      <w:pPr>
        <w:pStyle w:val="Heading1"/>
        <w:keepNext/>
      </w:pPr>
      <w:r>
        <w:t>5. Final transfer progression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Progression is adaptive and gate-driven. Session numbers do not determine advancement.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51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520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Active condition</w:t>
            </w:r>
          </w:p>
        </w:tc>
        <w:tc>
          <w:tcPr>
            <w:tcW w:type="dxa" w:w="3168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Key test</w:t>
            </w:r>
          </w:p>
        </w:tc>
        <w:tc>
          <w:tcPr>
            <w:tcW w:type="dxa" w:w="2304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Advance when…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0. Calibration</w:t>
            </w:r>
          </w:p>
        </w:tc>
        <w:tc>
          <w:tcPr>
            <w:tcW w:type="dxa" w:w="2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Absolute arrows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Establish CCC / Attention Control baseline and timing quality.</w:t>
            </w:r>
          </w:p>
        </w:tc>
        <w:tc>
          <w:tcPr>
            <w:tcW w:type="dxa" w:w="23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Estimate stable enough for training.</w:t>
            </w:r>
          </w:p>
        </w:tc>
      </w:tr>
      <w:tr>
        <w:trPr>
          <w:cantSplit/>
        </w:trPr>
        <w:tc>
          <w:tcPr>
            <w:tcW w:type="dxa" w:w="151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1. Local piece A</w:t>
            </w:r>
          </w:p>
        </w:tc>
        <w:tc>
          <w:tcPr>
            <w:tcW w:type="dxa" w:w="252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Absolute arrows</w:t>
            </w:r>
          </w:p>
        </w:tc>
        <w:tc>
          <w:tcPr>
            <w:tcW w:type="dxa" w:w="316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Build efficient signal extraction without overtraining.</w:t>
            </w:r>
          </w:p>
        </w:tc>
        <w:tc>
          <w:tcPr>
            <w:tcW w:type="dxa" w:w="230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Flattening gate passes.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2. Carrier probe</w:t>
            </w:r>
          </w:p>
        </w:tc>
        <w:tc>
          <w:tcPr>
            <w:tcW w:type="dxa" w:w="2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80% absolute arrows / 20% absolute flow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Measure first-exposure carrier cost.</w:t>
            </w:r>
          </w:p>
        </w:tc>
        <w:tc>
          <w:tcPr>
            <w:tcW w:type="dxa" w:w="23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Flow recovery slope becomes positive.</w:t>
            </w:r>
          </w:p>
        </w:tc>
      </w:tr>
      <w:tr>
        <w:trPr>
          <w:cantSplit/>
        </w:trPr>
        <w:tc>
          <w:tcPr>
            <w:tcW w:type="dxa" w:w="151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3. Carrier mix</w:t>
            </w:r>
          </w:p>
        </w:tc>
        <w:tc>
          <w:tcPr>
            <w:tcW w:type="dxa" w:w="252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60/40 → 50/50 → random absolute carrier mix</w:t>
            </w:r>
          </w:p>
        </w:tc>
        <w:tc>
          <w:tcPr>
            <w:tcW w:type="dxa" w:w="316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Prevent two separate blocked policies.</w:t>
            </w:r>
          </w:p>
        </w:tc>
        <w:tc>
          <w:tcPr>
            <w:tcW w:type="dxa" w:w="230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Mixed stability passes and base re-entry is intact.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4. Frame probe</w:t>
            </w:r>
          </w:p>
        </w:tc>
        <w:tc>
          <w:tcPr>
            <w:tcW w:type="dxa" w:w="2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Relative arrows, initially easier demand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Reconstruct centre-relative rule.</w:t>
            </w:r>
          </w:p>
        </w:tc>
        <w:tc>
          <w:tcPr>
            <w:tcW w:type="dxa" w:w="23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Relative-arrow curve stabilises and begins to flatten.</w:t>
            </w:r>
          </w:p>
        </w:tc>
      </w:tr>
      <w:tr>
        <w:trPr>
          <w:cantSplit/>
        </w:trPr>
        <w:tc>
          <w:tcPr>
            <w:tcW w:type="dxa" w:w="151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5. Frame mix</w:t>
            </w:r>
          </w:p>
        </w:tc>
        <w:tc>
          <w:tcPr>
            <w:tcW w:type="dxa" w:w="252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Absolute + relative arrows</w:t>
            </w:r>
          </w:p>
        </w:tc>
        <w:tc>
          <w:tcPr>
            <w:tcW w:type="dxa" w:w="316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Require active frame selection.</w:t>
            </w:r>
          </w:p>
        </w:tc>
        <w:tc>
          <w:tcPr>
            <w:tcW w:type="dxa" w:w="230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Mixed frame performance is stable with lures.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6. Held-out composition</w:t>
            </w:r>
          </w:p>
        </w:tc>
        <w:tc>
          <w:tcPr>
            <w:tcW w:type="dxa" w:w="2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Relative optic flow, first exposure without feedback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Test carrier × frame recombination.</w:t>
            </w:r>
          </w:p>
        </w:tc>
        <w:tc>
          <w:tcPr>
            <w:tcW w:type="dxa" w:w="23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Probe is logged; then feedback-enabled recovery begins.</w:t>
            </w:r>
          </w:p>
        </w:tc>
      </w:tr>
      <w:tr>
        <w:trPr>
          <w:cantSplit/>
        </w:trPr>
        <w:tc>
          <w:tcPr>
            <w:tcW w:type="dxa" w:w="151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7. Full factorial mix</w:t>
            </w:r>
          </w:p>
        </w:tc>
        <w:tc>
          <w:tcPr>
            <w:tcW w:type="dxa" w:w="252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All four carrier × frame cells</w:t>
            </w:r>
          </w:p>
        </w:tc>
        <w:tc>
          <w:tcPr>
            <w:tcW w:type="dxa" w:w="316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Random, minimally pre-cued wrapper selection.</w:t>
            </w:r>
          </w:p>
        </w:tc>
        <w:tc>
          <w:tcPr>
            <w:tcW w:type="dxa" w:w="230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Mixed and delayed recovery pass.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8. Vertical bridge</w:t>
            </w:r>
          </w:p>
        </w:tc>
        <w:tc>
          <w:tcPr>
            <w:tcW w:type="dxa" w:w="2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Memory, binding, prediction and reasoning outputs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Repurpose the same relation beyond the original response.</w:t>
            </w:r>
          </w:p>
        </w:tc>
        <w:tc>
          <w:tcPr>
            <w:tcW w:type="dxa" w:w="23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Periodic benchmark evidence accumulates.</w:t>
            </w:r>
          </w:p>
        </w:tc>
      </w:tr>
    </w:tbl>
    <w:p>
      <w:pPr>
        <w:pStyle w:val="Heading2"/>
        <w:keepNext/>
      </w:pPr>
      <w:r>
        <w:t>5.1 Standard wrapper-cycle microstructure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7F9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333333"/>
                <w:sz w:val="17"/>
              </w:rPr>
              <w:t>BASE fluency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detect flattening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brief invariant prompt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20% new-wrapper probe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expected dip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recovery block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return-to-base re-entry test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progressive A+B mix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mixed lures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delayed re-check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bank only if portable</w:t>
            </w:r>
          </w:p>
        </w:tc>
      </w:tr>
    </w:tbl>
    <w:p>
      <w:pPr>
        <w:pStyle w:val="Heading2"/>
        <w:keepNext/>
      </w:pPr>
      <w:r>
        <w:t>5.2 Invariant prompts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Use one brief prompt after a phase transition, before the first block of the new wrapper. Do not coach every trial.</w:t>
      </w:r>
    </w:p>
    <w:p>
      <w:pPr>
        <w:pStyle w:val="ListBullet"/>
        <w:spacing w:after="40"/>
      </w:pPr>
      <w:r>
        <w:rPr>
          <w:rFonts w:ascii="Aptos" w:hAnsi="Aptos"/>
          <w:color w:val="333333"/>
          <w:sz w:val="18"/>
        </w:rPr>
        <w:t>What stayed the same: the direction, the frame, or the relation?</w:t>
      </w:r>
    </w:p>
    <w:p>
      <w:pPr>
        <w:pStyle w:val="ListBullet"/>
        <w:spacing w:after="40"/>
      </w:pPr>
      <w:r>
        <w:rPr>
          <w:rFonts w:ascii="Aptos" w:hAnsi="Aptos"/>
          <w:color w:val="333333"/>
          <w:sz w:val="18"/>
        </w:rPr>
        <w:t>Which feature changed, and which relation still controls the answer?</w:t>
      </w:r>
    </w:p>
    <w:p>
      <w:pPr>
        <w:pStyle w:val="ListBullet"/>
        <w:spacing w:after="40"/>
      </w:pPr>
      <w:r>
        <w:rPr>
          <w:rFonts w:ascii="Aptos" w:hAnsi="Aptos"/>
          <w:color w:val="333333"/>
          <w:sz w:val="18"/>
        </w:rPr>
        <w:t>Are you retaining the relation—or only preparing the old button?</w:t>
      </w:r>
    </w:p>
    <w:p>
      <w:pPr>
        <w:pStyle w:val="Heading1"/>
        <w:keepNext/>
      </w:pPr>
      <w:r>
        <w:t>6. Representational-flexibility benchmark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The Li-inspired manipulation is implemented as early-cue versus late-cue mapping. It is run periodically after the target relation is stable. It is not part of every routine training block.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16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367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Trial sequence</w:t>
            </w:r>
          </w:p>
        </w:tc>
        <w:tc>
          <w:tcPr>
            <w:tcW w:type="dxa" w:w="4104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Coding opportunity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Early-cue mapping</w:t>
            </w:r>
          </w:p>
        </w:tc>
        <w:tc>
          <w:tcPr>
            <w:tcW w:type="dxa" w:w="36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Mapping cue → stimulus → delay → response</w:t>
            </w:r>
          </w:p>
        </w:tc>
        <w:tc>
          <w:tcPr>
            <w:tcW w:type="dxa" w:w="41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The relation can be converted immediately into a prospective action code.</w:t>
            </w:r>
          </w:p>
        </w:tc>
      </w:tr>
      <w:tr>
        <w:trPr>
          <w:cantSplit/>
        </w:trPr>
        <w:tc>
          <w:tcPr>
            <w:tcW w:type="dxa" w:w="201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Late-cue mapping</w:t>
            </w:r>
          </w:p>
        </w:tc>
        <w:tc>
          <w:tcPr>
            <w:tcW w:type="dxa" w:w="367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Stimulus → delay → mapping cue → response</w:t>
            </w:r>
          </w:p>
        </w:tc>
        <w:tc>
          <w:tcPr>
            <w:tcW w:type="dxa" w:w="410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A button plan is unsafe; the relation or sensory state must survive until remapping.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Reinstatement</w:t>
            </w:r>
          </w:p>
        </w:tc>
        <w:tc>
          <w:tcPr>
            <w:tcW w:type="dxa" w:w="36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Return to early-cue mapping after late-cue block</w:t>
            </w:r>
          </w:p>
        </w:tc>
        <w:tc>
          <w:tcPr>
            <w:tcW w:type="dxa" w:w="41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Tests rapid recovery of the economical prospective policy.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7F9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333333"/>
                <w:sz w:val="17"/>
              </w:rPr>
              <w:t>EARLY CUE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mapping known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extract relation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prepare action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delay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respond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LATE CUE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extract relation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retain relation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delay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mapping revealed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→ translate relation into action</w:t>
            </w:r>
          </w:p>
        </w:tc>
      </w:tr>
    </w:tbl>
    <w:p>
      <w:pPr>
        <w:pStyle w:val="Heading2"/>
        <w:keepNext/>
      </w:pPr>
      <w:r>
        <w:t>6.1 Benchmark order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7F9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333333"/>
                <w:sz w:val="17"/>
              </w:rPr>
              <w:t>A. Early-cue baseline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B. Late-cue relation-retention block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C. Early-cue reinstatement block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D. Optional late-cue relative-flow probe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E. Delayed re-check</w:t>
            </w:r>
          </w:p>
        </w:tc>
      </w:tr>
    </w:tbl>
    <w:p>
      <w:pPr>
        <w:spacing w:after="80"/>
      </w:pPr>
      <w:r>
        <w:rPr>
          <w:rFonts w:ascii="Aptos" w:hAnsi="Aptos"/>
          <w:i w:val="0"/>
          <w:color w:val="333333"/>
          <w:sz w:val="18"/>
        </w:rPr>
        <w:t>The optional combined condition is a joint wrapper-and-coding-flexibility probe. It should be labelled a held-out compositional transfer test, not proof of broad far transfer.</w:t>
      </w:r>
    </w:p>
    <w:p>
      <w:pPr>
        <w:pStyle w:val="Heading1"/>
        <w:keepNext/>
      </w:pPr>
      <w:r>
        <w:t>7. Session modes</w:t>
      </w:r>
    </w:p>
    <w:p>
      <w:pPr>
        <w:pStyle w:val="Heading2"/>
        <w:keepNext/>
      </w:pPr>
      <w:r>
        <w:t>7.1 Ordinary training session (15–20 minutes)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448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Block</w:t>
            </w:r>
          </w:p>
        </w:tc>
        <w:tc>
          <w:tcPr>
            <w:tcW w:type="dxa" w:w="1800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Typical duration</w:t>
            </w:r>
          </w:p>
        </w:tc>
        <w:tc>
          <w:tcPr>
            <w:tcW w:type="dxa" w:w="5328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Content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Anchor</w:t>
            </w:r>
          </w:p>
        </w:tc>
        <w:tc>
          <w:tcPr>
            <w:tcW w:type="dxa" w:w="18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2–3 min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Current base wrapper at calibrated demand.</w:t>
            </w:r>
          </w:p>
        </w:tc>
      </w:tr>
      <w:tr>
        <w:trPr>
          <w:cantSplit/>
        </w:trPr>
        <w:tc>
          <w:tcPr>
            <w:tcW w:type="dxa" w:w="244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Active training</w:t>
            </w:r>
          </w:p>
        </w:tc>
        <w:tc>
          <w:tcPr>
            <w:tcW w:type="dxa" w:w="18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6–8 min</w:t>
            </w:r>
          </w:p>
        </w:tc>
        <w:tc>
          <w:tcPr>
            <w:tcW w:type="dxa" w:w="532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Current wrapper or current recovery mix.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Diagnostic / transition probe</w:t>
            </w:r>
          </w:p>
        </w:tc>
        <w:tc>
          <w:tcPr>
            <w:tcW w:type="dxa" w:w="18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0–3 min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Only if scheduled by controller.</w:t>
            </w:r>
          </w:p>
        </w:tc>
      </w:tr>
      <w:tr>
        <w:trPr>
          <w:cantSplit/>
        </w:trPr>
        <w:tc>
          <w:tcPr>
            <w:tcW w:type="dxa" w:w="244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Re-entry / mix</w:t>
            </w:r>
          </w:p>
        </w:tc>
        <w:tc>
          <w:tcPr>
            <w:tcW w:type="dxa" w:w="18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3–5 min</w:t>
            </w:r>
          </w:p>
        </w:tc>
        <w:tc>
          <w:tcPr>
            <w:tcW w:type="dxa" w:w="532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Return-to-base or progressive random mix.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Summary</w:t>
            </w:r>
          </w:p>
        </w:tc>
        <w:tc>
          <w:tcPr>
            <w:tcW w:type="dxa" w:w="18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1 min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Phase label, reliability, core capacity and next step.</w:t>
            </w:r>
          </w:p>
        </w:tc>
      </w:tr>
    </w:tbl>
    <w:p>
      <w:pPr>
        <w:pStyle w:val="Heading2"/>
        <w:keepNext/>
      </w:pPr>
      <w:r>
        <w:t>7.2 Transition session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Triggered only when the flattening gate passes. The session introduces the new wrapper at 20%, measures the dip, then decides whether to recover, scaffold or return to base.</w:t>
      </w:r>
    </w:p>
    <w:p>
      <w:pPr>
        <w:pStyle w:val="Heading2"/>
        <w:keepNext/>
      </w:pPr>
      <w:r>
        <w:t>7.3 Benchmark session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Every 5–7 usable sessions, or when a major stage is completed, run held-out combinations, early/late mapping, delayed items and a short downstream reasoning or prediction bridge.</w:t>
      </w:r>
    </w:p>
    <w:p>
      <w:pPr>
        <w:pStyle w:val="Heading1"/>
        <w:keepNext/>
      </w:pPr>
      <w:r>
        <w:t>8. Core metrics and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944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5040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Definition / calculation</w:t>
            </w:r>
          </w:p>
        </w:tc>
        <w:tc>
          <w:tcPr>
            <w:tcW w:type="dxa" w:w="259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Interpretation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Carrier transfer cost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Matched flow performance − matched arrow baseline, reported separately for balanced accuracy, correct RT and fitted capacity.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Cost of changing sensory carrier while holding frame and task constant.</w:t>
            </w:r>
          </w:p>
        </w:tc>
      </w:tr>
      <w:tr>
        <w:trPr>
          <w:cantSplit/>
        </w:trPr>
        <w:tc>
          <w:tcPr>
            <w:tcW w:type="dxa" w:w="194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Frame transfer cost</w:t>
            </w:r>
          </w:p>
        </w:tc>
        <w:tc>
          <w:tcPr>
            <w:tcW w:type="dxa" w:w="504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Relative-frame performance − matched absolute-frame baseline.</w:t>
            </w:r>
          </w:p>
        </w:tc>
        <w:tc>
          <w:tcPr>
            <w:tcW w:type="dxa" w:w="259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Cost of reconstructing the relevant coordinate system.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Initial dip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Mean of first 3–5 valid probe trials relative to matched base window.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Immediate disruption of the established policy.</w:t>
            </w:r>
          </w:p>
        </w:tc>
      </w:tr>
      <w:tr>
        <w:trPr>
          <w:cantSplit/>
        </w:trPr>
        <w:tc>
          <w:tcPr>
            <w:tcW w:type="dxa" w:w="194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Recovery slope</w:t>
            </w:r>
          </w:p>
        </w:tc>
        <w:tc>
          <w:tcPr>
            <w:tcW w:type="dxa" w:w="504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Robust slope across equal-sized probe windows.</w:t>
            </w:r>
          </w:p>
        </w:tc>
        <w:tc>
          <w:tcPr>
            <w:tcW w:type="dxa" w:w="259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Rate at which useful performance returns in the new wrapper.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Trials to 90%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Valid probe trials required to reach 90% of matched base capacity.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Operational recovery time.</w:t>
            </w:r>
          </w:p>
        </w:tc>
      </w:tr>
      <w:tr>
        <w:trPr>
          <w:cantSplit/>
        </w:trPr>
        <w:tc>
          <w:tcPr>
            <w:tcW w:type="dxa" w:w="194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Mixed-wrapper stability</w:t>
            </w:r>
          </w:p>
        </w:tc>
        <w:tc>
          <w:tcPr>
            <w:tcW w:type="dxa" w:w="504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Random-mix capacity / weighted blocked-wrapper capacity.</w:t>
            </w:r>
          </w:p>
        </w:tc>
        <w:tc>
          <w:tcPr>
            <w:tcW w:type="dxa" w:w="259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Whether performance survives unpredictable wrapper selection.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Return strength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Base performance after probe / pre-probe base performance.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Whether perturbation damaged or enriched the original policy.</w:t>
            </w:r>
          </w:p>
        </w:tc>
      </w:tr>
      <w:tr>
        <w:trPr>
          <w:cantSplit/>
        </w:trPr>
        <w:tc>
          <w:tcPr>
            <w:tcW w:type="dxa" w:w="194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Compositional transfer</w:t>
            </w:r>
          </w:p>
        </w:tc>
        <w:tc>
          <w:tcPr>
            <w:tcW w:type="dxa" w:w="504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Observed first-exposure relative-flow score compared with a naïve group or model prediction from separate carrier and frame costs.</w:t>
            </w:r>
          </w:p>
        </w:tc>
        <w:tc>
          <w:tcPr>
            <w:tcW w:type="dxa" w:w="259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Evidence for recombining learned dimensions.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Late-cue cost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Late-cue performance − early-cue performance.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Cost of retaining the relation until response mapping is known.</w:t>
            </w:r>
          </w:p>
        </w:tc>
      </w:tr>
      <w:tr>
        <w:trPr>
          <w:cantSplit/>
        </w:trPr>
        <w:tc>
          <w:tcPr>
            <w:tcW w:type="dxa" w:w="194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Reinstatement</w:t>
            </w:r>
          </w:p>
        </w:tc>
        <w:tc>
          <w:tcPr>
            <w:tcW w:type="dxa" w:w="504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Post-late-cue early-mapping performance relative to original early-cue baseline.</w:t>
            </w:r>
          </w:p>
        </w:tc>
        <w:tc>
          <w:tcPr>
            <w:tcW w:type="dxa" w:w="259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Rapid return of an economical coding policy.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Delayed recovery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Delayed mixed-wrapper performance / immediate mixed-wrapper performance.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Cross-session survival.</w:t>
            </w:r>
          </w:p>
        </w:tc>
      </w:tr>
    </w:tbl>
    <w:p>
      <w:pPr>
        <w:pStyle w:val="Heading2"/>
        <w:keepNext/>
      </w:pPr>
      <w:r>
        <w:t>8.1 Piecewise learning analysis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Log candidate breakpoints at flattening, probe onset, recovery onset and mixing onset. Fit one-piece and piecewise power-law models offline. Treat a better piecewise fit as a behavioural description of strategy change, not direct evidence of a specific neural mechanism.</w:t>
      </w:r>
    </w:p>
    <w:p>
      <w:pPr>
        <w:pStyle w:val="Heading2"/>
        <w:keepNext/>
      </w:pPr>
      <w:r>
        <w:t>8.2 What not to infer</w:t>
      </w:r>
    </w:p>
    <w:p>
      <w:pPr>
        <w:pStyle w:val="ListBullet"/>
        <w:spacing w:after="40"/>
      </w:pPr>
      <w:r>
        <w:rPr>
          <w:rFonts w:ascii="Aptos" w:hAnsi="Aptos"/>
          <w:b/>
          <w:color w:val="333333"/>
          <w:sz w:val="18"/>
        </w:rPr>
        <w:t xml:space="preserve">Do not label RT heavy tails as neural criticality. </w:t>
      </w:r>
      <w:r>
        <w:rPr>
          <w:rFonts w:ascii="Aptos" w:hAnsi="Aptos"/>
          <w:color w:val="333333"/>
          <w:sz w:val="18"/>
        </w:rPr>
        <w:t>Retain update distributions only as exploratory research variables.</w:t>
      </w:r>
    </w:p>
    <w:p>
      <w:pPr>
        <w:pStyle w:val="ListBullet"/>
        <w:spacing w:after="40"/>
      </w:pPr>
      <w:r>
        <w:rPr>
          <w:rFonts w:ascii="Aptos" w:hAnsi="Aptos"/>
          <w:b/>
          <w:color w:val="333333"/>
          <w:sz w:val="18"/>
        </w:rPr>
        <w:t xml:space="preserve">Do not call a binary colour-cued rule “3+ bits” without derivation. </w:t>
      </w:r>
      <w:r>
        <w:rPr>
          <w:rFonts w:ascii="Aptos" w:hAnsi="Aptos"/>
          <w:color w:val="333333"/>
          <w:sz w:val="18"/>
        </w:rPr>
        <w:t>Information demand must follow the active state space and calibration model.</w:t>
      </w:r>
    </w:p>
    <w:p>
      <w:pPr>
        <w:pStyle w:val="ListBullet"/>
        <w:spacing w:after="40"/>
      </w:pPr>
      <w:r>
        <w:rPr>
          <w:rFonts w:ascii="Aptos" w:hAnsi="Aptos"/>
          <w:b/>
          <w:color w:val="333333"/>
          <w:sz w:val="18"/>
        </w:rPr>
        <w:t xml:space="preserve">Do not claim representational decoding from RT alone. </w:t>
      </w:r>
      <w:r>
        <w:rPr>
          <w:rFonts w:ascii="Aptos" w:hAnsi="Aptos"/>
          <w:color w:val="333333"/>
          <w:sz w:val="18"/>
        </w:rPr>
        <w:t>Use “behavioural signature consistent with a strategy shift”.</w:t>
      </w:r>
    </w:p>
    <w:p>
      <w:pPr>
        <w:pStyle w:val="ListBullet"/>
        <w:spacing w:after="40"/>
      </w:pPr>
      <w:r>
        <w:rPr>
          <w:rFonts w:ascii="Aptos" w:hAnsi="Aptos"/>
          <w:b/>
          <w:color w:val="333333"/>
          <w:sz w:val="18"/>
        </w:rPr>
        <w:t xml:space="preserve">Do not call relative-flow success broad far transfer. </w:t>
      </w:r>
      <w:r>
        <w:rPr>
          <w:rFonts w:ascii="Aptos" w:hAnsi="Aptos"/>
          <w:color w:val="333333"/>
          <w:sz w:val="18"/>
        </w:rPr>
        <w:t>It is compositional transfer within the app’s visual-relational family.</w:t>
      </w:r>
    </w:p>
    <w:p>
      <w:pPr>
        <w:pStyle w:val="Heading1"/>
        <w:keepNext/>
      </w:pPr>
      <w:r>
        <w:t>9. User-facing feedback and internal phase labels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The science remains in the controller. User feedback should be brief and should normalise temporary disruption after a wrapper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88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Internal phase</w:t>
            </w:r>
          </w:p>
        </w:tc>
        <w:tc>
          <w:tcPr>
            <w:tcW w:type="dxa" w:w="223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User-facing label</w:t>
            </w:r>
          </w:p>
        </w:tc>
        <w:tc>
          <w:tcPr>
            <w:tcW w:type="dxa" w:w="5256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One-line guidance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improving</w:t>
            </w:r>
          </w:p>
        </w:tc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Building</w:t>
            </w:r>
          </w:p>
        </w:tc>
        <w:tc>
          <w:tcPr>
            <w:tcW w:type="dxa" w:w="52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Your current pattern is becoming more stable.</w:t>
            </w:r>
          </w:p>
        </w:tc>
      </w:tr>
      <w:tr>
        <w:trPr>
          <w:cantSplit/>
        </w:trPr>
        <w:tc>
          <w:tcPr>
            <w:tcW w:type="dxa" w:w="208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flattening</w:t>
            </w:r>
          </w:p>
        </w:tc>
        <w:tc>
          <w:tcPr>
            <w:tcW w:type="dxa" w:w="22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Ready for a change</w:t>
            </w:r>
          </w:p>
        </w:tc>
        <w:tc>
          <w:tcPr>
            <w:tcW w:type="dxa" w:w="525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 new format may help test what has really transferred.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expected_dip</w:t>
            </w:r>
          </w:p>
        </w:tc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New format dip</w:t>
            </w:r>
          </w:p>
        </w:tc>
        <w:tc>
          <w:tcPr>
            <w:tcW w:type="dxa" w:w="52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 temporary drop is expected while you recover the same rule.</w:t>
            </w:r>
          </w:p>
        </w:tc>
      </w:tr>
      <w:tr>
        <w:trPr>
          <w:cantSplit/>
        </w:trPr>
        <w:tc>
          <w:tcPr>
            <w:tcW w:type="dxa" w:w="208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recovery_starting</w:t>
            </w:r>
          </w:p>
        </w:tc>
        <w:tc>
          <w:tcPr>
            <w:tcW w:type="dxa" w:w="22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Recovering</w:t>
            </w:r>
          </w:p>
        </w:tc>
        <w:tc>
          <w:tcPr>
            <w:tcW w:type="dxa" w:w="525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The rule is beginning to work in the new format.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ready_to_mix</w:t>
            </w:r>
          </w:p>
        </w:tc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Ready to mix</w:t>
            </w:r>
          </w:p>
        </w:tc>
        <w:tc>
          <w:tcPr>
            <w:tcW w:type="dxa" w:w="52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Now practise the rule without knowing which format comes next.</w:t>
            </w:r>
          </w:p>
        </w:tc>
      </w:tr>
      <w:tr>
        <w:trPr>
          <w:cantSplit/>
        </w:trPr>
        <w:tc>
          <w:tcPr>
            <w:tcW w:type="dxa" w:w="208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stable_at_level</w:t>
            </w:r>
          </w:p>
        </w:tc>
        <w:tc>
          <w:tcPr>
            <w:tcW w:type="dxa" w:w="22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Stable</w:t>
            </w:r>
          </w:p>
        </w:tc>
        <w:tc>
          <w:tcPr>
            <w:tcW w:type="dxa" w:w="525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The relation is holding across the current formats.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delayed_check_due</w:t>
            </w:r>
          </w:p>
        </w:tc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Re-check due</w:t>
            </w:r>
          </w:p>
        </w:tc>
        <w:tc>
          <w:tcPr>
            <w:tcW w:type="dxa" w:w="52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Test whether the rule still works after time away.</w:t>
            </w:r>
          </w:p>
        </w:tc>
      </w:tr>
    </w:tbl>
    <w:p>
      <w:pPr>
        <w:pStyle w:val="Heading1"/>
        <w:keepNext/>
      </w:pPr>
      <w:r>
        <w:t>10. Minimum data model</w:t>
      </w:r>
    </w:p>
    <w:p>
      <w:pPr>
        <w:spacing w:after="80"/>
      </w:pPr>
      <w:r>
        <w:rPr>
          <w:rFonts w:ascii="Aptos" w:hAnsi="Aptos"/>
          <w:i w:val="0"/>
          <w:color w:val="333333"/>
          <w:sz w:val="18"/>
        </w:rPr>
        <w:t>All raw trials and derived estimates must remain separate and versioned. The canonical estimates are computed or verified server-side.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00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763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Required fields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Trial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user_id; session_id; block_id; trial_index; carrier; frame; relation; mapping_timing; wrapper_id; probe_status; majority_ratio; exposure_actual; response; correctness; RT; lure_type; timing_quality</w:t>
            </w:r>
          </w:p>
        </w:tc>
      </w:tr>
      <w:tr>
        <w:trPr>
          <w:cantSplit/>
        </w:trPr>
        <w:tc>
          <w:tcPr>
            <w:tcW w:type="dxa" w:w="18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Block</w:t>
            </w:r>
          </w:p>
        </w:tc>
        <w:tc>
          <w:tcPr>
            <w:tcW w:type="dxa" w:w="76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phase; base_wrapper; probe_wrapper; mix_ratio; valid_trials; balanced_accuracy; median_correct_RT; lapse_rate; slope; state_quality; decision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Wrapper state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status: locked / base / flattening / probe / recovering / mixed / delayed_due; current_capacity; recent_slope; recovery_ratio; return_strength</w:t>
            </w:r>
          </w:p>
        </w:tc>
      </w:tr>
      <w:tr>
        <w:trPr>
          <w:cantSplit/>
        </w:trPr>
        <w:tc>
          <w:tcPr>
            <w:tcW w:type="dxa" w:w="18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Transfer event</w:t>
            </w:r>
          </w:p>
        </w:tc>
        <w:tc>
          <w:tcPr>
            <w:tcW w:type="dxa" w:w="76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event_type; source_wrapper; target_wrapper; gate_snapshot; first_exposure_metrics; recovery_metrics; held_out_flag; feedback_status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Model registry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4"/>
              </w:rPr>
              <w:t>model_id; version; evidence_tier; demand formula; thresholds; scoring method; retirement date</w:t>
            </w:r>
          </w:p>
        </w:tc>
      </w:tr>
    </w:tbl>
    <w:p>
      <w:pPr>
        <w:pStyle w:val="Heading2"/>
        <w:keepNext/>
      </w:pPr>
      <w:r>
        <w:t>10.1 Required controller functions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7F9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333333"/>
                <w:sz w:val="17"/>
              </w:rPr>
              <w:t>detectFlattening(wrapperState)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selectDiagnosticProbe(userState)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startTransitionProbe(baseWrapper, targetWrapper)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computeInitialDip(baseWindow, probeWindow)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detectRecovery(probeHistory)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chooseMixRatio(recoveryState)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runReturnToBaseTest()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selectHeldOutCombination(userHistory)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computeCompositionalTransfer()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scheduleDelayedRecheck()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updateWrapperState()</w:t>
            </w:r>
          </w:p>
        </w:tc>
      </w:tr>
    </w:tbl>
    <w:p>
      <w:pPr>
        <w:pStyle w:val="Heading1"/>
        <w:keepNext/>
      </w:pPr>
      <w:r>
        <w:t>11. Acceptance tests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16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416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Required test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Progression</w:t>
            </w:r>
          </w:p>
        </w:tc>
        <w:tc>
          <w:tcPr>
            <w:tcW w:type="dxa" w:w="74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 full 20% transition probe cannot begin before the flattening gate passes.</w:t>
            </w:r>
          </w:p>
        </w:tc>
      </w:tr>
      <w:tr>
        <w:trPr>
          <w:cantSplit/>
        </w:trPr>
        <w:tc>
          <w:tcPr>
            <w:tcW w:type="dxa" w:w="201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Diagnostic probes</w:t>
            </w:r>
          </w:p>
        </w:tc>
        <w:tc>
          <w:tcPr>
            <w:tcW w:type="dxa" w:w="741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5–10% early probes do not advance wrapper state or count as mastery.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Matched demand</w:t>
            </w:r>
          </w:p>
        </w:tc>
        <w:tc>
          <w:tcPr>
            <w:tcW w:type="dxa" w:w="74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Carrier and frame costs compare conditions at matched relation set, response set and calibrated difficulty.</w:t>
            </w:r>
          </w:p>
        </w:tc>
      </w:tr>
      <w:tr>
        <w:trPr>
          <w:cantSplit/>
        </w:trPr>
        <w:tc>
          <w:tcPr>
            <w:tcW w:type="dxa" w:w="201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Held-out condition</w:t>
            </w:r>
          </w:p>
        </w:tc>
        <w:tc>
          <w:tcPr>
            <w:tcW w:type="dxa" w:w="741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Relative optic flow remains untrained until the compositional probe is logged.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Mapping benchmark</w:t>
            </w:r>
          </w:p>
        </w:tc>
        <w:tc>
          <w:tcPr>
            <w:tcW w:type="dxa" w:w="74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Early-cue and late-cue conditions preserve the same latent relation and final response options.</w:t>
            </w:r>
          </w:p>
        </w:tc>
      </w:tr>
      <w:tr>
        <w:trPr>
          <w:cantSplit/>
        </w:trPr>
        <w:tc>
          <w:tcPr>
            <w:tcW w:type="dxa" w:w="201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Mixing</w:t>
            </w:r>
          </w:p>
        </w:tc>
        <w:tc>
          <w:tcPr>
            <w:tcW w:type="dxa" w:w="741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The controller supports 80/20, 60/40, 50/50 and random mixing without advance warning of carrier.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Re-entry</w:t>
            </w:r>
          </w:p>
        </w:tc>
        <w:tc>
          <w:tcPr>
            <w:tcW w:type="dxa" w:w="74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Every major probe includes a return-to-base test.</w:t>
            </w:r>
          </w:p>
        </w:tc>
      </w:tr>
      <w:tr>
        <w:trPr>
          <w:cantSplit/>
        </w:trPr>
        <w:tc>
          <w:tcPr>
            <w:tcW w:type="dxa" w:w="201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Delay</w:t>
            </w:r>
          </w:p>
        </w:tc>
        <w:tc>
          <w:tcPr>
            <w:tcW w:type="dxa" w:w="741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A delayed mixed-wrapper re-check is scheduled before the relation is marked portable.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Timing</w:t>
            </w:r>
          </w:p>
        </w:tc>
        <w:tc>
          <w:tcPr>
            <w:tcW w:type="dxa" w:w="74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Dropped frames and visibility changes exclude contaminated trials from high-confidence estimates.</w:t>
            </w:r>
          </w:p>
        </w:tc>
      </w:tr>
      <w:tr>
        <w:trPr>
          <w:cantSplit/>
        </w:trPr>
        <w:tc>
          <w:tcPr>
            <w:tcW w:type="dxa" w:w="201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Claims</w:t>
            </w:r>
          </w:p>
        </w:tc>
        <w:tc>
          <w:tcPr>
            <w:tcW w:type="dxa" w:w="741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5"/>
              </w:rPr>
              <w:t>Public copy does not imply neural decoding, guaranteed far transfer, IQ gain or measured criticality.</w:t>
            </w:r>
          </w:p>
        </w:tc>
      </w:tr>
    </w:tbl>
    <w:p>
      <w:pPr>
        <w:pStyle w:val="Heading1"/>
        <w:keepNext/>
      </w:pPr>
      <w:r>
        <w:t>12. Implementation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224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8208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Build item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1</w:t>
            </w:r>
          </w:p>
        </w:tc>
        <w:tc>
          <w:tcPr>
            <w:tcW w:type="dxa" w:w="82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Versioned carrier × frame state grammar and wrapper-state controller.</w:t>
            </w:r>
          </w:p>
        </w:tc>
      </w:tr>
      <w:tr>
        <w:trPr>
          <w:cantSplit/>
        </w:trPr>
        <w:tc>
          <w:tcPr>
            <w:tcW w:type="dxa" w:w="122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2</w:t>
            </w:r>
          </w:p>
        </w:tc>
        <w:tc>
          <w:tcPr>
            <w:tcW w:type="dxa" w:w="820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Absolute-arrow base task with reliable timing and capacity estimates.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3</w:t>
            </w:r>
          </w:p>
        </w:tc>
        <w:tc>
          <w:tcPr>
            <w:tcW w:type="dxa" w:w="82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Flattening detector with state and timing blockers.</w:t>
            </w:r>
          </w:p>
        </w:tc>
      </w:tr>
      <w:tr>
        <w:trPr>
          <w:cantSplit/>
        </w:trPr>
        <w:tc>
          <w:tcPr>
            <w:tcW w:type="dxa" w:w="122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4</w:t>
            </w:r>
          </w:p>
        </w:tc>
        <w:tc>
          <w:tcPr>
            <w:tcW w:type="dxa" w:w="820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Absolute optic-flow diagnostic and 20% transition probes.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5</w:t>
            </w:r>
          </w:p>
        </w:tc>
        <w:tc>
          <w:tcPr>
            <w:tcW w:type="dxa" w:w="82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Recovery, return-to-base and progressive mixing logic.</w:t>
            </w:r>
          </w:p>
        </w:tc>
      </w:tr>
      <w:tr>
        <w:trPr>
          <w:cantSplit/>
        </w:trPr>
        <w:tc>
          <w:tcPr>
            <w:tcW w:type="dxa" w:w="122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6</w:t>
            </w:r>
          </w:p>
        </w:tc>
        <w:tc>
          <w:tcPr>
            <w:tcW w:type="dxa" w:w="820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Relative-arrow frame task and absolute/relative mixing.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7</w:t>
            </w:r>
          </w:p>
        </w:tc>
        <w:tc>
          <w:tcPr>
            <w:tcW w:type="dxa" w:w="82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Held-out relative-optic-flow compositional probe.</w:t>
            </w:r>
          </w:p>
        </w:tc>
      </w:tr>
      <w:tr>
        <w:trPr>
          <w:cantSplit/>
        </w:trPr>
        <w:tc>
          <w:tcPr>
            <w:tcW w:type="dxa" w:w="122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8</w:t>
            </w:r>
          </w:p>
        </w:tc>
        <w:tc>
          <w:tcPr>
            <w:tcW w:type="dxa" w:w="820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Full 2 × 2 carrier × frame random mixing.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9</w:t>
            </w:r>
          </w:p>
        </w:tc>
        <w:tc>
          <w:tcPr>
            <w:tcW w:type="dxa" w:w="82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Early-cue / late-cue mapping benchmark and reinstatement test.</w:t>
            </w:r>
          </w:p>
        </w:tc>
      </w:tr>
      <w:tr>
        <w:trPr>
          <w:cantSplit/>
        </w:trPr>
        <w:tc>
          <w:tcPr>
            <w:tcW w:type="dxa" w:w="1224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10</w:t>
            </w:r>
          </w:p>
        </w:tc>
        <w:tc>
          <w:tcPr>
            <w:tcW w:type="dxa" w:w="8208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Delayed re-checks and downstream memory, prediction and reasoning bridges.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11</w:t>
            </w:r>
          </w:p>
        </w:tc>
        <w:tc>
          <w:tcPr>
            <w:tcW w:type="dxa" w:w="82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Offline piecewise learning analysis and research dashboards.</w:t>
            </w:r>
          </w:p>
        </w:tc>
      </w:tr>
    </w:tbl>
    <w:p>
      <w:pPr>
        <w:pStyle w:val="Heading1"/>
        <w:keepNext/>
      </w:pPr>
      <w:r>
        <w:t>13. Claims boundary and validation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112"/>
            <w:shd w:fill="22AAF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12"/>
            <w:shd w:fill="F3F9F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764B7"/>
                <w:sz w:val="20"/>
              </w:rPr>
              <w:t>Safe protocol claim</w:t>
            </w:r>
          </w:p>
          <w:p>
            <w:pPr>
              <w:spacing w:after="0"/>
            </w:pPr>
            <w:r>
              <w:rPr>
                <w:rFonts w:ascii="Aptos" w:hAnsi="Aptos"/>
                <w:color w:val="333333"/>
                <w:sz w:val="18"/>
              </w:rPr>
              <w:t>IQ Coach is designed to train and test whether task-relevant relations can be recovered across changes in visual carrier, reference frame, response mapping and delay.</w:t>
            </w:r>
          </w:p>
        </w:tc>
      </w:tr>
    </w:tbl>
    <w:p>
      <w:pPr>
        <w:spacing w:after="80"/>
      </w:pPr>
      <w:r>
        <w:rPr>
          <w:rFonts w:ascii="Aptos" w:hAnsi="Aptos"/>
          <w:i w:val="0"/>
          <w:color w:val="333333"/>
          <w:sz w:val="18"/>
        </w:rPr>
        <w:t>The protocol may describe wrapper recovery, representational flexibility, held-out compositional transfer, mixed-wrapper stability and delayed recovery. It should not claim that the app directly trains the hippocampus, measures hippocampal–prefrontal geometry, proves IQ gain or guarantees broad real-world far transfer.</w:t>
      </w:r>
    </w:p>
    <w:p>
      <w:pPr>
        <w:pStyle w:val="Heading2"/>
        <w:keepNext/>
      </w:pPr>
      <w:r>
        <w:t>13.1 Validation ladder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232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Evidence level</w:t>
            </w:r>
          </w:p>
        </w:tc>
        <w:tc>
          <w:tcPr>
            <w:tcW w:type="dxa" w:w="7200"/>
            <w:shd w:fill="2764B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Local learning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Improvement within a trained wrapper.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Carrier transfer</w:t>
            </w:r>
          </w:p>
        </w:tc>
        <w:tc>
          <w:tcPr>
            <w:tcW w:type="dxa" w:w="72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Recovery of the same relation in optic flow.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Frame transfer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Recovery under centre-relative coordinates.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Compositional transfer</w:t>
            </w:r>
          </w:p>
        </w:tc>
        <w:tc>
          <w:tcPr>
            <w:tcW w:type="dxa" w:w="72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First-exposure success on the held-out relative-flow cell.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Representational flexibility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Late-cue relation retention plus rapid early-cue reinstatement.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Mixed portability</w:t>
            </w:r>
          </w:p>
        </w:tc>
        <w:tc>
          <w:tcPr>
            <w:tcW w:type="dxa" w:w="72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Stable performance when carrier and frame vary unpredictably.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Delayed portability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Mixed relation survives across sessions.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Vertical transfer</w:t>
            </w:r>
          </w:p>
        </w:tc>
        <w:tc>
          <w:tcPr>
            <w:tcW w:type="dxa" w:w="7200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The relation supports memory, binding, prediction and reasoning outputs.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External transfer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3" w:color="E0E0E0"/>
              <w:left w:val="single" w:sz="3" w:color="E0E0E0"/>
              <w:bottom w:val="single" w:sz="3" w:color="E0E0E0"/>
              <w:right w:val="single" w:sz="3" w:color="E0E0E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6"/>
              </w:rPr>
              <w:t>Independent benchmark or applied outcome improves beyond suitable controls.</w:t>
            </w:r>
          </w:p>
        </w:tc>
      </w:tr>
    </w:tbl>
    <w:p>
      <w:pPr>
        <w:pStyle w:val="Heading1"/>
        <w:keepNext/>
      </w:pPr>
      <w:r>
        <w:t>14. Final protocol compression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7F9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Aptos Mono" w:hAnsi="Aptos Mono"/>
                <w:color w:val="333333"/>
                <w:sz w:val="17"/>
              </w:rPr>
              <w:t>STABILISE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Train one wrapper until the relation is reliable and the curve flattens.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PERTURB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Introduce a matched new carrier or frame at 20%.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RECOVER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Expect a dip; hold demand steady until a positive recovery slope appears.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RE-ENTER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Return to the base wrapper to test that the original policy remains available.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MIX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Increase unpredictability: 80/20 → 60/40 → 50/50 → random.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RECOMBINE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Test the held-out carrier × frame condition before direct practice.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REMAP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Use late-cue mapping to require relation retention rather than a prepared button.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RE-CHECK</w:t>
            </w:r>
            <w:r>
              <w:br/>
            </w:r>
            <w:r>
              <w:rPr>
                <w:rFonts w:ascii="Aptos Mono" w:hAnsi="Aptos Mono"/>
                <w:color w:val="333333"/>
                <w:sz w:val="17"/>
              </w:rPr>
              <w:t>Test mixed performance after delay and in downstream reasoning or prediction.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112"/>
            <w:shd w:fill="CCFF6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12"/>
            <w:shd w:fill="F7FAF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764B7"/>
                <w:sz w:val="20"/>
              </w:rPr>
              <w:t>Governing principle</w:t>
            </w:r>
          </w:p>
          <w:p>
            <w:pPr>
              <w:spacing w:after="0"/>
            </w:pPr>
            <w:r>
              <w:rPr>
                <w:rFonts w:ascii="Aptos" w:hAnsi="Aptos"/>
                <w:color w:val="333333"/>
                <w:sz w:val="18"/>
              </w:rPr>
              <w:t>Bank only what survives wrapper change, response remapping, unpredictable mixing, held-out recombination and delay.</w:t>
            </w:r>
          </w:p>
        </w:tc>
      </w:tr>
    </w:tbl>
    <w:p>
      <w:pPr>
        <w:pStyle w:val="Heading1"/>
        <w:keepNext/>
      </w:pPr>
      <w:r>
        <w:t>References</w:t>
      </w:r>
    </w:p>
    <w:p>
      <w:pPr>
        <w:spacing w:after="100"/>
        <w:ind w:left="360" w:hanging="360"/>
      </w:pPr>
      <w:r>
        <w:rPr>
          <w:rFonts w:ascii="Aptos" w:hAnsi="Aptos"/>
          <w:color w:val="333333"/>
          <w:sz w:val="16"/>
        </w:rPr>
        <w:t>Donner, Y., &amp; Hardy, J. L. (2015). Piecewise power laws in individual learning curves. Psychonomic Bulletin &amp; Review, 22(5), 1308–1319. https://doi.org/10.3758/s13423-015-0811-x</w:t>
      </w:r>
    </w:p>
    <w:p>
      <w:pPr>
        <w:spacing w:after="100"/>
        <w:ind w:left="360" w:hanging="360"/>
      </w:pPr>
      <w:r>
        <w:rPr>
          <w:rFonts w:ascii="Aptos" w:hAnsi="Aptos"/>
          <w:color w:val="333333"/>
          <w:sz w:val="16"/>
        </w:rPr>
        <w:t>Gershman, S. J. (2018). The successor representation: Its computational logic and neural substrates. The Journal of Neuroscience, 38(33), 7193–7200. https://doi.org/10.1523/JNEUROSCI.0151-18.2018</w:t>
      </w:r>
    </w:p>
    <w:p>
      <w:pPr>
        <w:spacing w:after="100"/>
        <w:ind w:left="360" w:hanging="360"/>
      </w:pPr>
      <w:r>
        <w:rPr>
          <w:rFonts w:ascii="Aptos" w:hAnsi="Aptos"/>
          <w:color w:val="333333"/>
          <w:sz w:val="16"/>
        </w:rPr>
        <w:t>Li, J., Xu, A. Z., Bao, C., Albesa-González, A., Li, L., Clopath, C., &amp; Erlich, J. C. (2025). Flexible selection of working memory representations to reduce cognitive cost. bioRxiv. https://doi.org/10.1101/2025.11.28.691186</w:t>
      </w:r>
    </w:p>
    <w:p>
      <w:pPr>
        <w:spacing w:after="100"/>
        <w:ind w:left="360" w:hanging="360"/>
      </w:pPr>
      <w:r>
        <w:rPr>
          <w:rFonts w:ascii="Aptos" w:hAnsi="Aptos"/>
          <w:color w:val="333333"/>
          <w:sz w:val="16"/>
        </w:rPr>
        <w:t>Melby-Lervåg, M., Redick, T. S., &amp; Hulme, C. (2016). Working memory training does not improve performance on measures of intelligence or other measures of “far transfer”: Evidence from a meta-analytic review. Perspectives on Psychological Science, 11(4), 512–534. https://doi.org/10.1177/1745691616635612</w:t>
      </w:r>
    </w:p>
    <w:p>
      <w:pPr>
        <w:spacing w:after="100"/>
        <w:ind w:left="360" w:hanging="360"/>
      </w:pPr>
      <w:r>
        <w:rPr>
          <w:rFonts w:ascii="Aptos" w:hAnsi="Aptos"/>
          <w:color w:val="333333"/>
          <w:sz w:val="16"/>
        </w:rPr>
        <w:t>Stachenfeld, K. L., Botvinick, M. M., &amp; Gershman, S. J. (2017). The hippocampus as a predictive map. Nature Neuroscience, 20(11), 1643–1653. https://doi.org/10.1038/nn.4650</w:t>
      </w:r>
    </w:p>
    <w:p>
      <w:pPr>
        <w:pStyle w:val="Heading2"/>
        <w:keepNext/>
      </w:pPr>
      <w:r>
        <w:t>Internal source documents</w:t>
      </w:r>
    </w:p>
    <w:p>
      <w:pPr>
        <w:pStyle w:val="ListBullet"/>
        <w:spacing w:after="40"/>
      </w:pPr>
      <w:r>
        <w:rPr>
          <w:rFonts w:ascii="Aptos" w:hAnsi="Aptos"/>
          <w:color w:val="333333"/>
          <w:sz w:val="18"/>
        </w:rPr>
        <w:t>IQ Coach Full App Specification, v0.2.</w:t>
      </w:r>
    </w:p>
    <w:p>
      <w:pPr>
        <w:pStyle w:val="ListBullet"/>
        <w:spacing w:after="40"/>
      </w:pPr>
      <w:r>
        <w:rPr>
          <w:rFonts w:ascii="Aptos" w:hAnsi="Aptos"/>
          <w:color w:val="333333"/>
          <w:sz w:val="18"/>
        </w:rPr>
        <w:t>Trident-G Far Transfer Protocol.</w:t>
      </w:r>
    </w:p>
    <w:p>
      <w:pPr>
        <w:pStyle w:val="ListBullet"/>
        <w:spacing w:after="40"/>
      </w:pPr>
      <w:r>
        <w:rPr>
          <w:rFonts w:ascii="Aptos" w:hAnsi="Aptos"/>
          <w:color w:val="333333"/>
          <w:sz w:val="18"/>
        </w:rPr>
        <w:t>IQ Coach CCC and WM layer specifications.</w:t>
      </w:r>
    </w:p>
    <w:p>
      <w:pPr>
        <w:pStyle w:val="ListBullet"/>
        <w:spacing w:after="40"/>
      </w:pPr>
      <w:r>
        <w:rPr>
          <w:rFonts w:ascii="Aptos" w:hAnsi="Aptos"/>
          <w:color w:val="333333"/>
          <w:sz w:val="18"/>
        </w:rPr>
        <w:t>Project discussion: flexible working-memory representations, carrier/frame progression and flattening-gated wrapper recovery.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ptos" w:hAnsi="Aptos"/>
        <w:color w:val="6D6D6D"/>
        <w:sz w:val="15"/>
      </w:rPr>
      <w:t xml:space="preserve">Representational Transfer Protocol v1.0  •  Team specification  •  July 2026  •  Page </w:t>
    </w:r>
    <w:r>
      <w:rPr>
        <w:rFonts w:ascii="Aptos" w:hAnsi="Aptos"/>
        <w:color w:val="6D6D6D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764B7"/>
        <w:sz w:val="15"/>
      </w:rPr>
      <w:t>IQ MINDWARE  |  IQ COACH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764B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AA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Aptos" w:hAnsi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Coach Representational Transfer Protocol v1.0</dc:title>
  <dc:subject>Flattening-gated carrier, frame and coding-opportunity transfer protocol</dc:subject>
  <dc:creator>IQ Mindware</dc:creator>
  <cp:keywords>IQ Coach, far transfer, representational transfer, optic flow, arrows, hippocampal-prefrontal, piecewise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