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AC87F">
      <w:pPr>
        <w:pBdr>
          <w:top w:val="single" w:color="1F3864" w:sz="18" w:space="0"/>
        </w:pBdr>
        <w:spacing w:before="0" w:after="0" w:line="240" w:lineRule="auto"/>
      </w:pPr>
    </w:p>
    <w:p w14:paraId="39D73B85">
      <w:pPr>
        <w:spacing w:before="0" w:after="1800" w:line="240" w:lineRule="auto"/>
        <w:ind w:firstLineChars="0"/>
      </w:pPr>
    </w:p>
    <w:p w14:paraId="2E8E8D2B">
      <w:pPr>
        <w:spacing w:before="0" w:after="600" w:line="240" w:lineRule="auto"/>
        <w:ind w:firstLineChars="0"/>
        <w:jc w:val="center"/>
      </w:pPr>
      <w:r>
        <w:rPr>
          <w:rFonts w:ascii="Arial" w:hAnsi="Arial" w:eastAsia="黑体"/>
          <w:b w:val="0"/>
          <w:color w:val="595959"/>
          <w:sz w:val="28"/>
        </w:rPr>
        <w:t>用 户 使 用 手 册</w:t>
      </w:r>
    </w:p>
    <w:p w14:paraId="65FD0CEC">
      <w:pPr>
        <w:spacing w:before="0" w:after="320" w:line="288" w:lineRule="auto"/>
        <w:ind w:firstLineChars="0"/>
        <w:jc w:val="center"/>
      </w:pPr>
      <w:r>
        <w:rPr>
          <w:rFonts w:ascii="Arial" w:hAnsi="Arial" w:eastAsia="黑体"/>
          <w:b/>
          <w:color w:val="1F3864"/>
          <w:sz w:val="52"/>
        </w:rPr>
        <w:t>地址坐标转换工具使用指南</w:t>
      </w:r>
    </w:p>
    <w:p w14:paraId="03B93C41">
      <w:pPr>
        <w:pBdr>
          <w:bottom w:val="single" w:color="1F3864" w:sz="8" w:space="6"/>
        </w:pBdr>
        <w:spacing w:after="320" w:line="240" w:lineRule="auto"/>
        <w:jc w:val="center"/>
      </w:pPr>
    </w:p>
    <w:p w14:paraId="17CD74E6">
      <w:pPr>
        <w:spacing w:before="0" w:after="1200" w:line="312" w:lineRule="auto"/>
        <w:ind w:firstLineChars="0"/>
        <w:jc w:val="center"/>
      </w:pPr>
      <w:r>
        <w:rPr>
          <w:rFonts w:ascii="Arial" w:hAnsi="Arial" w:eastAsia="楷体"/>
          <w:b w:val="0"/>
          <w:color w:val="595959"/>
          <w:sz w:val="28"/>
        </w:rPr>
        <w:t>基于高德 / 百度地图开放平台 API 的地址智能解析与坐标转换系统</w:t>
      </w:r>
    </w:p>
    <w:p w14:paraId="1C720EBA">
      <w:pPr>
        <w:spacing w:before="0" w:after="1200" w:line="240" w:lineRule="auto"/>
        <w:ind w:firstLineChars="0"/>
      </w:pPr>
    </w:p>
    <w:p w14:paraId="4E66EA27">
      <w:pPr>
        <w:spacing w:before="0" w:after="160" w:line="312" w:lineRule="auto"/>
        <w:ind w:firstLineChars="0"/>
        <w:jc w:val="center"/>
      </w:pPr>
      <w:r>
        <w:rPr>
          <w:rFonts w:ascii="Arial" w:hAnsi="Arial"/>
          <w:b w:val="0"/>
          <w:color w:val="595959"/>
          <w:sz w:val="24"/>
        </w:rPr>
        <w:t>版本：V2.8.58　　　编制日期：2026 年 9 月</w:t>
      </w:r>
    </w:p>
    <w:p w14:paraId="48D65E08">
      <w:pPr>
        <w:spacing w:before="0" w:after="0" w:line="312" w:lineRule="auto"/>
        <w:ind w:firstLineChars="0"/>
        <w:jc w:val="center"/>
      </w:pPr>
      <w:r>
        <w:rPr>
          <w:rFonts w:ascii="Arial" w:hAnsi="Arial" w:eastAsia="宋体"/>
          <w:b w:val="0"/>
          <w:color w:val="595959"/>
          <w:sz w:val="24"/>
        </w:rPr>
        <w:t>技术支持邮箱：1178258589@qq.com</w:t>
      </w:r>
    </w:p>
    <w:p w14:paraId="689EF766">
      <w:pPr>
        <w:sectPr>
          <w:pgSz w:w="11906" w:h="16838"/>
          <w:pgMar w:top="1417" w:right="1417" w:bottom="1417" w:left="1417" w:header="850" w:footer="850" w:gutter="0"/>
          <w:cols w:space="720" w:num="1"/>
          <w:docGrid w:linePitch="360" w:charSpace="0"/>
        </w:sectPr>
      </w:pPr>
    </w:p>
    <w:p w14:paraId="0A6482AE">
      <w:pPr>
        <w:spacing w:before="0" w:after="280" w:line="240" w:lineRule="auto"/>
        <w:ind w:firstLineChars="0"/>
        <w:jc w:val="center"/>
      </w:pPr>
      <w:r>
        <w:rPr>
          <w:rFonts w:ascii="Arial" w:hAnsi="Arial" w:eastAsia="黑体"/>
          <w:b/>
          <w:color w:val="1F3864"/>
          <w:sz w:val="32"/>
        </w:rPr>
        <w:t>目　　录</w:t>
      </w:r>
    </w:p>
    <w:p w14:paraId="2E8CB17A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"_LarkToc00001" </w:instrText>
      </w:r>
      <w:r>
        <w:fldChar w:fldCharType="separate"/>
      </w:r>
      <w:r>
        <w:t>一、软件简介</w:t>
      </w:r>
      <w:r>
        <w:tab/>
      </w:r>
      <w:r>
        <w:fldChar w:fldCharType="begin"/>
      </w:r>
      <w:r>
        <w:instrText xml:space="preserve"> PAGEREF _LarkToc00001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EF39AB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"_LarkToc00002" </w:instrText>
      </w:r>
      <w:r>
        <w:fldChar w:fldCharType="separate"/>
      </w:r>
      <w:r>
        <w:t>（一）软件概述</w:t>
      </w:r>
      <w:r>
        <w:tab/>
      </w:r>
      <w:r>
        <w:fldChar w:fldCharType="begin"/>
      </w:r>
      <w:r>
        <w:instrText xml:space="preserve"> PAGEREF _LarkToc00002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5ADCD2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"_LarkToc00003" </w:instrText>
      </w:r>
      <w:r>
        <w:fldChar w:fldCharType="separate"/>
      </w:r>
      <w:r>
        <w:t>（二）核心功能</w:t>
      </w:r>
      <w:r>
        <w:tab/>
      </w:r>
      <w:r>
        <w:fldChar w:fldCharType="begin"/>
      </w:r>
      <w:r>
        <w:instrText xml:space="preserve"> PAGEREF _LarkToc00003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080DED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"_LarkToc00004" </w:instrText>
      </w:r>
      <w:r>
        <w:fldChar w:fldCharType="separate"/>
      </w:r>
      <w:r>
        <w:t>（三）运行环境</w:t>
      </w:r>
      <w:r>
        <w:tab/>
      </w:r>
      <w:r>
        <w:fldChar w:fldCharType="begin"/>
      </w:r>
      <w:r>
        <w:instrText xml:space="preserve"> PAGEREF _LarkToc00004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2CFA5A5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"_LarkToc00005" </w:instrText>
      </w:r>
      <w:r>
        <w:fldChar w:fldCharType="separate"/>
      </w:r>
      <w:r>
        <w:t>二、快速上手</w:t>
      </w:r>
      <w:r>
        <w:tab/>
      </w:r>
      <w:r>
        <w:fldChar w:fldCharType="begin"/>
      </w:r>
      <w:r>
        <w:instrText xml:space="preserve"> PAGEREF _LarkToc00005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55ABC2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"_LarkToc00006" </w:instrText>
      </w:r>
      <w:r>
        <w:fldChar w:fldCharType="separate"/>
      </w:r>
      <w:r>
        <w:t>（一）启动软件</w:t>
      </w:r>
      <w:r>
        <w:tab/>
      </w:r>
      <w:r>
        <w:fldChar w:fldCharType="begin"/>
      </w:r>
      <w:r>
        <w:instrText xml:space="preserve"> PAGEREF _LarkToc00006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C042FC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"_LarkToc00007" </w:instrText>
      </w:r>
      <w:r>
        <w:fldChar w:fldCharType="separate"/>
      </w:r>
      <w:r>
        <w:t>（二）配置 API 密钥</w:t>
      </w:r>
      <w:r>
        <w:tab/>
      </w:r>
      <w:r>
        <w:fldChar w:fldCharType="begin"/>
      </w:r>
      <w:r>
        <w:instrText xml:space="preserve"> PAGEREF _LarkToc00007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61A2E0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"_LarkToc00008" </w:instrText>
      </w:r>
      <w:r>
        <w:fldChar w:fldCharType="separate"/>
      </w:r>
      <w:r>
        <w:t>（三）准备 Excel 数据</w:t>
      </w:r>
      <w:r>
        <w:tab/>
      </w:r>
      <w:r>
        <w:fldChar w:fldCharType="begin"/>
      </w:r>
      <w:r>
        <w:instrText xml:space="preserve"> PAGEREF _LarkToc00008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25F6DD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"_LarkToc00009" </w:instrText>
      </w:r>
      <w:r>
        <w:fldChar w:fldCharType="separate"/>
      </w:r>
      <w:r>
        <w:t>（四）执行首次转换</w:t>
      </w:r>
      <w:r>
        <w:tab/>
      </w:r>
      <w:r>
        <w:fldChar w:fldCharType="begin"/>
      </w:r>
      <w:r>
        <w:instrText xml:space="preserve"> PAGEREF _LarkToc00009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EF425D7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"_LarkToc00010" </w:instrText>
      </w:r>
      <w:r>
        <w:fldChar w:fldCharType="separate"/>
      </w:r>
      <w:r>
        <w:t>三、API 密钥配置详解</w:t>
      </w:r>
      <w:r>
        <w:tab/>
      </w:r>
      <w:r>
        <w:fldChar w:fldCharType="begin"/>
      </w:r>
      <w:r>
        <w:instrText xml:space="preserve"> PAGEREF _LarkToc00010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D17AB5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"_LarkToc00011" </w:instrText>
      </w:r>
      <w:r>
        <w:fldChar w:fldCharType="separate"/>
      </w:r>
      <w:r>
        <w:t>（一）高德 API Key（必填）</w:t>
      </w:r>
      <w:r>
        <w:tab/>
      </w:r>
      <w:r>
        <w:fldChar w:fldCharType="begin"/>
      </w:r>
      <w:r>
        <w:instrText xml:space="preserve"> PAGEREF _LarkToc00011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817BB3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"_LarkToc00012" </w:instrText>
      </w:r>
      <w:r>
        <w:fldChar w:fldCharType="separate"/>
      </w:r>
      <w:r>
        <w:t>（二）百度 AK（选填）</w:t>
      </w:r>
      <w:r>
        <w:tab/>
      </w:r>
      <w:r>
        <w:fldChar w:fldCharType="begin"/>
      </w:r>
      <w:r>
        <w:instrText xml:space="preserve"> PAGEREF _LarkToc00012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451AC7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"_LarkToc00013" </w:instrText>
      </w:r>
      <w:r>
        <w:fldChar w:fldCharType="separate"/>
      </w:r>
      <w:r>
        <w:t>（三）百度 Fallback 策略</w:t>
      </w:r>
      <w:r>
        <w:tab/>
      </w:r>
      <w:r>
        <w:fldChar w:fldCharType="begin"/>
      </w:r>
      <w:r>
        <w:instrText xml:space="preserve"> PAGEREF _LarkToc00013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AF57F9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"_LarkToc00014" </w:instrText>
      </w:r>
      <w:r>
        <w:fldChar w:fldCharType="separate"/>
      </w:r>
      <w:r>
        <w:t>（四）请求参数设置</w:t>
      </w:r>
      <w:r>
        <w:tab/>
      </w:r>
      <w:r>
        <w:fldChar w:fldCharType="begin"/>
      </w:r>
      <w:r>
        <w:instrText xml:space="preserve"> PAGEREF _LarkToc00014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922D6E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"_LarkToc00015" </w:instrText>
      </w:r>
      <w:r>
        <w:fldChar w:fldCharType="separate"/>
      </w:r>
      <w:r>
        <w:t>（五）密钥测试与保存</w:t>
      </w:r>
      <w:r>
        <w:tab/>
      </w:r>
      <w:r>
        <w:fldChar w:fldCharType="begin"/>
      </w:r>
      <w:r>
        <w:instrText xml:space="preserve"> PAGEREF _LarkToc00015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AA2930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"_LarkToc00016" </w:instrText>
      </w:r>
      <w:r>
        <w:fldChar w:fldCharType="separate"/>
      </w:r>
      <w:r>
        <w:t>（六）AI 大模型智能增强</w:t>
      </w:r>
      <w:r>
        <w:tab/>
      </w:r>
      <w:r>
        <w:fldChar w:fldCharType="begin"/>
      </w:r>
      <w:r>
        <w:instrText xml:space="preserve"> PAGEREF _LarkToc00016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B203949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"_LarkToc00017" </w:instrText>
      </w:r>
      <w:r>
        <w:fldChar w:fldCharType="separate"/>
      </w:r>
      <w:r>
        <w:t>四、Excel 数据格式规范</w:t>
      </w:r>
      <w:r>
        <w:tab/>
      </w:r>
      <w:r>
        <w:fldChar w:fldCharType="begin"/>
      </w:r>
      <w:r>
        <w:instrText xml:space="preserve"> PAGEREF _LarkToc00017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B7B460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"_LarkToc00018" </w:instrText>
      </w:r>
      <w:r>
        <w:fldChar w:fldCharType="separate"/>
      </w:r>
      <w:r>
        <w:t>（一）文件基本要求</w:t>
      </w:r>
      <w:r>
        <w:tab/>
      </w:r>
      <w:r>
        <w:fldChar w:fldCharType="begin"/>
      </w:r>
      <w:r>
        <w:instrText xml:space="preserve"> PAGEREF _LarkToc00018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B01AB2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"_LarkToc00019" </w:instrText>
      </w:r>
      <w:r>
        <w:fldChar w:fldCharType="separate"/>
      </w:r>
      <w:r>
        <w:t>（二）正向编码字段</w:t>
      </w:r>
      <w:r>
        <w:tab/>
      </w:r>
      <w:r>
        <w:fldChar w:fldCharType="begin"/>
      </w:r>
      <w:r>
        <w:instrText xml:space="preserve"> PAGEREF _LarkToc00019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AE3C6C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"_LarkToc00020" </w:instrText>
      </w:r>
      <w:r>
        <w:fldChar w:fldCharType="separate"/>
      </w:r>
      <w:r>
        <w:t>（三）逆向编码字段</w:t>
      </w:r>
      <w:r>
        <w:tab/>
      </w:r>
      <w:r>
        <w:fldChar w:fldCharType="begin"/>
      </w:r>
      <w:r>
        <w:instrText xml:space="preserve"> PAGEREF _LarkToc00020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949B8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"_LarkToc00021" </w:instrText>
      </w:r>
      <w:r>
        <w:fldChar w:fldCharType="separate"/>
      </w:r>
      <w:r>
        <w:t>（四）数据填写约定</w:t>
      </w:r>
      <w:r>
        <w:tab/>
      </w:r>
      <w:r>
        <w:fldChar w:fldCharType="begin"/>
      </w:r>
      <w:r>
        <w:instrText xml:space="preserve"> PAGEREF _LarkToc00021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825662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"_LarkToc00022" </w:instrText>
      </w:r>
      <w:r>
        <w:fldChar w:fldCharType="separate"/>
      </w:r>
      <w:r>
        <w:t>（五）模板下载</w:t>
      </w:r>
      <w:r>
        <w:tab/>
      </w:r>
      <w:r>
        <w:fldChar w:fldCharType="begin"/>
      </w:r>
      <w:r>
        <w:instrText xml:space="preserve"> PAGEREF _LarkToc00022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577F293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"_LarkToc00023" </w:instrText>
      </w:r>
      <w:r>
        <w:fldChar w:fldCharType="separate"/>
      </w:r>
      <w:r>
        <w:t>五、单条查询</w:t>
      </w:r>
      <w:r>
        <w:tab/>
      </w:r>
      <w:r>
        <w:fldChar w:fldCharType="begin"/>
      </w:r>
      <w:r>
        <w:instrText xml:space="preserve"> PAGEREF _LarkToc00023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C3099D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"_LarkToc00024" </w:instrText>
      </w:r>
      <w:r>
        <w:fldChar w:fldCharType="separate"/>
      </w:r>
      <w:r>
        <w:t>（一）根据地址查询</w:t>
      </w:r>
      <w:r>
        <w:tab/>
      </w:r>
      <w:r>
        <w:fldChar w:fldCharType="begin"/>
      </w:r>
      <w:r>
        <w:instrText xml:space="preserve"> PAGEREF _LarkToc00024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60A877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"_LarkToc00025" </w:instrText>
      </w:r>
      <w:r>
        <w:fldChar w:fldCharType="separate"/>
      </w:r>
      <w:r>
        <w:t>（二）根据经纬度逆编码</w:t>
      </w:r>
      <w:r>
        <w:tab/>
      </w:r>
      <w:r>
        <w:fldChar w:fldCharType="begin"/>
      </w:r>
      <w:r>
        <w:instrText xml:space="preserve"> PAGEREF _LarkToc00025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6EFCBD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"_LarkToc00026" </w:instrText>
      </w:r>
      <w:r>
        <w:fldChar w:fldCharType="separate"/>
      </w:r>
      <w:r>
        <w:t>（三）地图联动</w:t>
      </w:r>
      <w:bookmarkStart w:id="52" w:name="_GoBack"/>
      <w:bookmarkEnd w:id="52"/>
      <w:r>
        <w:tab/>
      </w:r>
      <w:r>
        <w:fldChar w:fldCharType="begin"/>
      </w:r>
      <w:r>
        <w:instrText xml:space="preserve"> PAGEREF _LarkToc00026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146E3A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"_LarkToc00027" </w:instrText>
      </w:r>
      <w:r>
        <w:fldChar w:fldCharType="separate"/>
      </w:r>
      <w:r>
        <w:t>（四）结果复制</w:t>
      </w:r>
      <w:r>
        <w:tab/>
      </w:r>
      <w:r>
        <w:fldChar w:fldCharType="begin"/>
      </w:r>
      <w:r>
        <w:instrText xml:space="preserve"> PAGEREF _LarkToc00027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2310227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"_LarkToc00028" </w:instrText>
      </w:r>
      <w:r>
        <w:fldChar w:fldCharType="separate"/>
      </w:r>
      <w:r>
        <w:t>六、批量正向编码</w:t>
      </w:r>
      <w:r>
        <w:tab/>
      </w:r>
      <w:r>
        <w:fldChar w:fldCharType="begin"/>
      </w:r>
      <w:r>
        <w:instrText xml:space="preserve"> PAGEREF _LarkToc00028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B4F543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"_LarkToc00029" </w:instrText>
      </w:r>
      <w:r>
        <w:fldChar w:fldCharType="separate"/>
      </w:r>
      <w:r>
        <w:t>（一）导入文件与数据预览</w:t>
      </w:r>
      <w:r>
        <w:tab/>
      </w:r>
      <w:r>
        <w:fldChar w:fldCharType="begin"/>
      </w:r>
      <w:r>
        <w:instrText xml:space="preserve"> PAGEREF _LarkToc00029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9F5340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"_LarkToc00030" </w:instrText>
      </w:r>
      <w:r>
        <w:fldChar w:fldCharType="separate"/>
      </w:r>
      <w:r>
        <w:t>（二）数据预处理</w:t>
      </w:r>
      <w:r>
        <w:tab/>
      </w:r>
      <w:r>
        <w:fldChar w:fldCharType="begin"/>
      </w:r>
      <w:r>
        <w:instrText xml:space="preserve"> PAGEREF _LarkToc00030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F0C717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"_LarkToc00031" </w:instrText>
      </w:r>
      <w:r>
        <w:fldChar w:fldCharType="separate"/>
      </w:r>
      <w:r>
        <w:t>（三）指定数据列</w:t>
      </w:r>
      <w:r>
        <w:tab/>
      </w:r>
      <w:r>
        <w:fldChar w:fldCharType="begin"/>
      </w:r>
      <w:r>
        <w:instrText xml:space="preserve"> PAGEREF _LarkToc00031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1F5264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"_LarkToc00032" </w:instrText>
      </w:r>
      <w:r>
        <w:fldChar w:fldCharType="separate"/>
      </w:r>
      <w:r>
        <w:t>（四）处理参数设置</w:t>
      </w:r>
      <w:r>
        <w:tab/>
      </w:r>
      <w:r>
        <w:fldChar w:fldCharType="begin"/>
      </w:r>
      <w:r>
        <w:instrText xml:space="preserve"> PAGEREF _LarkToc00032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431C08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"_LarkToc00033" </w:instrText>
      </w:r>
      <w:r>
        <w:fldChar w:fldCharType="separate"/>
      </w:r>
      <w:r>
        <w:t>（五）处理过程监控</w:t>
      </w:r>
      <w:r>
        <w:tab/>
      </w:r>
      <w:r>
        <w:fldChar w:fldCharType="begin"/>
      </w:r>
      <w:r>
        <w:instrText xml:space="preserve"> PAGEREF _LarkToc00033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168A79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"_LarkToc00034" </w:instrText>
      </w:r>
      <w:r>
        <w:fldChar w:fldCharType="separate"/>
      </w:r>
      <w:r>
        <w:t>（六）处理结果说明</w:t>
      </w:r>
      <w:r>
        <w:tab/>
      </w:r>
      <w:r>
        <w:fldChar w:fldCharType="begin"/>
      </w:r>
      <w:r>
        <w:instrText xml:space="preserve"> PAGEREF _LarkToc00034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C8ABC8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"_LarkToc00035" </w:instrText>
      </w:r>
      <w:r>
        <w:fldChar w:fldCharType="separate"/>
      </w:r>
      <w:r>
        <w:t>（七）结果导出</w:t>
      </w:r>
      <w:r>
        <w:tab/>
      </w:r>
      <w:r>
        <w:fldChar w:fldCharType="begin"/>
      </w:r>
      <w:r>
        <w:instrText xml:space="preserve"> PAGEREF _LarkToc00035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7B4CB2D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"_LarkToc00036" </w:instrText>
      </w:r>
      <w:r>
        <w:fldChar w:fldCharType="separate"/>
      </w:r>
      <w:r>
        <w:t>七、批量逆向编码</w:t>
      </w:r>
      <w:r>
        <w:tab/>
      </w:r>
      <w:r>
        <w:fldChar w:fldCharType="begin"/>
      </w:r>
      <w:r>
        <w:instrText xml:space="preserve"> PAGEREF _LarkToc00036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6F0D49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"_LarkToc00037" </w:instrText>
      </w:r>
      <w:r>
        <w:fldChar w:fldCharType="separate"/>
      </w:r>
      <w:r>
        <w:t>（一）导入文件与列选择</w:t>
      </w:r>
      <w:r>
        <w:tab/>
      </w:r>
      <w:r>
        <w:fldChar w:fldCharType="begin"/>
      </w:r>
      <w:r>
        <w:instrText xml:space="preserve"> PAGEREF _LarkToc00037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A1D326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"_LarkToc00038" </w:instrText>
      </w:r>
      <w:r>
        <w:fldChar w:fldCharType="separate"/>
      </w:r>
      <w:r>
        <w:t>（二）处理与结果</w:t>
      </w:r>
      <w:r>
        <w:tab/>
      </w:r>
      <w:r>
        <w:fldChar w:fldCharType="begin"/>
      </w:r>
      <w:r>
        <w:instrText xml:space="preserve"> PAGEREF _LarkToc00038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DDAAAE0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"_LarkToc00039" </w:instrText>
      </w:r>
      <w:r>
        <w:fldChar w:fldCharType="separate"/>
      </w:r>
      <w:r>
        <w:t>八、坐标转换</w:t>
      </w:r>
      <w:r>
        <w:tab/>
      </w:r>
      <w:r>
        <w:fldChar w:fldCharType="begin"/>
      </w:r>
      <w:r>
        <w:instrText xml:space="preserve"> PAGEREF _LarkToc00039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E313FB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"_LarkToc00040" </w:instrText>
      </w:r>
      <w:r>
        <w:fldChar w:fldCharType="separate"/>
      </w:r>
      <w:r>
        <w:t>（一）单点坐标转换</w:t>
      </w:r>
      <w:r>
        <w:tab/>
      </w:r>
      <w:r>
        <w:fldChar w:fldCharType="begin"/>
      </w:r>
      <w:r>
        <w:instrText xml:space="preserve"> PAGEREF _LarkToc00040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54A9C9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"_LarkToc00041" </w:instrText>
      </w:r>
      <w:r>
        <w:fldChar w:fldCharType="separate"/>
      </w:r>
      <w:r>
        <w:t>（二）批量 Excel 坐标转换</w:t>
      </w:r>
      <w:r>
        <w:tab/>
      </w:r>
      <w:r>
        <w:fldChar w:fldCharType="begin"/>
      </w:r>
      <w:r>
        <w:instrText xml:space="preserve"> PAGEREF _LarkToc00041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C361F14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"_LarkToc00042" </w:instrText>
      </w:r>
      <w:r>
        <w:fldChar w:fldCharType="separate"/>
      </w:r>
      <w:r>
        <w:t>九、POI 采集助手</w:t>
      </w:r>
      <w:r>
        <w:tab/>
      </w:r>
      <w:r>
        <w:fldChar w:fldCharType="begin"/>
      </w:r>
      <w:r>
        <w:instrText xml:space="preserve"> PAGEREF _LarkToc00042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CBA4A2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"_LarkToc00043" </w:instrText>
      </w:r>
      <w:r>
        <w:fldChar w:fldCharType="separate"/>
      </w:r>
      <w:r>
        <w:t>（一）采集模式</w:t>
      </w:r>
      <w:r>
        <w:tab/>
      </w:r>
      <w:r>
        <w:fldChar w:fldCharType="begin"/>
      </w:r>
      <w:r>
        <w:instrText xml:space="preserve"> PAGEREF _LarkToc00043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2C1F3A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"_LarkToc00044" </w:instrText>
      </w:r>
      <w:r>
        <w:fldChar w:fldCharType="separate"/>
      </w:r>
      <w:r>
        <w:t>（二）高级选项</w:t>
      </w:r>
      <w:r>
        <w:tab/>
      </w:r>
      <w:r>
        <w:fldChar w:fldCharType="begin"/>
      </w:r>
      <w:r>
        <w:instrText xml:space="preserve"> PAGEREF _LarkToc00044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DC7D10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"_LarkToc00045" </w:instrText>
      </w:r>
      <w:r>
        <w:fldChar w:fldCharType="separate"/>
      </w:r>
      <w:r>
        <w:t>（三）采集结果</w:t>
      </w:r>
      <w:r>
        <w:tab/>
      </w:r>
      <w:r>
        <w:fldChar w:fldCharType="begin"/>
      </w:r>
      <w:r>
        <w:instrText xml:space="preserve"> PAGEREF _LarkToc00045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8CFBD34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"_LarkToc00046" </w:instrText>
      </w:r>
      <w:r>
        <w:fldChar w:fldCharType="separate"/>
      </w:r>
      <w:r>
        <w:t>十、在线更新与更多工具</w:t>
      </w:r>
      <w:r>
        <w:tab/>
      </w:r>
      <w:r>
        <w:fldChar w:fldCharType="begin"/>
      </w:r>
      <w:r>
        <w:instrText xml:space="preserve"> PAGEREF _LarkToc00046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1FA77D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"_LarkToc00047" </w:instrText>
      </w:r>
      <w:r>
        <w:fldChar w:fldCharType="separate"/>
      </w:r>
      <w:r>
        <w:t>（一）版本检查与更新</w:t>
      </w:r>
      <w:r>
        <w:tab/>
      </w:r>
      <w:r>
        <w:fldChar w:fldCharType="begin"/>
      </w:r>
      <w:r>
        <w:instrText xml:space="preserve"> PAGEREF _LarkToc00047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BDA78E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"_LarkToc00048" </w:instrText>
      </w:r>
      <w:r>
        <w:fldChar w:fldCharType="separate"/>
      </w:r>
      <w:r>
        <w:t>（二）更多工具</w:t>
      </w:r>
      <w:r>
        <w:tab/>
      </w:r>
      <w:r>
        <w:fldChar w:fldCharType="begin"/>
      </w:r>
      <w:r>
        <w:instrText xml:space="preserve"> PAGEREF _LarkToc00048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8CEC030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"_LarkToc00049" </w:instrText>
      </w:r>
      <w:r>
        <w:fldChar w:fldCharType="separate"/>
      </w:r>
      <w:r>
        <w:t>十一、常见问题与注意事项</w:t>
      </w:r>
      <w:r>
        <w:tab/>
      </w:r>
      <w:r>
        <w:fldChar w:fldCharType="begin"/>
      </w:r>
      <w:r>
        <w:instrText xml:space="preserve"> PAGEREF _LarkToc00049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847ECE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"_LarkToc00050" </w:instrText>
      </w:r>
      <w:r>
        <w:fldChar w:fldCharType="separate"/>
      </w:r>
      <w:r>
        <w:t>（一）高德错误码</w:t>
      </w:r>
      <w:r>
        <w:tab/>
      </w:r>
      <w:r>
        <w:fldChar w:fldCharType="begin"/>
      </w:r>
      <w:r>
        <w:instrText xml:space="preserve"> PAGEREF _LarkToc00050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7DDEEF4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"_LarkToc00051" </w:instrText>
      </w:r>
      <w:r>
        <w:fldChar w:fldCharType="separate"/>
      </w:r>
      <w:r>
        <w:t>（二）百度错误码</w:t>
      </w:r>
      <w:r>
        <w:tab/>
      </w:r>
      <w:r>
        <w:fldChar w:fldCharType="begin"/>
      </w:r>
      <w:r>
        <w:instrText xml:space="preserve"> PAGEREF _LarkToc00051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97F65A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"_LarkToc00052" </w:instrText>
      </w:r>
      <w:r>
        <w:fldChar w:fldCharType="separate"/>
      </w:r>
      <w:r>
        <w:t>（三）使用注意事项</w:t>
      </w:r>
      <w:r>
        <w:tab/>
      </w:r>
      <w:r>
        <w:fldChar w:fldCharType="begin"/>
      </w:r>
      <w:r>
        <w:instrText xml:space="preserve"> PAGEREF _LarkToc00052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  <w:r>
        <w:fldChar w:fldCharType="end"/>
      </w:r>
    </w:p>
    <w:p w14:paraId="761CFAE3">
      <w:pPr>
        <w:sectPr>
          <w:headerReference r:id="rId5" w:type="default"/>
          <w:pgSz w:w="11906" w:h="16838"/>
          <w:pgMar w:top="1417" w:right="1417" w:bottom="1417" w:left="1417" w:header="850" w:footer="850" w:gutter="0"/>
          <w:cols w:space="720" w:num="1"/>
          <w:docGrid w:linePitch="360" w:charSpace="0"/>
        </w:sectPr>
      </w:pPr>
    </w:p>
    <w:p w14:paraId="665434CE">
      <w:pPr>
        <w:pStyle w:val="3"/>
        <w:keepNext/>
        <w:pBdr>
          <w:bottom w:val="single" w:color="1F3864" w:sz="8" w:space="4"/>
        </w:pBdr>
        <w:spacing w:before="280" w:after="120"/>
        <w:ind w:firstLineChars="0"/>
      </w:pPr>
      <w:bookmarkStart w:id="0" w:name="_LarkToc00001"/>
      <w:r>
        <w:rPr>
          <w:rFonts w:ascii="Arial" w:hAnsi="Arial" w:eastAsia="黑体"/>
          <w:b/>
          <w:color w:val="1F3864"/>
          <w:sz w:val="32"/>
        </w:rPr>
        <w:t>一、软件简介</w:t>
      </w:r>
      <w:bookmarkEnd w:id="0"/>
    </w:p>
    <w:p w14:paraId="5D720B79">
      <w:pPr>
        <w:pStyle w:val="4"/>
        <w:keepNext/>
        <w:spacing w:before="220" w:after="100"/>
        <w:ind w:firstLineChars="0"/>
      </w:pPr>
      <w:bookmarkStart w:id="1" w:name="_LarkToc00002"/>
      <w:r>
        <w:rPr>
          <w:rFonts w:ascii="Arial" w:hAnsi="Arial" w:eastAsia="黑体"/>
          <w:b/>
          <w:color w:val="1F3864"/>
          <w:sz w:val="28"/>
        </w:rPr>
        <w:t>（一）软件概述</w:t>
      </w:r>
      <w:bookmarkEnd w:id="1"/>
    </w:p>
    <w:p w14:paraId="3A518A4B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地址坐标转换工具是一款基于高德地图与百度地图开放平台 API 开发的桌面应用软件，面向地址数据处理、坐标转换与地理信息采集等应用场景，为用户提供地址标准化解析、正向地理编码（地址转坐标）、逆向地理编码（坐标转地址）、多坐标系互转、兴趣点（POI）批量采集、KML 文件导出及 AI 大模型智能增强等完整功能。软件采用模块化架构设计，界面简洁直观，操作流程清晰，支持大批量数据的断点续传与异常重试；在配置 AI 大模型 API 后，可自动实现检索关键词智能扩展、地址智能清洗与语义去重，进一步提升 POI 采集的覆盖度与数据精度，帮助用户一键完成地址标准化与坐标转换，全面替代传统手工整理方式，有效提升通信工程勘察、物流配送、市场调研、公共服务等领域的地址数据处理效率。</w:t>
      </w:r>
    </w:p>
    <w:p w14:paraId="56C077D2">
      <w:pPr>
        <w:pStyle w:val="4"/>
        <w:keepNext/>
        <w:spacing w:before="220" w:after="100"/>
        <w:ind w:firstLineChars="0"/>
      </w:pPr>
      <w:bookmarkStart w:id="2" w:name="_LarkToc00003"/>
      <w:r>
        <w:rPr>
          <w:rFonts w:ascii="Arial" w:hAnsi="Arial" w:eastAsia="黑体"/>
          <w:b/>
          <w:color w:val="1F3864"/>
          <w:sz w:val="28"/>
        </w:rPr>
        <w:t>（二）核心功能</w:t>
      </w:r>
      <w:bookmarkEnd w:id="2"/>
    </w:p>
    <w:p w14:paraId="0E3E177A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软件各功能模块及用途如表 1 所示。</w:t>
      </w:r>
    </w:p>
    <w:p w14:paraId="3B1D8B32">
      <w:pPr>
        <w:spacing w:before="120" w:after="80" w:line="240" w:lineRule="auto"/>
        <w:ind w:firstLineChars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1　功能模块一览</w:t>
      </w:r>
    </w:p>
    <w:tbl>
      <w:tblPr>
        <w:tblStyle w:val="34"/>
        <w:tblW w:w="5000" w:type="pct"/>
        <w:jc w:val="center"/>
        <w:tblBorders>
          <w:top w:val="single" w:color="7F7F7F" w:sz="12" w:space="0"/>
          <w:left w:val="single" w:color="7F7F7F" w:sz="12" w:space="0"/>
          <w:bottom w:val="single" w:color="7F7F7F" w:sz="12" w:space="0"/>
          <w:right w:val="single" w:color="7F7F7F" w:sz="12" w:space="0"/>
          <w:insideH w:val="single" w:color="7F7F7F" w:sz="4" w:space="0"/>
          <w:insideV w:val="single" w:color="7F7F7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7198"/>
      </w:tblGrid>
      <w:tr w14:paraId="74EC2D39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556D0669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功能模块</w:t>
            </w:r>
          </w:p>
        </w:tc>
        <w:tc>
          <w:tcPr>
            <w:tcW w:w="7030" w:type="dxa"/>
            <w:shd w:val="clear" w:color="auto" w:fill="D9D9D9"/>
            <w:vAlign w:val="center"/>
          </w:tcPr>
          <w:p w14:paraId="655D8B63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功能说明</w:t>
            </w:r>
          </w:p>
        </w:tc>
      </w:tr>
      <w:tr w14:paraId="50C3DA9D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685CD394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单条查询</w:t>
            </w:r>
          </w:p>
        </w:tc>
        <w:tc>
          <w:tcPr>
            <w:tcW w:w="7030" w:type="dxa"/>
            <w:vAlign w:val="center"/>
          </w:tcPr>
          <w:p w14:paraId="15E7894D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快速查询单个地址的 GCJ-02 / WGS-84 坐标，支持经纬度逆地理编码与地图定位联动</w:t>
            </w:r>
          </w:p>
        </w:tc>
      </w:tr>
      <w:tr w14:paraId="15747C66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7089E40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批量正向编码</w:t>
            </w:r>
          </w:p>
        </w:tc>
        <w:tc>
          <w:tcPr>
            <w:tcW w:w="7030" w:type="dxa"/>
            <w:vAlign w:val="center"/>
          </w:tcPr>
          <w:p w14:paraId="52591763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从 Excel 文件批量读取地址，自动获取标准化地址与坐标结果</w:t>
            </w:r>
          </w:p>
        </w:tc>
      </w:tr>
      <w:tr w14:paraId="0C4E0B68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E3F33D9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批量逆向编码</w:t>
            </w:r>
          </w:p>
        </w:tc>
        <w:tc>
          <w:tcPr>
            <w:tcW w:w="7030" w:type="dxa"/>
            <w:vAlign w:val="center"/>
          </w:tcPr>
          <w:p w14:paraId="38E3FB91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从 Excel 文件批量读取坐标，解析为完整的标准地址信息</w:t>
            </w:r>
          </w:p>
        </w:tc>
      </w:tr>
      <w:tr w14:paraId="68F6B90F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276A3F8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坐标转换</w:t>
            </w:r>
          </w:p>
        </w:tc>
        <w:tc>
          <w:tcPr>
            <w:tcW w:w="7030" w:type="dxa"/>
            <w:vAlign w:val="center"/>
          </w:tcPr>
          <w:p w14:paraId="01C1C913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GCJ-02、WGS-84、BD-09 三坐标系相互转换，支持单点与批量处理</w:t>
            </w:r>
          </w:p>
        </w:tc>
      </w:tr>
      <w:tr w14:paraId="3DD94C7E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0824B9E7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POI 采集</w:t>
            </w:r>
          </w:p>
        </w:tc>
        <w:tc>
          <w:tcPr>
            <w:tcW w:w="7030" w:type="dxa"/>
            <w:vAlign w:val="center"/>
          </w:tcPr>
          <w:p w14:paraId="33CFFE05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行政区划与周边范围检索，自动下钻区县并网格深挖补全，突破单次检索上限</w:t>
            </w:r>
          </w:p>
        </w:tc>
      </w:tr>
      <w:tr w14:paraId="5D702CAF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05BB60B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AI 智能增强</w:t>
            </w:r>
          </w:p>
        </w:tc>
        <w:tc>
          <w:tcPr>
            <w:tcW w:w="7030" w:type="dxa"/>
            <w:vAlign w:val="center"/>
          </w:tcPr>
          <w:p w14:paraId="0D449C00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/>
                <w:b w:val="0"/>
                <w:color w:val="000000"/>
                <w:sz w:val="21"/>
              </w:rPr>
              <w:t>接入主流大模型 API，实现检索关键词智能扩展与主动延展、地址清洗与语义去重</w:t>
            </w:r>
          </w:p>
        </w:tc>
      </w:tr>
      <w:tr w14:paraId="705EA664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64373A8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在线更新</w:t>
            </w:r>
          </w:p>
        </w:tc>
        <w:tc>
          <w:tcPr>
            <w:tcW w:w="7030" w:type="dxa"/>
            <w:vAlign w:val="center"/>
          </w:tcPr>
          <w:p w14:paraId="68E16B2F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自动检查新版本，下载并静默安装升级包</w:t>
            </w:r>
          </w:p>
        </w:tc>
      </w:tr>
    </w:tbl>
    <w:p w14:paraId="474B005B">
      <w:pPr>
        <w:pStyle w:val="4"/>
        <w:keepNext/>
        <w:spacing w:before="220" w:after="100"/>
        <w:ind w:firstLineChars="0"/>
      </w:pPr>
      <w:bookmarkStart w:id="3" w:name="_LarkToc00004"/>
      <w:r>
        <w:rPr>
          <w:rFonts w:ascii="Arial" w:hAnsi="Arial" w:eastAsia="黑体"/>
          <w:b/>
          <w:color w:val="1F3864"/>
          <w:sz w:val="28"/>
        </w:rPr>
        <w:t>（三）运行环境</w:t>
      </w:r>
      <w:bookmarkEnd w:id="3"/>
    </w:p>
    <w:p w14:paraId="3EECB0B3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软件适用于 Windows 操作系统；运行期间需保持网络连接，以调用高德地图与百度地图开放平台接口；首次使用前须按第三章所述配置高德 API Key（必填）与百度 AK（选填）。</w:t>
      </w:r>
    </w:p>
    <w:p w14:paraId="2609E349">
      <w:pPr>
        <w:pStyle w:val="3"/>
        <w:keepNext/>
        <w:pBdr>
          <w:bottom w:val="single" w:color="1F3864" w:sz="8" w:space="4"/>
        </w:pBdr>
        <w:spacing w:before="280" w:after="120"/>
        <w:ind w:firstLineChars="0"/>
      </w:pPr>
      <w:bookmarkStart w:id="4" w:name="_LarkToc00005"/>
      <w:r>
        <w:rPr>
          <w:rFonts w:ascii="Arial" w:hAnsi="Arial" w:eastAsia="黑体"/>
          <w:b/>
          <w:color w:val="1F3864"/>
          <w:sz w:val="32"/>
        </w:rPr>
        <w:t>二、快速上手</w:t>
      </w:r>
      <w:bookmarkEnd w:id="4"/>
    </w:p>
    <w:p w14:paraId="56C5098D">
      <w:pPr>
        <w:pStyle w:val="4"/>
        <w:keepNext/>
        <w:spacing w:before="220" w:after="100"/>
        <w:ind w:firstLineChars="0"/>
      </w:pPr>
      <w:bookmarkStart w:id="5" w:name="_LarkToc00006"/>
      <w:r>
        <w:rPr>
          <w:rFonts w:ascii="Arial" w:hAnsi="Arial" w:eastAsia="黑体"/>
          <w:b/>
          <w:color w:val="1F3864"/>
          <w:sz w:val="28"/>
        </w:rPr>
        <w:t>（一）启动软件</w:t>
      </w:r>
      <w:bookmarkEnd w:id="5"/>
    </w:p>
    <w:p w14:paraId="4B9050B8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双击程序图标即可启动。启动后进入软件首页，首页以功能卡片形式提供各功能模块入口，卡片悬停高亮、单击即可跳转；页面同时提供使用步骤指引与 Excel 数据格式说明（该说明默认折叠，可展开查看），并可点击“下载模板”获取标准数据模板。</w:t>
      </w:r>
    </w:p>
    <w:p w14:paraId="6A6E8527">
      <w:pPr>
        <w:pStyle w:val="4"/>
        <w:keepNext/>
        <w:spacing w:before="220" w:after="100"/>
        <w:ind w:firstLineChars="0"/>
      </w:pPr>
      <w:bookmarkStart w:id="6" w:name="_LarkToc00007"/>
      <w:r>
        <w:rPr>
          <w:rFonts w:ascii="Arial" w:hAnsi="Arial" w:eastAsia="黑体"/>
          <w:b/>
          <w:color w:val="1F3864"/>
          <w:sz w:val="28"/>
        </w:rPr>
        <w:t>（二）配置 API 密钥</w:t>
      </w:r>
      <w:bookmarkEnd w:id="6"/>
    </w:p>
    <w:p w14:paraId="3D5C1DA1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点击左侧导航栏“API 设置”进入配置页面。页面采用左右两栏布局：左栏用于录入高德 API Key（必填）与百度 AK（选填），并设置百度 Fallback 触发等级与请求间隔；右栏用于配置 AI 大模型（选填）。设置完成后点击“保存配置”持久化全部设置；右栏亦提供独立的“保存 AI 配置”按钮，可单独保存 AI 平台参数而不影响地图密钥。配置完成后，请分别执行“测试高德”“测试百度”“测试 AI”以验证各项配置的有效性。</w:t>
      </w:r>
    </w:p>
    <w:p w14:paraId="5DE5538E">
      <w:pPr>
        <w:pStyle w:val="4"/>
        <w:keepNext/>
        <w:spacing w:before="220" w:after="100"/>
        <w:ind w:firstLineChars="0"/>
      </w:pPr>
      <w:bookmarkStart w:id="7" w:name="_LarkToc00008"/>
      <w:r>
        <w:rPr>
          <w:rFonts w:ascii="Arial" w:hAnsi="Arial" w:eastAsia="黑体"/>
          <w:b/>
          <w:color w:val="1F3864"/>
          <w:sz w:val="28"/>
        </w:rPr>
        <w:t>（三）准备 Excel 数据</w:t>
      </w:r>
      <w:bookmarkEnd w:id="7"/>
    </w:p>
    <w:p w14:paraId="1D57707A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新建 Excel 文件，确认工作表名称为“Sheet1”，首行按第四章字段规范填写表头，随后逐行录入待处理地址或坐标数据。</w:t>
      </w:r>
    </w:p>
    <w:p w14:paraId="1627328C">
      <w:pPr>
        <w:pStyle w:val="4"/>
        <w:keepNext/>
        <w:spacing w:before="220" w:after="100"/>
        <w:ind w:firstLineChars="0"/>
      </w:pPr>
      <w:bookmarkStart w:id="8" w:name="_LarkToc00009"/>
      <w:r>
        <w:rPr>
          <w:rFonts w:ascii="Arial" w:hAnsi="Arial" w:eastAsia="黑体"/>
          <w:b/>
          <w:color w:val="1F3864"/>
          <w:sz w:val="28"/>
        </w:rPr>
        <w:t>（四）执行首次转换</w:t>
      </w:r>
      <w:bookmarkEnd w:id="8"/>
    </w:p>
    <w:p w14:paraId="4696838D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依据业务需求选择“批量正向编码”或“批量逆向编码”功能，导入 Excel 文件、指定数据列并设置处理参数后，点击“开始处理”。处理完成后结果自动写回原 Excel 文件，异常数据以黄色高亮标记，便于人工复核。</w:t>
      </w:r>
    </w:p>
    <w:p w14:paraId="151C335F">
      <w:pPr>
        <w:pStyle w:val="3"/>
        <w:keepNext/>
        <w:pBdr>
          <w:bottom w:val="single" w:color="1F3864" w:sz="8" w:space="4"/>
        </w:pBdr>
        <w:spacing w:before="280" w:after="120"/>
        <w:ind w:firstLineChars="0"/>
      </w:pPr>
      <w:bookmarkStart w:id="9" w:name="_LarkToc00010"/>
      <w:r>
        <w:rPr>
          <w:rFonts w:ascii="Arial" w:hAnsi="Arial" w:eastAsia="黑体"/>
          <w:b/>
          <w:color w:val="1F3864"/>
          <w:sz w:val="32"/>
        </w:rPr>
        <w:t>三、API 密钥配置详解</w:t>
      </w:r>
      <w:bookmarkEnd w:id="9"/>
    </w:p>
    <w:p w14:paraId="77300592">
      <w:pPr>
        <w:pStyle w:val="4"/>
        <w:keepNext/>
        <w:spacing w:before="220" w:after="100"/>
        <w:ind w:firstLineChars="0"/>
      </w:pPr>
      <w:bookmarkStart w:id="10" w:name="_LarkToc00011"/>
      <w:r>
        <w:rPr>
          <w:rFonts w:ascii="Arial" w:hAnsi="Arial" w:eastAsia="黑体"/>
          <w:b/>
          <w:color w:val="1F3864"/>
          <w:sz w:val="28"/>
        </w:rPr>
        <w:t>（一）高德 API Key（必填）</w:t>
      </w:r>
      <w:bookmarkEnd w:id="10"/>
    </w:p>
    <w:p w14:paraId="6A84291D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高德 API Key 为本软件地理编码服务的必填配置项。请登录高德开放平台（https://console.amap.com）申请个人开发者 Key，应用类型选择“Web 服务”，并将当前计算机的公网 IP 加入密钥的 IP 白名单。Key 填写于“API 设置”页面，程序将自动保存至软件目录下的 addr_config.json 配置文件，下次启动时自动加载。</w:t>
      </w:r>
    </w:p>
    <w:p w14:paraId="18E91C67">
      <w:pPr>
        <w:pStyle w:val="4"/>
        <w:keepNext/>
        <w:spacing w:before="220" w:after="100"/>
        <w:ind w:firstLineChars="0"/>
      </w:pPr>
      <w:bookmarkStart w:id="11" w:name="_LarkToc00012"/>
      <w:r>
        <w:rPr>
          <w:rFonts w:ascii="Arial" w:hAnsi="Arial" w:eastAsia="黑体"/>
          <w:b/>
          <w:color w:val="1F3864"/>
          <w:sz w:val="28"/>
        </w:rPr>
        <w:t>（二）百度 AK（选填）</w:t>
      </w:r>
      <w:bookmarkEnd w:id="11"/>
    </w:p>
    <w:p w14:paraId="2874271C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百度 AK 用于提升低精度地址的解析效果。可登录百度地图开放平台（https://lbsyun.baidu.com）申请，并在应用设置中开通地理编码、逆地理编码与 POI 检索服务权限。</w:t>
      </w:r>
    </w:p>
    <w:p w14:paraId="59CDE9A2">
      <w:pPr>
        <w:pStyle w:val="4"/>
        <w:keepNext/>
        <w:spacing w:before="220" w:after="100"/>
        <w:ind w:firstLineChars="0"/>
      </w:pPr>
      <w:bookmarkStart w:id="12" w:name="_LarkToc00013"/>
      <w:r>
        <w:rPr>
          <w:rFonts w:ascii="Arial" w:hAnsi="Arial" w:eastAsia="黑体"/>
          <w:b/>
          <w:color w:val="1F3864"/>
          <w:sz w:val="28"/>
        </w:rPr>
        <w:t>（三）百度 Fallback 策略</w:t>
      </w:r>
      <w:bookmarkEnd w:id="12"/>
    </w:p>
    <w:p w14:paraId="762C23A6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启用“百度地图 Fallback”后，当高德平台返回结果的精度低于设定触发等级，或检测到结果疑似漂移时，程序将自动调用百度接口补充查询；仅当百度结果的精度更高且地址无漂移时，方以百度结果覆盖高德结果。触发等级可在“门址、街道、乡镇、区县、城市”五档中选择，默认值为“乡镇”。</w:t>
      </w:r>
    </w:p>
    <w:p w14:paraId="13F1E977">
      <w:pPr>
        <w:pStyle w:val="4"/>
        <w:keepNext/>
        <w:spacing w:before="220" w:after="100"/>
        <w:ind w:firstLineChars="0"/>
      </w:pPr>
      <w:bookmarkStart w:id="13" w:name="_LarkToc00014"/>
      <w:r>
        <w:rPr>
          <w:rFonts w:ascii="Arial" w:hAnsi="Arial" w:eastAsia="黑体"/>
          <w:b/>
          <w:color w:val="1F3864"/>
          <w:sz w:val="28"/>
        </w:rPr>
        <w:t>（四）请求参数设置</w:t>
      </w:r>
      <w:bookmarkEnd w:id="13"/>
    </w:p>
    <w:p w14:paraId="78A95CF5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“请求间隔”用于控制相邻两次 API 调用的等待时间，取值范围为 0.1 至 5.0 秒，默认 0.2 秒；设置较长的请求间隔可降低调用频率，避免触发平台限流。高德个人开发者账户每日可享约 5000 次免费地理编码调用额度，超出部分需按平台规则付费，或待次日额度恢复后继续使用。</w:t>
      </w:r>
    </w:p>
    <w:p w14:paraId="38EEEF5D">
      <w:pPr>
        <w:pStyle w:val="4"/>
        <w:keepNext/>
        <w:spacing w:before="220" w:after="100"/>
        <w:ind w:firstLineChars="0"/>
      </w:pPr>
      <w:bookmarkStart w:id="14" w:name="_LarkToc00015"/>
      <w:r>
        <w:rPr>
          <w:rFonts w:ascii="Arial" w:hAnsi="Arial" w:eastAsia="黑体"/>
          <w:b/>
          <w:color w:val="1F3864"/>
          <w:sz w:val="28"/>
        </w:rPr>
        <w:t>（五）密钥测试与保存</w:t>
      </w:r>
      <w:bookmarkEnd w:id="14"/>
    </w:p>
    <w:p w14:paraId="22D70BA7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配置完成后，可分别点击“测试高德”“测试百度”验证密钥有效性。测试通过后点击“保存配置”持久化设置；AI 相关参数亦可单独通过“保存 AI 配置”按钮保存。若测试失败，请按提示检查密钥类型、IP 白名单及账户配额。</w:t>
      </w:r>
    </w:p>
    <w:p w14:paraId="41008114">
      <w:pPr>
        <w:pStyle w:val="4"/>
        <w:keepNext/>
        <w:spacing w:before="220" w:after="100"/>
        <w:ind w:firstLineChars="0"/>
      </w:pPr>
      <w:bookmarkStart w:id="15" w:name="_LarkToc00016"/>
      <w:r>
        <w:rPr>
          <w:rFonts w:ascii="Arial" w:hAnsi="Arial" w:eastAsia="黑体"/>
          <w:b/>
          <w:color w:val="1F3864"/>
          <w:sz w:val="28"/>
        </w:rPr>
        <w:t>（六）AI 大模型智能增强</w:t>
      </w:r>
      <w:bookmarkEnd w:id="15"/>
    </w:p>
    <w:p w14:paraId="067B33C6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在“API 设置”页面右栏可配置 AI 大模型。程序内置豆包、DeepSeek、通义千问、Kimi、智谱 GLM、OpenAI 等主流平台预设，选择平台后自动填充接口地址与模型名称，也可选择“自定义”手动填写；填入 API 密钥后点击“测试 AI”验证连通性，通过后点击“保存 AI 配置”即可单独保存生效，无需重新保存地图密钥。</w:t>
      </w:r>
    </w:p>
    <w:p w14:paraId="4F352DF8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AI 大模型主要用于三类智能增强：其一，检索关键词扩展，依据检索主题自动生成同义关键词，与内置静态映射取并集后逐词检索，显著提升 POI 采集覆盖度；其二，地址智能清洗，对地址文本进行规范化处理；其三，语义去重，对名称相近但坐标不同的候选结果进行语义判定与标注。AI 仅作为数据增强手段，不参与坐标计算与结果修正；未配置 AI 时程序自动降级为内置规则模式，全部基础功能不受影响。</w:t>
      </w:r>
    </w:p>
    <w:p>
      <w:r>
        <w:rPr>
          <w:rFonts w:ascii="宋体" w:hAnsi="宋体"/>
          <w:sz w:val="24"/>
        </w:rPr>
        <w:t>AI 智能延展：配置 AI 后，POI 采集无需等待检索结果接近上限，主关键词采集完成后程序即自动展开细分词族（AI 生成词与内置静态映射取并集），逐词补采，显著提升“学校、小区、酒店”等泛化关键词的覆盖度。延展检索采用“增量即停”策略：每个扩展词在每个区县最多检索 2 页，单页无新增立即停止；同时设置总调用预算（默认 80 次），防止配额失控。用户可在 POI 采集页面的“高级选项”中随时开关该功能（默认关闭）；关闭后程序退回原有行为，仅当检索结果接近上限时方才扩展。</w:t>
      </w:r>
    </w:p>
    <w:p w14:paraId="51FA4E62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AI 接口按各平台计费规则独立计费，调用量受所填 API 密钥对应账户配额约束；建议在采集任务开始前确认账户余额与配额，避免任务中途中断。</w:t>
      </w:r>
    </w:p>
    <w:p w14:paraId="2BF8F160">
      <w:pPr>
        <w:pStyle w:val="3"/>
        <w:keepNext/>
        <w:pBdr>
          <w:bottom w:val="single" w:color="1F3864" w:sz="8" w:space="4"/>
        </w:pBdr>
        <w:spacing w:before="280" w:after="120"/>
        <w:ind w:firstLineChars="0"/>
      </w:pPr>
      <w:bookmarkStart w:id="16" w:name="_LarkToc00017"/>
      <w:r>
        <w:rPr>
          <w:rFonts w:ascii="Arial" w:hAnsi="Arial" w:eastAsia="黑体"/>
          <w:b/>
          <w:color w:val="1F3864"/>
          <w:sz w:val="32"/>
        </w:rPr>
        <w:t>四、Excel 数据格式规范</w:t>
      </w:r>
      <w:bookmarkEnd w:id="16"/>
    </w:p>
    <w:p w14:paraId="092E612A">
      <w:pPr>
        <w:pStyle w:val="4"/>
        <w:keepNext/>
        <w:spacing w:before="220" w:after="100"/>
        <w:ind w:firstLineChars="0"/>
      </w:pPr>
      <w:bookmarkStart w:id="17" w:name="_LarkToc00018"/>
      <w:r>
        <w:rPr>
          <w:rFonts w:ascii="Arial" w:hAnsi="Arial" w:eastAsia="黑体"/>
          <w:b/>
          <w:color w:val="1F3864"/>
          <w:sz w:val="28"/>
        </w:rPr>
        <w:t>（一）文件基本要求</w:t>
      </w:r>
      <w:bookmarkEnd w:id="17"/>
    </w:p>
    <w:p w14:paraId="743F38BE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软件支持 .xlsx 与 .xls 格式的 Excel 文件。文件须包含名为“Sheet1”的工作表，且首行为表头行。导入文件后，程序自动读取表头并在“数据预览”标签页展示前 200 行数据，同时依据表头名称自动匹配数据列。</w:t>
      </w:r>
    </w:p>
    <w:p w14:paraId="3A915001">
      <w:pPr>
        <w:pStyle w:val="4"/>
        <w:keepNext/>
        <w:spacing w:before="220" w:after="100"/>
        <w:ind w:firstLineChars="0"/>
      </w:pPr>
      <w:bookmarkStart w:id="18" w:name="_LarkToc00019"/>
      <w:r>
        <w:rPr>
          <w:rFonts w:ascii="Arial" w:hAnsi="Arial" w:eastAsia="黑体"/>
          <w:b/>
          <w:color w:val="1F3864"/>
          <w:sz w:val="28"/>
        </w:rPr>
        <w:t>（二）正向编码字段</w:t>
      </w:r>
      <w:bookmarkEnd w:id="18"/>
    </w:p>
    <w:p w14:paraId="3C95C594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正向编码（地址转坐标）相关字段如表 2 所示。其中地址 1 列与地址 2 列为必选列，其余输入列为选填；坐标与标准地址列为程序输出列，无需手工填写。</w:t>
      </w:r>
    </w:p>
    <w:p w14:paraId="6071CC45">
      <w:pPr>
        <w:spacing w:before="120" w:after="80" w:line="240" w:lineRule="auto"/>
        <w:ind w:firstLineChars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2　正向编码字段说明</w:t>
      </w:r>
    </w:p>
    <w:tbl>
      <w:tblPr>
        <w:tblStyle w:val="34"/>
        <w:tblW w:w="5000" w:type="pct"/>
        <w:jc w:val="center"/>
        <w:tblBorders>
          <w:top w:val="single" w:color="7F7F7F" w:sz="12" w:space="0"/>
          <w:left w:val="single" w:color="7F7F7F" w:sz="12" w:space="0"/>
          <w:bottom w:val="single" w:color="7F7F7F" w:sz="12" w:space="0"/>
          <w:right w:val="single" w:color="7F7F7F" w:sz="12" w:space="0"/>
          <w:insideH w:val="single" w:color="7F7F7F" w:sz="4" w:space="0"/>
          <w:insideV w:val="single" w:color="7F7F7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1509"/>
        <w:gridCol w:w="5573"/>
      </w:tblGrid>
      <w:tr w14:paraId="064F6293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D9D9D9"/>
            <w:vAlign w:val="center"/>
          </w:tcPr>
          <w:p w14:paraId="186BDD0A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列名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30DB83C3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填写方式</w:t>
            </w:r>
          </w:p>
        </w:tc>
        <w:tc>
          <w:tcPr>
            <w:tcW w:w="5443" w:type="dxa"/>
            <w:shd w:val="clear" w:color="auto" w:fill="D9D9D9"/>
            <w:vAlign w:val="center"/>
          </w:tcPr>
          <w:p w14:paraId="137FAF5B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 w14:paraId="31F42A79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22E904ED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序号</w:t>
            </w:r>
          </w:p>
        </w:tc>
        <w:tc>
          <w:tcPr>
            <w:tcW w:w="1474" w:type="dxa"/>
            <w:vAlign w:val="center"/>
          </w:tcPr>
          <w:p w14:paraId="02EEDEA2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w="5443" w:type="dxa"/>
            <w:vAlign w:val="center"/>
          </w:tcPr>
          <w:p w14:paraId="4BD1217A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数据行序号，可留空</w:t>
            </w:r>
          </w:p>
        </w:tc>
      </w:tr>
      <w:tr w14:paraId="402A5010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3102EAA3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省</w:t>
            </w:r>
          </w:p>
        </w:tc>
        <w:tc>
          <w:tcPr>
            <w:tcW w:w="1474" w:type="dxa"/>
            <w:vAlign w:val="center"/>
          </w:tcPr>
          <w:p w14:paraId="6F711B90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输入（选填）</w:t>
            </w:r>
          </w:p>
        </w:tc>
        <w:tc>
          <w:tcPr>
            <w:tcW w:w="5443" w:type="dxa"/>
            <w:vAlign w:val="center"/>
          </w:tcPr>
          <w:p w14:paraId="33D0EBDD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省份名称，如“云南省”</w:t>
            </w:r>
          </w:p>
        </w:tc>
      </w:tr>
      <w:tr w14:paraId="6A068C9C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45F3BC78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市</w:t>
            </w:r>
          </w:p>
        </w:tc>
        <w:tc>
          <w:tcPr>
            <w:tcW w:w="1474" w:type="dxa"/>
            <w:vAlign w:val="center"/>
          </w:tcPr>
          <w:p w14:paraId="7ED18B14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输入（选填）</w:t>
            </w:r>
          </w:p>
        </w:tc>
        <w:tc>
          <w:tcPr>
            <w:tcW w:w="5443" w:type="dxa"/>
            <w:vAlign w:val="center"/>
          </w:tcPr>
          <w:p w14:paraId="32106A25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地级市名称，如“曲靖市”</w:t>
            </w:r>
          </w:p>
        </w:tc>
      </w:tr>
      <w:tr w14:paraId="1B111136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048D7F97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区县</w:t>
            </w:r>
          </w:p>
        </w:tc>
        <w:tc>
          <w:tcPr>
            <w:tcW w:w="1474" w:type="dxa"/>
            <w:vAlign w:val="center"/>
          </w:tcPr>
          <w:p w14:paraId="38D748E0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输入（选填）</w:t>
            </w:r>
          </w:p>
        </w:tc>
        <w:tc>
          <w:tcPr>
            <w:tcW w:w="5443" w:type="dxa"/>
            <w:vAlign w:val="center"/>
          </w:tcPr>
          <w:p w14:paraId="773B1278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区、县名称，如“麒麟区”</w:t>
            </w:r>
          </w:p>
        </w:tc>
      </w:tr>
      <w:tr w14:paraId="559F6A45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7BBABDED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地址1（必填）</w:t>
            </w:r>
          </w:p>
        </w:tc>
        <w:tc>
          <w:tcPr>
            <w:tcW w:w="1474" w:type="dxa"/>
            <w:vAlign w:val="center"/>
          </w:tcPr>
          <w:p w14:paraId="388DEC73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w="5443" w:type="dxa"/>
            <w:vAlign w:val="center"/>
          </w:tcPr>
          <w:p w14:paraId="490195FA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主查询地址，批量处理时的必选列</w:t>
            </w:r>
          </w:p>
        </w:tc>
      </w:tr>
      <w:tr w14:paraId="3CBFD912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15ACEC55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地址2（选填）</w:t>
            </w:r>
          </w:p>
        </w:tc>
        <w:tc>
          <w:tcPr>
            <w:tcW w:w="1474" w:type="dxa"/>
            <w:vAlign w:val="center"/>
          </w:tcPr>
          <w:p w14:paraId="280921B2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w="5443" w:type="dxa"/>
            <w:vAlign w:val="center"/>
          </w:tcPr>
          <w:p w14:paraId="4744D46A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备用地址，主地址解析失败或精度不足时自动启用</w:t>
            </w:r>
          </w:p>
        </w:tc>
      </w:tr>
      <w:tr w14:paraId="14D0F105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7D612AFD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GCJ-02 经度 / 纬度</w:t>
            </w:r>
          </w:p>
        </w:tc>
        <w:tc>
          <w:tcPr>
            <w:tcW w:w="1474" w:type="dxa"/>
            <w:vAlign w:val="center"/>
          </w:tcPr>
          <w:p w14:paraId="2CF33DC2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输出</w:t>
            </w:r>
          </w:p>
        </w:tc>
        <w:tc>
          <w:tcPr>
            <w:tcW w:w="5443" w:type="dxa"/>
            <w:vAlign w:val="center"/>
          </w:tcPr>
          <w:p w14:paraId="58F79AA1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火星坐标系（GCJ-02）坐标</w:t>
            </w:r>
          </w:p>
        </w:tc>
      </w:tr>
      <w:tr w14:paraId="347EEA00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329B912F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WGS-84 经度 / 纬度</w:t>
            </w:r>
          </w:p>
        </w:tc>
        <w:tc>
          <w:tcPr>
            <w:tcW w:w="1474" w:type="dxa"/>
            <w:vAlign w:val="center"/>
          </w:tcPr>
          <w:p w14:paraId="3DC4C5DF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输出</w:t>
            </w:r>
          </w:p>
        </w:tc>
        <w:tc>
          <w:tcPr>
            <w:tcW w:w="5443" w:type="dxa"/>
            <w:vAlign w:val="center"/>
          </w:tcPr>
          <w:p w14:paraId="67335F3F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国际标准坐标系（WGS-84）坐标</w:t>
            </w:r>
          </w:p>
        </w:tc>
      </w:tr>
      <w:tr w14:paraId="57CF5583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5A6426EF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标准地址</w:t>
            </w:r>
          </w:p>
        </w:tc>
        <w:tc>
          <w:tcPr>
            <w:tcW w:w="1474" w:type="dxa"/>
            <w:vAlign w:val="center"/>
          </w:tcPr>
          <w:p w14:paraId="7AD52387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输出</w:t>
            </w:r>
          </w:p>
        </w:tc>
        <w:tc>
          <w:tcPr>
            <w:tcW w:w="5443" w:type="dxa"/>
            <w:vAlign w:val="center"/>
          </w:tcPr>
          <w:p w14:paraId="6CE95F96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标准化地址及精度、来源标注</w:t>
            </w:r>
          </w:p>
        </w:tc>
      </w:tr>
    </w:tbl>
    <w:p w14:paraId="201E9D9B">
      <w:pPr>
        <w:pStyle w:val="4"/>
        <w:keepNext/>
        <w:spacing w:before="220" w:after="100"/>
        <w:ind w:firstLineChars="0"/>
      </w:pPr>
      <w:bookmarkStart w:id="19" w:name="_LarkToc00020"/>
      <w:r>
        <w:rPr>
          <w:rFonts w:ascii="Arial" w:hAnsi="Arial" w:eastAsia="黑体"/>
          <w:b/>
          <w:color w:val="1F3864"/>
          <w:sz w:val="28"/>
        </w:rPr>
        <w:t>（三）逆向编码字段</w:t>
      </w:r>
      <w:bookmarkEnd w:id="19"/>
    </w:p>
    <w:p w14:paraId="725CFBE1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逆向编码（坐标转地址）相关字段如表 3 所示。GCJ-02 经度、纬度列为必选输入；WGS-84 经度、纬度列为备选输入，当 GCJ-02 坐标缺失或非法时，程序自动采用 WGS-84 坐标。</w:t>
      </w:r>
    </w:p>
    <w:p w14:paraId="331C0514">
      <w:pPr>
        <w:spacing w:before="120" w:after="80" w:line="240" w:lineRule="auto"/>
        <w:ind w:firstLineChars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3　逆向编码字段说明</w:t>
      </w:r>
    </w:p>
    <w:tbl>
      <w:tblPr>
        <w:tblStyle w:val="34"/>
        <w:tblW w:w="5000" w:type="pct"/>
        <w:jc w:val="center"/>
        <w:tblBorders>
          <w:top w:val="single" w:color="7F7F7F" w:sz="12" w:space="0"/>
          <w:left w:val="single" w:color="7F7F7F" w:sz="12" w:space="0"/>
          <w:bottom w:val="single" w:color="7F7F7F" w:sz="12" w:space="0"/>
          <w:right w:val="single" w:color="7F7F7F" w:sz="12" w:space="0"/>
          <w:insideH w:val="single" w:color="7F7F7F" w:sz="4" w:space="0"/>
          <w:insideV w:val="single" w:color="7F7F7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1509"/>
        <w:gridCol w:w="5341"/>
      </w:tblGrid>
      <w:tr w14:paraId="534BE642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1EC2EF4C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列名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02318422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填写方式</w:t>
            </w:r>
          </w:p>
        </w:tc>
        <w:tc>
          <w:tcPr>
            <w:tcW w:w="5216" w:type="dxa"/>
            <w:shd w:val="clear" w:color="auto" w:fill="D9D9D9"/>
            <w:vAlign w:val="center"/>
          </w:tcPr>
          <w:p w14:paraId="05065C70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 w14:paraId="05C08AA0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D5EC890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GCJ-02 经度 / 纬度</w:t>
            </w:r>
          </w:p>
        </w:tc>
        <w:tc>
          <w:tcPr>
            <w:tcW w:w="1474" w:type="dxa"/>
            <w:vAlign w:val="center"/>
          </w:tcPr>
          <w:p w14:paraId="63D17163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w="5216" w:type="dxa"/>
            <w:vAlign w:val="center"/>
          </w:tcPr>
          <w:p w14:paraId="19AC1E9D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待解析坐标（必选）</w:t>
            </w:r>
          </w:p>
        </w:tc>
      </w:tr>
      <w:tr w14:paraId="1723E366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8D1527C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WGS-84 经度 / 纬度</w:t>
            </w:r>
          </w:p>
        </w:tc>
        <w:tc>
          <w:tcPr>
            <w:tcW w:w="1474" w:type="dxa"/>
            <w:vAlign w:val="center"/>
          </w:tcPr>
          <w:p w14:paraId="268AD876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输入（备选）</w:t>
            </w:r>
          </w:p>
        </w:tc>
        <w:tc>
          <w:tcPr>
            <w:tcW w:w="5216" w:type="dxa"/>
            <w:vAlign w:val="center"/>
          </w:tcPr>
          <w:p w14:paraId="2B2E5C0F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GCJ-02 坐标缺失或非法时的备用坐标</w:t>
            </w:r>
          </w:p>
        </w:tc>
      </w:tr>
      <w:tr w14:paraId="06E1EBC7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4FD2B2E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完整地址</w:t>
            </w:r>
          </w:p>
        </w:tc>
        <w:tc>
          <w:tcPr>
            <w:tcW w:w="1474" w:type="dxa"/>
            <w:vAlign w:val="center"/>
          </w:tcPr>
          <w:p w14:paraId="2D0274C3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输出</w:t>
            </w:r>
          </w:p>
        </w:tc>
        <w:tc>
          <w:tcPr>
            <w:tcW w:w="5216" w:type="dxa"/>
            <w:vAlign w:val="center"/>
          </w:tcPr>
          <w:p w14:paraId="191DAEAE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逆地理编码得到的完整地址</w:t>
            </w:r>
          </w:p>
        </w:tc>
      </w:tr>
      <w:tr w14:paraId="0C084EE7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F50CE68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省 - 市 - 区</w:t>
            </w:r>
          </w:p>
        </w:tc>
        <w:tc>
          <w:tcPr>
            <w:tcW w:w="1474" w:type="dxa"/>
            <w:vAlign w:val="center"/>
          </w:tcPr>
          <w:p w14:paraId="74DF6352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输出</w:t>
            </w:r>
          </w:p>
        </w:tc>
        <w:tc>
          <w:tcPr>
            <w:tcW w:w="5216" w:type="dxa"/>
            <w:vAlign w:val="center"/>
          </w:tcPr>
          <w:p w14:paraId="200B981F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省、市、区县级行政区划</w:t>
            </w:r>
          </w:p>
        </w:tc>
      </w:tr>
      <w:tr w14:paraId="04A92C6C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4225E32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街道门牌号</w:t>
            </w:r>
          </w:p>
        </w:tc>
        <w:tc>
          <w:tcPr>
            <w:tcW w:w="1474" w:type="dxa"/>
            <w:vAlign w:val="center"/>
          </w:tcPr>
          <w:p w14:paraId="321594AA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输出</w:t>
            </w:r>
          </w:p>
        </w:tc>
        <w:tc>
          <w:tcPr>
            <w:tcW w:w="5216" w:type="dxa"/>
            <w:vAlign w:val="center"/>
          </w:tcPr>
          <w:p w14:paraId="5CE2BB19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街道名称与门牌号信息</w:t>
            </w:r>
          </w:p>
        </w:tc>
      </w:tr>
    </w:tbl>
    <w:p w14:paraId="23FC962D">
      <w:pPr>
        <w:pStyle w:val="4"/>
        <w:keepNext/>
        <w:spacing w:before="220" w:after="100"/>
        <w:ind w:firstLineChars="0"/>
      </w:pPr>
      <w:bookmarkStart w:id="20" w:name="_LarkToc00021"/>
      <w:r>
        <w:rPr>
          <w:rFonts w:ascii="Arial" w:hAnsi="Arial" w:eastAsia="黑体"/>
          <w:b/>
          <w:color w:val="1F3864"/>
          <w:sz w:val="28"/>
        </w:rPr>
        <w:t>（四）数据填写约定</w:t>
      </w:r>
      <w:bookmarkEnd w:id="20"/>
    </w:p>
    <w:p w14:paraId="65C73C95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坐标数据遵循“经度在前、纬度在后”的书写顺序，如 103.791246,25.491221；分隔符支持英文逗号、中文逗号、空格及顿号。地址文本建议完整包含省、市、区县层级信息，以提高解析精度。程序内置坐标合法性校验，经度范围为 73 至 135、纬度范围为 3 至 53，超出范围的结果将标记为“超出范围”。</w:t>
      </w:r>
    </w:p>
    <w:p w14:paraId="7CCA26D0">
      <w:pPr>
        <w:pStyle w:val="4"/>
        <w:keepNext/>
        <w:spacing w:before="220" w:after="100"/>
        <w:ind w:firstLineChars="0"/>
      </w:pPr>
      <w:bookmarkStart w:id="21" w:name="_LarkToc00022"/>
      <w:r>
        <w:rPr>
          <w:rFonts w:ascii="Arial" w:hAnsi="Arial" w:eastAsia="黑体"/>
          <w:b/>
          <w:color w:val="1F3864"/>
          <w:sz w:val="28"/>
        </w:rPr>
        <w:t>（五）模板下载</w:t>
      </w:r>
      <w:bookmarkEnd w:id="21"/>
    </w:p>
    <w:p w14:paraId="09B1349B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在软件首页“Excel 数据格式说明”区域点击“下载模板”按钮，可生成含示例数据的标准模板文件，示例包括“四川省成都市西南电子科技大学”“北京市天安门”“云南省曲靖市麒麟区曲靖市农村信用合作社联合社”等数据行，可直接作为数据填报范本。</w:t>
      </w:r>
    </w:p>
    <w:p w14:paraId="450B4B80">
      <w:pPr>
        <w:pStyle w:val="3"/>
        <w:keepNext/>
        <w:pBdr>
          <w:bottom w:val="single" w:color="1F3864" w:sz="8" w:space="4"/>
        </w:pBdr>
        <w:spacing w:before="280" w:after="120"/>
        <w:ind w:firstLineChars="0"/>
      </w:pPr>
      <w:bookmarkStart w:id="22" w:name="_LarkToc00023"/>
      <w:r>
        <w:rPr>
          <w:rFonts w:ascii="Arial" w:hAnsi="Arial" w:eastAsia="黑体"/>
          <w:b/>
          <w:color w:val="1F3864"/>
          <w:sz w:val="32"/>
        </w:rPr>
        <w:t>五、单条查询</w:t>
      </w:r>
      <w:bookmarkEnd w:id="22"/>
    </w:p>
    <w:p w14:paraId="25EBC488">
      <w:pPr>
        <w:pStyle w:val="4"/>
        <w:keepNext/>
        <w:spacing w:before="220" w:after="100"/>
        <w:ind w:firstLineChars="0"/>
      </w:pPr>
      <w:bookmarkStart w:id="23" w:name="_LarkToc00024"/>
      <w:r>
        <w:rPr>
          <w:rFonts w:ascii="Arial" w:hAnsi="Arial" w:eastAsia="黑体"/>
          <w:b/>
          <w:color w:val="1F3864"/>
          <w:sz w:val="28"/>
        </w:rPr>
        <w:t>（一）根据地址查询</w:t>
      </w:r>
      <w:bookmarkEnd w:id="23"/>
    </w:p>
    <w:p w14:paraId="0EDA2EFC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在“单条查询”页面的“根据地址”模式下输入查询地址（如“麒麟区雄业金都”），点击“查询”按钮，程序即返回标准化地址、GCJ-02 与 WGS-84 坐标，并自动补充省份、城市、区县、乡镇/街道及道路名称等逆地理信息，查询结果支持一键复制。</w:t>
      </w:r>
    </w:p>
    <w:p w14:paraId="06D0BAAC">
      <w:pPr>
        <w:pStyle w:val="4"/>
        <w:keepNext/>
        <w:spacing w:before="220" w:after="100"/>
        <w:ind w:firstLineChars="0"/>
      </w:pPr>
      <w:bookmarkStart w:id="24" w:name="_LarkToc00025"/>
      <w:r>
        <w:rPr>
          <w:rFonts w:ascii="Arial" w:hAnsi="Arial" w:eastAsia="黑体"/>
          <w:b/>
          <w:color w:val="1F3864"/>
          <w:sz w:val="28"/>
        </w:rPr>
        <w:t>（二）根据经纬度逆编码</w:t>
      </w:r>
      <w:bookmarkEnd w:id="24"/>
    </w:p>
    <w:p w14:paraId="23A1A32A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切换至“根据经纬度”模式，输入“经度,纬度”格式的坐标，并选择其所属坐标系（GCJ-02、WGS-84、BD-09 三选一），程序自动完成坐标系换算并执行逆地理编码，返回坐标对应的标准地址与行政区划信息。</w:t>
      </w:r>
    </w:p>
    <w:p w14:paraId="176E9081">
      <w:pPr>
        <w:pStyle w:val="4"/>
        <w:keepNext/>
        <w:spacing w:before="220" w:after="100"/>
        <w:ind w:firstLineChars="0"/>
      </w:pPr>
      <w:bookmarkStart w:id="25" w:name="_LarkToc00026"/>
      <w:r>
        <w:rPr>
          <w:rFonts w:ascii="Arial" w:hAnsi="Arial" w:eastAsia="黑体"/>
          <w:b/>
          <w:color w:val="1F3864"/>
          <w:sz w:val="28"/>
        </w:rPr>
        <w:t>（三）地图联动</w:t>
      </w:r>
      <w:bookmarkEnd w:id="25"/>
    </w:p>
    <w:p w14:paraId="7F47E06A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查询成功后，右侧地图区域自动定位至目标位置，并显示红色标记。支持通过“＋/－”按钮及鼠标滚轮缩放地图（缩放级别 3 至 19），通过方向按钮平移视野，右下角同步显示当前比例尺。</w:t>
      </w:r>
    </w:p>
    <w:p w14:paraId="5E23B71A">
      <w:pPr>
        <w:pStyle w:val="4"/>
        <w:keepNext/>
        <w:spacing w:before="220" w:after="100"/>
        <w:ind w:firstLineChars="0"/>
      </w:pPr>
      <w:bookmarkStart w:id="26" w:name="_LarkToc00027"/>
      <w:r>
        <w:rPr>
          <w:rFonts w:ascii="Arial" w:hAnsi="Arial" w:eastAsia="黑体"/>
          <w:b/>
          <w:color w:val="1F3864"/>
          <w:sz w:val="28"/>
        </w:rPr>
        <w:t>（四）结果复制</w:t>
      </w:r>
      <w:bookmarkEnd w:id="26"/>
    </w:p>
    <w:p w14:paraId="3B4F54DF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点击“复制全部”按钮，程序将标准化地址、双坐标系坐标及行政区划信息整理为文本并复制至剪贴板，便于后续粘贴使用。</w:t>
      </w:r>
    </w:p>
    <w:p w14:paraId="0328E006">
      <w:pPr>
        <w:pStyle w:val="3"/>
        <w:keepNext/>
        <w:pBdr>
          <w:bottom w:val="single" w:color="1F3864" w:sz="8" w:space="4"/>
        </w:pBdr>
        <w:spacing w:before="280" w:after="120"/>
        <w:ind w:firstLineChars="0"/>
      </w:pPr>
      <w:bookmarkStart w:id="27" w:name="_LarkToc00028"/>
      <w:r>
        <w:rPr>
          <w:rFonts w:ascii="Arial" w:hAnsi="Arial" w:eastAsia="黑体"/>
          <w:b/>
          <w:color w:val="1F3864"/>
          <w:sz w:val="32"/>
        </w:rPr>
        <w:t>六、批量正向编码</w:t>
      </w:r>
      <w:bookmarkEnd w:id="27"/>
    </w:p>
    <w:p w14:paraId="7F04DDA8">
      <w:pPr>
        <w:pStyle w:val="4"/>
        <w:keepNext/>
        <w:spacing w:before="220" w:after="100"/>
        <w:ind w:firstLineChars="0"/>
      </w:pPr>
      <w:bookmarkStart w:id="28" w:name="_LarkToc00029"/>
      <w:r>
        <w:rPr>
          <w:rFonts w:ascii="Arial" w:hAnsi="Arial" w:eastAsia="黑体"/>
          <w:b/>
          <w:color w:val="1F3864"/>
          <w:sz w:val="28"/>
        </w:rPr>
        <w:t>（一）导入文件与数据预览</w:t>
      </w:r>
      <w:bookmarkEnd w:id="28"/>
    </w:p>
    <w:p w14:paraId="0CBB937C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在“批量正向编码”页面点击“导入 Excel 文件”，选择待处理文件。程序自动读取工作表数据，并在“数据预览”标签页分页展示（每页 20 行），同时根据表头自动匹配地址 1、地址 2 与城市列。</w:t>
      </w:r>
    </w:p>
    <w:p w14:paraId="0FBAA8FA">
      <w:pPr>
        <w:pStyle w:val="4"/>
        <w:keepNext/>
        <w:spacing w:before="220" w:after="100"/>
        <w:ind w:firstLineChars="0"/>
      </w:pPr>
      <w:bookmarkStart w:id="29" w:name="_LarkToc00030"/>
      <w:r>
        <w:rPr>
          <w:rFonts w:ascii="Arial" w:hAnsi="Arial" w:eastAsia="黑体"/>
          <w:b/>
          <w:color w:val="1F3864"/>
          <w:sz w:val="28"/>
        </w:rPr>
        <w:t>（二）数据预处理</w:t>
      </w:r>
      <w:bookmarkEnd w:id="29"/>
    </w:p>
    <w:p w14:paraId="30F9D38E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展开“数据预处理”区域，可按需启用以下三项功能：</w:t>
      </w:r>
    </w:p>
    <w:p w14:paraId="7AF8B441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1. 自动清洗：去除地址中的空格、统一全半角符号、去除冗余前缀；</w:t>
      </w:r>
    </w:p>
    <w:p w14:paraId="24FA9A0C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2. 智能合并：当地址 1 为简短区县名（长度不超过 6 字）且地址 2 含路、街、号、村等详细要素时，自动拼接为完整地址；</w:t>
      </w:r>
    </w:p>
    <w:p w14:paraId="217339C2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3. 地址去重：相似度达到 85% 及以上的重复地址自动归并，仅查询一次并复用结果，可显著节省 API 配额。</w:t>
      </w:r>
    </w:p>
    <w:p w14:paraId="1888D8A6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启用上述选项后，可点击“预览清洗效果”查看前 50 条数据的清洗前后对照，确认无误后继续。</w:t>
      </w:r>
    </w:p>
    <w:p w14:paraId="5CAABC64">
      <w:pPr>
        <w:pStyle w:val="4"/>
        <w:keepNext/>
        <w:spacing w:before="220" w:after="100"/>
        <w:ind w:firstLineChars="0"/>
      </w:pPr>
      <w:bookmarkStart w:id="30" w:name="_LarkToc00031"/>
      <w:r>
        <w:rPr>
          <w:rFonts w:ascii="Arial" w:hAnsi="Arial" w:eastAsia="黑体"/>
          <w:b/>
          <w:color w:val="1F3864"/>
          <w:sz w:val="28"/>
        </w:rPr>
        <w:t>（三）指定数据列</w:t>
      </w:r>
      <w:bookmarkEnd w:id="30"/>
    </w:p>
    <w:p w14:paraId="704379D2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依次在“地址 1 列”“地址 2 列”下拉框中选择对应的表头列（两者均为必选项），“城市列”可选填，用于限定查询范围、提升匹配精度。程序默认按“地址1、地址2、市”等常见表头名称自动匹配，亦可手工调整。</w:t>
      </w:r>
    </w:p>
    <w:p w14:paraId="4AE76BEB">
      <w:pPr>
        <w:pStyle w:val="4"/>
        <w:keepNext/>
        <w:spacing w:before="220" w:after="100"/>
        <w:ind w:firstLineChars="0"/>
      </w:pPr>
      <w:bookmarkStart w:id="31" w:name="_LarkToc00032"/>
      <w:r>
        <w:rPr>
          <w:rFonts w:ascii="Arial" w:hAnsi="Arial" w:eastAsia="黑体"/>
          <w:b/>
          <w:color w:val="1F3864"/>
          <w:sz w:val="28"/>
        </w:rPr>
        <w:t>（四）处理参数设置</w:t>
      </w:r>
      <w:bookmarkEnd w:id="31"/>
    </w:p>
    <w:p w14:paraId="59124C7F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起始行默认为 2（即跳过表头行），可自行调整；勾选“跳过已有结果”可实现断点续传，已生成合法结果的数据行不再重复调用接口；勾选“只重新处理异常行”可仅对上次失败或异常的数据行重新处理；勾选“完成后自动打开文件”，处理结束后程序将自动打开 Excel 文件。</w:t>
      </w:r>
    </w:p>
    <w:p w14:paraId="318E3449">
      <w:pPr>
        <w:pStyle w:val="4"/>
        <w:keepNext/>
        <w:spacing w:before="220" w:after="100"/>
        <w:ind w:firstLineChars="0"/>
      </w:pPr>
      <w:bookmarkStart w:id="32" w:name="_LarkToc00033"/>
      <w:r>
        <w:rPr>
          <w:rFonts w:ascii="Arial" w:hAnsi="Arial" w:eastAsia="黑体"/>
          <w:b/>
          <w:color w:val="1F3864"/>
          <w:sz w:val="28"/>
        </w:rPr>
        <w:t>（五）处理过程监控</w:t>
      </w:r>
      <w:bookmarkEnd w:id="32"/>
    </w:p>
    <w:p w14:paraId="22B1260F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点击“开始处理”后，程序依次完成密钥验证、数据读取与逐行解析。左侧显示处理进度与统计信息，右侧“进度预览”标签页实时输出分色日志（成功、失败、跳过、百度调用等类别以不同颜色标识），处理过程中可随时点击“停止”终止任务。</w:t>
      </w:r>
    </w:p>
    <w:p w14:paraId="5D467E11">
      <w:pPr>
        <w:pStyle w:val="4"/>
        <w:keepNext/>
        <w:spacing w:before="220" w:after="100"/>
        <w:ind w:firstLineChars="0"/>
      </w:pPr>
      <w:bookmarkStart w:id="33" w:name="_LarkToc00034"/>
      <w:r>
        <w:rPr>
          <w:rFonts w:ascii="Arial" w:hAnsi="Arial" w:eastAsia="黑体"/>
          <w:b/>
          <w:color w:val="1F3864"/>
          <w:sz w:val="28"/>
        </w:rPr>
        <w:t>（六）处理结果说明</w:t>
      </w:r>
      <w:bookmarkEnd w:id="33"/>
    </w:p>
    <w:p w14:paraId="21AAED19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1. 坐标输出：程序按 GCJ-02 坐标系存储结果，并同步换算输出 WGS-84 坐标（保留 6 位小数）；坐标超出中国区域范围（经度 73–135、纬度 3–53）时，WGS-84 结果标记为“超出范围”。</w:t>
      </w:r>
    </w:p>
    <w:p w14:paraId="57702F7C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2. 标准地址：输出格式为“标准地址 [精度:等级][来源:高德/百度]”，若检测到疑似漂移，追加“疑似漂移”标注。精度等级与分值对应关系如表 4 所示，分值越高代表定位精度越高。</w:t>
      </w:r>
    </w:p>
    <w:p w14:paraId="57F92673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3. 备用策略：地址 1 解析失败时自动改用地址 2 查询；当地址 2 结果的精度严格高于地址 1 时直接采用，精度相同时比较两者坐标距离，不超过 200 米方予采用。</w:t>
      </w:r>
    </w:p>
    <w:p w14:paraId="403B3449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4. 异常标记：解析失败、无匹配、内容不匹配或疑似漂移的数据行以黄色高亮标记，便于人工复核。</w:t>
      </w:r>
    </w:p>
    <w:p w14:paraId="24E08C49">
      <w:pPr>
        <w:spacing w:before="120" w:after="80" w:line="240" w:lineRule="auto"/>
        <w:ind w:firstLineChars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4　精度等级与分值对照</w:t>
      </w:r>
    </w:p>
    <w:tbl>
      <w:tblPr>
        <w:tblStyle w:val="34"/>
        <w:tblW w:w="5000" w:type="pct"/>
        <w:jc w:val="center"/>
        <w:tblBorders>
          <w:top w:val="single" w:color="7F7F7F" w:sz="12" w:space="0"/>
          <w:left w:val="single" w:color="7F7F7F" w:sz="12" w:space="0"/>
          <w:bottom w:val="single" w:color="7F7F7F" w:sz="12" w:space="0"/>
          <w:right w:val="single" w:color="7F7F7F" w:sz="12" w:space="0"/>
          <w:insideH w:val="single" w:color="7F7F7F" w:sz="4" w:space="0"/>
          <w:insideV w:val="single" w:color="7F7F7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1277"/>
        <w:gridCol w:w="4993"/>
      </w:tblGrid>
      <w:tr w14:paraId="01E41238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1BB3FD7C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精度等级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829FC74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w="4876" w:type="dxa"/>
            <w:shd w:val="clear" w:color="auto" w:fill="D9D9D9"/>
            <w:vAlign w:val="center"/>
          </w:tcPr>
          <w:p w14:paraId="4F06B939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典型场景</w:t>
            </w:r>
          </w:p>
        </w:tc>
      </w:tr>
      <w:tr w14:paraId="293B317D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E2E617B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门址 / 门牌号</w:t>
            </w:r>
          </w:p>
        </w:tc>
        <w:tc>
          <w:tcPr>
            <w:tcW w:w="1247" w:type="dxa"/>
            <w:vAlign w:val="center"/>
          </w:tcPr>
          <w:p w14:paraId="1D5F6D7D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w="4876" w:type="dxa"/>
            <w:vAlign w:val="center"/>
          </w:tcPr>
          <w:p w14:paraId="75300C0E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精确到门牌地址</w:t>
            </w:r>
          </w:p>
        </w:tc>
      </w:tr>
      <w:tr w14:paraId="58A7B6B7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7CE4376A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POI / 楼宇 / 村庄</w:t>
            </w:r>
          </w:p>
        </w:tc>
        <w:tc>
          <w:tcPr>
            <w:tcW w:w="1247" w:type="dxa"/>
            <w:vAlign w:val="center"/>
          </w:tcPr>
          <w:p w14:paraId="1650E186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90</w:t>
            </w:r>
          </w:p>
        </w:tc>
        <w:tc>
          <w:tcPr>
            <w:tcW w:w="4876" w:type="dxa"/>
            <w:vAlign w:val="center"/>
          </w:tcPr>
          <w:p w14:paraId="277A8825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兴趣点、建筑物、自然村</w:t>
            </w:r>
          </w:p>
        </w:tc>
      </w:tr>
      <w:tr w14:paraId="5FA9F1C0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0D4755F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住宅小区</w:t>
            </w:r>
          </w:p>
        </w:tc>
        <w:tc>
          <w:tcPr>
            <w:tcW w:w="1247" w:type="dxa"/>
            <w:vAlign w:val="center"/>
          </w:tcPr>
          <w:p w14:paraId="3B3A37C3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85</w:t>
            </w:r>
          </w:p>
        </w:tc>
        <w:tc>
          <w:tcPr>
            <w:tcW w:w="4876" w:type="dxa"/>
            <w:vAlign w:val="center"/>
          </w:tcPr>
          <w:p w14:paraId="193E865A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住宅小区（“社区”为 80）</w:t>
            </w:r>
          </w:p>
        </w:tc>
      </w:tr>
      <w:tr w14:paraId="3A529DF8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5BF6A9F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道路 / 街道</w:t>
            </w:r>
          </w:p>
        </w:tc>
        <w:tc>
          <w:tcPr>
            <w:tcW w:w="1247" w:type="dxa"/>
            <w:vAlign w:val="center"/>
          </w:tcPr>
          <w:p w14:paraId="53BD8F94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70</w:t>
            </w:r>
          </w:p>
        </w:tc>
        <w:tc>
          <w:tcPr>
            <w:tcW w:w="4876" w:type="dxa"/>
            <w:vAlign w:val="center"/>
          </w:tcPr>
          <w:p w14:paraId="06AB1A7D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道路、路段及交叉口</w:t>
            </w:r>
          </w:p>
        </w:tc>
      </w:tr>
      <w:tr w14:paraId="454DBADE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4352A90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乡镇 / 镇 / 乡</w:t>
            </w:r>
          </w:p>
        </w:tc>
        <w:tc>
          <w:tcPr>
            <w:tcW w:w="1247" w:type="dxa"/>
            <w:vAlign w:val="center"/>
          </w:tcPr>
          <w:p w14:paraId="7739DD0A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w="4876" w:type="dxa"/>
            <w:vAlign w:val="center"/>
          </w:tcPr>
          <w:p w14:paraId="52BC3578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乡镇级行政区划</w:t>
            </w:r>
          </w:p>
        </w:tc>
      </w:tr>
      <w:tr w14:paraId="4EA3F7A9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7063AFE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区县</w:t>
            </w:r>
          </w:p>
        </w:tc>
        <w:tc>
          <w:tcPr>
            <w:tcW w:w="1247" w:type="dxa"/>
            <w:vAlign w:val="center"/>
          </w:tcPr>
          <w:p w14:paraId="3C2C9A20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50</w:t>
            </w:r>
          </w:p>
        </w:tc>
        <w:tc>
          <w:tcPr>
            <w:tcW w:w="4876" w:type="dxa"/>
            <w:vAlign w:val="center"/>
          </w:tcPr>
          <w:p w14:paraId="12550386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区县级行政区划</w:t>
            </w:r>
          </w:p>
        </w:tc>
      </w:tr>
      <w:tr w14:paraId="0822B4EF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23C62AD9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城市</w:t>
            </w:r>
          </w:p>
        </w:tc>
        <w:tc>
          <w:tcPr>
            <w:tcW w:w="1247" w:type="dxa"/>
            <w:vAlign w:val="center"/>
          </w:tcPr>
          <w:p w14:paraId="629B74C4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w="4876" w:type="dxa"/>
            <w:vAlign w:val="center"/>
          </w:tcPr>
          <w:p w14:paraId="77354724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地市级行政区划</w:t>
            </w:r>
          </w:p>
        </w:tc>
      </w:tr>
      <w:tr w14:paraId="4F3A5966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03543D49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省</w:t>
            </w:r>
          </w:p>
        </w:tc>
        <w:tc>
          <w:tcPr>
            <w:tcW w:w="1247" w:type="dxa"/>
            <w:vAlign w:val="center"/>
          </w:tcPr>
          <w:p w14:paraId="6A4C5EDA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w="4876" w:type="dxa"/>
            <w:vAlign w:val="center"/>
          </w:tcPr>
          <w:p w14:paraId="226F59C6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省级行政区划（“国家”为 5）</w:t>
            </w:r>
          </w:p>
        </w:tc>
      </w:tr>
    </w:tbl>
    <w:p w14:paraId="19933931">
      <w:pPr>
        <w:pStyle w:val="4"/>
        <w:keepNext/>
        <w:spacing w:before="220" w:after="100"/>
        <w:ind w:firstLineChars="0"/>
      </w:pPr>
      <w:bookmarkStart w:id="34" w:name="_LarkToc00035"/>
      <w:r>
        <w:rPr>
          <w:rFonts w:ascii="Arial" w:hAnsi="Arial" w:eastAsia="黑体"/>
          <w:b/>
          <w:color w:val="1F3864"/>
          <w:sz w:val="28"/>
        </w:rPr>
        <w:t>（七）结果导出</w:t>
      </w:r>
      <w:bookmarkEnd w:id="34"/>
    </w:p>
    <w:p w14:paraId="2A29BB3E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处理完成后，可点击“导出异常行”将全部异常数据单独保存为 Excel 文件（表头以深红色标注，便于分发复核）；点击“导出 KML”可将坐标结果生成 KML 文件（采用 WGS-84 坐标与红色图钉样式），可直接导入 Google 地图等地理信息软件查看。</w:t>
      </w:r>
    </w:p>
    <w:p w14:paraId="4FF32FF6">
      <w:pPr>
        <w:pStyle w:val="3"/>
        <w:keepNext/>
        <w:pBdr>
          <w:bottom w:val="single" w:color="1F3864" w:sz="8" w:space="4"/>
        </w:pBdr>
        <w:spacing w:before="280" w:after="120"/>
        <w:ind w:firstLineChars="0"/>
      </w:pPr>
      <w:bookmarkStart w:id="35" w:name="_LarkToc00036"/>
      <w:r>
        <w:rPr>
          <w:rFonts w:ascii="Arial" w:hAnsi="Arial" w:eastAsia="黑体"/>
          <w:b/>
          <w:color w:val="1F3864"/>
          <w:sz w:val="32"/>
        </w:rPr>
        <w:t>七、批量逆向编码</w:t>
      </w:r>
      <w:bookmarkEnd w:id="35"/>
    </w:p>
    <w:p w14:paraId="4E7F80BD">
      <w:pPr>
        <w:pStyle w:val="4"/>
        <w:keepNext/>
        <w:spacing w:before="220" w:after="100"/>
        <w:ind w:firstLineChars="0"/>
      </w:pPr>
      <w:bookmarkStart w:id="36" w:name="_LarkToc00037"/>
      <w:r>
        <w:rPr>
          <w:rFonts w:ascii="Arial" w:hAnsi="Arial" w:eastAsia="黑体"/>
          <w:b/>
          <w:color w:val="1F3864"/>
          <w:sz w:val="28"/>
        </w:rPr>
        <w:t>（一）导入文件与列选择</w:t>
      </w:r>
      <w:bookmarkEnd w:id="36"/>
    </w:p>
    <w:p w14:paraId="292FA90E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在“批量逆向编码”页面导入 Excel 文件后，程序自动识别并选择 GCJ-02 经度、纬度列（必选），WGS-84 经度、纬度列作为备选输入。</w:t>
      </w:r>
    </w:p>
    <w:p w14:paraId="50FFAA0A">
      <w:pPr>
        <w:pStyle w:val="4"/>
        <w:keepNext/>
        <w:spacing w:before="220" w:after="100"/>
        <w:ind w:firstLineChars="0"/>
      </w:pPr>
      <w:bookmarkStart w:id="37" w:name="_LarkToc00038"/>
      <w:r>
        <w:rPr>
          <w:rFonts w:ascii="Arial" w:hAnsi="Arial" w:eastAsia="黑体"/>
          <w:b/>
          <w:color w:val="1F3864"/>
          <w:sz w:val="28"/>
        </w:rPr>
        <w:t>（二）处理与结果</w:t>
      </w:r>
      <w:bookmarkEnd w:id="37"/>
    </w:p>
    <w:p w14:paraId="2E2540B6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设置起始行并选择是否跳过已有结果后，点击“开始处理”。程序逐行校验坐标有效性：当 GCJ-02 坐标缺失或非法时，自动转用 WGS-84 坐标换算后继续解析；两者均无效时，该行标记为“无有效坐标”。解析成功后，程序将完整地址、省市区及街道门牌号分别写入对应输出列；若高德接口返回全局错误（如当日额度耗尽）且已配置百度 AK，程序将自动切换百度继续解析（全程优先高德，仅限额时切换）。</w:t>
      </w:r>
    </w:p>
    <w:p w14:paraId="5D8F0331">
      <w:pPr>
        <w:pStyle w:val="3"/>
        <w:keepNext/>
        <w:pBdr>
          <w:bottom w:val="single" w:color="1F3864" w:sz="8" w:space="4"/>
        </w:pBdr>
        <w:spacing w:before="280" w:after="120"/>
        <w:ind w:firstLineChars="0"/>
      </w:pPr>
      <w:bookmarkStart w:id="38" w:name="_LarkToc00039"/>
      <w:r>
        <w:rPr>
          <w:rFonts w:ascii="Arial" w:hAnsi="Arial" w:eastAsia="黑体"/>
          <w:b/>
          <w:color w:val="1F3864"/>
          <w:sz w:val="32"/>
        </w:rPr>
        <w:t>八、坐标转换</w:t>
      </w:r>
      <w:bookmarkEnd w:id="38"/>
    </w:p>
    <w:p w14:paraId="2D947099">
      <w:pPr>
        <w:pStyle w:val="4"/>
        <w:keepNext/>
        <w:spacing w:before="220" w:after="100"/>
        <w:ind w:firstLineChars="0"/>
      </w:pPr>
      <w:bookmarkStart w:id="39" w:name="_LarkToc00040"/>
      <w:r>
        <w:rPr>
          <w:rFonts w:ascii="Arial" w:hAnsi="Arial" w:eastAsia="黑体"/>
          <w:b/>
          <w:color w:val="1F3864"/>
          <w:sz w:val="28"/>
        </w:rPr>
        <w:t>（一）单点坐标转换</w:t>
      </w:r>
      <w:bookmarkEnd w:id="39"/>
    </w:p>
    <w:p w14:paraId="61E7C782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在“坐标转换”页面输入坐标（格式“经度,纬度”），从下拉框选择转换方向（GCJ-02 → WGS-84、GCJ-02 → BD-09、WGS-84 → GCJ-02、WGS-84 → BD-09、BD-09 → GCJ-02、BD-09 → WGS-84 六种），点击“转换”即可获得结果，支持一键复制，结果保留 6 位小数。</w:t>
      </w:r>
    </w:p>
    <w:p w14:paraId="30496B9E">
      <w:pPr>
        <w:pStyle w:val="4"/>
        <w:keepNext/>
        <w:spacing w:before="220" w:after="100"/>
        <w:ind w:firstLineChars="0"/>
      </w:pPr>
      <w:bookmarkStart w:id="40" w:name="_LarkToc00041"/>
      <w:r>
        <w:rPr>
          <w:rFonts w:ascii="Arial" w:hAnsi="Arial" w:eastAsia="黑体"/>
          <w:b/>
          <w:color w:val="1F3864"/>
          <w:sz w:val="28"/>
        </w:rPr>
        <w:t>（二）批量 Excel 坐标转换</w:t>
      </w:r>
      <w:bookmarkEnd w:id="40"/>
    </w:p>
    <w:p w14:paraId="4D18DF7F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点击“浏览”选择 Excel 文件并“读取列”，程序自动识别源经度、纬度列及 WGS-84 输出列。依次指定源经度列、源纬度列、转换方式及输出经度、纬度列（若所选输出列在文件中不存在，程序将自动新建）；勾选“跳过已有结果”可避免重复转换。点击“开始批量转换”后，程序逐行完成坐标换算并写回文件，日志区输出完成统计。</w:t>
      </w:r>
    </w:p>
    <w:p w14:paraId="00F35D22">
      <w:pPr>
        <w:pStyle w:val="3"/>
        <w:keepNext/>
        <w:pBdr>
          <w:bottom w:val="single" w:color="1F3864" w:sz="8" w:space="4"/>
        </w:pBdr>
        <w:spacing w:before="280" w:after="120"/>
        <w:ind w:firstLineChars="0"/>
      </w:pPr>
      <w:bookmarkStart w:id="41" w:name="_LarkToc00042"/>
      <w:r>
        <w:rPr>
          <w:rFonts w:ascii="Arial" w:hAnsi="Arial" w:eastAsia="黑体"/>
          <w:b/>
          <w:color w:val="1F3864"/>
          <w:sz w:val="32"/>
        </w:rPr>
        <w:t>九、POI 采集助手</w:t>
      </w:r>
      <w:bookmarkEnd w:id="41"/>
    </w:p>
    <w:p w14:paraId="40B6398A">
      <w:pPr>
        <w:pStyle w:val="4"/>
        <w:keepNext/>
        <w:spacing w:before="220" w:after="100"/>
        <w:ind w:firstLineChars="0"/>
      </w:pPr>
      <w:bookmarkStart w:id="42" w:name="_LarkToc00043"/>
      <w:r>
        <w:rPr>
          <w:rFonts w:ascii="Arial" w:hAnsi="Arial" w:eastAsia="黑体"/>
          <w:b/>
          <w:color w:val="1F3864"/>
          <w:sz w:val="28"/>
        </w:rPr>
        <w:t>（一）采集模式</w:t>
      </w:r>
      <w:bookmarkEnd w:id="42"/>
    </w:p>
    <w:p w14:paraId="000D95BB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1. 行政区划检索：输入城市名称与关键词，在全城范围内检索符合条件的兴趣点；当单区县结果达到单次检索上限时，程序自动下钻至下一级行政区划（区县、乡镇/街道）逐区检索，实现全量覆盖；</w:t>
      </w:r>
    </w:p>
    <w:p w14:paraId="3C28C62D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2. 周边范围检索：输入中心地址（程序自动解析其坐标）与检索半径（500 至 10000 米），以该地址为中心进行周边检索。</w:t>
      </w:r>
    </w:p>
    <w:p w14:paraId="30DF63B3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关键词支持下拉选择与手工输入，预设关键词包括便利店、网吧、商铺、火锅店、加油站、幼儿园、银行、药店、酒店、景区等。</w:t>
      </w:r>
    </w:p>
    <w:p w14:paraId="4E81F381">
      <w:pPr>
        <w:pStyle w:val="4"/>
        <w:keepNext/>
        <w:spacing w:before="220" w:after="100"/>
        <w:ind w:firstLineChars="0"/>
      </w:pPr>
      <w:bookmarkStart w:id="43" w:name="_LarkToc00044"/>
      <w:r>
        <w:rPr>
          <w:rFonts w:ascii="Arial" w:hAnsi="Arial" w:eastAsia="黑体"/>
          <w:b/>
          <w:color w:val="1F3864"/>
          <w:sz w:val="28"/>
        </w:rPr>
        <w:t>（二）高级选项</w:t>
      </w:r>
      <w:bookmarkEnd w:id="43"/>
    </w:p>
    <w:p w14:paraId="708332B6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1. 补充电话：当高德结果中存在缺少电话号码的数据时，自动触发百度接口补全电话信息；</w:t>
      </w:r>
    </w:p>
    <w:p w14:paraId="1D02BD4F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2. 突破单次检索上限：单次检索默认最多返回 225 条结果，启用后程序自动执行关键词扩展（内置静态映射与 AI 生成词取并集）与行政区划下钻，将单一检索拆分为多关键词、多区县子任务，并采用网格深挖补全机制，以已取区域为中心按自适应半径细分网格并扩展方位检索，逐格覆盖直至采集完成；</w:t>
      </w:r>
    </w:p>
    <w:p w14:paraId="7DBA053F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3. 语义去重与合并：对全部结果按空间索引去重，距离 50 米以内的重复坐标自动合并；启用 AI 后，对名称相近、坐标存在差异的候选对进行语义去重标注，兼顾采集完整性与数据质量；</w:t>
      </w:r>
    </w:p>
    <w:p w14:paraId="4DE0A112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4. 并发深挖：网格深挖支持多线程并发执行（可调范围为 1 至 5，默认 2），在保证采集完整性的前提下显著缩短任务耗时。</w:t>
      </w:r>
    </w:p>
    <w:p w14:paraId="4DE0A112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5. 高德日配额自动切换：高德每日调用额度耗尽时，程序将自动切换至百度继续工作（地理编码、逆地理编码、POI 检索及采集启动全链路生效），全程优先使用高德、仅在配额耗尽时切换；未配置百度 AK 时，程序将提示配额耗尽并暂停相应任务。</w:t>
      </w:r>
    </w:p>
    <w:p>
      <w:r>
        <w:rPr>
          <w:rFonts w:ascii="宋体" w:hAnsi="宋体"/>
          <w:sz w:val="24"/>
        </w:rPr>
        <w:t>6. AI 智能延展：勾选后（默认关闭），在已配置 AI 大模型的前提下，主关键词采集完成后无论结果数量多少，程序均自动展开细分词族补采（AI 生成词与内置静态映射取并集），并按“增量即停＋总调用预算”控制 API 消耗；未配置 AI 或关闭开关时，程序仅按原有“接近上限才扩展”逻辑工作。</w:t>
      </w:r>
    </w:p>
    <w:p w14:paraId="5DC47D34">
      <w:pPr>
        <w:pStyle w:val="4"/>
        <w:keepNext/>
        <w:spacing w:before="220" w:after="100"/>
        <w:ind w:firstLineChars="0"/>
      </w:pPr>
      <w:bookmarkStart w:id="44" w:name="_LarkToc00045"/>
      <w:r>
        <w:rPr>
          <w:rFonts w:ascii="Arial" w:hAnsi="Arial" w:eastAsia="黑体"/>
          <w:b/>
          <w:color w:val="1F3864"/>
          <w:sz w:val="28"/>
        </w:rPr>
        <w:t>（三）采集结果</w:t>
      </w:r>
      <w:bookmarkEnd w:id="44"/>
    </w:p>
    <w:p w14:paraId="61150940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采集过程中“数据预览”标签页实时展示序号、名称、地址、电话、GCJ-02 / WGS-84 坐标、分类及数据来源；当高德检索结果少于 20 条时，程序自动调用百度补缺检索；多来源、多关键词、多区县结果自动去重合并，行政区划漂移结果以黄色高亮标注，便于人工复核。采集完成后可分别通过“导出 Excel”“导出 KML”保存结果。</w:t>
      </w:r>
    </w:p>
    <w:p w14:paraId="2C095C1E">
      <w:pPr>
        <w:pStyle w:val="3"/>
        <w:keepNext/>
        <w:pBdr>
          <w:bottom w:val="single" w:color="1F3864" w:sz="8" w:space="4"/>
        </w:pBdr>
        <w:spacing w:before="280" w:after="120"/>
        <w:ind w:firstLineChars="0"/>
      </w:pPr>
      <w:bookmarkStart w:id="45" w:name="_LarkToc00046"/>
      <w:r>
        <w:rPr>
          <w:rFonts w:ascii="Arial" w:hAnsi="Arial" w:eastAsia="黑体"/>
          <w:b/>
          <w:color w:val="1F3864"/>
          <w:sz w:val="32"/>
        </w:rPr>
        <w:t>十、在线更新与更多工具</w:t>
      </w:r>
      <w:bookmarkEnd w:id="45"/>
    </w:p>
    <w:p w14:paraId="08701A60">
      <w:pPr>
        <w:pStyle w:val="4"/>
        <w:keepNext/>
        <w:spacing w:before="220" w:after="100"/>
        <w:ind w:firstLineChars="0"/>
      </w:pPr>
      <w:bookmarkStart w:id="46" w:name="_LarkToc00047"/>
      <w:r>
        <w:rPr>
          <w:rFonts w:ascii="Arial" w:hAnsi="Arial" w:eastAsia="黑体"/>
          <w:b/>
          <w:color w:val="1F3864"/>
          <w:sz w:val="28"/>
        </w:rPr>
        <w:t>（一）版本检查与更新</w:t>
      </w:r>
      <w:bookmarkEnd w:id="46"/>
    </w:p>
    <w:p w14:paraId="6A9B39C4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程序启动后自动连接更新服务器检查新版本；也可点击左侧导航栏“检查更新”手动触发。发现新版本时，程序提示更新内容并询问是否下载，下载过程中实时显示进度；安装包下载完成后进行完整性校验，经确认后自动静默安装并退出当前程序。</w:t>
      </w:r>
    </w:p>
    <w:p w14:paraId="2EEEE5E2">
      <w:pPr>
        <w:pStyle w:val="4"/>
        <w:keepNext/>
        <w:spacing w:before="220" w:after="100"/>
        <w:ind w:firstLineChars="0"/>
      </w:pPr>
      <w:bookmarkStart w:id="47" w:name="_LarkToc00048"/>
      <w:r>
        <w:rPr>
          <w:rFonts w:ascii="Arial" w:hAnsi="Arial" w:eastAsia="黑体"/>
          <w:b/>
          <w:color w:val="1F3864"/>
          <w:sz w:val="28"/>
        </w:rPr>
        <w:t>（二）更多工具</w:t>
      </w:r>
      <w:bookmarkEnd w:id="47"/>
    </w:p>
    <w:p w14:paraId="760FE2F2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“更多工具”页面提供 PDF 工具箱、智能 C 盘清理、印章制作大师等同系列办公工具的下载入口，点击卡片上的“立即下载”按钮，即可通过浏览器下载对应安装包。</w:t>
      </w:r>
    </w:p>
    <w:p w14:paraId="2F9F2A35">
      <w:pPr>
        <w:pStyle w:val="3"/>
        <w:keepNext/>
        <w:pBdr>
          <w:bottom w:val="single" w:color="1F3864" w:sz="8" w:space="4"/>
        </w:pBdr>
        <w:spacing w:before="280" w:after="120"/>
        <w:ind w:firstLineChars="0"/>
      </w:pPr>
      <w:bookmarkStart w:id="48" w:name="_LarkToc00049"/>
      <w:r>
        <w:rPr>
          <w:rFonts w:ascii="Arial" w:hAnsi="Arial" w:eastAsia="黑体"/>
          <w:b/>
          <w:color w:val="1F3864"/>
          <w:sz w:val="32"/>
        </w:rPr>
        <w:t>十一、常见问题与注意事项</w:t>
      </w:r>
      <w:bookmarkEnd w:id="48"/>
    </w:p>
    <w:p w14:paraId="2226674D">
      <w:pPr>
        <w:pStyle w:val="4"/>
        <w:keepNext/>
        <w:spacing w:before="220" w:after="100"/>
        <w:ind w:firstLineChars="0"/>
      </w:pPr>
      <w:bookmarkStart w:id="49" w:name="_LarkToc00050"/>
      <w:r>
        <w:rPr>
          <w:rFonts w:ascii="Arial" w:hAnsi="Arial" w:eastAsia="黑体"/>
          <w:b/>
          <w:color w:val="1F3864"/>
          <w:sz w:val="28"/>
        </w:rPr>
        <w:t>（一）高德错误码</w:t>
      </w:r>
      <w:bookmarkEnd w:id="49"/>
    </w:p>
    <w:p w14:paraId="27DF2563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高德接口常见错误码及处理建议如表 5 所示。</w:t>
      </w:r>
    </w:p>
    <w:p w14:paraId="6488B7F3">
      <w:pPr>
        <w:spacing w:before="120" w:after="80" w:line="240" w:lineRule="auto"/>
        <w:ind w:firstLineChars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5　高德错误码对照</w:t>
      </w:r>
    </w:p>
    <w:tbl>
      <w:tblPr>
        <w:tblStyle w:val="34"/>
        <w:tblW w:w="5000" w:type="pct"/>
        <w:jc w:val="center"/>
        <w:tblBorders>
          <w:top w:val="single" w:color="7F7F7F" w:sz="12" w:space="0"/>
          <w:left w:val="single" w:color="7F7F7F" w:sz="12" w:space="0"/>
          <w:bottom w:val="single" w:color="7F7F7F" w:sz="12" w:space="0"/>
          <w:right w:val="single" w:color="7F7F7F" w:sz="12" w:space="0"/>
          <w:insideH w:val="single" w:color="7F7F7F" w:sz="4" w:space="0"/>
          <w:insideV w:val="single" w:color="7F7F7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9"/>
        <w:gridCol w:w="3367"/>
        <w:gridCol w:w="4412"/>
      </w:tblGrid>
      <w:tr w14:paraId="2E43663D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4ACD51E8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错误码</w:t>
            </w:r>
          </w:p>
        </w:tc>
        <w:tc>
          <w:tcPr>
            <w:tcW w:w="3288" w:type="dxa"/>
            <w:shd w:val="clear" w:color="auto" w:fill="D9D9D9"/>
            <w:vAlign w:val="center"/>
          </w:tcPr>
          <w:p w14:paraId="622ED2C2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含义</w:t>
            </w:r>
          </w:p>
        </w:tc>
        <w:tc>
          <w:tcPr>
            <w:tcW w:w="4309" w:type="dxa"/>
            <w:shd w:val="clear" w:color="auto" w:fill="D9D9D9"/>
            <w:vAlign w:val="center"/>
          </w:tcPr>
          <w:p w14:paraId="4BCC163B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处理建议</w:t>
            </w:r>
          </w:p>
        </w:tc>
      </w:tr>
      <w:tr w14:paraId="354E0E0F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11E80EA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10001</w:t>
            </w:r>
          </w:p>
        </w:tc>
        <w:tc>
          <w:tcPr>
            <w:tcW w:w="3288" w:type="dxa"/>
            <w:vAlign w:val="center"/>
          </w:tcPr>
          <w:p w14:paraId="6DA5DCF1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Key 无效或已过期</w:t>
            </w:r>
          </w:p>
        </w:tc>
        <w:tc>
          <w:tcPr>
            <w:tcW w:w="4309" w:type="dxa"/>
            <w:vAlign w:val="center"/>
          </w:tcPr>
          <w:p w14:paraId="30CDF21D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检查高德 Key 是否有效</w:t>
            </w:r>
          </w:p>
        </w:tc>
      </w:tr>
      <w:tr w14:paraId="1B4BDFA7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8E92EAC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10003</w:t>
            </w:r>
          </w:p>
        </w:tc>
        <w:tc>
          <w:tcPr>
            <w:tcW w:w="3288" w:type="dxa"/>
            <w:vAlign w:val="center"/>
          </w:tcPr>
          <w:p w14:paraId="2FBCD4AB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当日调用额度已用完</w:t>
            </w:r>
          </w:p>
        </w:tc>
        <w:tc>
          <w:tcPr>
            <w:tcW w:w="4309" w:type="dxa"/>
            <w:vAlign w:val="center"/>
          </w:tcPr>
          <w:p w14:paraId="36E0DB81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次日恢复或按需购买配额</w:t>
            </w:r>
          </w:p>
        </w:tc>
      </w:tr>
      <w:tr w14:paraId="62E60E57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1F1DBE7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10004</w:t>
            </w:r>
          </w:p>
        </w:tc>
        <w:tc>
          <w:tcPr>
            <w:tcW w:w="3288" w:type="dxa"/>
            <w:vAlign w:val="center"/>
          </w:tcPr>
          <w:p w14:paraId="55363280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Key 类型不正确</w:t>
            </w:r>
          </w:p>
        </w:tc>
        <w:tc>
          <w:tcPr>
            <w:tcW w:w="4309" w:type="dxa"/>
            <w:vAlign w:val="center"/>
          </w:tcPr>
          <w:p w14:paraId="7E13C24C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需申请“Web 服务”类型 Key</w:t>
            </w:r>
          </w:p>
        </w:tc>
      </w:tr>
      <w:tr w14:paraId="58C364D6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845702F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10005</w:t>
            </w:r>
          </w:p>
        </w:tc>
        <w:tc>
          <w:tcPr>
            <w:tcW w:w="3288" w:type="dxa"/>
            <w:vAlign w:val="center"/>
          </w:tcPr>
          <w:p w14:paraId="00050C01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IP 白名单限制</w:t>
            </w:r>
          </w:p>
        </w:tc>
        <w:tc>
          <w:tcPr>
            <w:tcW w:w="4309" w:type="dxa"/>
            <w:vAlign w:val="center"/>
          </w:tcPr>
          <w:p w14:paraId="604B278C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在高德控制台添加当前 IP</w:t>
            </w:r>
          </w:p>
        </w:tc>
      </w:tr>
      <w:tr w14:paraId="24ABDC8D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9884BD9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10007</w:t>
            </w:r>
          </w:p>
        </w:tc>
        <w:tc>
          <w:tcPr>
            <w:tcW w:w="3288" w:type="dxa"/>
            <w:vAlign w:val="center"/>
          </w:tcPr>
          <w:p w14:paraId="65FADD09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数字签名验证失败</w:t>
            </w:r>
          </w:p>
        </w:tc>
        <w:tc>
          <w:tcPr>
            <w:tcW w:w="4309" w:type="dxa"/>
            <w:vAlign w:val="center"/>
          </w:tcPr>
          <w:p w14:paraId="7FAF2228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检查数字签名配置</w:t>
            </w:r>
          </w:p>
        </w:tc>
      </w:tr>
      <w:tr w14:paraId="114C3D2D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F7905DB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20003</w:t>
            </w:r>
          </w:p>
        </w:tc>
        <w:tc>
          <w:tcPr>
            <w:tcW w:w="3288" w:type="dxa"/>
            <w:vAlign w:val="center"/>
          </w:tcPr>
          <w:p w14:paraId="0480F29F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静态地图权限不足</w:t>
            </w:r>
          </w:p>
        </w:tc>
        <w:tc>
          <w:tcPr>
            <w:tcW w:w="4309" w:type="dxa"/>
            <w:vAlign w:val="center"/>
          </w:tcPr>
          <w:p w14:paraId="659EC1D3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开通静态地图服务或检查配额</w:t>
            </w:r>
          </w:p>
        </w:tc>
      </w:tr>
    </w:tbl>
    <w:p w14:paraId="3E9C7CDC">
      <w:pPr>
        <w:pStyle w:val="4"/>
        <w:keepNext/>
        <w:spacing w:before="220" w:after="100"/>
        <w:ind w:firstLineChars="0"/>
      </w:pPr>
      <w:bookmarkStart w:id="50" w:name="_LarkToc00051"/>
      <w:r>
        <w:rPr>
          <w:rFonts w:ascii="Arial" w:hAnsi="Arial" w:eastAsia="黑体"/>
          <w:b/>
          <w:color w:val="1F3864"/>
          <w:sz w:val="28"/>
        </w:rPr>
        <w:t>（二）百度错误码</w:t>
      </w:r>
      <w:bookmarkEnd w:id="50"/>
    </w:p>
    <w:p w14:paraId="5C8041AB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百度接口常见错误码及处理建议如表 6 所示。</w:t>
      </w:r>
    </w:p>
    <w:p w14:paraId="1B02F508">
      <w:pPr>
        <w:spacing w:before="120" w:after="80" w:line="240" w:lineRule="auto"/>
        <w:ind w:firstLineChars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6　百度错误码对照</w:t>
      </w:r>
    </w:p>
    <w:tbl>
      <w:tblPr>
        <w:tblStyle w:val="34"/>
        <w:tblW w:w="5000" w:type="pct"/>
        <w:jc w:val="center"/>
        <w:tblBorders>
          <w:top w:val="single" w:color="7F7F7F" w:sz="12" w:space="0"/>
          <w:left w:val="single" w:color="7F7F7F" w:sz="12" w:space="0"/>
          <w:bottom w:val="single" w:color="7F7F7F" w:sz="12" w:space="0"/>
          <w:right w:val="single" w:color="7F7F7F" w:sz="12" w:space="0"/>
          <w:insideH w:val="single" w:color="7F7F7F" w:sz="4" w:space="0"/>
          <w:insideV w:val="single" w:color="7F7F7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3135"/>
        <w:gridCol w:w="4180"/>
      </w:tblGrid>
      <w:tr w14:paraId="5A0D1CF6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11F2F876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错误码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36691F01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含义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7C43AF33">
            <w:pPr>
              <w:spacing w:before="40" w:after="4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处理建议</w:t>
            </w:r>
          </w:p>
        </w:tc>
      </w:tr>
      <w:tr w14:paraId="297E76B9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FCB7BA5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3061" w:type="dxa"/>
            <w:vAlign w:val="center"/>
          </w:tcPr>
          <w:p w14:paraId="229A0A1F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请求正常</w:t>
            </w:r>
          </w:p>
        </w:tc>
        <w:tc>
          <w:tcPr>
            <w:tcW w:w="4082" w:type="dxa"/>
            <w:vAlign w:val="center"/>
          </w:tcPr>
          <w:p w14:paraId="4F3F66EB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 w14:paraId="3A6BE9AA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8B1EC2D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3061" w:type="dxa"/>
            <w:vAlign w:val="center"/>
          </w:tcPr>
          <w:p w14:paraId="09B83680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服务端内部错误</w:t>
            </w:r>
          </w:p>
        </w:tc>
        <w:tc>
          <w:tcPr>
            <w:tcW w:w="4082" w:type="dxa"/>
            <w:vAlign w:val="center"/>
          </w:tcPr>
          <w:p w14:paraId="75AD444B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稍后重试，或检查地址格式</w:t>
            </w:r>
          </w:p>
        </w:tc>
      </w:tr>
      <w:tr w14:paraId="19A2D825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B47379E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3061" w:type="dxa"/>
            <w:vAlign w:val="center"/>
          </w:tcPr>
          <w:p w14:paraId="50269CC5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请求参数非法</w:t>
            </w:r>
          </w:p>
        </w:tc>
        <w:tc>
          <w:tcPr>
            <w:tcW w:w="4082" w:type="dxa"/>
            <w:vAlign w:val="center"/>
          </w:tcPr>
          <w:p w14:paraId="4DAEEEBC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检查地址与参数格式</w:t>
            </w:r>
          </w:p>
        </w:tc>
      </w:tr>
      <w:tr w14:paraId="6047DEED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C9ADDBB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3061" w:type="dxa"/>
            <w:vAlign w:val="center"/>
          </w:tcPr>
          <w:p w14:paraId="4CAF9778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无地理编码权限</w:t>
            </w:r>
          </w:p>
        </w:tc>
        <w:tc>
          <w:tcPr>
            <w:tcW w:w="4082" w:type="dxa"/>
            <w:vAlign w:val="center"/>
          </w:tcPr>
          <w:p w14:paraId="633F09FE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在百度控制台开通权限</w:t>
            </w:r>
          </w:p>
        </w:tc>
      </w:tr>
      <w:tr w14:paraId="67FA1DC3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B39C434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 / 302 / 401 / 402</w:t>
            </w:r>
          </w:p>
        </w:tc>
        <w:tc>
          <w:tcPr>
            <w:tcW w:w="3061" w:type="dxa"/>
            <w:vAlign w:val="center"/>
          </w:tcPr>
          <w:p w14:paraId="45B4BC4B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配额不足或超限</w:t>
            </w:r>
          </w:p>
        </w:tc>
        <w:tc>
          <w:tcPr>
            <w:tcW w:w="4082" w:type="dxa"/>
            <w:vAlign w:val="center"/>
          </w:tcPr>
          <w:p w14:paraId="35226260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更换 AK 或购买配额</w:t>
            </w:r>
          </w:p>
        </w:tc>
      </w:tr>
      <w:tr w14:paraId="11069285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584C634D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 / 102</w:t>
            </w:r>
          </w:p>
        </w:tc>
        <w:tc>
          <w:tcPr>
            <w:tcW w:w="3061" w:type="dxa"/>
            <w:vAlign w:val="center"/>
          </w:tcPr>
          <w:p w14:paraId="57FDD10B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AK 不存在或非法</w:t>
            </w:r>
          </w:p>
        </w:tc>
        <w:tc>
          <w:tcPr>
            <w:tcW w:w="4082" w:type="dxa"/>
            <w:vAlign w:val="center"/>
          </w:tcPr>
          <w:p w14:paraId="56CA1508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检查 AK 配置</w:t>
            </w:r>
          </w:p>
        </w:tc>
      </w:tr>
      <w:tr w14:paraId="30081E0C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045608F6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3061" w:type="dxa"/>
            <w:vAlign w:val="center"/>
          </w:tcPr>
          <w:p w14:paraId="53559CE1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服务器繁忙</w:t>
            </w:r>
          </w:p>
        </w:tc>
        <w:tc>
          <w:tcPr>
            <w:tcW w:w="4082" w:type="dxa"/>
            <w:vAlign w:val="center"/>
          </w:tcPr>
          <w:p w14:paraId="20C65132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降低请求频率后重试</w:t>
            </w:r>
          </w:p>
        </w:tc>
      </w:tr>
      <w:tr w14:paraId="1F3B2BAD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741A6DD0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w="3061" w:type="dxa"/>
            <w:vAlign w:val="center"/>
          </w:tcPr>
          <w:p w14:paraId="79301C6A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IP 白名单校验失败</w:t>
            </w:r>
          </w:p>
        </w:tc>
        <w:tc>
          <w:tcPr>
            <w:tcW w:w="4082" w:type="dxa"/>
            <w:vAlign w:val="center"/>
          </w:tcPr>
          <w:p w14:paraId="41FE6A65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在百度控制台添加当前 IP</w:t>
            </w:r>
          </w:p>
        </w:tc>
      </w:tr>
      <w:tr w14:paraId="270C1847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46C11B3B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101</w:t>
            </w:r>
          </w:p>
        </w:tc>
        <w:tc>
          <w:tcPr>
            <w:tcW w:w="3061" w:type="dxa"/>
            <w:vAlign w:val="center"/>
          </w:tcPr>
          <w:p w14:paraId="297C7D54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SN 校验失败</w:t>
            </w:r>
          </w:p>
        </w:tc>
        <w:tc>
          <w:tcPr>
            <w:tcW w:w="4082" w:type="dxa"/>
            <w:vAlign w:val="center"/>
          </w:tcPr>
          <w:p w14:paraId="19700188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检查数字签名配置</w:t>
            </w:r>
          </w:p>
        </w:tc>
      </w:tr>
      <w:tr w14:paraId="7E4C3083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384DF08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200</w:t>
            </w:r>
          </w:p>
        </w:tc>
        <w:tc>
          <w:tcPr>
            <w:tcW w:w="3061" w:type="dxa"/>
            <w:vAlign w:val="center"/>
          </w:tcPr>
          <w:p w14:paraId="29445935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无相关数据</w:t>
            </w:r>
          </w:p>
        </w:tc>
        <w:tc>
          <w:tcPr>
            <w:tcW w:w="4082" w:type="dxa"/>
            <w:vAlign w:val="center"/>
          </w:tcPr>
          <w:p w14:paraId="581F6A0E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该地址暂无匹配结果</w:t>
            </w:r>
          </w:p>
        </w:tc>
      </w:tr>
      <w:tr w14:paraId="1B32D810">
        <w:tblPrEx>
          <w:tblBorders>
            <w:top w:val="single" w:color="7F7F7F" w:sz="12" w:space="0"/>
            <w:left w:val="single" w:color="7F7F7F" w:sz="12" w:space="0"/>
            <w:bottom w:val="single" w:color="7F7F7F" w:sz="12" w:space="0"/>
            <w:right w:val="single" w:color="7F7F7F" w:sz="12" w:space="0"/>
            <w:insideH w:val="single" w:color="7F7F7F" w:sz="4" w:space="0"/>
            <w:insideV w:val="single" w:color="7F7F7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4DBD922">
            <w:pPr>
              <w:spacing w:before="30" w:after="30" w:line="240" w:lineRule="auto"/>
              <w:ind w:firstLine="0" w:firstLineChars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301</w:t>
            </w:r>
          </w:p>
        </w:tc>
        <w:tc>
          <w:tcPr>
            <w:tcW w:w="3061" w:type="dxa"/>
            <w:vAlign w:val="center"/>
          </w:tcPr>
          <w:p w14:paraId="5FE572CA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永久配额超限</w:t>
            </w:r>
          </w:p>
        </w:tc>
        <w:tc>
          <w:tcPr>
            <w:tcW w:w="4082" w:type="dxa"/>
            <w:vAlign w:val="center"/>
          </w:tcPr>
          <w:p w14:paraId="104C429F">
            <w:pPr>
              <w:spacing w:before="30" w:after="30" w:line="240" w:lineRule="auto"/>
              <w:ind w:firstLine="0" w:firstLineChars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联系平台或更换 AK</w:t>
            </w:r>
          </w:p>
        </w:tc>
      </w:tr>
    </w:tbl>
    <w:p w14:paraId="1870B646">
      <w:pPr>
        <w:pStyle w:val="4"/>
        <w:keepNext/>
        <w:spacing w:before="220" w:after="100"/>
        <w:ind w:firstLineChars="0"/>
      </w:pPr>
      <w:bookmarkStart w:id="51" w:name="_LarkToc00052"/>
      <w:r>
        <w:rPr>
          <w:rFonts w:ascii="Arial" w:hAnsi="Arial" w:eastAsia="黑体"/>
          <w:b/>
          <w:color w:val="1F3864"/>
          <w:sz w:val="28"/>
        </w:rPr>
        <w:t>（三）使用注意事项</w:t>
      </w:r>
      <w:bookmarkEnd w:id="51"/>
    </w:p>
    <w:p w14:paraId="3B39F2BB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1. 高德 API Key 为必填项，百度 AK 为选填项；建议同时配置两者并开启百度 Fallback，以获得更优的解析精度与容错能力。高德日配额耗尽时，程序将自动切换百度继续处理。</w:t>
      </w:r>
    </w:p>
    <w:p w14:paraId="184DC228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2. 请遵守地图平台的服务条款与配额限制，控制合理的调用频率，避免因高频请求触发限流。</w:t>
      </w:r>
    </w:p>
    <w:p w14:paraId="36B2F1AB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3. 录入地址时建议包含完整的省、市、区县及街道门牌信息，可显著提升解析精度；村庄类地址请保留“村、寨、屯”等专名要素。</w:t>
      </w:r>
    </w:p>
    <w:p w14:paraId="110FA452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4. 程序内置坐标合法性校验（经度 73–135、纬度 3–53），超出中国区域范围的坐标将标记为“超出范围”。</w:t>
      </w:r>
    </w:p>
    <w:p w14:paraId="0541DE17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5. 软件内置使用期限至 2028 年 1 月 1 日，到期后需获取新版本方可继续使用。</w:t>
      </w:r>
    </w:p>
    <w:p w14:paraId="4C15F0FF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6. 如遇功能异常或需定制开发，可联系技术支持邮箱：1178258589@qq.com。</w:t>
      </w:r>
    </w:p>
    <w:p w14:paraId="397D86CB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7. AI 大模型为可选增强配置，未配置时程序自动采用内置规则模式，基础功能不受影响；AI 仅用于关键词扩展、地址清洗与语义去重，不参与坐标计算。</w:t>
      </w:r>
    </w:p>
    <w:p w14:paraId="22ED96C1">
      <w:pPr>
        <w:spacing w:before="0" w:after="0" w:line="360" w:lineRule="auto"/>
        <w:ind w:firstLineChars="200"/>
      </w:pPr>
      <w:r>
        <w:rPr>
          <w:rFonts w:ascii="Arial" w:hAnsi="Arial" w:eastAsia="宋体"/>
          <w:b w:val="0"/>
          <w:sz w:val="24"/>
        </w:rPr>
        <w:t>8. AI 接口按所选平台独立计费，请在采集任务前确认账户配额与余额；API 密钥请妥善保管，程序仅保存在本地配置文件 addr_config.json 中。</w:t>
      </w:r>
    </w:p>
    <w:sectPr>
      <w:footerReference r:id="rId6" w:type="default"/>
      <w:pgSz w:w="11906" w:h="16838"/>
      <w:pgMar w:top="1417" w:right="1417" w:bottom="1417" w:left="1417" w:header="850" w:footer="85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27D01">
    <w:pPr>
      <w:pStyle w:val="24"/>
      <w:spacing w:line="240" w:lineRule="auto"/>
      <w:jc w:val="center"/>
    </w:pPr>
    <w:r>
      <w:rPr>
        <w:rFonts w:ascii="Arial" w:hAnsi="Arial" w:eastAsia="宋体"/>
        <w:b w:val="0"/>
        <w:color w:val="595959"/>
        <w:sz w:val="18"/>
      </w:rPr>
      <w:t xml:space="preserve">第 </w:t>
    </w:r>
    <w:r>
      <w:rPr>
        <w:rFonts w:ascii="Arial" w:hAnsi="Arial" w:eastAsia="宋体"/>
        <w:b w:val="0"/>
        <w:color w:val="595959"/>
        <w:sz w:val="18"/>
      </w:rPr>
      <w:fldChar w:fldCharType="begin"/>
    </w:r>
    <w:r>
      <w:rPr>
        <w:rFonts w:ascii="Arial" w:hAnsi="Arial" w:eastAsia="宋体"/>
        <w:b w:val="0"/>
        <w:color w:val="595959"/>
        <w:sz w:val="18"/>
      </w:rPr>
      <w:instrText xml:space="preserve"> PAGE </w:instrText>
    </w:r>
    <w:r>
      <w:rPr>
        <w:rFonts w:ascii="Arial" w:hAnsi="Arial" w:eastAsia="宋体"/>
        <w:b w:val="0"/>
        <w:color w:val="595959"/>
        <w:sz w:val="18"/>
      </w:rPr>
      <w:fldChar w:fldCharType="separate"/>
    </w:r>
    <w:r>
      <w:rPr>
        <w:rFonts w:ascii="Arial" w:hAnsi="Arial" w:eastAsia="宋体"/>
        <w:b w:val="0"/>
        <w:color w:val="595959"/>
        <w:sz w:val="18"/>
      </w:rPr>
      <w:t>1</w:t>
    </w:r>
    <w:r>
      <w:rPr>
        <w:rFonts w:ascii="Arial" w:hAnsi="Arial" w:eastAsia="宋体"/>
        <w:b w:val="0"/>
        <w:color w:val="595959"/>
        <w:sz w:val="18"/>
      </w:rPr>
      <w:fldChar w:fldCharType="end"/>
    </w:r>
    <w:r>
      <w:rPr>
        <w:rFonts w:ascii="Arial" w:hAnsi="Arial" w:eastAsia="宋体"/>
        <w:b w:val="0"/>
        <w:color w:val="595959"/>
        <w:sz w:val="18"/>
      </w:rPr>
      <w:t xml:space="preserve"> 页，共 </w:t>
    </w:r>
    <w:r>
      <w:rPr>
        <w:rFonts w:ascii="Arial" w:hAnsi="Arial" w:eastAsia="宋体"/>
        <w:b w:val="0"/>
        <w:color w:val="595959"/>
        <w:sz w:val="18"/>
      </w:rPr>
      <w:fldChar w:fldCharType="begin"/>
    </w:r>
    <w:r>
      <w:rPr>
        <w:rFonts w:ascii="Arial" w:hAnsi="Arial" w:eastAsia="宋体"/>
        <w:b w:val="0"/>
        <w:color w:val="595959"/>
        <w:sz w:val="18"/>
      </w:rPr>
      <w:instrText xml:space="preserve"> NUMPAGES </w:instrText>
    </w:r>
    <w:r>
      <w:rPr>
        <w:rFonts w:ascii="Arial" w:hAnsi="Arial" w:eastAsia="宋体"/>
        <w:b w:val="0"/>
        <w:color w:val="595959"/>
        <w:sz w:val="18"/>
      </w:rPr>
      <w:fldChar w:fldCharType="separate"/>
    </w:r>
    <w:r>
      <w:rPr>
        <w:rFonts w:ascii="Arial" w:hAnsi="Arial" w:eastAsia="宋体"/>
        <w:b w:val="0"/>
        <w:color w:val="595959"/>
        <w:sz w:val="18"/>
      </w:rPr>
      <w:t>1</w:t>
    </w:r>
    <w:r>
      <w:rPr>
        <w:rFonts w:ascii="Arial" w:hAnsi="Arial" w:eastAsia="宋体"/>
        <w:b w:val="0"/>
        <w:color w:val="595959"/>
        <w:sz w:val="18"/>
      </w:rPr>
      <w:fldChar w:fldCharType="end"/>
    </w:r>
    <w:r>
      <w:rPr>
        <w:rFonts w:ascii="Arial" w:hAnsi="Arial" w:eastAsia="宋体"/>
        <w:b w:val="0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459B7">
    <w:pPr>
      <w:pStyle w:val="25"/>
      <w:pBdr>
        <w:bottom w:val="single" w:color="1F3864" w:sz="6" w:space="2"/>
      </w:pBdr>
      <w:spacing w:after="40" w:line="240" w:lineRule="auto"/>
      <w:jc w:val="center"/>
    </w:pPr>
    <w:r>
      <w:rPr>
        <w:rFonts w:ascii="Arial" w:hAnsi="Arial" w:eastAsia="宋体"/>
        <w:b w:val="0"/>
        <w:color w:val="595959"/>
        <w:sz w:val="21"/>
      </w:rPr>
      <w:t>地址坐标转换工具使用指南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36249dc2c392c8c165c30e57cb3d92f30800a11dcee4101b68a8cadc90532505:99b44c76ca50d80720eb41d53d45d0f04d294ded3c62bcea3178fe31593e7fa1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AB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 w:firstLineChars="200"/>
    </w:pPr>
    <w:rPr>
      <w:rFonts w:ascii="Arial" w:hAnsi="Arial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pBdr>
        <w:bottom w:val="single" w:color="1F3864" w:sz="8" w:space="4"/>
      </w:pBdr>
      <w:spacing w:before="280" w:after="120"/>
      <w:ind w:firstLineChars="0"/>
      <w:outlineLvl w:val="0"/>
    </w:pPr>
    <w:rPr>
      <w:rFonts w:asciiTheme="majorHAnsi" w:hAnsiTheme="majorHAnsi" w:eastAsiaTheme="majorEastAsia" w:cstheme="majorBidi"/>
      <w:b/>
      <w:bCs/>
      <w:color w:val="1F3864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/>
      <w:ind w:firstLineChars="0"/>
      <w:outlineLvl w:val="1"/>
    </w:pPr>
    <w:rPr>
      <w:rFonts w:asciiTheme="majorHAnsi" w:hAnsiTheme="majorHAnsi" w:eastAsiaTheme="majorEastAsia" w:cstheme="majorBidi"/>
      <w:b/>
      <w:bCs/>
      <w:color w:val="1F3864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80"/>
      <w:ind w:firstLineChars="0"/>
      <w:outlineLvl w:val="2"/>
    </w:pPr>
    <w:rPr>
      <w:rFonts w:asciiTheme="majorHAnsi" w:hAnsiTheme="majorHAnsi" w:eastAsiaTheme="majorEastAsia" w:cstheme="majorBidi"/>
      <w:b/>
      <w:bCs/>
      <w:color w:val="1F3864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7023</Words>
  <Characters>7820</Characters>
  <Lines>0</Lines>
  <Paragraphs>0</Paragraphs>
  <TotalTime>0</TotalTime>
  <ScaleCrop>false</ScaleCrop>
  <LinksUpToDate>false</LinksUpToDate>
  <CharactersWithSpaces>8273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Mine</cp:lastModifiedBy>
  <dcterms:modified xsi:type="dcterms:W3CDTF">2026-09-24T03:29:18Z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eyJoZGlkIjoiZTFhYjBjNGRlNWNjY2U3ZmQxMWE0YWYwZTAyMDcxM2UiLCJ1c2VySWQiOiIyNDk3MDA1NzUifQ==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BACBA6EF38FF4BE993B634255BD11745_12</vt:lpwstr>
  </property>
</Properties>
</file>